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left"/>
        <w:rPr>
          <w:rFonts w:ascii="方正黑体_GBK" w:hAnsi="方正黑体_GBK" w:eastAsia="方正黑体_GBK" w:cs="方正黑体_GBK"/>
          <w:bCs/>
          <w:color w:val="auto"/>
          <w:szCs w:val="32"/>
          <w:highlight w:val="none"/>
          <w:lang w:bidi="ar"/>
        </w:rPr>
      </w:pPr>
      <w:r>
        <w:rPr>
          <w:rFonts w:hint="eastAsia" w:ascii="方正黑体_GBK" w:hAnsi="方正黑体_GBK" w:eastAsia="方正黑体_GBK" w:cs="方正黑体_GBK"/>
          <w:bCs/>
          <w:color w:val="auto"/>
          <w:szCs w:val="32"/>
          <w:highlight w:val="none"/>
          <w:lang w:bidi="ar"/>
        </w:rPr>
        <w:t>附件</w:t>
      </w:r>
    </w:p>
    <w:p>
      <w:pPr>
        <w:pStyle w:val="2"/>
        <w:ind w:firstLine="0" w:firstLineChars="0"/>
        <w:jc w:val="center"/>
        <w:rPr>
          <w:color w:val="auto"/>
          <w:highlight w:val="none"/>
        </w:rPr>
      </w:pPr>
    </w:p>
    <w:p>
      <w:pPr>
        <w:ind w:firstLine="640"/>
        <w:rPr>
          <w:color w:val="auto"/>
          <w:highlight w:val="none"/>
        </w:rPr>
      </w:pPr>
    </w:p>
    <w:p>
      <w:pPr>
        <w:ind w:firstLine="0" w:firstLineChars="0"/>
        <w:jc w:val="center"/>
        <w:rPr>
          <w:rFonts w:eastAsia="宋体"/>
          <w:b/>
          <w:color w:val="auto"/>
          <w:sz w:val="44"/>
          <w:szCs w:val="44"/>
          <w:highlight w:val="none"/>
          <w:lang w:bidi="ar"/>
        </w:rPr>
      </w:pPr>
    </w:p>
    <w:p>
      <w:pPr>
        <w:ind w:firstLine="0" w:firstLineChars="0"/>
        <w:jc w:val="center"/>
        <w:rPr>
          <w:rFonts w:asciiTheme="majorEastAsia" w:hAnsiTheme="majorEastAsia" w:eastAsiaTheme="majorEastAsia" w:cstheme="majorEastAsia"/>
          <w:b/>
          <w:bCs/>
          <w:color w:val="auto"/>
          <w:sz w:val="44"/>
          <w:szCs w:val="44"/>
          <w:highlight w:val="none"/>
          <w:lang w:bidi="ar"/>
        </w:rPr>
      </w:pPr>
      <w:bookmarkStart w:id="0" w:name="_Toc20891"/>
      <w:r>
        <w:rPr>
          <w:rFonts w:hint="eastAsia" w:asciiTheme="majorEastAsia" w:hAnsiTheme="majorEastAsia" w:eastAsiaTheme="majorEastAsia" w:cstheme="majorEastAsia"/>
          <w:b/>
          <w:bCs/>
          <w:color w:val="auto"/>
          <w:sz w:val="44"/>
          <w:szCs w:val="44"/>
          <w:highlight w:val="none"/>
          <w:lang w:bidi="ar"/>
        </w:rPr>
        <w:t>韶关市医疗保障局2022年部门整体支出</w:t>
      </w:r>
      <w:bookmarkEnd w:id="0"/>
    </w:p>
    <w:p>
      <w:pPr>
        <w:ind w:firstLine="0" w:firstLineChars="0"/>
        <w:jc w:val="center"/>
        <w:rPr>
          <w:rFonts w:asciiTheme="majorEastAsia" w:hAnsiTheme="majorEastAsia" w:eastAsiaTheme="majorEastAsia" w:cstheme="majorEastAsia"/>
          <w:b/>
          <w:bCs/>
          <w:color w:val="auto"/>
          <w:sz w:val="44"/>
          <w:szCs w:val="44"/>
          <w:highlight w:val="none"/>
          <w:lang w:bidi="ar"/>
        </w:rPr>
      </w:pPr>
      <w:r>
        <w:rPr>
          <w:rFonts w:hint="eastAsia" w:asciiTheme="majorEastAsia" w:hAnsiTheme="majorEastAsia" w:eastAsiaTheme="majorEastAsia" w:cstheme="majorEastAsia"/>
          <w:b/>
          <w:bCs/>
          <w:color w:val="auto"/>
          <w:sz w:val="44"/>
          <w:szCs w:val="44"/>
          <w:highlight w:val="none"/>
          <w:lang w:bidi="ar"/>
        </w:rPr>
        <w:t>绩效评价报告</w:t>
      </w:r>
    </w:p>
    <w:p>
      <w:pPr>
        <w:ind w:firstLine="640"/>
        <w:rPr>
          <w:color w:val="auto"/>
          <w:highlight w:val="none"/>
        </w:rPr>
      </w:pPr>
      <w:bookmarkStart w:id="149" w:name="_GoBack"/>
      <w:bookmarkEnd w:id="149"/>
    </w:p>
    <w:p>
      <w:pPr>
        <w:ind w:firstLine="640"/>
        <w:rPr>
          <w:color w:val="auto"/>
          <w:highlight w:val="none"/>
        </w:rPr>
      </w:pPr>
    </w:p>
    <w:p>
      <w:pPr>
        <w:ind w:firstLine="640"/>
        <w:rPr>
          <w:color w:val="auto"/>
          <w:highlight w:val="none"/>
        </w:rPr>
      </w:pPr>
    </w:p>
    <w:p>
      <w:pPr>
        <w:ind w:firstLine="640"/>
        <w:rPr>
          <w:color w:val="auto"/>
          <w:highlight w:val="none"/>
        </w:rPr>
      </w:pPr>
    </w:p>
    <w:p>
      <w:pPr>
        <w:ind w:firstLine="640"/>
        <w:rPr>
          <w:color w:val="auto"/>
          <w:highlight w:val="none"/>
        </w:rPr>
      </w:pPr>
    </w:p>
    <w:p>
      <w:pPr>
        <w:ind w:firstLine="640"/>
        <w:rPr>
          <w:color w:val="auto"/>
          <w:highlight w:val="none"/>
        </w:rPr>
      </w:pPr>
    </w:p>
    <w:p>
      <w:pPr>
        <w:ind w:firstLine="640"/>
        <w:rPr>
          <w:color w:val="auto"/>
          <w:highlight w:val="none"/>
        </w:rPr>
      </w:pPr>
    </w:p>
    <w:p>
      <w:pPr>
        <w:ind w:firstLine="640"/>
        <w:rPr>
          <w:color w:val="auto"/>
          <w:highlight w:val="none"/>
        </w:rPr>
      </w:pPr>
    </w:p>
    <w:p>
      <w:pPr>
        <w:ind w:firstLine="0" w:firstLineChars="0"/>
        <w:rPr>
          <w:color w:val="auto"/>
          <w:highlight w:val="none"/>
        </w:rPr>
      </w:pPr>
    </w:p>
    <w:p>
      <w:pPr>
        <w:ind w:firstLine="640"/>
        <w:rPr>
          <w:color w:val="auto"/>
          <w:highlight w:val="none"/>
        </w:rPr>
      </w:pPr>
    </w:p>
    <w:p>
      <w:pPr>
        <w:pStyle w:val="8"/>
        <w:ind w:left="640" w:leftChars="200" w:firstLine="0" w:firstLineChars="0"/>
        <w:jc w:val="left"/>
        <w:rPr>
          <w:rFonts w:asciiTheme="minorEastAsia" w:hAnsiTheme="minorEastAsia" w:eastAsiaTheme="minorEastAsia" w:cstheme="minorEastAsia"/>
          <w:color w:val="auto"/>
          <w:sz w:val="32"/>
          <w:szCs w:val="32"/>
          <w:highlight w:val="none"/>
          <w:lang w:bidi="ar"/>
        </w:rPr>
      </w:pPr>
      <w:r>
        <w:rPr>
          <w:rFonts w:hint="eastAsia" w:asciiTheme="minorEastAsia" w:hAnsiTheme="minorEastAsia" w:eastAsiaTheme="minorEastAsia" w:cstheme="minorEastAsia"/>
          <w:color w:val="auto"/>
          <w:spacing w:val="40"/>
          <w:kern w:val="0"/>
          <w:sz w:val="32"/>
          <w:szCs w:val="32"/>
          <w:highlight w:val="none"/>
          <w:lang w:bidi="ar"/>
        </w:rPr>
        <w:t>评价机构</w:t>
      </w:r>
      <w:r>
        <w:rPr>
          <w:rFonts w:hint="eastAsia" w:asciiTheme="minorEastAsia" w:hAnsiTheme="minorEastAsia" w:eastAsiaTheme="minorEastAsia" w:cstheme="minorEastAsia"/>
          <w:color w:val="auto"/>
          <w:kern w:val="0"/>
          <w:sz w:val="32"/>
          <w:szCs w:val="32"/>
          <w:highlight w:val="none"/>
          <w:lang w:bidi="ar"/>
        </w:rPr>
        <w:t>：</w:t>
      </w:r>
      <w:r>
        <w:rPr>
          <w:rFonts w:hint="eastAsia" w:asciiTheme="minorEastAsia" w:hAnsiTheme="minorEastAsia" w:eastAsiaTheme="minorEastAsia" w:cstheme="minorEastAsia"/>
          <w:color w:val="auto"/>
          <w:sz w:val="32"/>
          <w:szCs w:val="32"/>
          <w:highlight w:val="none"/>
          <w:lang w:bidi="ar"/>
        </w:rPr>
        <w:t>致同会计师事务所（特殊普通合伙）广州分所</w:t>
      </w:r>
    </w:p>
    <w:p>
      <w:pPr>
        <w:pStyle w:val="8"/>
        <w:ind w:left="640" w:leftChars="200" w:firstLine="0" w:firstLineChars="0"/>
        <w:rPr>
          <w:rFonts w:asciiTheme="minorEastAsia" w:hAnsiTheme="minorEastAsia" w:eastAsiaTheme="minorEastAsia" w:cstheme="minorEastAsia"/>
          <w:color w:val="auto"/>
          <w:sz w:val="32"/>
          <w:szCs w:val="32"/>
          <w:highlight w:val="none"/>
          <w:lang w:bidi="ar"/>
        </w:rPr>
      </w:pPr>
      <w:r>
        <w:rPr>
          <w:rFonts w:hint="eastAsia" w:asciiTheme="minorEastAsia" w:hAnsiTheme="minorEastAsia" w:eastAsiaTheme="minorEastAsia" w:cstheme="minorEastAsia"/>
          <w:color w:val="auto"/>
          <w:sz w:val="32"/>
          <w:szCs w:val="32"/>
          <w:highlight w:val="none"/>
          <w:lang w:bidi="ar"/>
        </w:rPr>
        <w:t>机构负责人：胡海</w:t>
      </w:r>
    </w:p>
    <w:p>
      <w:pPr>
        <w:pStyle w:val="8"/>
        <w:ind w:left="640" w:leftChars="200" w:firstLine="0" w:firstLineChars="0"/>
        <w:rPr>
          <w:rFonts w:asciiTheme="minorEastAsia" w:hAnsiTheme="minorEastAsia" w:eastAsiaTheme="minorEastAsia" w:cstheme="minorEastAsia"/>
          <w:color w:val="auto"/>
          <w:sz w:val="32"/>
          <w:szCs w:val="32"/>
          <w:highlight w:val="none"/>
          <w:lang w:bidi="ar"/>
        </w:rPr>
        <w:sectPr>
          <w:headerReference r:id="rId7" w:type="first"/>
          <w:footerReference r:id="rId10" w:type="first"/>
          <w:headerReference r:id="rId5" w:type="default"/>
          <w:footerReference r:id="rId8" w:type="default"/>
          <w:headerReference r:id="rId6" w:type="even"/>
          <w:footerReference r:id="rId9" w:type="even"/>
          <w:pgSz w:w="11906" w:h="16838"/>
          <w:pgMar w:top="1440" w:right="1417" w:bottom="1440" w:left="1531" w:header="851" w:footer="992" w:gutter="0"/>
          <w:pgNumType w:fmt="decimalFullWidth"/>
          <w:cols w:space="425" w:num="1"/>
          <w:docGrid w:type="lines" w:linePitch="312" w:charSpace="0"/>
        </w:sectPr>
      </w:pPr>
      <w:r>
        <w:rPr>
          <w:rFonts w:hint="eastAsia" w:asciiTheme="minorEastAsia" w:hAnsiTheme="minorEastAsia" w:eastAsiaTheme="minorEastAsia" w:cstheme="minorEastAsia"/>
          <w:color w:val="auto"/>
          <w:sz w:val="32"/>
          <w:szCs w:val="32"/>
          <w:highlight w:val="none"/>
          <w:lang w:bidi="ar"/>
        </w:rPr>
        <w:t>项目负责人：韦洁静</w:t>
      </w:r>
    </w:p>
    <w:p>
      <w:pPr>
        <w:ind w:firstLine="0" w:firstLineChars="0"/>
        <w:jc w:val="center"/>
        <w:rPr>
          <w:rFonts w:eastAsia="黑体"/>
          <w:color w:val="auto"/>
          <w:szCs w:val="32"/>
          <w:highlight w:val="none"/>
        </w:rPr>
      </w:pPr>
      <w:bookmarkStart w:id="1" w:name="_Toc25864"/>
      <w:r>
        <w:rPr>
          <w:rFonts w:eastAsia="黑体"/>
          <w:color w:val="auto"/>
          <w:szCs w:val="32"/>
          <w:highlight w:val="none"/>
        </w:rPr>
        <w:t>摘  要</w:t>
      </w:r>
      <w:bookmarkEnd w:id="1"/>
    </w:p>
    <w:p>
      <w:pPr>
        <w:ind w:firstLine="640"/>
        <w:rPr>
          <w:color w:val="auto"/>
          <w:szCs w:val="32"/>
          <w:highlight w:val="none"/>
        </w:rPr>
      </w:pPr>
      <w:r>
        <w:rPr>
          <w:color w:val="auto"/>
          <w:szCs w:val="32"/>
          <w:highlight w:val="none"/>
        </w:rPr>
        <w:t>为强化预算绩效管理理念，提高部门整体支出效率和使用效果，受韶关市财政局委托，致同会计师事务所（特殊普通合伙）广州分所</w:t>
      </w:r>
      <w:r>
        <w:rPr>
          <w:rFonts w:hint="eastAsia"/>
          <w:color w:val="auto"/>
          <w:szCs w:val="32"/>
          <w:highlight w:val="none"/>
        </w:rPr>
        <w:t>（简称致同广州分所，下同）</w:t>
      </w:r>
      <w:r>
        <w:rPr>
          <w:color w:val="auto"/>
          <w:szCs w:val="32"/>
          <w:highlight w:val="none"/>
        </w:rPr>
        <w:t>对韶关市医疗保障局</w:t>
      </w:r>
      <w:r>
        <w:rPr>
          <w:rFonts w:hint="eastAsia"/>
          <w:color w:val="auto"/>
          <w:szCs w:val="32"/>
          <w:highlight w:val="none"/>
        </w:rPr>
        <w:t>（简称</w:t>
      </w:r>
      <w:r>
        <w:rPr>
          <w:color w:val="auto"/>
          <w:szCs w:val="32"/>
          <w:highlight w:val="none"/>
        </w:rPr>
        <w:t>市医疗保障局</w:t>
      </w:r>
      <w:r>
        <w:rPr>
          <w:rFonts w:hint="eastAsia"/>
          <w:color w:val="auto"/>
          <w:szCs w:val="32"/>
          <w:highlight w:val="none"/>
        </w:rPr>
        <w:t>，下同）</w:t>
      </w:r>
      <w:r>
        <w:rPr>
          <w:color w:val="auto"/>
          <w:szCs w:val="32"/>
          <w:highlight w:val="none"/>
        </w:rPr>
        <w:t>2022年部门整体支出实施第三方绩效评价，评价基准日为2022年12月31日。</w:t>
      </w:r>
    </w:p>
    <w:p>
      <w:pPr>
        <w:ind w:firstLine="640"/>
        <w:rPr>
          <w:color w:val="auto"/>
          <w:highlight w:val="none"/>
        </w:rPr>
      </w:pPr>
      <w:r>
        <w:rPr>
          <w:color w:val="auto"/>
          <w:szCs w:val="32"/>
          <w:highlight w:val="none"/>
        </w:rPr>
        <w:t>市医疗保障局</w:t>
      </w:r>
      <w:r>
        <w:rPr>
          <w:color w:val="auto"/>
          <w:highlight w:val="none"/>
        </w:rPr>
        <w:t>2022年年初预算安排122,175.11万元，年中调减103,272.95万元，预算调整率为84.53%，全年预算安排18,902.16万元。截至2022年12月，全年支出18,902.16万元，资金支出率为100%。市医疗保障局2022年设定的“开展基金监管专项工作”“城乡困难群众医疗救助”等5项年度工作任务均已完成；2022年部门整体支出绩效目标</w:t>
      </w:r>
      <w:r>
        <w:rPr>
          <w:rFonts w:hint="eastAsia"/>
          <w:color w:val="auto"/>
          <w:highlight w:val="none"/>
        </w:rPr>
        <w:t>基本</w:t>
      </w:r>
      <w:r>
        <w:rPr>
          <w:color w:val="auto"/>
          <w:highlight w:val="none"/>
        </w:rPr>
        <w:t>达到预期，设置的9项绩效指标中，7项指标达到预期，2项指标因指标设置欠科学合理，无法判定。</w:t>
      </w:r>
    </w:p>
    <w:p>
      <w:pPr>
        <w:pStyle w:val="2"/>
        <w:ind w:firstLine="600"/>
        <w:jc w:val="left"/>
        <w:rPr>
          <w:color w:val="auto"/>
          <w:szCs w:val="32"/>
          <w:highlight w:val="none"/>
          <w:shd w:val="clear" w:color="auto" w:fill="FFFFFF"/>
        </w:rPr>
      </w:pPr>
      <w:r>
        <w:rPr>
          <w:color w:val="auto"/>
          <w:szCs w:val="32"/>
          <w:highlight w:val="none"/>
          <w:shd w:val="clear" w:color="auto" w:fill="FFFFFF"/>
        </w:rPr>
        <w:t>经自评材料审核和现场评价，结合履职效能、管理效率两方面综合对部门整体支出资金绩效进行比较分析，评定</w:t>
      </w:r>
      <w:r>
        <w:rPr>
          <w:color w:val="auto"/>
          <w:szCs w:val="32"/>
          <w:highlight w:val="none"/>
        </w:rPr>
        <w:t>2022年韶关市医疗保障局部门整体支出综合评定绩效得分：</w:t>
      </w:r>
      <w:r>
        <w:rPr>
          <w:b/>
          <w:bCs/>
          <w:color w:val="auto"/>
          <w:szCs w:val="32"/>
          <w:highlight w:val="none"/>
        </w:rPr>
        <w:t>8</w:t>
      </w:r>
      <w:r>
        <w:rPr>
          <w:rFonts w:hint="eastAsia"/>
          <w:b/>
          <w:bCs/>
          <w:color w:val="auto"/>
          <w:szCs w:val="32"/>
          <w:highlight w:val="none"/>
          <w:lang w:val="en-US" w:eastAsia="zh-CN"/>
        </w:rPr>
        <w:t>8</w:t>
      </w:r>
      <w:r>
        <w:rPr>
          <w:b/>
          <w:bCs/>
          <w:color w:val="auto"/>
          <w:szCs w:val="32"/>
          <w:highlight w:val="none"/>
        </w:rPr>
        <w:t>.</w:t>
      </w:r>
      <w:r>
        <w:rPr>
          <w:rFonts w:hint="eastAsia"/>
          <w:b/>
          <w:bCs/>
          <w:color w:val="auto"/>
          <w:szCs w:val="32"/>
          <w:highlight w:val="none"/>
        </w:rPr>
        <w:t>19</w:t>
      </w:r>
      <w:r>
        <w:rPr>
          <w:b/>
          <w:bCs/>
          <w:color w:val="auto"/>
          <w:szCs w:val="32"/>
          <w:highlight w:val="none"/>
        </w:rPr>
        <w:t>分</w:t>
      </w:r>
      <w:r>
        <w:rPr>
          <w:color w:val="auto"/>
          <w:szCs w:val="32"/>
          <w:highlight w:val="none"/>
        </w:rPr>
        <w:t>，等级为“</w:t>
      </w:r>
      <w:r>
        <w:rPr>
          <w:b/>
          <w:bCs/>
          <w:color w:val="auto"/>
          <w:szCs w:val="32"/>
          <w:highlight w:val="none"/>
        </w:rPr>
        <w:t>良</w:t>
      </w:r>
      <w:r>
        <w:rPr>
          <w:color w:val="auto"/>
          <w:szCs w:val="32"/>
          <w:highlight w:val="none"/>
        </w:rPr>
        <w:t>”。</w:t>
      </w:r>
    </w:p>
    <w:p>
      <w:pPr>
        <w:ind w:firstLine="640"/>
        <w:rPr>
          <w:color w:val="auto"/>
          <w:highlight w:val="none"/>
        </w:rPr>
      </w:pPr>
      <w:r>
        <w:rPr>
          <w:color w:val="auto"/>
          <w:highlight w:val="none"/>
        </w:rPr>
        <w:t>本次评价发现的主要问题有：</w:t>
      </w:r>
      <w:r>
        <w:rPr>
          <w:rFonts w:hint="eastAsia"/>
          <w:b/>
          <w:bCs/>
          <w:color w:val="auto"/>
          <w:highlight w:val="none"/>
        </w:rPr>
        <w:t>一是绩效目标管理质量有待提升。</w:t>
      </w:r>
      <w:r>
        <w:rPr>
          <w:rFonts w:hint="eastAsia"/>
          <w:color w:val="auto"/>
          <w:highlight w:val="none"/>
        </w:rPr>
        <w:t>指标设置</w:t>
      </w:r>
      <w:r>
        <w:rPr>
          <w:color w:val="auto"/>
          <w:highlight w:val="none"/>
        </w:rPr>
        <w:t>未能与国家事业发展规划目标相衔接</w:t>
      </w:r>
      <w:r>
        <w:rPr>
          <w:rFonts w:hint="eastAsia"/>
          <w:color w:val="auto"/>
          <w:highlight w:val="none"/>
        </w:rPr>
        <w:t>，也</w:t>
      </w:r>
      <w:r>
        <w:rPr>
          <w:color w:val="auto"/>
          <w:highlight w:val="none"/>
        </w:rPr>
        <w:t>未</w:t>
      </w:r>
      <w:r>
        <w:rPr>
          <w:rFonts w:hint="eastAsia"/>
          <w:color w:val="auto"/>
          <w:highlight w:val="none"/>
        </w:rPr>
        <w:t>细化分解</w:t>
      </w:r>
      <w:r>
        <w:rPr>
          <w:color w:val="auto"/>
          <w:highlight w:val="none"/>
        </w:rPr>
        <w:t>上级</w:t>
      </w:r>
      <w:r>
        <w:rPr>
          <w:rFonts w:hint="eastAsia"/>
          <w:color w:val="auto"/>
          <w:highlight w:val="none"/>
        </w:rPr>
        <w:t>主管部门</w:t>
      </w:r>
      <w:r>
        <w:rPr>
          <w:color w:val="auto"/>
          <w:highlight w:val="none"/>
        </w:rPr>
        <w:t>下达</w:t>
      </w:r>
      <w:r>
        <w:rPr>
          <w:rFonts w:hint="eastAsia"/>
          <w:color w:val="auto"/>
          <w:highlight w:val="none"/>
        </w:rPr>
        <w:t>的考核</w:t>
      </w:r>
      <w:r>
        <w:rPr>
          <w:color w:val="auto"/>
          <w:highlight w:val="none"/>
        </w:rPr>
        <w:t>指标。</w:t>
      </w:r>
      <w:r>
        <w:rPr>
          <w:rFonts w:hint="eastAsia"/>
          <w:b/>
          <w:bCs/>
          <w:color w:val="auto"/>
          <w:highlight w:val="none"/>
        </w:rPr>
        <w:t>二是资金管理规范性不足。</w:t>
      </w:r>
      <w:r>
        <w:rPr>
          <w:rFonts w:hint="eastAsia"/>
          <w:color w:val="auto"/>
          <w:kern w:val="0"/>
          <w:highlight w:val="none"/>
        </w:rPr>
        <w:t>将</w:t>
      </w:r>
      <w:r>
        <w:rPr>
          <w:color w:val="auto"/>
          <w:kern w:val="0"/>
          <w:highlight w:val="none"/>
        </w:rPr>
        <w:t>本该归属基本支出范畴</w:t>
      </w:r>
      <w:r>
        <w:rPr>
          <w:rFonts w:hint="eastAsia"/>
          <w:color w:val="auto"/>
          <w:kern w:val="0"/>
          <w:highlight w:val="none"/>
        </w:rPr>
        <w:t>的费用列支</w:t>
      </w:r>
      <w:r>
        <w:rPr>
          <w:color w:val="auto"/>
          <w:kern w:val="0"/>
          <w:highlight w:val="none"/>
        </w:rPr>
        <w:t>项目</w:t>
      </w:r>
      <w:r>
        <w:rPr>
          <w:rFonts w:hint="eastAsia"/>
          <w:color w:val="auto"/>
          <w:kern w:val="0"/>
          <w:highlight w:val="none"/>
        </w:rPr>
        <w:t>支出，资金管理欠合理。</w:t>
      </w:r>
      <w:r>
        <w:rPr>
          <w:rFonts w:hint="eastAsia"/>
          <w:b/>
          <w:bCs/>
          <w:color w:val="auto"/>
          <w:highlight w:val="none"/>
        </w:rPr>
        <w:t>三是部门内控管理不够到位。</w:t>
      </w:r>
      <w:r>
        <w:rPr>
          <w:color w:val="auto"/>
          <w:highlight w:val="none"/>
        </w:rPr>
        <w:t>未组织开展固定资产清理、清查</w:t>
      </w:r>
      <w:r>
        <w:rPr>
          <w:rFonts w:hint="eastAsia"/>
          <w:color w:val="auto"/>
          <w:highlight w:val="none"/>
        </w:rPr>
        <w:t>、</w:t>
      </w:r>
      <w:r>
        <w:rPr>
          <w:color w:val="auto"/>
          <w:highlight w:val="none"/>
        </w:rPr>
        <w:t>存在</w:t>
      </w:r>
      <w:r>
        <w:rPr>
          <w:rFonts w:hint="eastAsia"/>
          <w:color w:val="auto"/>
          <w:highlight w:val="none"/>
        </w:rPr>
        <w:t>资产数据质量不高</w:t>
      </w:r>
      <w:r>
        <w:rPr>
          <w:color w:val="auto"/>
          <w:highlight w:val="none"/>
        </w:rPr>
        <w:t>现象</w:t>
      </w:r>
      <w:r>
        <w:rPr>
          <w:rFonts w:hint="eastAsia"/>
          <w:color w:val="auto"/>
          <w:szCs w:val="32"/>
          <w:highlight w:val="none"/>
        </w:rPr>
        <w:t>。</w:t>
      </w:r>
      <w:r>
        <w:rPr>
          <w:rFonts w:hint="eastAsia"/>
          <w:b/>
          <w:bCs/>
          <w:color w:val="auto"/>
          <w:highlight w:val="none"/>
        </w:rPr>
        <w:t>四是</w:t>
      </w:r>
      <w:r>
        <w:rPr>
          <w:b/>
          <w:bCs/>
          <w:color w:val="auto"/>
          <w:highlight w:val="none"/>
        </w:rPr>
        <w:t>检查结果整改反馈亟待引起关注</w:t>
      </w:r>
      <w:r>
        <w:rPr>
          <w:rFonts w:hint="eastAsia"/>
          <w:b/>
          <w:bCs/>
          <w:color w:val="auto"/>
          <w:highlight w:val="none"/>
        </w:rPr>
        <w:t>。</w:t>
      </w:r>
      <w:r>
        <w:rPr>
          <w:rFonts w:hint="eastAsia"/>
          <w:color w:val="auto"/>
          <w:highlight w:val="none"/>
          <w:lang w:bidi="ar"/>
        </w:rPr>
        <w:t>部门</w:t>
      </w:r>
      <w:r>
        <w:rPr>
          <w:color w:val="auto"/>
          <w:highlight w:val="none"/>
          <w:lang w:bidi="ar"/>
        </w:rPr>
        <w:t>对医药定点机构</w:t>
      </w:r>
      <w:r>
        <w:rPr>
          <w:rFonts w:hint="eastAsia"/>
          <w:color w:val="auto"/>
          <w:highlight w:val="none"/>
          <w:lang w:bidi="ar"/>
        </w:rPr>
        <w:t>考核</w:t>
      </w:r>
      <w:r>
        <w:rPr>
          <w:color w:val="auto"/>
          <w:highlight w:val="none"/>
          <w:lang w:bidi="ar"/>
        </w:rPr>
        <w:t>结果的整改情况</w:t>
      </w:r>
      <w:r>
        <w:rPr>
          <w:rFonts w:hint="eastAsia"/>
          <w:color w:val="auto"/>
          <w:highlight w:val="none"/>
          <w:lang w:bidi="ar"/>
        </w:rPr>
        <w:t>关注不够到位。</w:t>
      </w:r>
      <w:r>
        <w:rPr>
          <w:rFonts w:hint="eastAsia"/>
          <w:b/>
          <w:bCs/>
          <w:color w:val="auto"/>
          <w:highlight w:val="none"/>
        </w:rPr>
        <w:t>五是部分县（市、区）财政资金投入与对应的绩效不相匹配。</w:t>
      </w:r>
      <w:r>
        <w:rPr>
          <w:rFonts w:hint="eastAsia"/>
          <w:color w:val="auto"/>
          <w:highlight w:val="none"/>
        </w:rPr>
        <w:t>如：</w:t>
      </w:r>
      <w:r>
        <w:rPr>
          <w:color w:val="auto"/>
          <w:highlight w:val="none"/>
          <w:lang w:bidi="ar"/>
        </w:rPr>
        <w:t>医疗服务与保障能力提升补助资金</w:t>
      </w:r>
      <w:r>
        <w:rPr>
          <w:rFonts w:hint="eastAsia"/>
          <w:color w:val="auto"/>
          <w:highlight w:val="none"/>
          <w:lang w:bidi="ar"/>
        </w:rPr>
        <w:t>部分实际用途与</w:t>
      </w:r>
      <w:r>
        <w:rPr>
          <w:color w:val="auto"/>
          <w:highlight w:val="none"/>
        </w:rPr>
        <w:t>推动实现</w:t>
      </w:r>
      <w:r>
        <w:rPr>
          <w:rFonts w:hint="eastAsia"/>
          <w:color w:val="auto"/>
          <w:highlight w:val="none"/>
        </w:rPr>
        <w:t>项目绩效</w:t>
      </w:r>
      <w:r>
        <w:rPr>
          <w:color w:val="auto"/>
          <w:highlight w:val="none"/>
        </w:rPr>
        <w:t>目标缺乏紧密关联</w:t>
      </w:r>
      <w:r>
        <w:rPr>
          <w:rFonts w:hint="eastAsia"/>
          <w:color w:val="auto"/>
          <w:highlight w:val="none"/>
        </w:rPr>
        <w:t>。</w:t>
      </w:r>
      <w:r>
        <w:rPr>
          <w:rFonts w:hint="eastAsia"/>
          <w:b/>
          <w:bCs/>
          <w:color w:val="auto"/>
          <w:highlight w:val="none"/>
        </w:rPr>
        <w:t>六是部分项目预算测算较为粗糙。</w:t>
      </w:r>
      <w:r>
        <w:rPr>
          <w:color w:val="auto"/>
          <w:highlight w:val="none"/>
        </w:rPr>
        <w:t>基金监管专项资金预算申请25万元欠缺充分且合理的依据</w:t>
      </w:r>
      <w:r>
        <w:rPr>
          <w:rFonts w:hint="eastAsia"/>
          <w:color w:val="auto"/>
          <w:highlight w:val="none"/>
        </w:rPr>
        <w:t>，未明确</w:t>
      </w:r>
      <w:r>
        <w:rPr>
          <w:color w:val="auto"/>
          <w:highlight w:val="none"/>
        </w:rPr>
        <w:t>各项开支内容、单价/支出标准、工作量、测算依据</w:t>
      </w:r>
      <w:r>
        <w:rPr>
          <w:rFonts w:hint="eastAsia"/>
          <w:color w:val="auto"/>
          <w:highlight w:val="none"/>
        </w:rPr>
        <w:t>等关键信息</w:t>
      </w:r>
      <w:r>
        <w:rPr>
          <w:color w:val="auto"/>
          <w:highlight w:val="none"/>
        </w:rPr>
        <w:t>。</w:t>
      </w:r>
    </w:p>
    <w:p>
      <w:pPr>
        <w:ind w:firstLine="640"/>
        <w:rPr>
          <w:color w:val="auto"/>
          <w:highlight w:val="none"/>
        </w:rPr>
      </w:pPr>
      <w:r>
        <w:rPr>
          <w:color w:val="auto"/>
          <w:highlight w:val="none"/>
        </w:rPr>
        <w:t>针对以上问题提出建议：</w:t>
      </w:r>
      <w:r>
        <w:rPr>
          <w:b/>
          <w:color w:val="auto"/>
          <w:highlight w:val="none"/>
        </w:rPr>
        <w:t>一是提升绩效目标管理效能</w:t>
      </w:r>
      <w:r>
        <w:rPr>
          <w:color w:val="auto"/>
          <w:highlight w:val="none"/>
        </w:rPr>
        <w:t>。紧扣项目实施内容，以及资金用途等，</w:t>
      </w:r>
      <w:r>
        <w:rPr>
          <w:rFonts w:hint="eastAsia"/>
          <w:color w:val="auto"/>
          <w:highlight w:val="none"/>
        </w:rPr>
        <w:t>设置</w:t>
      </w:r>
      <w:r>
        <w:rPr>
          <w:color w:val="auto"/>
          <w:highlight w:val="none"/>
        </w:rPr>
        <w:t>贴合实际</w:t>
      </w:r>
      <w:r>
        <w:rPr>
          <w:rFonts w:hint="eastAsia"/>
          <w:color w:val="auto"/>
          <w:highlight w:val="none"/>
        </w:rPr>
        <w:t>的绩效指标，且</w:t>
      </w:r>
      <w:r>
        <w:rPr>
          <w:color w:val="auto"/>
          <w:highlight w:val="none"/>
        </w:rPr>
        <w:t>应着重考虑预期目标可实现性，体现项目实施成效</w:t>
      </w:r>
      <w:r>
        <w:rPr>
          <w:rFonts w:hint="eastAsia"/>
          <w:color w:val="auto"/>
          <w:highlight w:val="none"/>
        </w:rPr>
        <w:t>。</w:t>
      </w:r>
      <w:r>
        <w:rPr>
          <w:rFonts w:hint="eastAsia"/>
          <w:b/>
          <w:bCs/>
          <w:color w:val="auto"/>
          <w:highlight w:val="none"/>
        </w:rPr>
        <w:t>二是</w:t>
      </w:r>
      <w:r>
        <w:rPr>
          <w:rFonts w:hint="eastAsia"/>
          <w:b/>
          <w:color w:val="auto"/>
          <w:highlight w:val="none"/>
        </w:rPr>
        <w:t>强化</w:t>
      </w:r>
      <w:r>
        <w:rPr>
          <w:b/>
          <w:color w:val="auto"/>
          <w:highlight w:val="none"/>
        </w:rPr>
        <w:t>资金管理规范性。</w:t>
      </w:r>
      <w:r>
        <w:rPr>
          <w:color w:val="auto"/>
          <w:highlight w:val="none"/>
        </w:rPr>
        <w:t>保障各项支出严格按照预算申报用途。</w:t>
      </w:r>
      <w:r>
        <w:rPr>
          <w:rFonts w:hint="eastAsia"/>
          <w:b/>
          <w:color w:val="auto"/>
          <w:highlight w:val="none"/>
        </w:rPr>
        <w:t>三</w:t>
      </w:r>
      <w:r>
        <w:rPr>
          <w:b/>
          <w:color w:val="auto"/>
          <w:highlight w:val="none"/>
        </w:rPr>
        <w:t>是建立健全内控管理</w:t>
      </w:r>
      <w:r>
        <w:rPr>
          <w:rFonts w:hint="eastAsia"/>
          <w:b/>
          <w:color w:val="auto"/>
          <w:highlight w:val="none"/>
        </w:rPr>
        <w:t>机制</w:t>
      </w:r>
      <w:r>
        <w:rPr>
          <w:b/>
          <w:color w:val="auto"/>
          <w:highlight w:val="none"/>
        </w:rPr>
        <w:t>。</w:t>
      </w:r>
      <w:r>
        <w:rPr>
          <w:color w:val="auto"/>
          <w:highlight w:val="none"/>
        </w:rPr>
        <w:t>组织开展全面的固定资产清理和清查，及时处理闲置资产</w:t>
      </w:r>
      <w:r>
        <w:rPr>
          <w:rFonts w:hint="eastAsia"/>
          <w:color w:val="auto"/>
          <w:highlight w:val="none"/>
        </w:rPr>
        <w:t>、</w:t>
      </w:r>
      <w:r>
        <w:rPr>
          <w:color w:val="auto"/>
          <w:highlight w:val="none"/>
        </w:rPr>
        <w:t>确保账实相符、账账相符。</w:t>
      </w:r>
      <w:r>
        <w:rPr>
          <w:b/>
          <w:bCs/>
          <w:color w:val="auto"/>
          <w:highlight w:val="none"/>
        </w:rPr>
        <w:t>四是关注结果整改情况，形成闭环管理思维</w:t>
      </w:r>
      <w:r>
        <w:rPr>
          <w:rFonts w:hint="eastAsia"/>
          <w:b/>
          <w:bCs/>
          <w:color w:val="auto"/>
          <w:highlight w:val="none"/>
        </w:rPr>
        <w:t>。</w:t>
      </w:r>
      <w:r>
        <w:rPr>
          <w:rFonts w:hint="eastAsia"/>
          <w:color w:val="auto"/>
          <w:highlight w:val="none"/>
        </w:rPr>
        <w:t>部门</w:t>
      </w:r>
      <w:r>
        <w:rPr>
          <w:color w:val="auto"/>
          <w:highlight w:val="none"/>
        </w:rPr>
        <w:t>应及时将检查结果反馈至被检查方，要求在规定期限内作出整改，并将整改结果纳入下一年度服务质量考核体系中，督促被检查方逐步完善经营管理模式。</w:t>
      </w:r>
      <w:r>
        <w:rPr>
          <w:rFonts w:hint="eastAsia"/>
          <w:b/>
          <w:bCs/>
          <w:color w:val="auto"/>
          <w:highlight w:val="none"/>
        </w:rPr>
        <w:t>五是</w:t>
      </w:r>
      <w:r>
        <w:rPr>
          <w:b/>
          <w:bCs/>
          <w:color w:val="auto"/>
          <w:highlight w:val="none"/>
        </w:rPr>
        <w:t>做好顶层设计，充分发挥财政资金使用效益</w:t>
      </w:r>
      <w:r>
        <w:rPr>
          <w:rFonts w:hint="eastAsia"/>
          <w:b/>
          <w:bCs/>
          <w:color w:val="auto"/>
          <w:highlight w:val="none"/>
        </w:rPr>
        <w:t>。</w:t>
      </w:r>
      <w:r>
        <w:rPr>
          <w:color w:val="auto"/>
          <w:highlight w:val="none"/>
        </w:rPr>
        <w:t>各专项转移支付的县（市、区）</w:t>
      </w:r>
      <w:r>
        <w:rPr>
          <w:rFonts w:hint="eastAsia"/>
          <w:color w:val="auto"/>
          <w:highlight w:val="none"/>
        </w:rPr>
        <w:t>应</w:t>
      </w:r>
      <w:r>
        <w:rPr>
          <w:color w:val="auto"/>
          <w:highlight w:val="none"/>
        </w:rPr>
        <w:t>围绕预算规模、资金用途，充分考虑项目实施内容，明确工作目标</w:t>
      </w:r>
      <w:r>
        <w:rPr>
          <w:rFonts w:hint="eastAsia"/>
          <w:color w:val="auto"/>
          <w:highlight w:val="none"/>
        </w:rPr>
        <w:t>和</w:t>
      </w:r>
      <w:r>
        <w:rPr>
          <w:color w:val="auto"/>
          <w:highlight w:val="none"/>
        </w:rPr>
        <w:t>工作任务</w:t>
      </w:r>
      <w:r>
        <w:rPr>
          <w:rFonts w:hint="eastAsia"/>
          <w:color w:val="auto"/>
          <w:highlight w:val="none"/>
        </w:rPr>
        <w:t>，</w:t>
      </w:r>
      <w:r>
        <w:rPr>
          <w:color w:val="auto"/>
          <w:highlight w:val="none"/>
        </w:rPr>
        <w:t>确保专项转移支付资金有序安排，有效使用。</w:t>
      </w:r>
      <w:r>
        <w:rPr>
          <w:rFonts w:hint="eastAsia"/>
          <w:b/>
          <w:bCs/>
          <w:color w:val="auto"/>
          <w:highlight w:val="none"/>
        </w:rPr>
        <w:t>六是</w:t>
      </w:r>
      <w:r>
        <w:rPr>
          <w:b/>
          <w:bCs/>
          <w:color w:val="auto"/>
          <w:highlight w:val="none"/>
        </w:rPr>
        <w:t>优化预算测算明细，科学合理编报预算。</w:t>
      </w:r>
      <w:r>
        <w:rPr>
          <w:rFonts w:hint="eastAsia"/>
          <w:color w:val="auto"/>
          <w:highlight w:val="none"/>
        </w:rPr>
        <w:t>部门</w:t>
      </w:r>
      <w:r>
        <w:rPr>
          <w:color w:val="auto"/>
          <w:highlight w:val="none"/>
        </w:rPr>
        <w:t>应充分结合年度工作计划，将各项工作细化分解为各项开支内容，</w:t>
      </w:r>
      <w:r>
        <w:rPr>
          <w:rFonts w:hint="eastAsia"/>
          <w:color w:val="auto"/>
          <w:highlight w:val="none"/>
        </w:rPr>
        <w:t>还可考虑</w:t>
      </w:r>
      <w:r>
        <w:rPr>
          <w:color w:val="auto"/>
          <w:highlight w:val="none"/>
        </w:rPr>
        <w:t>通过市场三家询价、同类项目比价、前期市场摸查、专业造价咨询等，科学测算项目总资金需求</w:t>
      </w:r>
      <w:r>
        <w:rPr>
          <w:rFonts w:hint="eastAsia"/>
          <w:color w:val="auto"/>
          <w:highlight w:val="none"/>
        </w:rPr>
        <w:t>，</w:t>
      </w:r>
      <w:r>
        <w:rPr>
          <w:color w:val="auto"/>
          <w:highlight w:val="none"/>
        </w:rPr>
        <w:t>提高预算编制的精准性</w:t>
      </w:r>
      <w:r>
        <w:rPr>
          <w:rFonts w:hint="eastAsia"/>
          <w:color w:val="auto"/>
          <w:highlight w:val="none"/>
        </w:rPr>
        <w:t>。</w:t>
      </w:r>
    </w:p>
    <w:p>
      <w:pPr>
        <w:ind w:firstLine="0" w:firstLineChars="0"/>
        <w:rPr>
          <w:color w:val="auto"/>
          <w:highlight w:val="none"/>
        </w:rPr>
      </w:pPr>
      <w:r>
        <w:rPr>
          <w:color w:val="auto"/>
          <w:highlight w:val="none"/>
        </w:rPr>
        <w:br w:type="page"/>
      </w:r>
    </w:p>
    <w:sdt>
      <w:sdtPr>
        <w:rPr>
          <w:rFonts w:eastAsia="方正小标宋简体" w:asciiTheme="minorHAnsi" w:hAnsiTheme="minorHAnsi" w:cstheme="minorBidi"/>
          <w:color w:val="auto"/>
          <w:kern w:val="0"/>
          <w:sz w:val="28"/>
          <w:szCs w:val="28"/>
          <w:highlight w:val="none"/>
        </w:rPr>
        <w:id w:val="147479658"/>
        <w15:color w:val="DBDBDB"/>
        <w:docPartObj>
          <w:docPartGallery w:val="Table of Contents"/>
          <w:docPartUnique/>
        </w:docPartObj>
      </w:sdtPr>
      <w:sdtEndPr>
        <w:rPr>
          <w:rFonts w:ascii="Times New Roman" w:hAnsi="Times New Roman" w:eastAsia="方正小标宋简体" w:cs="Times New Roman"/>
          <w:b/>
          <w:color w:val="auto"/>
          <w:kern w:val="2"/>
          <w:sz w:val="36"/>
          <w:szCs w:val="36"/>
          <w:highlight w:val="none"/>
        </w:rPr>
      </w:sdtEndPr>
      <w:sdtContent>
        <w:p>
          <w:pPr>
            <w:keepNext w:val="0"/>
            <w:keepLines w:val="0"/>
            <w:pageBreakBefore w:val="0"/>
            <w:widowControl w:val="0"/>
            <w:kinsoku/>
            <w:wordWrap/>
            <w:overflowPunct/>
            <w:topLinePunct w:val="0"/>
            <w:autoSpaceDE/>
            <w:autoSpaceDN/>
            <w:bidi w:val="0"/>
            <w:adjustRightInd/>
            <w:snapToGrid/>
            <w:spacing w:line="460" w:lineRule="exact"/>
            <w:ind w:firstLine="0" w:firstLineChars="0"/>
            <w:jc w:val="center"/>
            <w:textAlignment w:val="auto"/>
            <w:rPr>
              <w:color w:val="auto"/>
              <w:sz w:val="28"/>
              <w:szCs w:val="28"/>
              <w:highlight w:val="none"/>
            </w:rPr>
          </w:pPr>
          <w:r>
            <w:rPr>
              <w:rFonts w:hint="eastAsia" w:ascii="方正黑体_GBK" w:hAnsi="方正黑体_GBK" w:eastAsia="方正黑体_GBK" w:cs="方正黑体_GBK"/>
              <w:color w:val="auto"/>
              <w:sz w:val="28"/>
              <w:szCs w:val="28"/>
              <w:highlight w:val="none"/>
            </w:rPr>
            <w:t>目 录</w:t>
          </w:r>
          <w:r>
            <w:rPr>
              <w:rFonts w:ascii="方正黑体_GBK" w:hAnsi="方正黑体_GBK" w:eastAsia="方正黑体_GBK" w:cs="方正黑体_GBK"/>
              <w:color w:val="auto"/>
              <w:sz w:val="28"/>
              <w:szCs w:val="28"/>
              <w:highlight w:val="none"/>
            </w:rPr>
            <w:fldChar w:fldCharType="begin"/>
          </w:r>
          <w:r>
            <w:rPr>
              <w:rFonts w:ascii="方正黑体_GBK" w:hAnsi="方正黑体_GBK" w:eastAsia="方正黑体_GBK" w:cs="方正黑体_GBK"/>
              <w:color w:val="auto"/>
              <w:sz w:val="28"/>
              <w:szCs w:val="28"/>
              <w:highlight w:val="none"/>
            </w:rPr>
            <w:instrText xml:space="preserve"> </w:instrText>
          </w:r>
          <w:r>
            <w:rPr>
              <w:rFonts w:hint="eastAsia" w:ascii="方正黑体_GBK" w:hAnsi="方正黑体_GBK" w:eastAsia="方正黑体_GBK" w:cs="方正黑体_GBK"/>
              <w:color w:val="auto"/>
              <w:sz w:val="28"/>
              <w:szCs w:val="28"/>
              <w:highlight w:val="none"/>
            </w:rPr>
            <w:instrText xml:space="preserve">TOC \o "1-3" \h \z \u</w:instrText>
          </w:r>
          <w:r>
            <w:rPr>
              <w:rFonts w:ascii="方正黑体_GBK" w:hAnsi="方正黑体_GBK" w:eastAsia="方正黑体_GBK" w:cs="方正黑体_GBK"/>
              <w:color w:val="auto"/>
              <w:sz w:val="28"/>
              <w:szCs w:val="28"/>
              <w:highlight w:val="none"/>
            </w:rPr>
            <w:instrText xml:space="preserve"> </w:instrText>
          </w:r>
          <w:r>
            <w:rPr>
              <w:rFonts w:ascii="方正黑体_GBK" w:hAnsi="方正黑体_GBK" w:eastAsia="方正黑体_GBK" w:cs="方正黑体_GBK"/>
              <w:color w:val="auto"/>
              <w:sz w:val="28"/>
              <w:szCs w:val="28"/>
              <w:highlight w:val="none"/>
            </w:rPr>
            <w:fldChar w:fldCharType="separate"/>
          </w:r>
        </w:p>
        <w:p>
          <w:pPr>
            <w:pStyle w:val="13"/>
            <w:keepNext w:val="0"/>
            <w:keepLines w:val="0"/>
            <w:pageBreakBefore w:val="0"/>
            <w:widowControl w:val="0"/>
            <w:tabs>
              <w:tab w:val="right" w:leader="dot" w:pos="8948"/>
            </w:tabs>
            <w:kinsoku/>
            <w:wordWrap/>
            <w:overflowPunct/>
            <w:topLinePunct w:val="0"/>
            <w:autoSpaceDE/>
            <w:autoSpaceDN/>
            <w:bidi w:val="0"/>
            <w:adjustRightInd/>
            <w:snapToGrid/>
            <w:spacing w:line="460" w:lineRule="exact"/>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"_Toc151997594" </w:instrText>
          </w:r>
          <w:r>
            <w:rPr>
              <w:color w:val="auto"/>
              <w:sz w:val="28"/>
              <w:szCs w:val="28"/>
              <w:highlight w:val="none"/>
            </w:rPr>
            <w:fldChar w:fldCharType="separate"/>
          </w:r>
          <w:r>
            <w:rPr>
              <w:rStyle w:val="21"/>
              <w:color w:val="auto"/>
              <w:sz w:val="28"/>
              <w:szCs w:val="28"/>
              <w:highlight w:val="none"/>
            </w:rPr>
            <w:t>一</w:t>
          </w:r>
          <w:r>
            <w:rPr>
              <w:rStyle w:val="21"/>
              <w:rFonts w:eastAsia="仿宋_GB2312"/>
              <w:color w:val="auto"/>
              <w:sz w:val="28"/>
              <w:szCs w:val="28"/>
              <w:highlight w:val="none"/>
            </w:rPr>
            <w:t>、</w:t>
          </w:r>
          <w:r>
            <w:rPr>
              <w:rStyle w:val="21"/>
              <w:color w:val="auto"/>
              <w:sz w:val="28"/>
              <w:szCs w:val="28"/>
              <w:highlight w:val="none"/>
            </w:rPr>
            <w:t>部门基本情况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_Toc151997594 \h </w:instrText>
          </w:r>
          <w:r>
            <w:rPr>
              <w:color w:val="auto"/>
              <w:sz w:val="28"/>
              <w:szCs w:val="28"/>
              <w:highlight w:val="none"/>
            </w:rPr>
            <w:fldChar w:fldCharType="separate"/>
          </w:r>
          <w:r>
            <w:rPr>
              <w:color w:val="auto"/>
              <w:sz w:val="28"/>
              <w:szCs w:val="28"/>
              <w:highlight w:val="none"/>
            </w:rPr>
            <w:t>- 1 -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"_Toc151997595" </w:instrText>
          </w:r>
          <w:r>
            <w:rPr>
              <w:color w:val="auto"/>
              <w:sz w:val="28"/>
              <w:szCs w:val="28"/>
              <w:highlight w:val="none"/>
            </w:rPr>
            <w:fldChar w:fldCharType="separate"/>
          </w:r>
          <w:r>
            <w:rPr>
              <w:rStyle w:val="21"/>
              <w:color w:val="auto"/>
              <w:sz w:val="28"/>
              <w:szCs w:val="28"/>
              <w:highlight w:val="none"/>
            </w:rPr>
            <w:t>（一）部门概要。</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_Toc151997595 \h </w:instrText>
          </w:r>
          <w:r>
            <w:rPr>
              <w:color w:val="auto"/>
              <w:sz w:val="28"/>
              <w:szCs w:val="28"/>
              <w:highlight w:val="none"/>
            </w:rPr>
            <w:fldChar w:fldCharType="separate"/>
          </w:r>
          <w:r>
            <w:rPr>
              <w:color w:val="auto"/>
              <w:sz w:val="28"/>
              <w:szCs w:val="28"/>
              <w:highlight w:val="none"/>
            </w:rPr>
            <w:t>- 1 -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"_Toc151997596" </w:instrText>
          </w:r>
          <w:r>
            <w:rPr>
              <w:color w:val="auto"/>
              <w:sz w:val="28"/>
              <w:szCs w:val="28"/>
              <w:highlight w:val="none"/>
            </w:rPr>
            <w:fldChar w:fldCharType="separate"/>
          </w:r>
          <w:r>
            <w:rPr>
              <w:rStyle w:val="21"/>
              <w:color w:val="auto"/>
              <w:sz w:val="28"/>
              <w:szCs w:val="28"/>
              <w:highlight w:val="none"/>
            </w:rPr>
            <w:t>（二）年度总体工作任务及重点工作任务。</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_Toc151997596 \h </w:instrText>
          </w:r>
          <w:r>
            <w:rPr>
              <w:color w:val="auto"/>
              <w:sz w:val="28"/>
              <w:szCs w:val="28"/>
              <w:highlight w:val="none"/>
            </w:rPr>
            <w:fldChar w:fldCharType="separate"/>
          </w:r>
          <w:r>
            <w:rPr>
              <w:color w:val="auto"/>
              <w:sz w:val="28"/>
              <w:szCs w:val="28"/>
              <w:highlight w:val="none"/>
            </w:rPr>
            <w:t>- 3 -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"_Toc151997597" </w:instrText>
          </w:r>
          <w:r>
            <w:rPr>
              <w:color w:val="auto"/>
              <w:sz w:val="28"/>
              <w:szCs w:val="28"/>
              <w:highlight w:val="none"/>
            </w:rPr>
            <w:fldChar w:fldCharType="separate"/>
          </w:r>
          <w:r>
            <w:rPr>
              <w:rStyle w:val="21"/>
              <w:color w:val="auto"/>
              <w:sz w:val="28"/>
              <w:szCs w:val="28"/>
              <w:highlight w:val="none"/>
            </w:rPr>
            <w:t>（三）部门整体绩效目标及绩效指标。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_Toc151997597 \h </w:instrText>
          </w:r>
          <w:r>
            <w:rPr>
              <w:color w:val="auto"/>
              <w:sz w:val="28"/>
              <w:szCs w:val="28"/>
              <w:highlight w:val="none"/>
            </w:rPr>
            <w:fldChar w:fldCharType="separate"/>
          </w:r>
          <w:r>
            <w:rPr>
              <w:color w:val="auto"/>
              <w:sz w:val="28"/>
              <w:szCs w:val="28"/>
              <w:highlight w:val="none"/>
            </w:rPr>
            <w:t>- 4 -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"_Toc151997598" </w:instrText>
          </w:r>
          <w:r>
            <w:rPr>
              <w:color w:val="auto"/>
              <w:sz w:val="28"/>
              <w:szCs w:val="28"/>
              <w:highlight w:val="none"/>
            </w:rPr>
            <w:fldChar w:fldCharType="separate"/>
          </w:r>
          <w:r>
            <w:rPr>
              <w:rStyle w:val="21"/>
              <w:color w:val="auto"/>
              <w:sz w:val="28"/>
              <w:szCs w:val="28"/>
              <w:highlight w:val="none"/>
            </w:rPr>
            <w:t>（四）部门预算收支情况。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_Toc151997598 \h </w:instrText>
          </w:r>
          <w:r>
            <w:rPr>
              <w:color w:val="auto"/>
              <w:sz w:val="28"/>
              <w:szCs w:val="28"/>
              <w:highlight w:val="none"/>
            </w:rPr>
            <w:fldChar w:fldCharType="separate"/>
          </w:r>
          <w:r>
            <w:rPr>
              <w:color w:val="auto"/>
              <w:sz w:val="28"/>
              <w:szCs w:val="28"/>
              <w:highlight w:val="none"/>
            </w:rPr>
            <w:t>- 5 -</w:t>
          </w:r>
          <w:r>
            <w:rPr>
              <w:color w:val="auto"/>
              <w:sz w:val="28"/>
              <w:szCs w:val="28"/>
              <w:highlight w:val="none"/>
            </w:rPr>
            <w:fldChar w:fldCharType="end"/>
          </w:r>
          <w:r>
            <w:rPr>
              <w:color w:val="auto"/>
              <w:sz w:val="28"/>
              <w:szCs w:val="28"/>
              <w:highlight w:val="none"/>
            </w:rPr>
            <w:fldChar w:fldCharType="end"/>
          </w:r>
        </w:p>
        <w:p>
          <w:pPr>
            <w:pStyle w:val="13"/>
            <w:keepNext w:val="0"/>
            <w:keepLines w:val="0"/>
            <w:pageBreakBefore w:val="0"/>
            <w:widowControl w:val="0"/>
            <w:tabs>
              <w:tab w:val="right" w:leader="dot" w:pos="8948"/>
            </w:tabs>
            <w:kinsoku/>
            <w:wordWrap/>
            <w:overflowPunct/>
            <w:topLinePunct w:val="0"/>
            <w:autoSpaceDE/>
            <w:autoSpaceDN/>
            <w:bidi w:val="0"/>
            <w:adjustRightInd/>
            <w:snapToGrid/>
            <w:spacing w:line="460" w:lineRule="exact"/>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"_Toc151997599" </w:instrText>
          </w:r>
          <w:r>
            <w:rPr>
              <w:color w:val="auto"/>
              <w:sz w:val="28"/>
              <w:szCs w:val="28"/>
              <w:highlight w:val="none"/>
            </w:rPr>
            <w:fldChar w:fldCharType="separate"/>
          </w:r>
          <w:r>
            <w:rPr>
              <w:rStyle w:val="21"/>
              <w:color w:val="auto"/>
              <w:sz w:val="28"/>
              <w:szCs w:val="28"/>
              <w:highlight w:val="none"/>
            </w:rPr>
            <w:t>二</w:t>
          </w:r>
          <w:r>
            <w:rPr>
              <w:rStyle w:val="21"/>
              <w:rFonts w:eastAsia="仿宋_GB2312"/>
              <w:color w:val="auto"/>
              <w:sz w:val="28"/>
              <w:szCs w:val="28"/>
              <w:highlight w:val="none"/>
            </w:rPr>
            <w:t>、</w:t>
          </w:r>
          <w:r>
            <w:rPr>
              <w:rStyle w:val="21"/>
              <w:color w:val="auto"/>
              <w:sz w:val="28"/>
              <w:szCs w:val="28"/>
              <w:highlight w:val="none"/>
            </w:rPr>
            <w:t>绩效评价指标分析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_Toc151997599 \h </w:instrText>
          </w:r>
          <w:r>
            <w:rPr>
              <w:color w:val="auto"/>
              <w:sz w:val="28"/>
              <w:szCs w:val="28"/>
              <w:highlight w:val="none"/>
            </w:rPr>
            <w:fldChar w:fldCharType="separate"/>
          </w:r>
          <w:r>
            <w:rPr>
              <w:color w:val="auto"/>
              <w:sz w:val="28"/>
              <w:szCs w:val="28"/>
              <w:highlight w:val="none"/>
            </w:rPr>
            <w:t>- 9 -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"_Toc151997600" </w:instrText>
          </w:r>
          <w:r>
            <w:rPr>
              <w:color w:val="auto"/>
              <w:sz w:val="28"/>
              <w:szCs w:val="28"/>
              <w:highlight w:val="none"/>
            </w:rPr>
            <w:fldChar w:fldCharType="separate"/>
          </w:r>
          <w:r>
            <w:rPr>
              <w:rStyle w:val="21"/>
              <w:color w:val="auto"/>
              <w:sz w:val="28"/>
              <w:szCs w:val="28"/>
              <w:highlight w:val="none"/>
            </w:rPr>
            <w:t>（一）年度工作任务及绩效目标完成情况。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_Toc151997600 \h </w:instrText>
          </w:r>
          <w:r>
            <w:rPr>
              <w:color w:val="auto"/>
              <w:sz w:val="28"/>
              <w:szCs w:val="28"/>
              <w:highlight w:val="none"/>
            </w:rPr>
            <w:fldChar w:fldCharType="separate"/>
          </w:r>
          <w:r>
            <w:rPr>
              <w:color w:val="auto"/>
              <w:sz w:val="28"/>
              <w:szCs w:val="28"/>
              <w:highlight w:val="none"/>
            </w:rPr>
            <w:t>- 9 -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"_Toc151997601" </w:instrText>
          </w:r>
          <w:r>
            <w:rPr>
              <w:color w:val="auto"/>
              <w:sz w:val="28"/>
              <w:szCs w:val="28"/>
              <w:highlight w:val="none"/>
            </w:rPr>
            <w:fldChar w:fldCharType="separate"/>
          </w:r>
          <w:r>
            <w:rPr>
              <w:rStyle w:val="21"/>
              <w:color w:val="auto"/>
              <w:sz w:val="28"/>
              <w:szCs w:val="28"/>
              <w:highlight w:val="none"/>
            </w:rPr>
            <w:t>（二）履职效能分析。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_Toc151997601 \h </w:instrText>
          </w:r>
          <w:r>
            <w:rPr>
              <w:color w:val="auto"/>
              <w:sz w:val="28"/>
              <w:szCs w:val="28"/>
              <w:highlight w:val="none"/>
            </w:rPr>
            <w:fldChar w:fldCharType="separate"/>
          </w:r>
          <w:r>
            <w:rPr>
              <w:color w:val="auto"/>
              <w:sz w:val="28"/>
              <w:szCs w:val="28"/>
              <w:highlight w:val="none"/>
            </w:rPr>
            <w:t>- 12 -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"_Toc151997602" </w:instrText>
          </w:r>
          <w:r>
            <w:rPr>
              <w:color w:val="auto"/>
              <w:sz w:val="28"/>
              <w:szCs w:val="28"/>
              <w:highlight w:val="none"/>
            </w:rPr>
            <w:fldChar w:fldCharType="separate"/>
          </w:r>
          <w:r>
            <w:rPr>
              <w:rStyle w:val="21"/>
              <w:color w:val="auto"/>
              <w:sz w:val="28"/>
              <w:szCs w:val="28"/>
              <w:highlight w:val="none"/>
            </w:rPr>
            <w:t>（三）管理效率分析。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_Toc151997602 \h </w:instrText>
          </w:r>
          <w:r>
            <w:rPr>
              <w:color w:val="auto"/>
              <w:sz w:val="28"/>
              <w:szCs w:val="28"/>
              <w:highlight w:val="none"/>
            </w:rPr>
            <w:fldChar w:fldCharType="separate"/>
          </w:r>
          <w:r>
            <w:rPr>
              <w:color w:val="auto"/>
              <w:sz w:val="28"/>
              <w:szCs w:val="28"/>
              <w:highlight w:val="none"/>
            </w:rPr>
            <w:t>- 21 -</w:t>
          </w:r>
          <w:r>
            <w:rPr>
              <w:color w:val="auto"/>
              <w:sz w:val="28"/>
              <w:szCs w:val="28"/>
              <w:highlight w:val="none"/>
            </w:rPr>
            <w:fldChar w:fldCharType="end"/>
          </w:r>
          <w:r>
            <w:rPr>
              <w:color w:val="auto"/>
              <w:sz w:val="28"/>
              <w:szCs w:val="28"/>
              <w:highlight w:val="none"/>
            </w:rPr>
            <w:fldChar w:fldCharType="end"/>
          </w:r>
        </w:p>
        <w:p>
          <w:pPr>
            <w:pStyle w:val="13"/>
            <w:keepNext w:val="0"/>
            <w:keepLines w:val="0"/>
            <w:pageBreakBefore w:val="0"/>
            <w:widowControl w:val="0"/>
            <w:tabs>
              <w:tab w:val="right" w:leader="dot" w:pos="8948"/>
            </w:tabs>
            <w:kinsoku/>
            <w:wordWrap/>
            <w:overflowPunct/>
            <w:topLinePunct w:val="0"/>
            <w:autoSpaceDE/>
            <w:autoSpaceDN/>
            <w:bidi w:val="0"/>
            <w:adjustRightInd/>
            <w:snapToGrid/>
            <w:spacing w:line="460" w:lineRule="exact"/>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"_Toc151997603" </w:instrText>
          </w:r>
          <w:r>
            <w:rPr>
              <w:color w:val="auto"/>
              <w:sz w:val="28"/>
              <w:szCs w:val="28"/>
              <w:highlight w:val="none"/>
            </w:rPr>
            <w:fldChar w:fldCharType="separate"/>
          </w:r>
          <w:r>
            <w:rPr>
              <w:rStyle w:val="21"/>
              <w:color w:val="auto"/>
              <w:sz w:val="28"/>
              <w:szCs w:val="28"/>
              <w:highlight w:val="none"/>
            </w:rPr>
            <w:t>三、评价结论</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_Toc151997603 \h </w:instrText>
          </w:r>
          <w:r>
            <w:rPr>
              <w:color w:val="auto"/>
              <w:sz w:val="28"/>
              <w:szCs w:val="28"/>
              <w:highlight w:val="none"/>
            </w:rPr>
            <w:fldChar w:fldCharType="separate"/>
          </w:r>
          <w:r>
            <w:rPr>
              <w:color w:val="auto"/>
              <w:sz w:val="28"/>
              <w:szCs w:val="28"/>
              <w:highlight w:val="none"/>
            </w:rPr>
            <w:t>- 33 -</w:t>
          </w:r>
          <w:r>
            <w:rPr>
              <w:color w:val="auto"/>
              <w:sz w:val="28"/>
              <w:szCs w:val="28"/>
              <w:highlight w:val="none"/>
            </w:rPr>
            <w:fldChar w:fldCharType="end"/>
          </w:r>
          <w:r>
            <w:rPr>
              <w:color w:val="auto"/>
              <w:sz w:val="28"/>
              <w:szCs w:val="28"/>
              <w:highlight w:val="none"/>
            </w:rPr>
            <w:fldChar w:fldCharType="end"/>
          </w:r>
        </w:p>
        <w:p>
          <w:pPr>
            <w:pStyle w:val="13"/>
            <w:keepNext w:val="0"/>
            <w:keepLines w:val="0"/>
            <w:pageBreakBefore w:val="0"/>
            <w:widowControl w:val="0"/>
            <w:tabs>
              <w:tab w:val="right" w:leader="dot" w:pos="8948"/>
            </w:tabs>
            <w:kinsoku/>
            <w:wordWrap/>
            <w:overflowPunct/>
            <w:topLinePunct w:val="0"/>
            <w:autoSpaceDE/>
            <w:autoSpaceDN/>
            <w:bidi w:val="0"/>
            <w:adjustRightInd/>
            <w:snapToGrid/>
            <w:spacing w:line="460" w:lineRule="exact"/>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"_Toc151997604" </w:instrText>
          </w:r>
          <w:r>
            <w:rPr>
              <w:color w:val="auto"/>
              <w:sz w:val="28"/>
              <w:szCs w:val="28"/>
              <w:highlight w:val="none"/>
            </w:rPr>
            <w:fldChar w:fldCharType="separate"/>
          </w:r>
          <w:r>
            <w:rPr>
              <w:rStyle w:val="21"/>
              <w:color w:val="auto"/>
              <w:sz w:val="28"/>
              <w:szCs w:val="28"/>
              <w:highlight w:val="none"/>
            </w:rPr>
            <w:t>四、 主要绩效</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_Toc151997604 \h </w:instrText>
          </w:r>
          <w:r>
            <w:rPr>
              <w:color w:val="auto"/>
              <w:sz w:val="28"/>
              <w:szCs w:val="28"/>
              <w:highlight w:val="none"/>
            </w:rPr>
            <w:fldChar w:fldCharType="separate"/>
          </w:r>
          <w:r>
            <w:rPr>
              <w:color w:val="auto"/>
              <w:sz w:val="28"/>
              <w:szCs w:val="28"/>
              <w:highlight w:val="none"/>
            </w:rPr>
            <w:t>- 33 -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"_Toc151997605" </w:instrText>
          </w:r>
          <w:r>
            <w:rPr>
              <w:color w:val="auto"/>
              <w:sz w:val="28"/>
              <w:szCs w:val="28"/>
              <w:highlight w:val="none"/>
            </w:rPr>
            <w:fldChar w:fldCharType="separate"/>
          </w:r>
          <w:r>
            <w:rPr>
              <w:rStyle w:val="21"/>
              <w:color w:val="auto"/>
              <w:sz w:val="28"/>
              <w:szCs w:val="28"/>
              <w:highlight w:val="none"/>
            </w:rPr>
            <w:t>（一）持续完善医疗保障体系，促进医疗保障水平逐步提高。</w:t>
          </w:r>
          <w:r>
            <w:rPr>
              <w:color w:val="auto"/>
              <w:sz w:val="28"/>
              <w:szCs w:val="28"/>
              <w:highlight w:val="none"/>
            </w:rPr>
            <w:fldChar w:fldCharType="begin"/>
          </w:r>
          <w:r>
            <w:rPr>
              <w:color w:val="auto"/>
              <w:sz w:val="28"/>
              <w:szCs w:val="28"/>
              <w:highlight w:val="none"/>
            </w:rPr>
            <w:instrText xml:space="preserve"> PAGEREF _Toc151997605 \h </w:instrText>
          </w:r>
          <w:r>
            <w:rPr>
              <w:color w:val="auto"/>
              <w:sz w:val="28"/>
              <w:szCs w:val="28"/>
              <w:highlight w:val="none"/>
            </w:rPr>
            <w:fldChar w:fldCharType="separate"/>
          </w:r>
          <w:r>
            <w:rPr>
              <w:color w:val="auto"/>
              <w:sz w:val="28"/>
              <w:szCs w:val="28"/>
              <w:highlight w:val="none"/>
            </w:rPr>
            <w:t>- 33 -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"_Toc151997606" </w:instrText>
          </w:r>
          <w:r>
            <w:rPr>
              <w:color w:val="auto"/>
              <w:sz w:val="28"/>
              <w:szCs w:val="28"/>
              <w:highlight w:val="none"/>
            </w:rPr>
            <w:fldChar w:fldCharType="separate"/>
          </w:r>
          <w:r>
            <w:rPr>
              <w:rStyle w:val="21"/>
              <w:color w:val="auto"/>
              <w:sz w:val="28"/>
              <w:szCs w:val="28"/>
              <w:highlight w:val="none"/>
            </w:rPr>
            <w:t>（二）强化医保基金监管能力，推动医疗保障高质量发展。</w:t>
          </w:r>
          <w:r>
            <w:rPr>
              <w:color w:val="auto"/>
              <w:sz w:val="28"/>
              <w:szCs w:val="28"/>
              <w:highlight w:val="none"/>
            </w:rPr>
            <w:fldChar w:fldCharType="begin"/>
          </w:r>
          <w:r>
            <w:rPr>
              <w:color w:val="auto"/>
              <w:sz w:val="28"/>
              <w:szCs w:val="28"/>
              <w:highlight w:val="none"/>
            </w:rPr>
            <w:instrText xml:space="preserve"> PAGEREF _Toc151997606 \h </w:instrText>
          </w:r>
          <w:r>
            <w:rPr>
              <w:color w:val="auto"/>
              <w:sz w:val="28"/>
              <w:szCs w:val="28"/>
              <w:highlight w:val="none"/>
            </w:rPr>
            <w:fldChar w:fldCharType="separate"/>
          </w:r>
          <w:r>
            <w:rPr>
              <w:color w:val="auto"/>
              <w:sz w:val="28"/>
              <w:szCs w:val="28"/>
              <w:highlight w:val="none"/>
            </w:rPr>
            <w:t>- 34 -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"_Toc151997607" </w:instrText>
          </w:r>
          <w:r>
            <w:rPr>
              <w:color w:val="auto"/>
              <w:sz w:val="28"/>
              <w:szCs w:val="28"/>
              <w:highlight w:val="none"/>
            </w:rPr>
            <w:fldChar w:fldCharType="separate"/>
          </w:r>
          <w:r>
            <w:rPr>
              <w:rStyle w:val="21"/>
              <w:color w:val="auto"/>
              <w:sz w:val="28"/>
              <w:szCs w:val="28"/>
              <w:highlight w:val="none"/>
            </w:rPr>
            <w:t>（三）优化医保公共管理服务，提升医保公共服务能力。</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_Toc151997607 \h </w:instrText>
          </w:r>
          <w:r>
            <w:rPr>
              <w:color w:val="auto"/>
              <w:sz w:val="28"/>
              <w:szCs w:val="28"/>
              <w:highlight w:val="none"/>
            </w:rPr>
            <w:fldChar w:fldCharType="separate"/>
          </w:r>
          <w:r>
            <w:rPr>
              <w:color w:val="auto"/>
              <w:sz w:val="28"/>
              <w:szCs w:val="28"/>
              <w:highlight w:val="none"/>
            </w:rPr>
            <w:t>- 35 -</w:t>
          </w:r>
          <w:r>
            <w:rPr>
              <w:color w:val="auto"/>
              <w:sz w:val="28"/>
              <w:szCs w:val="28"/>
              <w:highlight w:val="none"/>
            </w:rPr>
            <w:fldChar w:fldCharType="end"/>
          </w:r>
          <w:r>
            <w:rPr>
              <w:color w:val="auto"/>
              <w:sz w:val="28"/>
              <w:szCs w:val="28"/>
              <w:highlight w:val="none"/>
            </w:rPr>
            <w:fldChar w:fldCharType="end"/>
          </w:r>
        </w:p>
        <w:p>
          <w:pPr>
            <w:pStyle w:val="13"/>
            <w:keepNext w:val="0"/>
            <w:keepLines w:val="0"/>
            <w:pageBreakBefore w:val="0"/>
            <w:widowControl w:val="0"/>
            <w:tabs>
              <w:tab w:val="right" w:leader="dot" w:pos="8948"/>
            </w:tabs>
            <w:kinsoku/>
            <w:wordWrap/>
            <w:overflowPunct/>
            <w:topLinePunct w:val="0"/>
            <w:autoSpaceDE/>
            <w:autoSpaceDN/>
            <w:bidi w:val="0"/>
            <w:adjustRightInd/>
            <w:snapToGrid/>
            <w:spacing w:line="460" w:lineRule="exact"/>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"_Toc151997608" </w:instrText>
          </w:r>
          <w:r>
            <w:rPr>
              <w:color w:val="auto"/>
              <w:sz w:val="28"/>
              <w:szCs w:val="28"/>
              <w:highlight w:val="none"/>
            </w:rPr>
            <w:fldChar w:fldCharType="separate"/>
          </w:r>
          <w:r>
            <w:rPr>
              <w:rStyle w:val="21"/>
              <w:color w:val="auto"/>
              <w:sz w:val="28"/>
              <w:szCs w:val="28"/>
              <w:highlight w:val="none"/>
            </w:rPr>
            <w:t>五、存在问题</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_Toc151997608 \h </w:instrText>
          </w:r>
          <w:r>
            <w:rPr>
              <w:color w:val="auto"/>
              <w:sz w:val="28"/>
              <w:szCs w:val="28"/>
              <w:highlight w:val="none"/>
            </w:rPr>
            <w:fldChar w:fldCharType="separate"/>
          </w:r>
          <w:r>
            <w:rPr>
              <w:color w:val="auto"/>
              <w:sz w:val="28"/>
              <w:szCs w:val="28"/>
              <w:highlight w:val="none"/>
            </w:rPr>
            <w:t>- 36 -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"_Toc151997609" </w:instrText>
          </w:r>
          <w:r>
            <w:rPr>
              <w:color w:val="auto"/>
              <w:sz w:val="28"/>
              <w:szCs w:val="28"/>
              <w:highlight w:val="none"/>
            </w:rPr>
            <w:fldChar w:fldCharType="separate"/>
          </w:r>
          <w:r>
            <w:rPr>
              <w:rStyle w:val="21"/>
              <w:color w:val="auto"/>
              <w:sz w:val="28"/>
              <w:szCs w:val="28"/>
              <w:highlight w:val="none"/>
            </w:rPr>
            <w:t>（一）预算绩效管理意识薄弱，目标管理质量有待提升。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_Toc151997609 \h </w:instrText>
          </w:r>
          <w:r>
            <w:rPr>
              <w:color w:val="auto"/>
              <w:sz w:val="28"/>
              <w:szCs w:val="28"/>
              <w:highlight w:val="none"/>
            </w:rPr>
            <w:fldChar w:fldCharType="separate"/>
          </w:r>
          <w:r>
            <w:rPr>
              <w:color w:val="auto"/>
              <w:sz w:val="28"/>
              <w:szCs w:val="28"/>
              <w:highlight w:val="none"/>
            </w:rPr>
            <w:t>- 36 -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"_Toc151997610" </w:instrText>
          </w:r>
          <w:r>
            <w:rPr>
              <w:color w:val="auto"/>
              <w:sz w:val="28"/>
              <w:szCs w:val="28"/>
              <w:highlight w:val="none"/>
            </w:rPr>
            <w:fldChar w:fldCharType="separate"/>
          </w:r>
          <w:r>
            <w:rPr>
              <w:rStyle w:val="21"/>
              <w:color w:val="auto"/>
              <w:sz w:val="28"/>
              <w:szCs w:val="28"/>
              <w:highlight w:val="none"/>
            </w:rPr>
            <w:t>（二）资金管理不够规范，监管能力仍需提升。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_Toc151997610 \h </w:instrText>
          </w:r>
          <w:r>
            <w:rPr>
              <w:color w:val="auto"/>
              <w:sz w:val="28"/>
              <w:szCs w:val="28"/>
              <w:highlight w:val="none"/>
            </w:rPr>
            <w:fldChar w:fldCharType="separate"/>
          </w:r>
          <w:r>
            <w:rPr>
              <w:color w:val="auto"/>
              <w:sz w:val="28"/>
              <w:szCs w:val="28"/>
              <w:highlight w:val="none"/>
            </w:rPr>
            <w:t>- 37 -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"_Toc151997611" </w:instrText>
          </w:r>
          <w:r>
            <w:rPr>
              <w:color w:val="auto"/>
              <w:sz w:val="28"/>
              <w:szCs w:val="28"/>
              <w:highlight w:val="none"/>
            </w:rPr>
            <w:fldChar w:fldCharType="separate"/>
          </w:r>
          <w:r>
            <w:rPr>
              <w:rStyle w:val="21"/>
              <w:color w:val="auto"/>
              <w:sz w:val="28"/>
              <w:szCs w:val="28"/>
              <w:highlight w:val="none"/>
            </w:rPr>
            <w:t>（三）内控制度健全性不足，部分制度执行不到位。</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_Toc151997611 \h </w:instrText>
          </w:r>
          <w:r>
            <w:rPr>
              <w:color w:val="auto"/>
              <w:sz w:val="28"/>
              <w:szCs w:val="28"/>
              <w:highlight w:val="none"/>
            </w:rPr>
            <w:fldChar w:fldCharType="separate"/>
          </w:r>
          <w:r>
            <w:rPr>
              <w:color w:val="auto"/>
              <w:sz w:val="28"/>
              <w:szCs w:val="28"/>
              <w:highlight w:val="none"/>
            </w:rPr>
            <w:t>- 39 -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"_Toc151997612" </w:instrText>
          </w:r>
          <w:r>
            <w:rPr>
              <w:color w:val="auto"/>
              <w:sz w:val="28"/>
              <w:szCs w:val="28"/>
              <w:highlight w:val="none"/>
            </w:rPr>
            <w:fldChar w:fldCharType="separate"/>
          </w:r>
          <w:r>
            <w:rPr>
              <w:rStyle w:val="21"/>
              <w:color w:val="auto"/>
              <w:sz w:val="28"/>
              <w:szCs w:val="28"/>
              <w:highlight w:val="none"/>
            </w:rPr>
            <w:t>（四）其他需要关注的问题。</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_Toc151997612 \h </w:instrText>
          </w:r>
          <w:r>
            <w:rPr>
              <w:color w:val="auto"/>
              <w:sz w:val="28"/>
              <w:szCs w:val="28"/>
              <w:highlight w:val="none"/>
            </w:rPr>
            <w:fldChar w:fldCharType="separate"/>
          </w:r>
          <w:r>
            <w:rPr>
              <w:color w:val="auto"/>
              <w:sz w:val="28"/>
              <w:szCs w:val="28"/>
              <w:highlight w:val="none"/>
            </w:rPr>
            <w:t>- 42 -</w:t>
          </w:r>
          <w:r>
            <w:rPr>
              <w:color w:val="auto"/>
              <w:sz w:val="28"/>
              <w:szCs w:val="28"/>
              <w:highlight w:val="none"/>
            </w:rPr>
            <w:fldChar w:fldCharType="end"/>
          </w:r>
          <w:r>
            <w:rPr>
              <w:color w:val="auto"/>
              <w:sz w:val="28"/>
              <w:szCs w:val="28"/>
              <w:highlight w:val="none"/>
            </w:rPr>
            <w:fldChar w:fldCharType="end"/>
          </w:r>
        </w:p>
        <w:p>
          <w:pPr>
            <w:pStyle w:val="13"/>
            <w:keepNext w:val="0"/>
            <w:keepLines w:val="0"/>
            <w:pageBreakBefore w:val="0"/>
            <w:widowControl w:val="0"/>
            <w:tabs>
              <w:tab w:val="right" w:leader="dot" w:pos="8948"/>
            </w:tabs>
            <w:kinsoku/>
            <w:wordWrap/>
            <w:overflowPunct/>
            <w:topLinePunct w:val="0"/>
            <w:autoSpaceDE/>
            <w:autoSpaceDN/>
            <w:bidi w:val="0"/>
            <w:adjustRightInd/>
            <w:snapToGrid/>
            <w:spacing w:line="460" w:lineRule="exact"/>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"_Toc151997613" </w:instrText>
          </w:r>
          <w:r>
            <w:rPr>
              <w:color w:val="auto"/>
              <w:sz w:val="28"/>
              <w:szCs w:val="28"/>
              <w:highlight w:val="none"/>
            </w:rPr>
            <w:fldChar w:fldCharType="separate"/>
          </w:r>
          <w:r>
            <w:rPr>
              <w:rStyle w:val="21"/>
              <w:color w:val="auto"/>
              <w:sz w:val="28"/>
              <w:szCs w:val="28"/>
              <w:highlight w:val="none"/>
            </w:rPr>
            <w:t>六、相关建议</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_Toc151997613 \h </w:instrText>
          </w:r>
          <w:r>
            <w:rPr>
              <w:color w:val="auto"/>
              <w:sz w:val="28"/>
              <w:szCs w:val="28"/>
              <w:highlight w:val="none"/>
            </w:rPr>
            <w:fldChar w:fldCharType="separate"/>
          </w:r>
          <w:r>
            <w:rPr>
              <w:color w:val="auto"/>
              <w:sz w:val="28"/>
              <w:szCs w:val="28"/>
              <w:highlight w:val="none"/>
            </w:rPr>
            <w:t>- 43 -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"_Toc151997614" </w:instrText>
          </w:r>
          <w:r>
            <w:rPr>
              <w:color w:val="auto"/>
              <w:sz w:val="28"/>
              <w:szCs w:val="28"/>
              <w:highlight w:val="none"/>
            </w:rPr>
            <w:fldChar w:fldCharType="separate"/>
          </w:r>
          <w:r>
            <w:rPr>
              <w:rStyle w:val="21"/>
              <w:color w:val="auto"/>
              <w:sz w:val="28"/>
              <w:szCs w:val="28"/>
              <w:highlight w:val="none"/>
            </w:rPr>
            <w:t>（一）重视预算绩效管理，提升绩效目标管理效能。</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_Toc151997614 \h </w:instrText>
          </w:r>
          <w:r>
            <w:rPr>
              <w:color w:val="auto"/>
              <w:sz w:val="28"/>
              <w:szCs w:val="28"/>
              <w:highlight w:val="none"/>
            </w:rPr>
            <w:fldChar w:fldCharType="separate"/>
          </w:r>
          <w:r>
            <w:rPr>
              <w:color w:val="auto"/>
              <w:sz w:val="28"/>
              <w:szCs w:val="28"/>
              <w:highlight w:val="none"/>
            </w:rPr>
            <w:t>- 43 -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"_Toc151997615" </w:instrText>
          </w:r>
          <w:r>
            <w:rPr>
              <w:color w:val="auto"/>
              <w:sz w:val="28"/>
              <w:szCs w:val="28"/>
              <w:highlight w:val="none"/>
            </w:rPr>
            <w:fldChar w:fldCharType="separate"/>
          </w:r>
          <w:r>
            <w:rPr>
              <w:rStyle w:val="21"/>
              <w:color w:val="auto"/>
              <w:sz w:val="28"/>
              <w:szCs w:val="28"/>
              <w:highlight w:val="none"/>
            </w:rPr>
            <w:t>（二）加大资金监管力度，提升资金管理规范性。</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_Toc151997615 \h </w:instrText>
          </w:r>
          <w:r>
            <w:rPr>
              <w:color w:val="auto"/>
              <w:sz w:val="28"/>
              <w:szCs w:val="28"/>
              <w:highlight w:val="none"/>
            </w:rPr>
            <w:fldChar w:fldCharType="separate"/>
          </w:r>
          <w:r>
            <w:rPr>
              <w:color w:val="auto"/>
              <w:sz w:val="28"/>
              <w:szCs w:val="28"/>
              <w:highlight w:val="none"/>
            </w:rPr>
            <w:t>- 44 -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"_Toc151997616" </w:instrText>
          </w:r>
          <w:r>
            <w:rPr>
              <w:color w:val="auto"/>
              <w:sz w:val="28"/>
              <w:szCs w:val="28"/>
              <w:highlight w:val="none"/>
            </w:rPr>
            <w:fldChar w:fldCharType="separate"/>
          </w:r>
          <w:r>
            <w:rPr>
              <w:rStyle w:val="21"/>
              <w:color w:val="auto"/>
              <w:sz w:val="28"/>
              <w:szCs w:val="28"/>
              <w:highlight w:val="none"/>
            </w:rPr>
            <w:t>（三）建立健全内控管理制度，严格执行各项管理制度。</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_Toc151997616 \h </w:instrText>
          </w:r>
          <w:r>
            <w:rPr>
              <w:color w:val="auto"/>
              <w:sz w:val="28"/>
              <w:szCs w:val="28"/>
              <w:highlight w:val="none"/>
            </w:rPr>
            <w:fldChar w:fldCharType="separate"/>
          </w:r>
          <w:r>
            <w:rPr>
              <w:color w:val="auto"/>
              <w:sz w:val="28"/>
              <w:szCs w:val="28"/>
              <w:highlight w:val="none"/>
            </w:rPr>
            <w:t>- 45 -</w:t>
          </w:r>
          <w:r>
            <w:rPr>
              <w:color w:val="auto"/>
              <w:sz w:val="28"/>
              <w:szCs w:val="28"/>
              <w:highlight w:val="none"/>
            </w:rPr>
            <w:fldChar w:fldCharType="end"/>
          </w:r>
          <w:r>
            <w:rPr>
              <w:color w:val="auto"/>
              <w:sz w:val="28"/>
              <w:szCs w:val="28"/>
              <w:highlight w:val="none"/>
            </w:rPr>
            <w:fldChar w:fldCharType="end"/>
          </w:r>
        </w:p>
        <w:p>
          <w:pPr>
            <w:pStyle w:val="2"/>
            <w:keepNext w:val="0"/>
            <w:keepLines w:val="0"/>
            <w:pageBreakBefore w:val="0"/>
            <w:widowControl w:val="0"/>
            <w:tabs>
              <w:tab w:val="right" w:leader="dot" w:pos="8948"/>
            </w:tabs>
            <w:kinsoku/>
            <w:wordWrap/>
            <w:overflowPunct/>
            <w:topLinePunct w:val="0"/>
            <w:autoSpaceDE/>
            <w:autoSpaceDN/>
            <w:bidi w:val="0"/>
            <w:adjustRightInd/>
            <w:snapToGrid/>
            <w:spacing w:line="460" w:lineRule="exact"/>
            <w:ind w:firstLine="600"/>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"_Toc151997617" </w:instrText>
          </w:r>
          <w:r>
            <w:rPr>
              <w:color w:val="auto"/>
              <w:sz w:val="28"/>
              <w:szCs w:val="28"/>
              <w:highlight w:val="none"/>
            </w:rPr>
            <w:fldChar w:fldCharType="separate"/>
          </w:r>
          <w:r>
            <w:rPr>
              <w:rStyle w:val="21"/>
              <w:color w:val="auto"/>
              <w:sz w:val="28"/>
              <w:szCs w:val="28"/>
              <w:highlight w:val="none"/>
            </w:rPr>
            <w:t>（四）其他建议。</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_Toc151997617 \h </w:instrText>
          </w:r>
          <w:r>
            <w:rPr>
              <w:color w:val="auto"/>
              <w:sz w:val="28"/>
              <w:szCs w:val="28"/>
              <w:highlight w:val="none"/>
            </w:rPr>
            <w:fldChar w:fldCharType="separate"/>
          </w:r>
          <w:r>
            <w:rPr>
              <w:color w:val="auto"/>
              <w:sz w:val="28"/>
              <w:szCs w:val="28"/>
              <w:highlight w:val="none"/>
            </w:rPr>
            <w:t>- 46 -</w:t>
          </w:r>
          <w:r>
            <w:rPr>
              <w:color w:val="auto"/>
              <w:sz w:val="28"/>
              <w:szCs w:val="28"/>
              <w:highlight w:val="none"/>
            </w:rPr>
            <w:fldChar w:fldCharType="end"/>
          </w:r>
          <w:r>
            <w:rPr>
              <w:color w:val="auto"/>
              <w:sz w:val="28"/>
              <w:szCs w:val="28"/>
              <w:highlight w:val="none"/>
            </w:rPr>
            <w:fldChar w:fldCharType="end"/>
          </w:r>
        </w:p>
        <w:p>
          <w:pPr>
            <w:pStyle w:val="13"/>
            <w:keepNext w:val="0"/>
            <w:keepLines w:val="0"/>
            <w:pageBreakBefore w:val="0"/>
            <w:widowControl w:val="0"/>
            <w:tabs>
              <w:tab w:val="right" w:leader="dot" w:pos="8948"/>
            </w:tabs>
            <w:kinsoku/>
            <w:wordWrap/>
            <w:overflowPunct/>
            <w:topLinePunct w:val="0"/>
            <w:autoSpaceDE/>
            <w:autoSpaceDN/>
            <w:bidi w:val="0"/>
            <w:adjustRightInd/>
            <w:snapToGrid/>
            <w:spacing w:line="460" w:lineRule="exact"/>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"_Toc151997618" </w:instrText>
          </w:r>
          <w:r>
            <w:rPr>
              <w:color w:val="auto"/>
              <w:sz w:val="28"/>
              <w:szCs w:val="28"/>
              <w:highlight w:val="none"/>
            </w:rPr>
            <w:fldChar w:fldCharType="separate"/>
          </w:r>
          <w:r>
            <w:rPr>
              <w:rStyle w:val="21"/>
              <w:color w:val="auto"/>
              <w:sz w:val="28"/>
              <w:szCs w:val="28"/>
              <w:highlight w:val="none"/>
            </w:rPr>
            <w:t>附件1</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_Toc151997618 \h </w:instrText>
          </w:r>
          <w:r>
            <w:rPr>
              <w:color w:val="auto"/>
              <w:sz w:val="28"/>
              <w:szCs w:val="28"/>
              <w:highlight w:val="none"/>
            </w:rPr>
            <w:fldChar w:fldCharType="separate"/>
          </w:r>
          <w:r>
            <w:rPr>
              <w:color w:val="auto"/>
              <w:sz w:val="28"/>
              <w:szCs w:val="28"/>
              <w:highlight w:val="none"/>
            </w:rPr>
            <w:t>- 47 -</w:t>
          </w:r>
          <w:r>
            <w:rPr>
              <w:color w:val="auto"/>
              <w:sz w:val="28"/>
              <w:szCs w:val="28"/>
              <w:highlight w:val="none"/>
            </w:rPr>
            <w:fldChar w:fldCharType="end"/>
          </w:r>
          <w:r>
            <w:rPr>
              <w:color w:val="auto"/>
              <w:sz w:val="28"/>
              <w:szCs w:val="28"/>
              <w:highlight w:val="none"/>
            </w:rPr>
            <w:fldChar w:fldCharType="end"/>
          </w:r>
        </w:p>
        <w:p>
          <w:pPr>
            <w:pStyle w:val="13"/>
            <w:keepNext w:val="0"/>
            <w:keepLines w:val="0"/>
            <w:pageBreakBefore w:val="0"/>
            <w:widowControl w:val="0"/>
            <w:tabs>
              <w:tab w:val="right" w:leader="dot" w:pos="8948"/>
            </w:tabs>
            <w:kinsoku/>
            <w:wordWrap/>
            <w:overflowPunct/>
            <w:topLinePunct w:val="0"/>
            <w:autoSpaceDE/>
            <w:autoSpaceDN/>
            <w:bidi w:val="0"/>
            <w:adjustRightInd/>
            <w:snapToGrid/>
            <w:spacing w:line="460" w:lineRule="exact"/>
            <w:textAlignment w:val="auto"/>
            <w:rPr>
              <w:rFonts w:asciiTheme="minorHAnsi" w:hAnsiTheme="minorHAnsi" w:eastAsiaTheme="minorEastAsia" w:cstheme="minorBidi"/>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"_Toc151997619" </w:instrText>
          </w:r>
          <w:r>
            <w:rPr>
              <w:color w:val="auto"/>
              <w:sz w:val="28"/>
              <w:szCs w:val="28"/>
              <w:highlight w:val="none"/>
            </w:rPr>
            <w:fldChar w:fldCharType="separate"/>
          </w:r>
          <w:r>
            <w:rPr>
              <w:rStyle w:val="21"/>
              <w:color w:val="auto"/>
              <w:sz w:val="28"/>
              <w:szCs w:val="28"/>
              <w:highlight w:val="none"/>
            </w:rPr>
            <w:t>附件2</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_Toc151997619 \h </w:instrText>
          </w:r>
          <w:r>
            <w:rPr>
              <w:color w:val="auto"/>
              <w:sz w:val="28"/>
              <w:szCs w:val="28"/>
              <w:highlight w:val="none"/>
            </w:rPr>
            <w:fldChar w:fldCharType="separate"/>
          </w:r>
          <w:r>
            <w:rPr>
              <w:color w:val="auto"/>
              <w:sz w:val="28"/>
              <w:szCs w:val="28"/>
              <w:highlight w:val="none"/>
            </w:rPr>
            <w:t>- 55 -</w:t>
          </w:r>
          <w:r>
            <w:rPr>
              <w:color w:val="auto"/>
              <w:sz w:val="28"/>
              <w:szCs w:val="28"/>
              <w:highlight w:val="none"/>
            </w:rPr>
            <w:fldChar w:fldCharType="end"/>
          </w:r>
          <w:r>
            <w:rPr>
              <w:color w:val="auto"/>
              <w:sz w:val="28"/>
              <w:szCs w:val="28"/>
              <w:highlight w:val="none"/>
            </w:rPr>
            <w:fldChar w:fldCharType="end"/>
          </w:r>
        </w:p>
        <w:p>
          <w:pPr>
            <w:keepNext w:val="0"/>
            <w:keepLines w:val="0"/>
            <w:pageBreakBefore w:val="0"/>
            <w:widowControl w:val="0"/>
            <w:kinsoku/>
            <w:wordWrap/>
            <w:overflowPunct/>
            <w:topLinePunct w:val="0"/>
            <w:autoSpaceDE/>
            <w:autoSpaceDN/>
            <w:bidi w:val="0"/>
            <w:adjustRightInd/>
            <w:snapToGrid/>
            <w:spacing w:line="460" w:lineRule="exact"/>
            <w:ind w:firstLine="0" w:firstLineChars="0"/>
            <w:jc w:val="center"/>
            <w:textAlignment w:val="auto"/>
            <w:rPr>
              <w:color w:val="auto"/>
              <w:highlight w:val="none"/>
            </w:rPr>
          </w:pPr>
          <w:r>
            <w:rPr>
              <w:rFonts w:ascii="方正黑体_GBK" w:hAnsi="方正黑体_GBK" w:eastAsia="方正黑体_GBK" w:cs="方正黑体_GBK"/>
              <w:color w:val="auto"/>
              <w:sz w:val="28"/>
              <w:szCs w:val="28"/>
              <w:highlight w:val="none"/>
            </w:rPr>
            <w:fldChar w:fldCharType="end"/>
          </w:r>
        </w:p>
      </w:sdtContent>
    </w:sdt>
    <w:p>
      <w:pPr>
        <w:ind w:firstLine="0" w:firstLineChars="0"/>
        <w:rPr>
          <w:color w:val="auto"/>
          <w:highlight w:val="none"/>
        </w:rPr>
        <w:sectPr>
          <w:footerReference r:id="rId11" w:type="default"/>
          <w:pgSz w:w="11906" w:h="16838"/>
          <w:pgMar w:top="1440" w:right="1417" w:bottom="1440" w:left="1531" w:header="851" w:footer="992" w:gutter="0"/>
          <w:pgNumType w:fmt="decimalFullWidth"/>
          <w:cols w:space="425" w:num="1"/>
          <w:docGrid w:type="lines" w:linePitch="435" w:charSpace="0"/>
        </w:sectPr>
      </w:pPr>
    </w:p>
    <w:p>
      <w:pPr>
        <w:pStyle w:val="3"/>
        <w:ind w:firstLine="640"/>
        <w:rPr>
          <w:color w:val="auto"/>
          <w:highlight w:val="none"/>
        </w:rPr>
      </w:pPr>
      <w:bookmarkStart w:id="2" w:name="_Toc151997594"/>
      <w:bookmarkStart w:id="3" w:name="_Toc17942"/>
      <w:bookmarkStart w:id="4" w:name="_Toc14848"/>
      <w:bookmarkStart w:id="5" w:name="_Toc25278"/>
      <w:bookmarkStart w:id="6" w:name="_Toc32351"/>
      <w:r>
        <w:rPr>
          <w:color w:val="auto"/>
          <w:highlight w:val="none"/>
        </w:rPr>
        <w:t>一</w:t>
      </w:r>
      <w:r>
        <w:rPr>
          <w:rFonts w:eastAsia="仿宋_GB2312"/>
          <w:color w:val="auto"/>
          <w:highlight w:val="none"/>
        </w:rPr>
        <w:t>、</w:t>
      </w:r>
      <w:r>
        <w:rPr>
          <w:color w:val="auto"/>
          <w:highlight w:val="none"/>
        </w:rPr>
        <w:t>部门基本情况</w:t>
      </w:r>
      <w:bookmarkEnd w:id="2"/>
      <w:bookmarkEnd w:id="3"/>
      <w:bookmarkEnd w:id="4"/>
      <w:bookmarkEnd w:id="5"/>
      <w:bookmarkEnd w:id="6"/>
    </w:p>
    <w:p>
      <w:pPr>
        <w:pStyle w:val="4"/>
        <w:ind w:firstLine="640"/>
        <w:rPr>
          <w:rFonts w:cs="Times New Roman"/>
          <w:color w:val="auto"/>
          <w:highlight w:val="none"/>
        </w:rPr>
      </w:pPr>
      <w:bookmarkStart w:id="7" w:name="_Toc110687576"/>
      <w:bookmarkStart w:id="8" w:name="_Toc121404572"/>
      <w:bookmarkStart w:id="9" w:name="_Toc14989"/>
      <w:bookmarkStart w:id="10" w:name="_Toc27726"/>
      <w:bookmarkStart w:id="11" w:name="_Toc2439"/>
      <w:bookmarkStart w:id="12" w:name="_Toc151997595"/>
      <w:bookmarkStart w:id="13" w:name="_Toc32346"/>
      <w:r>
        <w:rPr>
          <w:rFonts w:cs="Times New Roman"/>
          <w:color w:val="auto"/>
          <w:highlight w:val="none"/>
        </w:rPr>
        <w:t>（一）部门概要</w:t>
      </w:r>
      <w:bookmarkEnd w:id="7"/>
      <w:r>
        <w:rPr>
          <w:rFonts w:cs="Times New Roman"/>
          <w:color w:val="auto"/>
          <w:highlight w:val="none"/>
        </w:rPr>
        <w:t>。</w:t>
      </w:r>
      <w:bookmarkEnd w:id="8"/>
      <w:bookmarkEnd w:id="9"/>
      <w:bookmarkEnd w:id="10"/>
      <w:bookmarkEnd w:id="11"/>
      <w:bookmarkEnd w:id="12"/>
      <w:bookmarkEnd w:id="13"/>
    </w:p>
    <w:p>
      <w:pPr>
        <w:ind w:firstLine="640"/>
        <w:rPr>
          <w:bCs/>
          <w:color w:val="auto"/>
          <w:highlight w:val="none"/>
        </w:rPr>
      </w:pPr>
      <w:r>
        <w:rPr>
          <w:bCs/>
          <w:color w:val="auto"/>
          <w:highlight w:val="none"/>
        </w:rPr>
        <w:t>1.部门基本情况</w:t>
      </w:r>
    </w:p>
    <w:p>
      <w:pPr>
        <w:ind w:firstLine="640"/>
        <w:rPr>
          <w:color w:val="auto"/>
          <w:highlight w:val="none"/>
        </w:rPr>
      </w:pPr>
      <w:r>
        <w:rPr>
          <w:color w:val="auto"/>
          <w:highlight w:val="none"/>
        </w:rPr>
        <w:t>韶关市医疗保障局挂牌成立</w:t>
      </w:r>
      <w:r>
        <w:rPr>
          <w:rFonts w:hint="eastAsia"/>
          <w:color w:val="auto"/>
          <w:highlight w:val="none"/>
        </w:rPr>
        <w:t>于2019年</w:t>
      </w:r>
      <w:r>
        <w:rPr>
          <w:color w:val="auto"/>
          <w:highlight w:val="none"/>
        </w:rPr>
        <w:t>，为市政府工作部门，正处级，无下属单位，主要履行制定本市医疗保险、生育保险、医疗救助等医疗保障事业发展规划、政策措施并组织实施和监督检查；组织制定并实施医疗保障基金管理和基金监督管理制度，建立健全医疗保障基金安全防控机制，拟订应对预案并组织实施；组织制定医疗保障筹资和待遇政策措施，完善动态调整机制，统筹城乡医疗保障待遇标准，建立健全与筹资水平相适应的待遇调整机制；组织制定药品、医用耗材价格和医疗服务项目、医疗服务设施收费等政策措施，建立医保支付医药服务价格合理确定和动态调整机制；制定定点医药机构协议和支付管理办法并组织实施，开展医疗保障基金支付方式改革，建立健全定点医药服务评价体系和信息披露制度，监督管理纳入医疗保障范围内的医疗服务行为和医疗费用，依法查处医疗保障领域违法违规行为；医疗保障经办管理、公共服务体系和信息化建设。落实异地就医管理、费用结算政策以及医疗保障关系转移接续制度，开展医疗保障领域合作交流等8项工作职责，具体见表1-1。市医疗保障局设有4个内设机构，分别是：办公室、待遇保障和医药服务管理科、医药采购和价格管理科、基金监管科</w:t>
      </w:r>
      <w:r>
        <w:rPr>
          <w:rStyle w:val="23"/>
          <w:color w:val="auto"/>
          <w:highlight w:val="none"/>
        </w:rPr>
        <w:footnoteReference w:id="0"/>
      </w:r>
      <w:r>
        <w:rPr>
          <w:color w:val="auto"/>
          <w:highlight w:val="none"/>
        </w:rPr>
        <w:t>。</w:t>
      </w:r>
    </w:p>
    <w:p>
      <w:pPr>
        <w:pStyle w:val="25"/>
        <w:rPr>
          <w:color w:val="auto"/>
          <w:highlight w:val="none"/>
        </w:rPr>
      </w:pPr>
      <w:r>
        <w:rPr>
          <w:color w:val="auto"/>
          <w:highlight w:val="none"/>
        </w:rPr>
        <w:t>表1-1 部门主要职责</w:t>
      </w:r>
    </w:p>
    <w:tbl>
      <w:tblPr>
        <w:tblStyle w:val="1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8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510" w:type="pct"/>
            <w:shd w:val="clear" w:color="auto" w:fill="auto"/>
            <w:vAlign w:val="center"/>
          </w:tcPr>
          <w:p>
            <w:pPr>
              <w:pStyle w:val="26"/>
              <w:spacing w:line="240" w:lineRule="auto"/>
              <w:rPr>
                <w:rFonts w:cs="Times New Roman"/>
                <w:b/>
                <w:color w:val="auto"/>
                <w:szCs w:val="21"/>
                <w:highlight w:val="none"/>
              </w:rPr>
            </w:pPr>
            <w:r>
              <w:rPr>
                <w:rFonts w:cs="Times New Roman"/>
                <w:b/>
                <w:color w:val="auto"/>
                <w:szCs w:val="21"/>
                <w:highlight w:val="none"/>
              </w:rPr>
              <w:t>序号</w:t>
            </w:r>
          </w:p>
        </w:tc>
        <w:tc>
          <w:tcPr>
            <w:tcW w:w="4489" w:type="pct"/>
            <w:shd w:val="clear" w:color="auto" w:fill="auto"/>
            <w:vAlign w:val="center"/>
          </w:tcPr>
          <w:p>
            <w:pPr>
              <w:pStyle w:val="26"/>
              <w:spacing w:line="240" w:lineRule="auto"/>
              <w:rPr>
                <w:rFonts w:cs="Times New Roman"/>
                <w:b/>
                <w:color w:val="auto"/>
                <w:szCs w:val="21"/>
                <w:highlight w:val="none"/>
              </w:rPr>
            </w:pPr>
            <w:r>
              <w:rPr>
                <w:rFonts w:cs="Times New Roman"/>
                <w:b/>
                <w:color w:val="auto"/>
                <w:szCs w:val="21"/>
                <w:highlight w:val="none"/>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0" w:type="pct"/>
            <w:shd w:val="clear" w:color="auto" w:fill="auto"/>
            <w:vAlign w:val="center"/>
          </w:tcPr>
          <w:p>
            <w:pPr>
              <w:pStyle w:val="26"/>
              <w:spacing w:line="240" w:lineRule="auto"/>
              <w:rPr>
                <w:rFonts w:cs="Times New Roman"/>
                <w:color w:val="auto"/>
                <w:szCs w:val="21"/>
                <w:highlight w:val="none"/>
              </w:rPr>
            </w:pPr>
            <w:r>
              <w:rPr>
                <w:rFonts w:cs="Times New Roman"/>
                <w:color w:val="auto"/>
                <w:szCs w:val="21"/>
                <w:highlight w:val="none"/>
              </w:rPr>
              <w:t>1</w:t>
            </w:r>
          </w:p>
        </w:tc>
        <w:tc>
          <w:tcPr>
            <w:tcW w:w="4489" w:type="pct"/>
            <w:shd w:val="clear" w:color="auto" w:fill="auto"/>
            <w:vAlign w:val="center"/>
          </w:tcPr>
          <w:p>
            <w:pPr>
              <w:pStyle w:val="26"/>
              <w:spacing w:line="240" w:lineRule="auto"/>
              <w:jc w:val="both"/>
              <w:rPr>
                <w:rFonts w:cs="Times New Roman"/>
                <w:color w:val="auto"/>
                <w:szCs w:val="21"/>
                <w:highlight w:val="none"/>
              </w:rPr>
            </w:pPr>
            <w:r>
              <w:rPr>
                <w:rFonts w:cs="Times New Roman"/>
                <w:color w:val="auto"/>
                <w:szCs w:val="21"/>
                <w:highlight w:val="none"/>
              </w:rPr>
              <w:t>制定本市医疗保险、生育保险、医疗救助等医疗保障事业发展规划、政策措施并组织实施和监督检查。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0" w:type="pct"/>
            <w:shd w:val="clear" w:color="auto" w:fill="auto"/>
            <w:vAlign w:val="center"/>
          </w:tcPr>
          <w:p>
            <w:pPr>
              <w:pStyle w:val="26"/>
              <w:spacing w:line="240" w:lineRule="auto"/>
              <w:rPr>
                <w:rFonts w:cs="Times New Roman"/>
                <w:color w:val="auto"/>
                <w:szCs w:val="21"/>
                <w:highlight w:val="none"/>
              </w:rPr>
            </w:pPr>
            <w:r>
              <w:rPr>
                <w:rFonts w:cs="Times New Roman"/>
                <w:color w:val="auto"/>
                <w:szCs w:val="21"/>
                <w:highlight w:val="none"/>
              </w:rPr>
              <w:t>2</w:t>
            </w:r>
          </w:p>
        </w:tc>
        <w:tc>
          <w:tcPr>
            <w:tcW w:w="4489"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组织制定并实施医疗保障基金管理和基金监督管理制度，建立健全医疗保障基金安全防控机制，拟订应对预案并组织实施。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0" w:type="pct"/>
            <w:shd w:val="clear" w:color="auto" w:fill="auto"/>
            <w:vAlign w:val="center"/>
          </w:tcPr>
          <w:p>
            <w:pPr>
              <w:pStyle w:val="26"/>
              <w:spacing w:line="240" w:lineRule="auto"/>
              <w:rPr>
                <w:rFonts w:cs="Times New Roman"/>
                <w:color w:val="auto"/>
                <w:szCs w:val="21"/>
                <w:highlight w:val="none"/>
              </w:rPr>
            </w:pPr>
            <w:r>
              <w:rPr>
                <w:rFonts w:cs="Times New Roman"/>
                <w:color w:val="auto"/>
                <w:szCs w:val="21"/>
                <w:highlight w:val="none"/>
              </w:rPr>
              <w:t>3</w:t>
            </w:r>
          </w:p>
        </w:tc>
        <w:tc>
          <w:tcPr>
            <w:tcW w:w="4489"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组织制定医疗保障筹资和待遇政策措施，完善动态调整机制，统筹城乡医疗保障待遇标准，建立健全与筹资水平相适应的待遇调整机制。组织拟订并实施长期护理保险制度改革方案。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0" w:type="pct"/>
            <w:shd w:val="clear" w:color="auto" w:fill="auto"/>
            <w:vAlign w:val="center"/>
          </w:tcPr>
          <w:p>
            <w:pPr>
              <w:pStyle w:val="26"/>
              <w:spacing w:line="240" w:lineRule="auto"/>
              <w:rPr>
                <w:rFonts w:cs="Times New Roman"/>
                <w:color w:val="auto"/>
                <w:szCs w:val="21"/>
                <w:highlight w:val="none"/>
              </w:rPr>
            </w:pPr>
            <w:r>
              <w:rPr>
                <w:rFonts w:cs="Times New Roman"/>
                <w:color w:val="auto"/>
                <w:szCs w:val="21"/>
                <w:highlight w:val="none"/>
              </w:rPr>
              <w:t>4</w:t>
            </w:r>
          </w:p>
        </w:tc>
        <w:tc>
          <w:tcPr>
            <w:tcW w:w="4489"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组织实施城乡统一的药品、医用耗材、医疗服务项目、医疗服务设施等医疗保障目录和支付标准，组织制定并监督实施药品、医用耗材的招标采购政策措施。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0" w:type="pct"/>
            <w:shd w:val="clear" w:color="auto" w:fill="auto"/>
            <w:vAlign w:val="center"/>
          </w:tcPr>
          <w:p>
            <w:pPr>
              <w:pStyle w:val="26"/>
              <w:spacing w:line="240" w:lineRule="auto"/>
              <w:rPr>
                <w:rFonts w:cs="Times New Roman"/>
                <w:color w:val="auto"/>
                <w:szCs w:val="21"/>
                <w:highlight w:val="none"/>
              </w:rPr>
            </w:pPr>
            <w:r>
              <w:rPr>
                <w:rFonts w:cs="Times New Roman"/>
                <w:color w:val="auto"/>
                <w:szCs w:val="21"/>
                <w:highlight w:val="none"/>
              </w:rPr>
              <w:t>5</w:t>
            </w:r>
          </w:p>
        </w:tc>
        <w:tc>
          <w:tcPr>
            <w:tcW w:w="4489"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组织制定药品、医用耗材价格和医疗服务项目、医疗服务设施收费等政策措施，建立医保支付医药服务价格合理确定和动态调整机制，建立价格信息监测和信息发布制度。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0" w:type="pct"/>
            <w:shd w:val="clear" w:color="auto" w:fill="auto"/>
            <w:vAlign w:val="center"/>
          </w:tcPr>
          <w:p>
            <w:pPr>
              <w:pStyle w:val="26"/>
              <w:spacing w:line="240" w:lineRule="auto"/>
              <w:rPr>
                <w:rFonts w:cs="Times New Roman"/>
                <w:color w:val="auto"/>
                <w:szCs w:val="21"/>
                <w:highlight w:val="none"/>
              </w:rPr>
            </w:pPr>
            <w:r>
              <w:rPr>
                <w:rFonts w:cs="Times New Roman"/>
                <w:color w:val="auto"/>
                <w:szCs w:val="21"/>
                <w:highlight w:val="none"/>
              </w:rPr>
              <w:t>6</w:t>
            </w:r>
          </w:p>
        </w:tc>
        <w:tc>
          <w:tcPr>
            <w:tcW w:w="4489"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制定定点医药机构协议和支付管理办法并组织实施，开展医疗保障基金支付方式改革，建立健全定点医药服务评价体系和信息披露制度，监督管理纳入医疗保障范围内的医疗服务行为和医疗费用，依法查处医疗保障领域违法违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0" w:type="pct"/>
            <w:shd w:val="clear" w:color="auto" w:fill="auto"/>
            <w:vAlign w:val="center"/>
          </w:tcPr>
          <w:p>
            <w:pPr>
              <w:pStyle w:val="26"/>
              <w:spacing w:line="240" w:lineRule="auto"/>
              <w:rPr>
                <w:rFonts w:cs="Times New Roman"/>
                <w:color w:val="auto"/>
                <w:szCs w:val="21"/>
                <w:highlight w:val="none"/>
              </w:rPr>
            </w:pPr>
            <w:r>
              <w:rPr>
                <w:rFonts w:cs="Times New Roman"/>
                <w:color w:val="auto"/>
                <w:szCs w:val="21"/>
                <w:highlight w:val="none"/>
              </w:rPr>
              <w:t>7</w:t>
            </w:r>
          </w:p>
        </w:tc>
        <w:tc>
          <w:tcPr>
            <w:tcW w:w="4489"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负责医疗保障经办管理、公共服务体系和信息化建设。落实异地就医管理、费用结算政策以及医疗保障关系转移接续制度。开展医疗保障领域合作交流。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0" w:type="pct"/>
            <w:shd w:val="clear" w:color="auto" w:fill="auto"/>
            <w:vAlign w:val="center"/>
          </w:tcPr>
          <w:p>
            <w:pPr>
              <w:pStyle w:val="26"/>
              <w:spacing w:line="240" w:lineRule="auto"/>
              <w:rPr>
                <w:rFonts w:cs="Times New Roman"/>
                <w:color w:val="auto"/>
                <w:szCs w:val="21"/>
                <w:highlight w:val="none"/>
              </w:rPr>
            </w:pPr>
            <w:r>
              <w:rPr>
                <w:rFonts w:cs="Times New Roman"/>
                <w:color w:val="auto"/>
                <w:szCs w:val="21"/>
                <w:highlight w:val="none"/>
              </w:rPr>
              <w:t>8</w:t>
            </w:r>
          </w:p>
        </w:tc>
        <w:tc>
          <w:tcPr>
            <w:tcW w:w="4489"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完成市委、市政府和省医疗保障局交办的其他任务。</w:t>
            </w:r>
          </w:p>
        </w:tc>
      </w:tr>
    </w:tbl>
    <w:p>
      <w:pPr>
        <w:ind w:firstLine="640"/>
        <w:rPr>
          <w:color w:val="auto"/>
          <w:highlight w:val="none"/>
        </w:rPr>
      </w:pPr>
      <w:bookmarkStart w:id="14" w:name="_Toc17365"/>
      <w:bookmarkStart w:id="15" w:name="_Toc21491"/>
      <w:bookmarkStart w:id="16" w:name="_Toc32197"/>
      <w:r>
        <w:rPr>
          <w:color w:val="auto"/>
          <w:highlight w:val="none"/>
        </w:rPr>
        <w:t>根据韶办发〔2019〕36号</w:t>
      </w:r>
      <w:r>
        <w:rPr>
          <w:rStyle w:val="23"/>
          <w:color w:val="auto"/>
          <w:highlight w:val="none"/>
        </w:rPr>
        <w:footnoteReference w:id="1"/>
      </w:r>
      <w:r>
        <w:rPr>
          <w:color w:val="auto"/>
          <w:highlight w:val="none"/>
        </w:rPr>
        <w:t>、韶机编办发〔2022〕19号</w:t>
      </w:r>
      <w:r>
        <w:rPr>
          <w:rStyle w:val="23"/>
          <w:color w:val="auto"/>
          <w:highlight w:val="none"/>
        </w:rPr>
        <w:footnoteReference w:id="2"/>
      </w:r>
      <w:r>
        <w:rPr>
          <w:color w:val="auto"/>
          <w:highlight w:val="none"/>
        </w:rPr>
        <w:t>等文件，市委编办核定市医疗保障局行政编制15人，2022年年末实际在编15人</w:t>
      </w:r>
      <w:r>
        <w:rPr>
          <w:rFonts w:hint="eastAsia"/>
          <w:color w:val="auto"/>
          <w:highlight w:val="none"/>
        </w:rPr>
        <w:t>（详见</w:t>
      </w:r>
      <w:r>
        <w:rPr>
          <w:color w:val="auto"/>
          <w:highlight w:val="none"/>
        </w:rPr>
        <w:t>表1-2</w:t>
      </w:r>
      <w:r>
        <w:rPr>
          <w:rFonts w:hint="eastAsia"/>
          <w:color w:val="auto"/>
          <w:highlight w:val="none"/>
        </w:rPr>
        <w:t>）</w:t>
      </w:r>
      <w:r>
        <w:rPr>
          <w:color w:val="auto"/>
          <w:highlight w:val="none"/>
        </w:rPr>
        <w:t>。</w:t>
      </w:r>
    </w:p>
    <w:p>
      <w:pPr>
        <w:pStyle w:val="25"/>
        <w:rPr>
          <w:color w:val="auto"/>
          <w:highlight w:val="none"/>
        </w:rPr>
      </w:pPr>
      <w:r>
        <w:rPr>
          <w:color w:val="auto"/>
          <w:highlight w:val="none"/>
        </w:rPr>
        <w:t>表1-2 2022年年末实际在编人数分布信息表</w:t>
      </w:r>
    </w:p>
    <w:tbl>
      <w:tblPr>
        <w:tblStyle w:val="18"/>
        <w:tblW w:w="4998" w:type="pct"/>
        <w:jc w:val="center"/>
        <w:tblLayout w:type="autofit"/>
        <w:tblCellMar>
          <w:top w:w="0" w:type="dxa"/>
          <w:left w:w="108" w:type="dxa"/>
          <w:bottom w:w="0" w:type="dxa"/>
          <w:right w:w="108" w:type="dxa"/>
        </w:tblCellMar>
      </w:tblPr>
      <w:tblGrid>
        <w:gridCol w:w="777"/>
        <w:gridCol w:w="2885"/>
        <w:gridCol w:w="901"/>
        <w:gridCol w:w="802"/>
        <w:gridCol w:w="2915"/>
        <w:gridCol w:w="890"/>
      </w:tblGrid>
      <w:tr>
        <w:tblPrEx>
          <w:tblCellMar>
            <w:top w:w="0" w:type="dxa"/>
            <w:left w:w="108" w:type="dxa"/>
            <w:bottom w:w="0" w:type="dxa"/>
            <w:right w:w="108" w:type="dxa"/>
          </w:tblCellMar>
        </w:tblPrEx>
        <w:trPr>
          <w:trHeight w:val="454" w:hRule="atLeast"/>
          <w:tblHeader/>
          <w:jc w:val="center"/>
        </w:trPr>
        <w:tc>
          <w:tcPr>
            <w:tcW w:w="42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序号</w:t>
            </w:r>
          </w:p>
        </w:tc>
        <w:tc>
          <w:tcPr>
            <w:tcW w:w="1573" w:type="pct"/>
            <w:tcBorders>
              <w:top w:val="single" w:color="000000" w:sz="4" w:space="0"/>
              <w:left w:val="single" w:color="000000"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sz w:val="21"/>
                <w:szCs w:val="21"/>
                <w:highlight w:val="none"/>
              </w:rPr>
              <w:t>名称</w:t>
            </w:r>
          </w:p>
        </w:tc>
        <w:tc>
          <w:tcPr>
            <w:tcW w:w="491"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sz w:val="21"/>
                <w:szCs w:val="21"/>
                <w:highlight w:val="none"/>
              </w:rPr>
              <w:t>人数</w:t>
            </w:r>
          </w:p>
        </w:tc>
        <w:tc>
          <w:tcPr>
            <w:tcW w:w="437"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序号</w:t>
            </w:r>
          </w:p>
        </w:tc>
        <w:tc>
          <w:tcPr>
            <w:tcW w:w="1589"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sz w:val="21"/>
                <w:szCs w:val="21"/>
                <w:highlight w:val="none"/>
              </w:rPr>
              <w:t>名称</w:t>
            </w:r>
          </w:p>
        </w:tc>
        <w:tc>
          <w:tcPr>
            <w:tcW w:w="485" w:type="pct"/>
            <w:tcBorders>
              <w:top w:val="single" w:color="000000" w:sz="4" w:space="0"/>
              <w:left w:val="single" w:color="auto"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sz w:val="21"/>
                <w:szCs w:val="21"/>
                <w:highlight w:val="none"/>
              </w:rPr>
              <w:t>人数</w:t>
            </w:r>
          </w:p>
        </w:tc>
      </w:tr>
      <w:tr>
        <w:tblPrEx>
          <w:tblCellMar>
            <w:top w:w="0" w:type="dxa"/>
            <w:left w:w="108" w:type="dxa"/>
            <w:bottom w:w="0" w:type="dxa"/>
            <w:right w:w="108" w:type="dxa"/>
          </w:tblCellMar>
        </w:tblPrEx>
        <w:trPr>
          <w:trHeight w:val="454" w:hRule="atLeast"/>
          <w:jc w:val="center"/>
        </w:trPr>
        <w:tc>
          <w:tcPr>
            <w:tcW w:w="42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1</w:t>
            </w:r>
          </w:p>
        </w:tc>
        <w:tc>
          <w:tcPr>
            <w:tcW w:w="1573" w:type="pct"/>
            <w:tcBorders>
              <w:top w:val="single" w:color="000000" w:sz="4" w:space="0"/>
              <w:left w:val="single" w:color="000000"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局长</w:t>
            </w:r>
          </w:p>
        </w:tc>
        <w:tc>
          <w:tcPr>
            <w:tcW w:w="491"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1人</w:t>
            </w:r>
          </w:p>
        </w:tc>
        <w:tc>
          <w:tcPr>
            <w:tcW w:w="437"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2</w:t>
            </w:r>
          </w:p>
        </w:tc>
        <w:tc>
          <w:tcPr>
            <w:tcW w:w="1589"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副局长</w:t>
            </w:r>
          </w:p>
        </w:tc>
        <w:tc>
          <w:tcPr>
            <w:tcW w:w="485" w:type="pct"/>
            <w:tcBorders>
              <w:top w:val="single" w:color="000000" w:sz="4" w:space="0"/>
              <w:left w:val="single" w:color="auto"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2人</w:t>
            </w:r>
          </w:p>
        </w:tc>
      </w:tr>
      <w:tr>
        <w:tblPrEx>
          <w:tblCellMar>
            <w:top w:w="0" w:type="dxa"/>
            <w:left w:w="108" w:type="dxa"/>
            <w:bottom w:w="0" w:type="dxa"/>
            <w:right w:w="108" w:type="dxa"/>
          </w:tblCellMar>
        </w:tblPrEx>
        <w:trPr>
          <w:trHeight w:val="454" w:hRule="atLeast"/>
          <w:jc w:val="center"/>
        </w:trPr>
        <w:tc>
          <w:tcPr>
            <w:tcW w:w="42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3</w:t>
            </w:r>
          </w:p>
        </w:tc>
        <w:tc>
          <w:tcPr>
            <w:tcW w:w="1573" w:type="pct"/>
            <w:tcBorders>
              <w:top w:val="single" w:color="000000" w:sz="4" w:space="0"/>
              <w:left w:val="single" w:color="000000"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办公室</w:t>
            </w:r>
          </w:p>
        </w:tc>
        <w:tc>
          <w:tcPr>
            <w:tcW w:w="491"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4人</w:t>
            </w:r>
            <w:r>
              <w:rPr>
                <w:rStyle w:val="23"/>
                <w:rFonts w:eastAsia="宋体"/>
                <w:color w:val="auto"/>
                <w:kern w:val="0"/>
                <w:sz w:val="21"/>
                <w:szCs w:val="21"/>
                <w:highlight w:val="none"/>
                <w:lang w:bidi="ar"/>
              </w:rPr>
              <w:footnoteReference w:id="3"/>
            </w:r>
          </w:p>
        </w:tc>
        <w:tc>
          <w:tcPr>
            <w:tcW w:w="437"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4</w:t>
            </w:r>
          </w:p>
        </w:tc>
        <w:tc>
          <w:tcPr>
            <w:tcW w:w="1589"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待遇保障和医药服务管理科</w:t>
            </w:r>
          </w:p>
        </w:tc>
        <w:tc>
          <w:tcPr>
            <w:tcW w:w="485" w:type="pct"/>
            <w:tcBorders>
              <w:top w:val="single" w:color="000000" w:sz="4" w:space="0"/>
              <w:left w:val="single" w:color="auto"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3人</w:t>
            </w:r>
          </w:p>
        </w:tc>
      </w:tr>
      <w:tr>
        <w:trPr>
          <w:trHeight w:val="454" w:hRule="atLeast"/>
          <w:jc w:val="center"/>
        </w:trPr>
        <w:tc>
          <w:tcPr>
            <w:tcW w:w="42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5</w:t>
            </w:r>
          </w:p>
        </w:tc>
        <w:tc>
          <w:tcPr>
            <w:tcW w:w="1573" w:type="pct"/>
            <w:tcBorders>
              <w:top w:val="single" w:color="000000" w:sz="4" w:space="0"/>
              <w:left w:val="single" w:color="000000"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医药采购和价格管理科</w:t>
            </w:r>
          </w:p>
        </w:tc>
        <w:tc>
          <w:tcPr>
            <w:tcW w:w="491"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3人</w:t>
            </w:r>
            <w:r>
              <w:rPr>
                <w:rStyle w:val="23"/>
                <w:rFonts w:eastAsia="宋体"/>
                <w:color w:val="auto"/>
                <w:kern w:val="0"/>
                <w:sz w:val="21"/>
                <w:szCs w:val="21"/>
                <w:highlight w:val="none"/>
                <w:lang w:bidi="ar"/>
              </w:rPr>
              <w:footnoteReference w:id="4"/>
            </w:r>
          </w:p>
        </w:tc>
        <w:tc>
          <w:tcPr>
            <w:tcW w:w="437"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6</w:t>
            </w:r>
          </w:p>
        </w:tc>
        <w:tc>
          <w:tcPr>
            <w:tcW w:w="1589" w:type="pct"/>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基金监管科</w:t>
            </w:r>
          </w:p>
        </w:tc>
        <w:tc>
          <w:tcPr>
            <w:tcW w:w="485" w:type="pct"/>
            <w:tcBorders>
              <w:top w:val="single" w:color="000000" w:sz="4" w:space="0"/>
              <w:left w:val="single" w:color="auto"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2人</w:t>
            </w:r>
          </w:p>
        </w:tc>
      </w:tr>
    </w:tbl>
    <w:p>
      <w:pPr>
        <w:pStyle w:val="4"/>
        <w:ind w:firstLine="640"/>
        <w:rPr>
          <w:rFonts w:cs="Times New Roman"/>
          <w:color w:val="auto"/>
          <w:highlight w:val="none"/>
        </w:rPr>
      </w:pPr>
      <w:bookmarkStart w:id="17" w:name="_Toc32094"/>
      <w:bookmarkStart w:id="18" w:name="_Toc11851"/>
      <w:bookmarkStart w:id="19" w:name="_Toc27083"/>
      <w:bookmarkStart w:id="20" w:name="_Toc151997596"/>
      <w:r>
        <w:rPr>
          <w:rFonts w:cs="Times New Roman"/>
          <w:color w:val="auto"/>
          <w:highlight w:val="none"/>
        </w:rPr>
        <w:t>（二）年度总体工作任务及重点工作任务。</w:t>
      </w:r>
      <w:bookmarkEnd w:id="14"/>
      <w:bookmarkEnd w:id="15"/>
      <w:bookmarkEnd w:id="16"/>
      <w:bookmarkEnd w:id="17"/>
      <w:bookmarkEnd w:id="18"/>
      <w:bookmarkEnd w:id="19"/>
      <w:bookmarkEnd w:id="20"/>
    </w:p>
    <w:p>
      <w:pPr>
        <w:pStyle w:val="2"/>
        <w:ind w:firstLine="600"/>
        <w:rPr>
          <w:bCs/>
          <w:color w:val="auto"/>
          <w:highlight w:val="none"/>
        </w:rPr>
      </w:pPr>
      <w:r>
        <w:rPr>
          <w:bCs/>
          <w:color w:val="auto"/>
          <w:highlight w:val="none"/>
        </w:rPr>
        <w:t>1.年度总体工作任务</w:t>
      </w:r>
    </w:p>
    <w:p>
      <w:pPr>
        <w:ind w:firstLine="640"/>
        <w:rPr>
          <w:color w:val="auto"/>
          <w:highlight w:val="none"/>
        </w:rPr>
      </w:pPr>
      <w:r>
        <w:rPr>
          <w:color w:val="auto"/>
          <w:highlight w:val="none"/>
        </w:rPr>
        <w:t>2022年，市医疗保障局深入贯彻落实党中央、国务院关于医疗保障工作的决策部署，推动韶关市医疗保障事业改革发展，确定10项总体工作任务，见图1-1。</w:t>
      </w:r>
    </w:p>
    <w:p>
      <w:pPr>
        <w:ind w:firstLine="0" w:firstLineChars="0"/>
        <w:jc w:val="center"/>
        <w:rPr>
          <w:color w:val="auto"/>
          <w:highlight w:val="none"/>
        </w:rPr>
      </w:pPr>
      <w:r>
        <w:rPr>
          <w:color w:val="auto"/>
          <w:highlight w:val="none"/>
        </w:rPr>
        <w:drawing>
          <wp:inline distT="0" distB="0" distL="114300" distR="114300">
            <wp:extent cx="4904105" cy="2494280"/>
            <wp:effectExtent l="0" t="0" r="3175" b="508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4"/>
                    <a:stretch>
                      <a:fillRect/>
                    </a:stretch>
                  </pic:blipFill>
                  <pic:spPr>
                    <a:xfrm>
                      <a:off x="0" y="0"/>
                      <a:ext cx="4904105" cy="2494280"/>
                    </a:xfrm>
                    <a:prstGeom prst="rect">
                      <a:avLst/>
                    </a:prstGeom>
                    <a:noFill/>
                    <a:ln>
                      <a:noFill/>
                    </a:ln>
                  </pic:spPr>
                </pic:pic>
              </a:graphicData>
            </a:graphic>
          </wp:inline>
        </w:drawing>
      </w:r>
    </w:p>
    <w:p>
      <w:pPr>
        <w:pStyle w:val="25"/>
        <w:spacing w:line="360" w:lineRule="auto"/>
        <w:rPr>
          <w:color w:val="auto"/>
          <w:highlight w:val="none"/>
        </w:rPr>
      </w:pPr>
      <w:r>
        <w:rPr>
          <w:color w:val="auto"/>
          <w:highlight w:val="none"/>
        </w:rPr>
        <w:t>图1-1 2022年总体工作任务一览图</w:t>
      </w:r>
    </w:p>
    <w:p>
      <w:pPr>
        <w:ind w:firstLine="640"/>
        <w:rPr>
          <w:bCs/>
          <w:color w:val="auto"/>
          <w:highlight w:val="none"/>
        </w:rPr>
      </w:pPr>
      <w:r>
        <w:rPr>
          <w:bCs/>
          <w:color w:val="auto"/>
          <w:highlight w:val="none"/>
        </w:rPr>
        <w:t>2.年度重点工作任务</w:t>
      </w:r>
    </w:p>
    <w:p>
      <w:pPr>
        <w:ind w:firstLine="640"/>
        <w:rPr>
          <w:color w:val="auto"/>
          <w:highlight w:val="none"/>
        </w:rPr>
      </w:pPr>
      <w:r>
        <w:rPr>
          <w:color w:val="auto"/>
          <w:highlight w:val="none"/>
        </w:rPr>
        <w:t>依据《部门整体预算绩效目标申报表》，市医疗保障局2022年设置5项重点工作任务，见表1-3。</w:t>
      </w:r>
    </w:p>
    <w:p>
      <w:pPr>
        <w:pStyle w:val="25"/>
        <w:rPr>
          <w:color w:val="auto"/>
          <w:highlight w:val="none"/>
        </w:rPr>
      </w:pPr>
      <w:r>
        <w:rPr>
          <w:color w:val="auto"/>
          <w:highlight w:val="none"/>
        </w:rPr>
        <w:t>表1-3 2022年重点工作任务</w:t>
      </w:r>
    </w:p>
    <w:tbl>
      <w:tblPr>
        <w:tblStyle w:val="1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2301"/>
        <w:gridCol w:w="6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02" w:type="pct"/>
            <w:shd w:val="clear" w:color="auto" w:fill="auto"/>
            <w:vAlign w:val="center"/>
          </w:tcPr>
          <w:p>
            <w:pPr>
              <w:pStyle w:val="26"/>
              <w:rPr>
                <w:rFonts w:cs="Times New Roman"/>
                <w:b/>
                <w:color w:val="auto"/>
                <w:szCs w:val="21"/>
                <w:highlight w:val="none"/>
                <w:lang w:bidi="ar"/>
              </w:rPr>
            </w:pPr>
            <w:bookmarkStart w:id="21" w:name="_Toc4100"/>
            <w:bookmarkStart w:id="22" w:name="_Toc24098"/>
            <w:r>
              <w:rPr>
                <w:rFonts w:cs="Times New Roman"/>
                <w:b/>
                <w:color w:val="auto"/>
                <w:szCs w:val="21"/>
                <w:highlight w:val="none"/>
                <w:lang w:bidi="ar"/>
              </w:rPr>
              <w:t>序号</w:t>
            </w:r>
          </w:p>
        </w:tc>
        <w:tc>
          <w:tcPr>
            <w:tcW w:w="1254" w:type="pct"/>
            <w:shd w:val="clear" w:color="auto" w:fill="auto"/>
            <w:vAlign w:val="center"/>
          </w:tcPr>
          <w:p>
            <w:pPr>
              <w:pStyle w:val="26"/>
              <w:rPr>
                <w:rFonts w:cs="Times New Roman"/>
                <w:b/>
                <w:color w:val="auto"/>
                <w:szCs w:val="21"/>
                <w:highlight w:val="none"/>
                <w:lang w:bidi="ar"/>
              </w:rPr>
            </w:pPr>
            <w:r>
              <w:rPr>
                <w:rFonts w:cs="Times New Roman"/>
                <w:b/>
                <w:color w:val="auto"/>
                <w:szCs w:val="21"/>
                <w:highlight w:val="none"/>
                <w:lang w:bidi="ar"/>
              </w:rPr>
              <w:t>任务名称</w:t>
            </w:r>
          </w:p>
        </w:tc>
        <w:tc>
          <w:tcPr>
            <w:tcW w:w="3342" w:type="pct"/>
            <w:shd w:val="clear" w:color="auto" w:fill="auto"/>
            <w:vAlign w:val="center"/>
          </w:tcPr>
          <w:p>
            <w:pPr>
              <w:pStyle w:val="26"/>
              <w:rPr>
                <w:rFonts w:cs="Times New Roman"/>
                <w:b/>
                <w:color w:val="auto"/>
                <w:szCs w:val="21"/>
                <w:highlight w:val="none"/>
                <w:lang w:bidi="ar"/>
              </w:rPr>
            </w:pPr>
            <w:r>
              <w:rPr>
                <w:rFonts w:cs="Times New Roman"/>
                <w:b/>
                <w:color w:val="auto"/>
                <w:szCs w:val="21"/>
                <w:highlight w:val="none"/>
                <w:lang w:bidi="ar"/>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02" w:type="pct"/>
            <w:shd w:val="clear" w:color="auto" w:fill="auto"/>
            <w:vAlign w:val="center"/>
          </w:tcPr>
          <w:p>
            <w:pPr>
              <w:pStyle w:val="26"/>
              <w:rPr>
                <w:rFonts w:cs="Times New Roman"/>
                <w:color w:val="auto"/>
                <w:szCs w:val="21"/>
                <w:highlight w:val="none"/>
                <w:lang w:bidi="ar"/>
              </w:rPr>
            </w:pPr>
            <w:r>
              <w:rPr>
                <w:rFonts w:cs="Times New Roman"/>
                <w:color w:val="auto"/>
                <w:szCs w:val="21"/>
                <w:highlight w:val="none"/>
                <w:lang w:bidi="ar"/>
              </w:rPr>
              <w:t>1</w:t>
            </w:r>
          </w:p>
        </w:tc>
        <w:tc>
          <w:tcPr>
            <w:tcW w:w="1254"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推动</w:t>
            </w:r>
            <w:r>
              <w:rPr>
                <w:rFonts w:hint="eastAsia" w:eastAsia="宋体"/>
                <w:bCs/>
                <w:color w:val="auto"/>
                <w:sz w:val="21"/>
                <w:szCs w:val="21"/>
                <w:highlight w:val="none"/>
              </w:rPr>
              <w:t>落实各项</w:t>
            </w:r>
            <w:r>
              <w:rPr>
                <w:rFonts w:eastAsia="宋体"/>
                <w:bCs/>
                <w:color w:val="auto"/>
                <w:sz w:val="21"/>
                <w:szCs w:val="21"/>
                <w:highlight w:val="none"/>
              </w:rPr>
              <w:t>政策</w:t>
            </w:r>
          </w:p>
        </w:tc>
        <w:tc>
          <w:tcPr>
            <w:tcW w:w="3342"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市医疗保障局为国家新组建的政府职能部门，要落实各项医保待遇和医药服务管理、医药价格和采购管理、基金监管等政策，保障参保人权益及医保基金安全，需要投入一定资金，完善办公设施和条件，广泛宣传医保政策，加强定点医药机构协议管理及相关监督考核，组织召开相关会议和培训，开展打击欺诈骗保活动，开展相关调研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 w:type="pct"/>
            <w:shd w:val="clear" w:color="auto" w:fill="auto"/>
            <w:vAlign w:val="center"/>
          </w:tcPr>
          <w:p>
            <w:pPr>
              <w:pStyle w:val="26"/>
              <w:rPr>
                <w:rFonts w:cs="Times New Roman"/>
                <w:color w:val="auto"/>
                <w:szCs w:val="21"/>
                <w:highlight w:val="none"/>
                <w:lang w:bidi="ar"/>
              </w:rPr>
            </w:pPr>
            <w:r>
              <w:rPr>
                <w:rFonts w:cs="Times New Roman"/>
                <w:color w:val="auto"/>
                <w:szCs w:val="21"/>
                <w:highlight w:val="none"/>
                <w:lang w:bidi="ar"/>
              </w:rPr>
              <w:t>2</w:t>
            </w:r>
          </w:p>
        </w:tc>
        <w:tc>
          <w:tcPr>
            <w:tcW w:w="1254"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开展基本医疗服务价格</w:t>
            </w:r>
            <w:r>
              <w:rPr>
                <w:rFonts w:hint="eastAsia" w:eastAsia="宋体"/>
                <w:bCs/>
                <w:color w:val="auto"/>
                <w:sz w:val="21"/>
                <w:szCs w:val="21"/>
                <w:highlight w:val="none"/>
              </w:rPr>
              <w:t>定价或调整</w:t>
            </w:r>
            <w:r>
              <w:rPr>
                <w:rFonts w:eastAsia="宋体"/>
                <w:bCs/>
                <w:color w:val="auto"/>
                <w:sz w:val="21"/>
                <w:szCs w:val="21"/>
                <w:highlight w:val="none"/>
              </w:rPr>
              <w:t>工作</w:t>
            </w:r>
          </w:p>
        </w:tc>
        <w:tc>
          <w:tcPr>
            <w:tcW w:w="3342"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委托第三方机构对医疗服务价格情况开展调查、成本调查或成本监审、评估等。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02" w:type="pct"/>
            <w:shd w:val="clear" w:color="auto" w:fill="auto"/>
            <w:vAlign w:val="center"/>
          </w:tcPr>
          <w:p>
            <w:pPr>
              <w:pStyle w:val="26"/>
              <w:rPr>
                <w:rFonts w:cs="Times New Roman"/>
                <w:color w:val="auto"/>
                <w:szCs w:val="21"/>
                <w:highlight w:val="none"/>
                <w:lang w:bidi="ar"/>
              </w:rPr>
            </w:pPr>
            <w:r>
              <w:rPr>
                <w:rFonts w:cs="Times New Roman"/>
                <w:color w:val="auto"/>
                <w:szCs w:val="21"/>
                <w:highlight w:val="none"/>
                <w:lang w:bidi="ar"/>
              </w:rPr>
              <w:t>3</w:t>
            </w:r>
          </w:p>
        </w:tc>
        <w:tc>
          <w:tcPr>
            <w:tcW w:w="1254"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开展医疗保障开展基金监管专项工作</w:t>
            </w:r>
          </w:p>
        </w:tc>
        <w:tc>
          <w:tcPr>
            <w:tcW w:w="3342"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对照上级医保部门的工作部署，以及市医保工作实际，抽查一定数量定点医药机构，打击欺诈骗保，支付费用，含专家及相关人员费用、租车费、食宿费、信息费用、宣传费、办公用品、会议培训及其他与开展监管工作相关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 w:type="pct"/>
            <w:shd w:val="clear" w:color="auto" w:fill="auto"/>
            <w:vAlign w:val="center"/>
          </w:tcPr>
          <w:p>
            <w:pPr>
              <w:pStyle w:val="26"/>
              <w:rPr>
                <w:rFonts w:cs="Times New Roman"/>
                <w:color w:val="auto"/>
                <w:szCs w:val="21"/>
                <w:highlight w:val="none"/>
                <w:lang w:bidi="ar"/>
              </w:rPr>
            </w:pPr>
            <w:r>
              <w:rPr>
                <w:rFonts w:cs="Times New Roman"/>
                <w:color w:val="auto"/>
                <w:szCs w:val="21"/>
                <w:highlight w:val="none"/>
                <w:lang w:bidi="ar"/>
              </w:rPr>
              <w:t>4</w:t>
            </w:r>
          </w:p>
        </w:tc>
        <w:tc>
          <w:tcPr>
            <w:tcW w:w="1254"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市级财政医保补助待遇落实</w:t>
            </w:r>
          </w:p>
        </w:tc>
        <w:tc>
          <w:tcPr>
            <w:tcW w:w="3342"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该项目为全市城乡居民医保财政补助市级财政应承担的部分，测算标准按照2021年6月份的实际参保人数，以及2021年财政配套标准增加30元/人进行测算。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02" w:type="pct"/>
            <w:shd w:val="clear" w:color="auto" w:fill="auto"/>
            <w:vAlign w:val="center"/>
          </w:tcPr>
          <w:p>
            <w:pPr>
              <w:pStyle w:val="26"/>
              <w:rPr>
                <w:rFonts w:cs="Times New Roman"/>
                <w:color w:val="auto"/>
                <w:szCs w:val="21"/>
                <w:highlight w:val="none"/>
                <w:lang w:bidi="ar"/>
              </w:rPr>
            </w:pPr>
            <w:r>
              <w:rPr>
                <w:rFonts w:cs="Times New Roman"/>
                <w:color w:val="auto"/>
                <w:szCs w:val="21"/>
                <w:highlight w:val="none"/>
                <w:lang w:bidi="ar"/>
              </w:rPr>
              <w:t>5</w:t>
            </w:r>
          </w:p>
        </w:tc>
        <w:tc>
          <w:tcPr>
            <w:tcW w:w="1254"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城乡困难群众医疗救助</w:t>
            </w:r>
          </w:p>
        </w:tc>
        <w:tc>
          <w:tcPr>
            <w:tcW w:w="3342" w:type="pct"/>
            <w:shd w:val="clear" w:color="auto" w:fill="auto"/>
            <w:vAlign w:val="center"/>
          </w:tcPr>
          <w:p>
            <w:pPr>
              <w:widowControl/>
              <w:spacing w:line="240" w:lineRule="auto"/>
              <w:ind w:firstLine="0" w:firstLineChars="0"/>
              <w:jc w:val="left"/>
              <w:textAlignment w:val="center"/>
              <w:rPr>
                <w:rFonts w:eastAsia="宋体"/>
                <w:bCs/>
                <w:color w:val="auto"/>
                <w:sz w:val="21"/>
                <w:szCs w:val="21"/>
                <w:highlight w:val="none"/>
              </w:rPr>
            </w:pPr>
            <w:r>
              <w:rPr>
                <w:rFonts w:eastAsia="宋体"/>
                <w:bCs/>
                <w:color w:val="auto"/>
                <w:sz w:val="21"/>
                <w:szCs w:val="21"/>
                <w:highlight w:val="none"/>
              </w:rPr>
              <w:t>落实《韶关市困难群众医疗救助实施办法》有关要求，确保全市困难群众医疗救助待遇及时足额发放。</w:t>
            </w:r>
          </w:p>
        </w:tc>
      </w:tr>
    </w:tbl>
    <w:p>
      <w:pPr>
        <w:pStyle w:val="4"/>
        <w:ind w:firstLine="640"/>
        <w:rPr>
          <w:rFonts w:cs="Times New Roman"/>
          <w:color w:val="auto"/>
          <w:highlight w:val="none"/>
        </w:rPr>
      </w:pPr>
      <w:bookmarkStart w:id="23" w:name="_Toc31106"/>
      <w:bookmarkStart w:id="24" w:name="_Toc28021"/>
      <w:bookmarkStart w:id="25" w:name="_Toc23125"/>
      <w:bookmarkStart w:id="26" w:name="_Toc151997597"/>
      <w:bookmarkStart w:id="27" w:name="_Toc15529"/>
      <w:r>
        <w:rPr>
          <w:rFonts w:cs="Times New Roman"/>
          <w:color w:val="auto"/>
          <w:highlight w:val="none"/>
        </w:rPr>
        <w:t>（三）部门整体绩效目标及绩效指标。</w:t>
      </w:r>
      <w:bookmarkEnd w:id="21"/>
      <w:bookmarkEnd w:id="22"/>
      <w:bookmarkEnd w:id="23"/>
      <w:bookmarkEnd w:id="24"/>
      <w:bookmarkEnd w:id="25"/>
      <w:bookmarkEnd w:id="26"/>
      <w:bookmarkEnd w:id="27"/>
    </w:p>
    <w:p>
      <w:pPr>
        <w:ind w:firstLine="640"/>
        <w:rPr>
          <w:color w:val="auto"/>
          <w:highlight w:val="none"/>
        </w:rPr>
      </w:pPr>
      <w:r>
        <w:rPr>
          <w:color w:val="auto"/>
          <w:highlight w:val="none"/>
        </w:rPr>
        <w:t>根据《部门整体预算绩效目标申报表》，市医疗保障局2022年部门整体支出绩效目标为：推动国家和省、市有关医保待遇和医药服务管理、医药价格和采购管理、基金监管等政策在韶关市得到贯彻落实，保障参保人权益及医保基金安全，使参保率达到省规定水平</w:t>
      </w:r>
      <w:r>
        <w:rPr>
          <w:snapToGrid w:val="0"/>
          <w:color w:val="auto"/>
          <w:highlight w:val="none"/>
        </w:rPr>
        <w:t>。绩效指标设有9项，分别是：</w:t>
      </w:r>
      <w:r>
        <w:rPr>
          <w:color w:val="auto"/>
          <w:highlight w:val="none"/>
        </w:rPr>
        <w:t>4项产出指标和5项效益指标，具体见表1-4。</w:t>
      </w:r>
    </w:p>
    <w:p>
      <w:pPr>
        <w:pStyle w:val="25"/>
        <w:rPr>
          <w:color w:val="auto"/>
          <w:highlight w:val="none"/>
        </w:rPr>
      </w:pPr>
      <w:r>
        <w:rPr>
          <w:color w:val="auto"/>
          <w:highlight w:val="none"/>
        </w:rPr>
        <w:t>表1-4 2022年部门整体支出绩效指标表</w:t>
      </w:r>
    </w:p>
    <w:tbl>
      <w:tblPr>
        <w:tblStyle w:val="18"/>
        <w:tblpPr w:leftFromText="180" w:rightFromText="180" w:vertAnchor="text" w:horzAnchor="page" w:tblpX="1519" w:tblpY="564"/>
        <w:tblOverlap w:val="never"/>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04"/>
        <w:gridCol w:w="6634"/>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blHeader/>
        </w:trPr>
        <w:tc>
          <w:tcPr>
            <w:tcW w:w="657" w:type="pct"/>
            <w:shd w:val="clear" w:color="auto" w:fill="auto"/>
            <w:vAlign w:val="center"/>
          </w:tcPr>
          <w:p>
            <w:pPr>
              <w:pStyle w:val="26"/>
              <w:spacing w:line="240" w:lineRule="auto"/>
              <w:rPr>
                <w:rFonts w:cs="Times New Roman"/>
                <w:b/>
                <w:color w:val="auto"/>
                <w:highlight w:val="none"/>
              </w:rPr>
            </w:pPr>
            <w:r>
              <w:rPr>
                <w:rFonts w:cs="Times New Roman"/>
                <w:b/>
                <w:color w:val="auto"/>
                <w:highlight w:val="none"/>
                <w:lang w:bidi="ar"/>
              </w:rPr>
              <w:t>指标类型</w:t>
            </w:r>
          </w:p>
        </w:tc>
        <w:tc>
          <w:tcPr>
            <w:tcW w:w="3617" w:type="pct"/>
            <w:shd w:val="clear" w:color="auto" w:fill="auto"/>
            <w:vAlign w:val="center"/>
          </w:tcPr>
          <w:p>
            <w:pPr>
              <w:pStyle w:val="26"/>
              <w:spacing w:line="240" w:lineRule="auto"/>
              <w:rPr>
                <w:rFonts w:cs="Times New Roman"/>
                <w:b/>
                <w:color w:val="auto"/>
                <w:highlight w:val="none"/>
              </w:rPr>
            </w:pPr>
            <w:r>
              <w:rPr>
                <w:rFonts w:cs="Times New Roman"/>
                <w:b/>
                <w:color w:val="auto"/>
                <w:highlight w:val="none"/>
                <w:lang w:bidi="ar"/>
              </w:rPr>
              <w:t>指标名称</w:t>
            </w:r>
          </w:p>
        </w:tc>
        <w:tc>
          <w:tcPr>
            <w:tcW w:w="725" w:type="pct"/>
            <w:shd w:val="clear" w:color="auto" w:fill="auto"/>
            <w:vAlign w:val="center"/>
          </w:tcPr>
          <w:p>
            <w:pPr>
              <w:pStyle w:val="26"/>
              <w:spacing w:line="240" w:lineRule="auto"/>
              <w:rPr>
                <w:rFonts w:cs="Times New Roman"/>
                <w:b/>
                <w:color w:val="auto"/>
                <w:highlight w:val="none"/>
              </w:rPr>
            </w:pPr>
            <w:r>
              <w:rPr>
                <w:rFonts w:cs="Times New Roman"/>
                <w:b/>
                <w:color w:val="auto"/>
                <w:highlight w:val="none"/>
                <w:lang w:bidi="ar"/>
              </w:rPr>
              <w:t>年度指标值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57" w:type="pct"/>
            <w:vMerge w:val="restart"/>
            <w:shd w:val="clear" w:color="auto" w:fill="auto"/>
            <w:vAlign w:val="center"/>
          </w:tcPr>
          <w:p>
            <w:pPr>
              <w:pStyle w:val="26"/>
              <w:spacing w:line="240" w:lineRule="auto"/>
              <w:rPr>
                <w:rFonts w:cs="Times New Roman"/>
                <w:color w:val="auto"/>
                <w:highlight w:val="none"/>
              </w:rPr>
            </w:pPr>
            <w:r>
              <w:rPr>
                <w:rFonts w:cs="Times New Roman"/>
                <w:color w:val="auto"/>
                <w:highlight w:val="none"/>
                <w:lang w:bidi="ar"/>
              </w:rPr>
              <w:t>产出指标</w:t>
            </w:r>
          </w:p>
        </w:tc>
        <w:tc>
          <w:tcPr>
            <w:tcW w:w="3617" w:type="pct"/>
            <w:shd w:val="clear" w:color="auto" w:fill="auto"/>
            <w:vAlign w:val="center"/>
          </w:tcPr>
          <w:p>
            <w:pPr>
              <w:pStyle w:val="26"/>
              <w:spacing w:line="240" w:lineRule="auto"/>
              <w:jc w:val="left"/>
              <w:rPr>
                <w:rFonts w:cs="Times New Roman"/>
                <w:color w:val="auto"/>
                <w:sz w:val="24"/>
                <w:highlight w:val="none"/>
              </w:rPr>
            </w:pPr>
            <w:r>
              <w:rPr>
                <w:rFonts w:cs="Times New Roman"/>
                <w:color w:val="auto"/>
                <w:sz w:val="24"/>
                <w:highlight w:val="none"/>
              </w:rPr>
              <w:t>完成基础信息管理、医疗服务价格管理、医保业务基础、公共服务、支付方式管理、内部统一门户、基金财务管理等子系统的开发及部分地市上线</w:t>
            </w:r>
          </w:p>
        </w:tc>
        <w:tc>
          <w:tcPr>
            <w:tcW w:w="725" w:type="pct"/>
            <w:shd w:val="clear" w:color="auto" w:fill="auto"/>
            <w:vAlign w:val="center"/>
          </w:tcPr>
          <w:p>
            <w:pPr>
              <w:pStyle w:val="26"/>
              <w:spacing w:line="240" w:lineRule="auto"/>
              <w:rPr>
                <w:rFonts w:cs="Times New Roman"/>
                <w:color w:val="auto"/>
                <w:highlight w:val="none"/>
              </w:rPr>
            </w:pPr>
            <w:r>
              <w:rPr>
                <w:rFonts w:cs="Times New Roman"/>
                <w:color w:val="auto"/>
                <w:highlight w:val="none"/>
              </w:rPr>
              <w:t>及时更新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57" w:type="pct"/>
            <w:vMerge w:val="continue"/>
            <w:shd w:val="clear" w:color="auto" w:fill="auto"/>
            <w:vAlign w:val="center"/>
          </w:tcPr>
          <w:p>
            <w:pPr>
              <w:pStyle w:val="26"/>
              <w:spacing w:line="240" w:lineRule="auto"/>
              <w:rPr>
                <w:rFonts w:cs="Times New Roman"/>
                <w:color w:val="auto"/>
                <w:highlight w:val="none"/>
              </w:rPr>
            </w:pPr>
          </w:p>
        </w:tc>
        <w:tc>
          <w:tcPr>
            <w:tcW w:w="3617" w:type="pct"/>
            <w:shd w:val="clear" w:color="auto" w:fill="auto"/>
            <w:vAlign w:val="center"/>
          </w:tcPr>
          <w:p>
            <w:pPr>
              <w:pStyle w:val="26"/>
              <w:spacing w:line="240" w:lineRule="auto"/>
              <w:jc w:val="left"/>
              <w:rPr>
                <w:rFonts w:cs="Times New Roman"/>
                <w:color w:val="auto"/>
                <w:sz w:val="24"/>
                <w:highlight w:val="none"/>
              </w:rPr>
            </w:pPr>
            <w:r>
              <w:rPr>
                <w:rFonts w:cs="Times New Roman"/>
                <w:color w:val="auto"/>
                <w:sz w:val="24"/>
                <w:highlight w:val="none"/>
              </w:rPr>
              <w:t>开展医疗服务价格调研督导</w:t>
            </w:r>
          </w:p>
        </w:tc>
        <w:tc>
          <w:tcPr>
            <w:tcW w:w="725" w:type="pct"/>
            <w:shd w:val="clear" w:color="auto" w:fill="auto"/>
            <w:vAlign w:val="center"/>
          </w:tcPr>
          <w:p>
            <w:pPr>
              <w:pStyle w:val="26"/>
              <w:spacing w:line="240" w:lineRule="auto"/>
              <w:rPr>
                <w:rFonts w:cs="Times New Roman"/>
                <w:color w:val="auto"/>
                <w:highlight w:val="none"/>
              </w:rPr>
            </w:pPr>
            <w:r>
              <w:rPr>
                <w:rFonts w:cs="Times New Roman"/>
                <w:color w:val="auto"/>
                <w:highlight w:val="none"/>
              </w:rPr>
              <w:t>不少于1次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57" w:type="pct"/>
            <w:vMerge w:val="continue"/>
            <w:shd w:val="clear" w:color="auto" w:fill="auto"/>
            <w:vAlign w:val="center"/>
          </w:tcPr>
          <w:p>
            <w:pPr>
              <w:pStyle w:val="26"/>
              <w:spacing w:line="240" w:lineRule="auto"/>
              <w:rPr>
                <w:rFonts w:cs="Times New Roman"/>
                <w:color w:val="auto"/>
                <w:highlight w:val="none"/>
              </w:rPr>
            </w:pPr>
          </w:p>
        </w:tc>
        <w:tc>
          <w:tcPr>
            <w:tcW w:w="3617" w:type="pct"/>
            <w:shd w:val="clear" w:color="auto" w:fill="auto"/>
            <w:vAlign w:val="center"/>
          </w:tcPr>
          <w:p>
            <w:pPr>
              <w:pStyle w:val="26"/>
              <w:spacing w:line="240" w:lineRule="auto"/>
              <w:jc w:val="left"/>
              <w:rPr>
                <w:rFonts w:cs="Times New Roman"/>
                <w:color w:val="auto"/>
                <w:sz w:val="24"/>
                <w:highlight w:val="none"/>
              </w:rPr>
            </w:pPr>
            <w:r>
              <w:rPr>
                <w:rFonts w:cs="Times New Roman"/>
                <w:color w:val="auto"/>
                <w:sz w:val="24"/>
                <w:highlight w:val="none"/>
              </w:rPr>
              <w:t>以应参保人数为基数计算的基本医保综合参保率</w:t>
            </w:r>
          </w:p>
        </w:tc>
        <w:tc>
          <w:tcPr>
            <w:tcW w:w="725" w:type="pct"/>
            <w:shd w:val="clear" w:color="auto" w:fill="auto"/>
            <w:vAlign w:val="center"/>
          </w:tcPr>
          <w:p>
            <w:pPr>
              <w:pStyle w:val="26"/>
              <w:spacing w:line="240" w:lineRule="auto"/>
              <w:rPr>
                <w:rFonts w:cs="Times New Roman"/>
                <w:color w:val="auto"/>
                <w:highlight w:val="none"/>
              </w:rPr>
            </w:pPr>
            <w:r>
              <w:rPr>
                <w:rFonts w:cs="Times New Roman"/>
                <w:color w:val="auto"/>
                <w:highlight w:val="none"/>
              </w:rPr>
              <w:t>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57" w:type="pct"/>
            <w:vMerge w:val="continue"/>
            <w:shd w:val="clear" w:color="auto" w:fill="auto"/>
            <w:vAlign w:val="center"/>
          </w:tcPr>
          <w:p>
            <w:pPr>
              <w:pStyle w:val="26"/>
              <w:spacing w:line="240" w:lineRule="auto"/>
              <w:rPr>
                <w:rFonts w:cs="Times New Roman"/>
                <w:color w:val="auto"/>
                <w:highlight w:val="none"/>
              </w:rPr>
            </w:pPr>
          </w:p>
        </w:tc>
        <w:tc>
          <w:tcPr>
            <w:tcW w:w="3617" w:type="pct"/>
            <w:shd w:val="clear" w:color="auto" w:fill="auto"/>
            <w:vAlign w:val="center"/>
          </w:tcPr>
          <w:p>
            <w:pPr>
              <w:pStyle w:val="26"/>
              <w:spacing w:line="240" w:lineRule="auto"/>
              <w:jc w:val="left"/>
              <w:rPr>
                <w:rFonts w:cs="Times New Roman"/>
                <w:color w:val="auto"/>
                <w:sz w:val="24"/>
                <w:highlight w:val="none"/>
              </w:rPr>
            </w:pPr>
            <w:r>
              <w:rPr>
                <w:rFonts w:cs="Times New Roman"/>
                <w:color w:val="auto"/>
                <w:sz w:val="24"/>
                <w:highlight w:val="none"/>
              </w:rPr>
              <w:t>医疗机构收费行为规范率</w:t>
            </w:r>
          </w:p>
        </w:tc>
        <w:tc>
          <w:tcPr>
            <w:tcW w:w="725" w:type="pct"/>
            <w:shd w:val="clear" w:color="auto" w:fill="auto"/>
            <w:vAlign w:val="center"/>
          </w:tcPr>
          <w:p>
            <w:pPr>
              <w:pStyle w:val="26"/>
              <w:spacing w:line="240" w:lineRule="auto"/>
              <w:rPr>
                <w:rFonts w:cs="Times New Roman"/>
                <w:color w:val="auto"/>
                <w:highlight w:val="none"/>
              </w:rPr>
            </w:pPr>
            <w:r>
              <w:rPr>
                <w:rFonts w:cs="Times New Roman"/>
                <w:color w:val="auto"/>
                <w:highlight w:val="none"/>
              </w:rPr>
              <w:t>大于90%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57" w:type="pct"/>
            <w:vMerge w:val="restart"/>
            <w:shd w:val="clear" w:color="auto" w:fill="auto"/>
            <w:vAlign w:val="center"/>
          </w:tcPr>
          <w:p>
            <w:pPr>
              <w:pStyle w:val="26"/>
              <w:spacing w:line="240" w:lineRule="auto"/>
              <w:rPr>
                <w:rFonts w:cs="Times New Roman"/>
                <w:color w:val="auto"/>
                <w:highlight w:val="none"/>
              </w:rPr>
            </w:pPr>
            <w:r>
              <w:rPr>
                <w:rFonts w:cs="Times New Roman"/>
                <w:color w:val="auto"/>
                <w:highlight w:val="none"/>
                <w:lang w:bidi="ar"/>
              </w:rPr>
              <w:t>效果指标</w:t>
            </w:r>
          </w:p>
        </w:tc>
        <w:tc>
          <w:tcPr>
            <w:tcW w:w="3617" w:type="pct"/>
            <w:shd w:val="clear" w:color="auto" w:fill="auto"/>
            <w:vAlign w:val="center"/>
          </w:tcPr>
          <w:p>
            <w:pPr>
              <w:pStyle w:val="26"/>
              <w:spacing w:line="240" w:lineRule="auto"/>
              <w:jc w:val="left"/>
              <w:rPr>
                <w:rFonts w:cs="Times New Roman"/>
                <w:color w:val="auto"/>
                <w:sz w:val="24"/>
                <w:highlight w:val="none"/>
              </w:rPr>
            </w:pPr>
            <w:r>
              <w:rPr>
                <w:rFonts w:cs="Times New Roman"/>
                <w:color w:val="auto"/>
                <w:sz w:val="24"/>
                <w:highlight w:val="none"/>
              </w:rPr>
              <w:t>全民参保率</w:t>
            </w:r>
          </w:p>
        </w:tc>
        <w:tc>
          <w:tcPr>
            <w:tcW w:w="725" w:type="pct"/>
            <w:shd w:val="clear" w:color="auto" w:fill="auto"/>
            <w:vAlign w:val="center"/>
          </w:tcPr>
          <w:p>
            <w:pPr>
              <w:pStyle w:val="26"/>
              <w:spacing w:line="240" w:lineRule="auto"/>
              <w:rPr>
                <w:rFonts w:cs="Times New Roman"/>
                <w:color w:val="auto"/>
                <w:highlight w:val="none"/>
              </w:rPr>
            </w:pPr>
            <w:r>
              <w:rPr>
                <w:rFonts w:cs="Times New Roman"/>
                <w:color w:val="auto"/>
                <w:highlight w:val="none"/>
              </w:rPr>
              <w:t>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57" w:type="pct"/>
            <w:vMerge w:val="continue"/>
            <w:shd w:val="clear" w:color="auto" w:fill="auto"/>
            <w:vAlign w:val="center"/>
          </w:tcPr>
          <w:p>
            <w:pPr>
              <w:pStyle w:val="26"/>
              <w:spacing w:line="240" w:lineRule="auto"/>
              <w:rPr>
                <w:rFonts w:cs="Times New Roman"/>
                <w:color w:val="auto"/>
                <w:highlight w:val="none"/>
              </w:rPr>
            </w:pPr>
          </w:p>
        </w:tc>
        <w:tc>
          <w:tcPr>
            <w:tcW w:w="3617" w:type="pct"/>
            <w:shd w:val="clear" w:color="auto" w:fill="auto"/>
            <w:vAlign w:val="center"/>
          </w:tcPr>
          <w:p>
            <w:pPr>
              <w:pStyle w:val="26"/>
              <w:spacing w:line="240" w:lineRule="auto"/>
              <w:jc w:val="left"/>
              <w:rPr>
                <w:rFonts w:cs="Times New Roman"/>
                <w:color w:val="auto"/>
                <w:sz w:val="24"/>
                <w:highlight w:val="none"/>
              </w:rPr>
            </w:pPr>
            <w:r>
              <w:rPr>
                <w:rFonts w:cs="Times New Roman"/>
                <w:color w:val="auto"/>
                <w:sz w:val="24"/>
                <w:highlight w:val="none"/>
              </w:rPr>
              <w:t>参保群众政策知晓率</w:t>
            </w:r>
          </w:p>
        </w:tc>
        <w:tc>
          <w:tcPr>
            <w:tcW w:w="725" w:type="pct"/>
            <w:shd w:val="clear" w:color="auto" w:fill="auto"/>
            <w:vAlign w:val="center"/>
          </w:tcPr>
          <w:p>
            <w:pPr>
              <w:pStyle w:val="26"/>
              <w:spacing w:line="240" w:lineRule="auto"/>
              <w:rPr>
                <w:rFonts w:cs="Times New Roman"/>
                <w:color w:val="auto"/>
                <w:highlight w:val="none"/>
              </w:rPr>
            </w:pPr>
            <w:r>
              <w:rPr>
                <w:rFonts w:cs="Times New Roman"/>
                <w:color w:val="auto"/>
                <w:highlight w:val="none"/>
              </w:rPr>
              <w:t>90%以上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57" w:type="pct"/>
            <w:vMerge w:val="continue"/>
            <w:shd w:val="clear" w:color="auto" w:fill="auto"/>
            <w:vAlign w:val="center"/>
          </w:tcPr>
          <w:p>
            <w:pPr>
              <w:pStyle w:val="26"/>
              <w:spacing w:line="240" w:lineRule="auto"/>
              <w:rPr>
                <w:rFonts w:cs="Times New Roman"/>
                <w:color w:val="auto"/>
                <w:highlight w:val="none"/>
              </w:rPr>
            </w:pPr>
          </w:p>
        </w:tc>
        <w:tc>
          <w:tcPr>
            <w:tcW w:w="3617" w:type="pct"/>
            <w:shd w:val="clear" w:color="auto" w:fill="auto"/>
            <w:vAlign w:val="center"/>
          </w:tcPr>
          <w:p>
            <w:pPr>
              <w:pStyle w:val="26"/>
              <w:spacing w:line="240" w:lineRule="auto"/>
              <w:jc w:val="left"/>
              <w:rPr>
                <w:rFonts w:cs="Times New Roman"/>
                <w:color w:val="auto"/>
                <w:sz w:val="24"/>
                <w:highlight w:val="none"/>
              </w:rPr>
            </w:pPr>
            <w:r>
              <w:rPr>
                <w:rFonts w:cs="Times New Roman"/>
                <w:color w:val="auto"/>
                <w:sz w:val="24"/>
                <w:highlight w:val="none"/>
              </w:rPr>
              <w:t>医疗服务价格收费规范透明度</w:t>
            </w:r>
          </w:p>
        </w:tc>
        <w:tc>
          <w:tcPr>
            <w:tcW w:w="725" w:type="pct"/>
            <w:shd w:val="clear" w:color="auto" w:fill="auto"/>
            <w:vAlign w:val="center"/>
          </w:tcPr>
          <w:p>
            <w:pPr>
              <w:pStyle w:val="26"/>
              <w:spacing w:line="240" w:lineRule="auto"/>
              <w:rPr>
                <w:rFonts w:cs="Times New Roman"/>
                <w:color w:val="auto"/>
                <w:highlight w:val="none"/>
              </w:rPr>
            </w:pPr>
            <w:r>
              <w:rPr>
                <w:rFonts w:cs="Times New Roman"/>
                <w:color w:val="auto"/>
                <w:highlight w:val="none"/>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57" w:type="pct"/>
            <w:vMerge w:val="continue"/>
            <w:shd w:val="clear" w:color="auto" w:fill="auto"/>
            <w:vAlign w:val="center"/>
          </w:tcPr>
          <w:p>
            <w:pPr>
              <w:pStyle w:val="26"/>
              <w:spacing w:line="240" w:lineRule="auto"/>
              <w:rPr>
                <w:rFonts w:cs="Times New Roman"/>
                <w:color w:val="auto"/>
                <w:highlight w:val="none"/>
              </w:rPr>
            </w:pPr>
          </w:p>
        </w:tc>
        <w:tc>
          <w:tcPr>
            <w:tcW w:w="3617" w:type="pct"/>
            <w:shd w:val="clear" w:color="auto" w:fill="auto"/>
            <w:vAlign w:val="center"/>
          </w:tcPr>
          <w:p>
            <w:pPr>
              <w:pStyle w:val="26"/>
              <w:spacing w:line="240" w:lineRule="auto"/>
              <w:jc w:val="left"/>
              <w:rPr>
                <w:rFonts w:cs="Times New Roman"/>
                <w:color w:val="auto"/>
                <w:sz w:val="24"/>
                <w:highlight w:val="none"/>
              </w:rPr>
            </w:pPr>
            <w:r>
              <w:rPr>
                <w:rFonts w:cs="Times New Roman"/>
                <w:color w:val="auto"/>
                <w:sz w:val="24"/>
                <w:highlight w:val="none"/>
              </w:rPr>
              <w:t>保障医疗保障基金安全运行</w:t>
            </w:r>
          </w:p>
        </w:tc>
        <w:tc>
          <w:tcPr>
            <w:tcW w:w="725" w:type="pct"/>
            <w:shd w:val="clear" w:color="auto" w:fill="auto"/>
            <w:vAlign w:val="center"/>
          </w:tcPr>
          <w:p>
            <w:pPr>
              <w:pStyle w:val="26"/>
              <w:spacing w:line="240" w:lineRule="auto"/>
              <w:rPr>
                <w:rFonts w:cs="Times New Roman"/>
                <w:color w:val="auto"/>
                <w:highlight w:val="none"/>
              </w:rPr>
            </w:pPr>
            <w:r>
              <w:rPr>
                <w:rFonts w:cs="Times New Roman"/>
                <w:color w:val="auto"/>
                <w:highlight w:val="none"/>
              </w:rPr>
              <w:t>有一定效果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57" w:type="pct"/>
            <w:vMerge w:val="continue"/>
            <w:shd w:val="clear" w:color="auto" w:fill="auto"/>
            <w:vAlign w:val="center"/>
          </w:tcPr>
          <w:p>
            <w:pPr>
              <w:pStyle w:val="26"/>
              <w:spacing w:line="240" w:lineRule="auto"/>
              <w:rPr>
                <w:rFonts w:cs="Times New Roman"/>
                <w:color w:val="auto"/>
                <w:highlight w:val="none"/>
              </w:rPr>
            </w:pPr>
          </w:p>
        </w:tc>
        <w:tc>
          <w:tcPr>
            <w:tcW w:w="3617" w:type="pct"/>
            <w:shd w:val="clear" w:color="auto" w:fill="auto"/>
            <w:vAlign w:val="center"/>
          </w:tcPr>
          <w:p>
            <w:pPr>
              <w:pStyle w:val="26"/>
              <w:spacing w:line="240" w:lineRule="auto"/>
              <w:jc w:val="left"/>
              <w:rPr>
                <w:rFonts w:cs="Times New Roman"/>
                <w:color w:val="auto"/>
                <w:sz w:val="24"/>
                <w:highlight w:val="none"/>
              </w:rPr>
            </w:pPr>
            <w:r>
              <w:rPr>
                <w:rFonts w:cs="Times New Roman"/>
                <w:color w:val="auto"/>
                <w:sz w:val="24"/>
                <w:highlight w:val="none"/>
              </w:rPr>
              <w:t>参保对象满意度</w:t>
            </w:r>
          </w:p>
        </w:tc>
        <w:tc>
          <w:tcPr>
            <w:tcW w:w="725" w:type="pct"/>
            <w:shd w:val="clear" w:color="auto" w:fill="auto"/>
            <w:vAlign w:val="center"/>
          </w:tcPr>
          <w:p>
            <w:pPr>
              <w:pStyle w:val="26"/>
              <w:spacing w:line="240" w:lineRule="auto"/>
              <w:rPr>
                <w:rFonts w:cs="Times New Roman"/>
                <w:color w:val="auto"/>
                <w:highlight w:val="none"/>
              </w:rPr>
            </w:pPr>
            <w:r>
              <w:rPr>
                <w:rFonts w:cs="Times New Roman"/>
                <w:color w:val="auto"/>
                <w:highlight w:val="none"/>
              </w:rPr>
              <w:t>85%</w:t>
            </w:r>
          </w:p>
        </w:tc>
      </w:tr>
    </w:tbl>
    <w:p>
      <w:pPr>
        <w:pStyle w:val="4"/>
        <w:ind w:firstLine="640"/>
        <w:rPr>
          <w:rFonts w:cs="Times New Roman"/>
          <w:color w:val="auto"/>
          <w:highlight w:val="none"/>
        </w:rPr>
      </w:pPr>
      <w:bookmarkStart w:id="28" w:name="_Toc5666"/>
      <w:bookmarkStart w:id="29" w:name="_Toc28682"/>
      <w:bookmarkStart w:id="30" w:name="_Toc2158"/>
      <w:bookmarkStart w:id="31" w:name="_Toc21799"/>
      <w:bookmarkStart w:id="32" w:name="_Toc151997598"/>
      <w:bookmarkStart w:id="33" w:name="_Toc26639"/>
      <w:r>
        <w:rPr>
          <w:rFonts w:cs="Times New Roman"/>
          <w:color w:val="auto"/>
          <w:highlight w:val="none"/>
        </w:rPr>
        <w:t>（四）部门预算收支情况。</w:t>
      </w:r>
      <w:bookmarkEnd w:id="28"/>
      <w:bookmarkEnd w:id="29"/>
      <w:bookmarkEnd w:id="30"/>
      <w:bookmarkEnd w:id="31"/>
      <w:bookmarkEnd w:id="32"/>
      <w:bookmarkEnd w:id="33"/>
    </w:p>
    <w:p>
      <w:pPr>
        <w:ind w:firstLine="640"/>
        <w:rPr>
          <w:bCs/>
          <w:color w:val="auto"/>
          <w:highlight w:val="none"/>
        </w:rPr>
      </w:pPr>
      <w:r>
        <w:rPr>
          <w:bCs/>
          <w:color w:val="auto"/>
          <w:highlight w:val="none"/>
        </w:rPr>
        <w:t>1.总体预算收支情况</w:t>
      </w:r>
    </w:p>
    <w:p>
      <w:pPr>
        <w:ind w:firstLine="640"/>
        <w:rPr>
          <w:color w:val="auto"/>
          <w:highlight w:val="none"/>
        </w:rPr>
      </w:pPr>
      <w:r>
        <w:rPr>
          <w:color w:val="auto"/>
          <w:highlight w:val="none"/>
        </w:rPr>
        <w:t>根据部门决算报表，市医疗保障局2022年年初预算安排122,175.11万元，均为一般公共预算财政拨款，年中调减103,272.95万元，预算调整率为84.53%，全年预算安排18,902.16万元。截至2022年12月，全年支出18,902.16万元，资金支出率达到100%，具体见表1-5。</w:t>
      </w:r>
    </w:p>
    <w:p>
      <w:pPr>
        <w:pStyle w:val="25"/>
        <w:rPr>
          <w:color w:val="auto"/>
          <w:highlight w:val="none"/>
        </w:rPr>
      </w:pPr>
      <w:r>
        <w:rPr>
          <w:color w:val="auto"/>
          <w:highlight w:val="none"/>
        </w:rPr>
        <w:t>表1-5 2022年部门预算收支情况表</w:t>
      </w:r>
    </w:p>
    <w:p>
      <w:pPr>
        <w:spacing w:line="560" w:lineRule="exact"/>
        <w:ind w:firstLine="0" w:firstLineChars="0"/>
        <w:jc w:val="right"/>
        <w:rPr>
          <w:b w:val="0"/>
          <w:bCs/>
          <w:color w:val="auto"/>
          <w:sz w:val="24"/>
          <w:szCs w:val="24"/>
          <w:highlight w:val="none"/>
        </w:rPr>
      </w:pPr>
      <w:r>
        <w:rPr>
          <w:rFonts w:eastAsia="宋体"/>
          <w:b w:val="0"/>
          <w:bCs/>
          <w:color w:val="auto"/>
          <w:sz w:val="24"/>
          <w:szCs w:val="24"/>
          <w:highlight w:val="none"/>
        </w:rPr>
        <w:t>单位：万元</w:t>
      </w:r>
    </w:p>
    <w:tbl>
      <w:tblPr>
        <w:tblStyle w:val="18"/>
        <w:tblW w:w="4997" w:type="pct"/>
        <w:jc w:val="center"/>
        <w:tblLayout w:type="autofit"/>
        <w:tblCellMar>
          <w:top w:w="0" w:type="dxa"/>
          <w:left w:w="108" w:type="dxa"/>
          <w:bottom w:w="0" w:type="dxa"/>
          <w:right w:w="108" w:type="dxa"/>
        </w:tblCellMar>
      </w:tblPr>
      <w:tblGrid>
        <w:gridCol w:w="864"/>
        <w:gridCol w:w="1545"/>
        <w:gridCol w:w="1632"/>
        <w:gridCol w:w="1091"/>
        <w:gridCol w:w="1399"/>
        <w:gridCol w:w="1399"/>
        <w:gridCol w:w="1238"/>
      </w:tblGrid>
      <w:tr>
        <w:tblPrEx>
          <w:tblCellMar>
            <w:top w:w="0" w:type="dxa"/>
            <w:left w:w="108" w:type="dxa"/>
            <w:bottom w:w="0" w:type="dxa"/>
            <w:right w:w="108" w:type="dxa"/>
          </w:tblCellMar>
        </w:tblPrEx>
        <w:trPr>
          <w:trHeight w:val="567" w:hRule="atLeast"/>
          <w:tblHeader/>
          <w:jc w:val="center"/>
        </w:trPr>
        <w:tc>
          <w:tcPr>
            <w:tcW w:w="919"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支出类型</w:t>
            </w:r>
          </w:p>
        </w:tc>
        <w:tc>
          <w:tcPr>
            <w:tcW w:w="71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年初预算</w:t>
            </w:r>
          </w:p>
          <w:p>
            <w:pPr>
              <w:pStyle w:val="26"/>
              <w:spacing w:line="240" w:lineRule="auto"/>
              <w:rPr>
                <w:rFonts w:cs="Times New Roman"/>
                <w:b/>
                <w:bCs w:val="0"/>
                <w:color w:val="auto"/>
                <w:szCs w:val="21"/>
                <w:highlight w:val="none"/>
              </w:rPr>
            </w:pPr>
            <w:r>
              <w:rPr>
                <w:rFonts w:cs="Times New Roman"/>
                <w:b/>
                <w:bCs w:val="0"/>
                <w:color w:val="auto"/>
                <w:szCs w:val="21"/>
                <w:highlight w:val="none"/>
              </w:rPr>
              <w:t>安排数</w:t>
            </w:r>
          </w:p>
        </w:tc>
        <w:tc>
          <w:tcPr>
            <w:tcW w:w="75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全年预算</w:t>
            </w:r>
          </w:p>
          <w:p>
            <w:pPr>
              <w:pStyle w:val="26"/>
              <w:spacing w:line="240" w:lineRule="auto"/>
              <w:rPr>
                <w:rFonts w:cs="Times New Roman"/>
                <w:b/>
                <w:bCs w:val="0"/>
                <w:color w:val="auto"/>
                <w:szCs w:val="21"/>
                <w:highlight w:val="none"/>
              </w:rPr>
            </w:pPr>
            <w:r>
              <w:rPr>
                <w:rFonts w:cs="Times New Roman"/>
                <w:b/>
                <w:bCs w:val="0"/>
                <w:color w:val="auto"/>
                <w:szCs w:val="21"/>
                <w:highlight w:val="none"/>
              </w:rPr>
              <w:t>调整数</w:t>
            </w:r>
          </w:p>
        </w:tc>
        <w:tc>
          <w:tcPr>
            <w:tcW w:w="645"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预算</w:t>
            </w:r>
          </w:p>
          <w:p>
            <w:pPr>
              <w:pStyle w:val="26"/>
              <w:spacing w:line="240" w:lineRule="auto"/>
              <w:rPr>
                <w:rFonts w:cs="Times New Roman"/>
                <w:b/>
                <w:bCs w:val="0"/>
                <w:color w:val="auto"/>
                <w:szCs w:val="21"/>
                <w:highlight w:val="none"/>
              </w:rPr>
            </w:pPr>
            <w:r>
              <w:rPr>
                <w:rFonts w:cs="Times New Roman"/>
                <w:b/>
                <w:bCs w:val="0"/>
                <w:color w:val="auto"/>
                <w:szCs w:val="21"/>
                <w:highlight w:val="none"/>
              </w:rPr>
              <w:t>调整率</w:t>
            </w:r>
          </w:p>
        </w:tc>
        <w:tc>
          <w:tcPr>
            <w:tcW w:w="6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全年预算</w:t>
            </w:r>
          </w:p>
          <w:p>
            <w:pPr>
              <w:pStyle w:val="26"/>
              <w:spacing w:line="240" w:lineRule="auto"/>
              <w:rPr>
                <w:rFonts w:cs="Times New Roman"/>
                <w:b/>
                <w:bCs w:val="0"/>
                <w:color w:val="auto"/>
                <w:szCs w:val="21"/>
                <w:highlight w:val="none"/>
              </w:rPr>
            </w:pPr>
            <w:r>
              <w:rPr>
                <w:rFonts w:cs="Times New Roman"/>
                <w:b/>
                <w:bCs w:val="0"/>
                <w:color w:val="auto"/>
                <w:szCs w:val="21"/>
                <w:highlight w:val="none"/>
              </w:rPr>
              <w:t>安排数</w:t>
            </w:r>
          </w:p>
        </w:tc>
        <w:tc>
          <w:tcPr>
            <w:tcW w:w="65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实际</w:t>
            </w:r>
          </w:p>
          <w:p>
            <w:pPr>
              <w:pStyle w:val="26"/>
              <w:spacing w:line="240" w:lineRule="auto"/>
              <w:rPr>
                <w:rFonts w:cs="Times New Roman"/>
                <w:b/>
                <w:bCs w:val="0"/>
                <w:color w:val="auto"/>
                <w:szCs w:val="21"/>
                <w:highlight w:val="none"/>
              </w:rPr>
            </w:pPr>
            <w:r>
              <w:rPr>
                <w:rFonts w:cs="Times New Roman"/>
                <w:b/>
                <w:bCs w:val="0"/>
                <w:color w:val="auto"/>
                <w:szCs w:val="21"/>
                <w:highlight w:val="none"/>
              </w:rPr>
              <w:t>支出数</w:t>
            </w:r>
          </w:p>
        </w:tc>
        <w:tc>
          <w:tcPr>
            <w:tcW w:w="64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资金</w:t>
            </w:r>
          </w:p>
          <w:p>
            <w:pPr>
              <w:pStyle w:val="26"/>
              <w:spacing w:line="240" w:lineRule="auto"/>
              <w:rPr>
                <w:rFonts w:cs="Times New Roman"/>
                <w:b/>
                <w:bCs w:val="0"/>
                <w:color w:val="auto"/>
                <w:szCs w:val="21"/>
                <w:highlight w:val="none"/>
              </w:rPr>
            </w:pPr>
            <w:r>
              <w:rPr>
                <w:rFonts w:cs="Times New Roman"/>
                <w:b/>
                <w:bCs w:val="0"/>
                <w:color w:val="auto"/>
                <w:szCs w:val="21"/>
                <w:highlight w:val="none"/>
              </w:rPr>
              <w:t>支出率</w:t>
            </w:r>
          </w:p>
        </w:tc>
      </w:tr>
      <w:tr>
        <w:tblPrEx>
          <w:tblCellMar>
            <w:top w:w="0" w:type="dxa"/>
            <w:left w:w="108" w:type="dxa"/>
            <w:bottom w:w="0" w:type="dxa"/>
            <w:right w:w="108" w:type="dxa"/>
          </w:tblCellMar>
        </w:tblPrEx>
        <w:trPr>
          <w:trHeight w:val="567" w:hRule="atLeast"/>
          <w:jc w:val="center"/>
        </w:trPr>
        <w:tc>
          <w:tcPr>
            <w:tcW w:w="919"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jc w:val="left"/>
              <w:rPr>
                <w:rFonts w:cs="Times New Roman"/>
                <w:color w:val="auto"/>
                <w:szCs w:val="21"/>
                <w:highlight w:val="none"/>
              </w:rPr>
            </w:pPr>
            <w:r>
              <w:rPr>
                <w:rFonts w:cs="Times New Roman"/>
                <w:color w:val="auto"/>
                <w:szCs w:val="21"/>
                <w:highlight w:val="none"/>
              </w:rPr>
              <w:t>1.基本支出</w:t>
            </w:r>
          </w:p>
        </w:tc>
        <w:tc>
          <w:tcPr>
            <w:tcW w:w="71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338.21</w:t>
            </w:r>
          </w:p>
        </w:tc>
        <w:tc>
          <w:tcPr>
            <w:tcW w:w="75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64.86</w:t>
            </w:r>
          </w:p>
        </w:tc>
        <w:tc>
          <w:tcPr>
            <w:tcW w:w="645"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19.18%</w:t>
            </w:r>
          </w:p>
        </w:tc>
        <w:tc>
          <w:tcPr>
            <w:tcW w:w="6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403.07</w:t>
            </w:r>
          </w:p>
        </w:tc>
        <w:tc>
          <w:tcPr>
            <w:tcW w:w="65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403.07</w:t>
            </w:r>
          </w:p>
        </w:tc>
        <w:tc>
          <w:tcPr>
            <w:tcW w:w="64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100.00%</w:t>
            </w:r>
          </w:p>
        </w:tc>
      </w:tr>
      <w:tr>
        <w:tblPrEx>
          <w:tblCellMar>
            <w:top w:w="0" w:type="dxa"/>
            <w:left w:w="108" w:type="dxa"/>
            <w:bottom w:w="0" w:type="dxa"/>
            <w:right w:w="108" w:type="dxa"/>
          </w:tblCellMar>
        </w:tblPrEx>
        <w:trPr>
          <w:trHeight w:val="567" w:hRule="atLeast"/>
          <w:jc w:val="center"/>
        </w:trPr>
        <w:tc>
          <w:tcPr>
            <w:tcW w:w="919"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jc w:val="left"/>
              <w:rPr>
                <w:rFonts w:cs="Times New Roman"/>
                <w:color w:val="auto"/>
                <w:szCs w:val="21"/>
                <w:highlight w:val="none"/>
              </w:rPr>
            </w:pPr>
            <w:r>
              <w:rPr>
                <w:rFonts w:cs="Times New Roman"/>
                <w:color w:val="auto"/>
                <w:szCs w:val="21"/>
                <w:highlight w:val="none"/>
              </w:rPr>
              <w:t xml:space="preserve">    人员经费</w:t>
            </w:r>
          </w:p>
        </w:tc>
        <w:tc>
          <w:tcPr>
            <w:tcW w:w="71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290.58</w:t>
            </w:r>
          </w:p>
        </w:tc>
        <w:tc>
          <w:tcPr>
            <w:tcW w:w="75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56.43</w:t>
            </w:r>
          </w:p>
        </w:tc>
        <w:tc>
          <w:tcPr>
            <w:tcW w:w="645"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19.42%</w:t>
            </w:r>
          </w:p>
        </w:tc>
        <w:tc>
          <w:tcPr>
            <w:tcW w:w="6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347.01</w:t>
            </w:r>
          </w:p>
        </w:tc>
        <w:tc>
          <w:tcPr>
            <w:tcW w:w="65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347.01</w:t>
            </w:r>
          </w:p>
        </w:tc>
        <w:tc>
          <w:tcPr>
            <w:tcW w:w="64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100.00%</w:t>
            </w:r>
          </w:p>
        </w:tc>
      </w:tr>
      <w:tr>
        <w:tblPrEx>
          <w:tblCellMar>
            <w:top w:w="0" w:type="dxa"/>
            <w:left w:w="108" w:type="dxa"/>
            <w:bottom w:w="0" w:type="dxa"/>
            <w:right w:w="108" w:type="dxa"/>
          </w:tblCellMar>
        </w:tblPrEx>
        <w:trPr>
          <w:trHeight w:val="567" w:hRule="atLeast"/>
          <w:jc w:val="center"/>
        </w:trPr>
        <w:tc>
          <w:tcPr>
            <w:tcW w:w="919"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jc w:val="left"/>
              <w:rPr>
                <w:rFonts w:cs="Times New Roman"/>
                <w:color w:val="auto"/>
                <w:szCs w:val="21"/>
                <w:highlight w:val="none"/>
              </w:rPr>
            </w:pPr>
            <w:r>
              <w:rPr>
                <w:rFonts w:cs="Times New Roman"/>
                <w:color w:val="auto"/>
                <w:szCs w:val="21"/>
                <w:highlight w:val="none"/>
              </w:rPr>
              <w:t xml:space="preserve">    公用经费</w:t>
            </w:r>
          </w:p>
        </w:tc>
        <w:tc>
          <w:tcPr>
            <w:tcW w:w="71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47.63</w:t>
            </w:r>
          </w:p>
        </w:tc>
        <w:tc>
          <w:tcPr>
            <w:tcW w:w="75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8.43</w:t>
            </w:r>
          </w:p>
        </w:tc>
        <w:tc>
          <w:tcPr>
            <w:tcW w:w="645"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17.70%</w:t>
            </w:r>
          </w:p>
        </w:tc>
        <w:tc>
          <w:tcPr>
            <w:tcW w:w="6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56.06</w:t>
            </w:r>
          </w:p>
        </w:tc>
        <w:tc>
          <w:tcPr>
            <w:tcW w:w="65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56.06</w:t>
            </w:r>
          </w:p>
        </w:tc>
        <w:tc>
          <w:tcPr>
            <w:tcW w:w="64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100.00%</w:t>
            </w:r>
          </w:p>
        </w:tc>
      </w:tr>
      <w:tr>
        <w:tblPrEx>
          <w:tblCellMar>
            <w:top w:w="0" w:type="dxa"/>
            <w:left w:w="108" w:type="dxa"/>
            <w:bottom w:w="0" w:type="dxa"/>
            <w:right w:w="108" w:type="dxa"/>
          </w:tblCellMar>
        </w:tblPrEx>
        <w:trPr>
          <w:trHeight w:val="567" w:hRule="atLeast"/>
          <w:jc w:val="center"/>
        </w:trPr>
        <w:tc>
          <w:tcPr>
            <w:tcW w:w="919"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jc w:val="left"/>
              <w:rPr>
                <w:rFonts w:cs="Times New Roman"/>
                <w:color w:val="auto"/>
                <w:szCs w:val="21"/>
                <w:highlight w:val="none"/>
              </w:rPr>
            </w:pPr>
            <w:r>
              <w:rPr>
                <w:rFonts w:cs="Times New Roman"/>
                <w:color w:val="auto"/>
                <w:szCs w:val="21"/>
                <w:highlight w:val="none"/>
              </w:rPr>
              <w:t>2.项目支出</w:t>
            </w:r>
          </w:p>
        </w:tc>
        <w:tc>
          <w:tcPr>
            <w:tcW w:w="71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121,836.90</w:t>
            </w:r>
          </w:p>
        </w:tc>
        <w:tc>
          <w:tcPr>
            <w:tcW w:w="75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-103,337.81</w:t>
            </w:r>
          </w:p>
        </w:tc>
        <w:tc>
          <w:tcPr>
            <w:tcW w:w="645"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84.82%</w:t>
            </w:r>
          </w:p>
        </w:tc>
        <w:tc>
          <w:tcPr>
            <w:tcW w:w="6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18,499.09</w:t>
            </w:r>
          </w:p>
        </w:tc>
        <w:tc>
          <w:tcPr>
            <w:tcW w:w="65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18,499.09</w:t>
            </w:r>
          </w:p>
        </w:tc>
        <w:tc>
          <w:tcPr>
            <w:tcW w:w="64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100.00%</w:t>
            </w:r>
          </w:p>
        </w:tc>
      </w:tr>
      <w:tr>
        <w:tblPrEx>
          <w:tblCellMar>
            <w:top w:w="0" w:type="dxa"/>
            <w:left w:w="108" w:type="dxa"/>
            <w:bottom w:w="0" w:type="dxa"/>
            <w:right w:w="108" w:type="dxa"/>
          </w:tblCellMar>
        </w:tblPrEx>
        <w:trPr>
          <w:trHeight w:val="567" w:hRule="atLeast"/>
          <w:jc w:val="center"/>
        </w:trPr>
        <w:tc>
          <w:tcPr>
            <w:tcW w:w="919"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合计</w:t>
            </w:r>
          </w:p>
        </w:tc>
        <w:tc>
          <w:tcPr>
            <w:tcW w:w="71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122,175.11</w:t>
            </w:r>
          </w:p>
        </w:tc>
        <w:tc>
          <w:tcPr>
            <w:tcW w:w="75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-103,272.95</w:t>
            </w:r>
          </w:p>
        </w:tc>
        <w:tc>
          <w:tcPr>
            <w:tcW w:w="645"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84.53%</w:t>
            </w:r>
          </w:p>
        </w:tc>
        <w:tc>
          <w:tcPr>
            <w:tcW w:w="6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18,902.16</w:t>
            </w:r>
          </w:p>
        </w:tc>
        <w:tc>
          <w:tcPr>
            <w:tcW w:w="650"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18,902.16</w:t>
            </w:r>
          </w:p>
        </w:tc>
        <w:tc>
          <w:tcPr>
            <w:tcW w:w="64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100.00%</w:t>
            </w:r>
          </w:p>
        </w:tc>
      </w:tr>
    </w:tbl>
    <w:p>
      <w:pPr>
        <w:ind w:firstLine="640"/>
        <w:rPr>
          <w:color w:val="auto"/>
          <w:highlight w:val="none"/>
        </w:rPr>
      </w:pPr>
      <w:r>
        <w:rPr>
          <w:bCs/>
          <w:color w:val="auto"/>
          <w:highlight w:val="none"/>
        </w:rPr>
        <w:t>（1）基本支出。</w:t>
      </w:r>
      <w:r>
        <w:rPr>
          <w:color w:val="auto"/>
          <w:highlight w:val="none"/>
        </w:rPr>
        <w:t>2022年年初预算安排338.21万元，年中调增64.86万元，预算调整率为19.18%，调整原因是：根据韶机编办发〔2022〕19号文</w:t>
      </w:r>
      <w:r>
        <w:rPr>
          <w:rStyle w:val="23"/>
          <w:color w:val="auto"/>
          <w:highlight w:val="none"/>
        </w:rPr>
        <w:footnoteReference w:id="5"/>
      </w:r>
      <w:r>
        <w:rPr>
          <w:color w:val="auto"/>
          <w:highlight w:val="none"/>
        </w:rPr>
        <w:t>，市委编办批复同意增设基金监管科，增加2名行政编制。2022年市医疗保障局新调入2名行政编制，人员经费和公用经费相应增加。截至2022年12月，全年预算安排403.07万元，实际支出403.07万元，资金支出率达到100%。</w:t>
      </w:r>
    </w:p>
    <w:p>
      <w:pPr>
        <w:ind w:firstLine="640"/>
        <w:rPr>
          <w:b/>
          <w:bCs/>
          <w:color w:val="auto"/>
          <w:highlight w:val="none"/>
        </w:rPr>
      </w:pPr>
      <w:r>
        <w:rPr>
          <w:bCs/>
          <w:color w:val="auto"/>
          <w:highlight w:val="none"/>
        </w:rPr>
        <w:t>（2）项目支出。</w:t>
      </w:r>
      <w:r>
        <w:rPr>
          <w:color w:val="auto"/>
          <w:highlight w:val="none"/>
        </w:rPr>
        <w:t>2022年年初预算安排121,836.90万元，年中调减103,337.81万元，预算调整率为84.82%，调整原因主要是：</w:t>
      </w:r>
      <w:r>
        <w:rPr>
          <w:b/>
          <w:bCs/>
          <w:color w:val="auto"/>
          <w:highlight w:val="none"/>
        </w:rPr>
        <w:t>一是</w:t>
      </w:r>
      <w:r>
        <w:rPr>
          <w:color w:val="auto"/>
          <w:highlight w:val="none"/>
        </w:rPr>
        <w:t>市医疗保障局在预算编报时，按照相关通知要求将上级转移支付资金纳入部门预算，由于对下转移支付资金由财政部门直接下达，对应的资金列支无需在局层面反映，故在部门决算编报时，剔除上述资金。</w:t>
      </w:r>
      <w:r>
        <w:rPr>
          <w:b/>
          <w:bCs/>
          <w:color w:val="auto"/>
          <w:highlight w:val="none"/>
        </w:rPr>
        <w:t>二是</w:t>
      </w:r>
      <w:r>
        <w:rPr>
          <w:color w:val="auto"/>
          <w:highlight w:val="none"/>
        </w:rPr>
        <w:t>部分为财局收回资金。截至2022年12月，全年预算安排18,499.09万元，实际支出18,499.09万元，资金支出率达到100%。</w:t>
      </w:r>
    </w:p>
    <w:p>
      <w:pPr>
        <w:ind w:firstLine="640"/>
        <w:rPr>
          <w:bCs/>
          <w:color w:val="auto"/>
          <w:highlight w:val="none"/>
        </w:rPr>
      </w:pPr>
      <w:r>
        <w:rPr>
          <w:bCs/>
          <w:color w:val="auto"/>
          <w:highlight w:val="none"/>
        </w:rPr>
        <w:t>2.“三公”经费收支情况</w:t>
      </w:r>
    </w:p>
    <w:p>
      <w:pPr>
        <w:ind w:firstLine="640"/>
        <w:rPr>
          <w:color w:val="auto"/>
          <w:highlight w:val="none"/>
        </w:rPr>
      </w:pPr>
      <w:r>
        <w:rPr>
          <w:color w:val="auto"/>
          <w:highlight w:val="none"/>
        </w:rPr>
        <w:t>2022年“三公”经费预算安排3.06万元，其中：公务用车购置及运行费预算安排2万元，占预算总额比重65.36%；公务接待费预算安排1.06万元，占预算总额比重34.64%。截至2022年12月，实际支出2.15万元，各项支出未超出预算安排额度，见表1-6。</w:t>
      </w:r>
    </w:p>
    <w:p>
      <w:pPr>
        <w:pStyle w:val="25"/>
        <w:rPr>
          <w:color w:val="auto"/>
          <w:highlight w:val="none"/>
        </w:rPr>
      </w:pPr>
      <w:r>
        <w:rPr>
          <w:color w:val="auto"/>
          <w:highlight w:val="none"/>
        </w:rPr>
        <w:t>表1-6 “三公经费”预算收支情况表</w:t>
      </w:r>
    </w:p>
    <w:p>
      <w:pPr>
        <w:spacing w:line="560" w:lineRule="exact"/>
        <w:ind w:firstLine="0" w:firstLineChars="0"/>
        <w:jc w:val="right"/>
        <w:rPr>
          <w:rFonts w:eastAsia="宋体"/>
          <w:b w:val="0"/>
          <w:bCs/>
          <w:color w:val="auto"/>
          <w:sz w:val="24"/>
          <w:szCs w:val="24"/>
          <w:highlight w:val="none"/>
        </w:rPr>
      </w:pPr>
      <w:r>
        <w:rPr>
          <w:rFonts w:eastAsia="宋体"/>
          <w:b w:val="0"/>
          <w:bCs/>
          <w:color w:val="auto"/>
          <w:sz w:val="24"/>
          <w:szCs w:val="24"/>
          <w:highlight w:val="none"/>
        </w:rPr>
        <w:t>单位：万元</w:t>
      </w:r>
    </w:p>
    <w:tbl>
      <w:tblPr>
        <w:tblStyle w:val="18"/>
        <w:tblW w:w="4998" w:type="pct"/>
        <w:jc w:val="center"/>
        <w:tblLayout w:type="autofit"/>
        <w:tblCellMar>
          <w:top w:w="0" w:type="dxa"/>
          <w:left w:w="108" w:type="dxa"/>
          <w:bottom w:w="0" w:type="dxa"/>
          <w:right w:w="108" w:type="dxa"/>
        </w:tblCellMar>
      </w:tblPr>
      <w:tblGrid>
        <w:gridCol w:w="3224"/>
        <w:gridCol w:w="2055"/>
        <w:gridCol w:w="1994"/>
        <w:gridCol w:w="1897"/>
      </w:tblGrid>
      <w:tr>
        <w:tblPrEx>
          <w:tblCellMar>
            <w:top w:w="0" w:type="dxa"/>
            <w:left w:w="108" w:type="dxa"/>
            <w:bottom w:w="0" w:type="dxa"/>
            <w:right w:w="108" w:type="dxa"/>
          </w:tblCellMar>
        </w:tblPrEx>
        <w:trPr>
          <w:trHeight w:val="454" w:hRule="atLeast"/>
          <w:tblHeader/>
          <w:jc w:val="center"/>
        </w:trPr>
        <w:tc>
          <w:tcPr>
            <w:tcW w:w="175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sz w:val="21"/>
                <w:szCs w:val="21"/>
                <w:highlight w:val="none"/>
              </w:rPr>
              <w:t>支出类型</w:t>
            </w:r>
          </w:p>
        </w:tc>
        <w:tc>
          <w:tcPr>
            <w:tcW w:w="112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预算安排数</w:t>
            </w:r>
          </w:p>
        </w:tc>
        <w:tc>
          <w:tcPr>
            <w:tcW w:w="10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实际支出数</w:t>
            </w:r>
          </w:p>
        </w:tc>
        <w:tc>
          <w:tcPr>
            <w:tcW w:w="103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对比差额</w:t>
            </w:r>
          </w:p>
        </w:tc>
      </w:tr>
      <w:tr>
        <w:tblPrEx>
          <w:tblCellMar>
            <w:top w:w="0" w:type="dxa"/>
            <w:left w:w="108" w:type="dxa"/>
            <w:bottom w:w="0" w:type="dxa"/>
            <w:right w:w="108" w:type="dxa"/>
          </w:tblCellMar>
        </w:tblPrEx>
        <w:trPr>
          <w:trHeight w:val="454" w:hRule="atLeast"/>
          <w:jc w:val="center"/>
        </w:trPr>
        <w:tc>
          <w:tcPr>
            <w:tcW w:w="175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因公出国（境）费</w:t>
            </w:r>
          </w:p>
        </w:tc>
        <w:tc>
          <w:tcPr>
            <w:tcW w:w="1120"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0.00</w:t>
            </w:r>
          </w:p>
        </w:tc>
        <w:tc>
          <w:tcPr>
            <w:tcW w:w="10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0.00</w:t>
            </w:r>
          </w:p>
        </w:tc>
        <w:tc>
          <w:tcPr>
            <w:tcW w:w="103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0.00</w:t>
            </w:r>
          </w:p>
        </w:tc>
      </w:tr>
      <w:tr>
        <w:tblPrEx>
          <w:tblCellMar>
            <w:top w:w="0" w:type="dxa"/>
            <w:left w:w="108" w:type="dxa"/>
            <w:bottom w:w="0" w:type="dxa"/>
            <w:right w:w="108" w:type="dxa"/>
          </w:tblCellMar>
        </w:tblPrEx>
        <w:trPr>
          <w:trHeight w:val="454" w:hRule="atLeast"/>
          <w:jc w:val="center"/>
        </w:trPr>
        <w:tc>
          <w:tcPr>
            <w:tcW w:w="175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公务用车购置及运行费</w:t>
            </w:r>
          </w:p>
        </w:tc>
        <w:tc>
          <w:tcPr>
            <w:tcW w:w="1120"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2.00</w:t>
            </w:r>
          </w:p>
        </w:tc>
        <w:tc>
          <w:tcPr>
            <w:tcW w:w="10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1.21</w:t>
            </w:r>
          </w:p>
        </w:tc>
        <w:tc>
          <w:tcPr>
            <w:tcW w:w="103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0.79</w:t>
            </w:r>
          </w:p>
        </w:tc>
      </w:tr>
      <w:tr>
        <w:tblPrEx>
          <w:tblCellMar>
            <w:top w:w="0" w:type="dxa"/>
            <w:left w:w="108" w:type="dxa"/>
            <w:bottom w:w="0" w:type="dxa"/>
            <w:right w:w="108" w:type="dxa"/>
          </w:tblCellMar>
        </w:tblPrEx>
        <w:trPr>
          <w:trHeight w:val="454" w:hRule="atLeast"/>
          <w:jc w:val="center"/>
        </w:trPr>
        <w:tc>
          <w:tcPr>
            <w:tcW w:w="175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公务接待费</w:t>
            </w:r>
          </w:p>
        </w:tc>
        <w:tc>
          <w:tcPr>
            <w:tcW w:w="112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1.06</w:t>
            </w:r>
          </w:p>
        </w:tc>
        <w:tc>
          <w:tcPr>
            <w:tcW w:w="10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0.94</w:t>
            </w:r>
          </w:p>
        </w:tc>
        <w:tc>
          <w:tcPr>
            <w:tcW w:w="103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0.12</w:t>
            </w:r>
          </w:p>
        </w:tc>
      </w:tr>
      <w:tr>
        <w:tblPrEx>
          <w:tblCellMar>
            <w:top w:w="0" w:type="dxa"/>
            <w:left w:w="108" w:type="dxa"/>
            <w:bottom w:w="0" w:type="dxa"/>
            <w:right w:w="108" w:type="dxa"/>
          </w:tblCellMar>
        </w:tblPrEx>
        <w:trPr>
          <w:trHeight w:val="454" w:hRule="atLeast"/>
          <w:jc w:val="center"/>
        </w:trPr>
        <w:tc>
          <w:tcPr>
            <w:tcW w:w="175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合计</w:t>
            </w:r>
          </w:p>
        </w:tc>
        <w:tc>
          <w:tcPr>
            <w:tcW w:w="112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3.06</w:t>
            </w:r>
          </w:p>
        </w:tc>
        <w:tc>
          <w:tcPr>
            <w:tcW w:w="10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2.15</w:t>
            </w:r>
          </w:p>
        </w:tc>
        <w:tc>
          <w:tcPr>
            <w:tcW w:w="103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0.91</w:t>
            </w:r>
          </w:p>
        </w:tc>
      </w:tr>
    </w:tbl>
    <w:p>
      <w:pPr>
        <w:ind w:firstLine="640"/>
        <w:rPr>
          <w:color w:val="auto"/>
          <w:highlight w:val="none"/>
        </w:rPr>
      </w:pPr>
      <w:r>
        <w:rPr>
          <w:color w:val="auto"/>
          <w:highlight w:val="none"/>
        </w:rPr>
        <w:t>如图1-2，2020年以来，“三公”经费各项支出呈现逐年下降趋势，特别是公务用车购置及运行费从2020年实际支出21.43万元，逐年下降至1.21万元。由此可见，市医疗保障局严格遵守中央八项规定精神和厉行节约的要求，严控“三公”经费各项开支。</w:t>
      </w:r>
    </w:p>
    <w:p>
      <w:pPr>
        <w:widowControl/>
        <w:ind w:firstLine="640"/>
        <w:jc w:val="center"/>
        <w:rPr>
          <w:color w:val="auto"/>
          <w:highlight w:val="none"/>
        </w:rPr>
      </w:pPr>
      <w:r>
        <w:rPr>
          <w:color w:val="auto"/>
          <w:highlight w:val="none"/>
        </w:rPr>
        <w:drawing>
          <wp:inline distT="0" distB="0" distL="114300" distR="114300">
            <wp:extent cx="4302125" cy="2174240"/>
            <wp:effectExtent l="9525" t="9525" r="16510" b="1079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5"/>
                    <a:stretch>
                      <a:fillRect/>
                    </a:stretch>
                  </pic:blipFill>
                  <pic:spPr>
                    <a:xfrm>
                      <a:off x="0" y="0"/>
                      <a:ext cx="4302125" cy="2174240"/>
                    </a:xfrm>
                    <a:prstGeom prst="rect">
                      <a:avLst/>
                    </a:prstGeom>
                    <a:noFill/>
                    <a:ln w="9525" cap="flat" cmpd="sng">
                      <a:solidFill>
                        <a:srgbClr val="000000"/>
                      </a:solidFill>
                      <a:prstDash val="solid"/>
                      <a:miter/>
                      <a:headEnd type="none" w="med" len="med"/>
                      <a:tailEnd type="none" w="med" len="med"/>
                    </a:ln>
                  </pic:spPr>
                </pic:pic>
              </a:graphicData>
            </a:graphic>
          </wp:inline>
        </w:drawing>
      </w:r>
    </w:p>
    <w:p>
      <w:pPr>
        <w:pStyle w:val="25"/>
        <w:spacing w:line="360" w:lineRule="auto"/>
        <w:rPr>
          <w:color w:val="auto"/>
          <w:highlight w:val="none"/>
        </w:rPr>
      </w:pPr>
      <w:r>
        <w:rPr>
          <w:color w:val="auto"/>
          <w:highlight w:val="none"/>
        </w:rPr>
        <w:t>图1-2 2020-2022年“三公”经费实际支出对比图</w:t>
      </w:r>
    </w:p>
    <w:p>
      <w:pPr>
        <w:widowControl/>
        <w:ind w:firstLine="640"/>
        <w:jc w:val="left"/>
        <w:rPr>
          <w:bCs/>
          <w:color w:val="auto"/>
          <w:highlight w:val="none"/>
        </w:rPr>
      </w:pPr>
      <w:r>
        <w:rPr>
          <w:bCs/>
          <w:color w:val="auto"/>
          <w:highlight w:val="none"/>
        </w:rPr>
        <w:t>3.政府采购收支情况</w:t>
      </w:r>
    </w:p>
    <w:p>
      <w:pPr>
        <w:ind w:firstLine="640"/>
        <w:rPr>
          <w:color w:val="auto"/>
          <w:highlight w:val="none"/>
        </w:rPr>
      </w:pPr>
      <w:r>
        <w:rPr>
          <w:color w:val="auto"/>
          <w:highlight w:val="none"/>
        </w:rPr>
        <w:t>2022年政府采购预算安排25.77万元，实际支出296.82万元，超出预算安排额度271.05万元（具体见表1-7、附件3），主要集中在政府采购服务支出（243.38万元，比重89.79%）。主要原因是：因实际业务需要，市医疗保障局临时追加广东省医疗保障信息平台（韶关）运营（2022年）项目、医保电子凭证宣传资料印刷服务、医保政策小册子等印刷服务等14项政府采购活动</w:t>
      </w:r>
      <w:r>
        <w:rPr>
          <w:rFonts w:hint="eastAsia"/>
          <w:color w:val="auto"/>
          <w:highlight w:val="none"/>
        </w:rPr>
        <w:t>（详见附件3）</w:t>
      </w:r>
      <w:r>
        <w:rPr>
          <w:color w:val="auto"/>
          <w:highlight w:val="none"/>
        </w:rPr>
        <w:t>，资金分别从省“数字政府建设资金”、中央财政医疗服务与保障能力提升补助资金</w:t>
      </w:r>
      <w:r>
        <w:rPr>
          <w:rFonts w:hint="eastAsia"/>
          <w:color w:val="auto"/>
          <w:highlight w:val="none"/>
        </w:rPr>
        <w:t>、</w:t>
      </w:r>
      <w:r>
        <w:rPr>
          <w:color w:val="auto"/>
          <w:highlight w:val="none"/>
        </w:rPr>
        <w:t>公用经费等项目中列支。</w:t>
      </w:r>
    </w:p>
    <w:p>
      <w:pPr>
        <w:pStyle w:val="25"/>
        <w:rPr>
          <w:color w:val="auto"/>
          <w:highlight w:val="none"/>
        </w:rPr>
      </w:pPr>
      <w:r>
        <w:rPr>
          <w:color w:val="auto"/>
          <w:highlight w:val="none"/>
        </w:rPr>
        <w:t>表1-7 政府采购预算收支情况明细表</w:t>
      </w:r>
    </w:p>
    <w:p>
      <w:pPr>
        <w:spacing w:line="560" w:lineRule="exact"/>
        <w:ind w:firstLine="0" w:firstLineChars="0"/>
        <w:jc w:val="right"/>
        <w:rPr>
          <w:b w:val="0"/>
          <w:bCs/>
          <w:color w:val="auto"/>
          <w:sz w:val="24"/>
          <w:szCs w:val="24"/>
          <w:highlight w:val="none"/>
        </w:rPr>
      </w:pPr>
      <w:r>
        <w:rPr>
          <w:rFonts w:eastAsia="宋体"/>
          <w:b w:val="0"/>
          <w:bCs/>
          <w:color w:val="auto"/>
          <w:sz w:val="24"/>
          <w:szCs w:val="24"/>
          <w:highlight w:val="none"/>
        </w:rPr>
        <w:t>单位：万元</w:t>
      </w:r>
    </w:p>
    <w:tbl>
      <w:tblPr>
        <w:tblStyle w:val="18"/>
        <w:tblW w:w="4998" w:type="pct"/>
        <w:jc w:val="center"/>
        <w:tblLayout w:type="autofit"/>
        <w:tblCellMar>
          <w:top w:w="0" w:type="dxa"/>
          <w:left w:w="108" w:type="dxa"/>
          <w:bottom w:w="0" w:type="dxa"/>
          <w:right w:w="108" w:type="dxa"/>
        </w:tblCellMar>
      </w:tblPr>
      <w:tblGrid>
        <w:gridCol w:w="3227"/>
        <w:gridCol w:w="2044"/>
        <w:gridCol w:w="2000"/>
        <w:gridCol w:w="1899"/>
      </w:tblGrid>
      <w:tr>
        <w:tblPrEx>
          <w:tblCellMar>
            <w:top w:w="0" w:type="dxa"/>
            <w:left w:w="108" w:type="dxa"/>
            <w:bottom w:w="0" w:type="dxa"/>
            <w:right w:w="108" w:type="dxa"/>
          </w:tblCellMar>
        </w:tblPrEx>
        <w:trPr>
          <w:trHeight w:val="454" w:hRule="atLeast"/>
          <w:tblHeader/>
          <w:jc w:val="center"/>
        </w:trPr>
        <w:tc>
          <w:tcPr>
            <w:tcW w:w="1759"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支出类型</w:t>
            </w:r>
          </w:p>
        </w:tc>
        <w:tc>
          <w:tcPr>
            <w:tcW w:w="111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预算安排数</w:t>
            </w:r>
          </w:p>
        </w:tc>
        <w:tc>
          <w:tcPr>
            <w:tcW w:w="1090"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实际支出数</w:t>
            </w:r>
          </w:p>
        </w:tc>
        <w:tc>
          <w:tcPr>
            <w:tcW w:w="1035"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对比差额</w:t>
            </w:r>
          </w:p>
        </w:tc>
      </w:tr>
      <w:tr>
        <w:tblPrEx>
          <w:tblCellMar>
            <w:top w:w="0" w:type="dxa"/>
            <w:left w:w="108" w:type="dxa"/>
            <w:bottom w:w="0" w:type="dxa"/>
            <w:right w:w="108" w:type="dxa"/>
          </w:tblCellMar>
        </w:tblPrEx>
        <w:trPr>
          <w:trHeight w:val="454" w:hRule="atLeast"/>
          <w:jc w:val="center"/>
        </w:trPr>
        <w:tc>
          <w:tcPr>
            <w:tcW w:w="1759"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政府采购货物支出</w:t>
            </w:r>
          </w:p>
        </w:tc>
        <w:tc>
          <w:tcPr>
            <w:tcW w:w="1114"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0.77</w:t>
            </w:r>
          </w:p>
        </w:tc>
        <w:tc>
          <w:tcPr>
            <w:tcW w:w="109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28.13</w:t>
            </w:r>
          </w:p>
        </w:tc>
        <w:tc>
          <w:tcPr>
            <w:tcW w:w="103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-27.36</w:t>
            </w:r>
          </w:p>
        </w:tc>
      </w:tr>
      <w:tr>
        <w:tblPrEx>
          <w:tblCellMar>
            <w:top w:w="0" w:type="dxa"/>
            <w:left w:w="108" w:type="dxa"/>
            <w:bottom w:w="0" w:type="dxa"/>
            <w:right w:w="108" w:type="dxa"/>
          </w:tblCellMar>
        </w:tblPrEx>
        <w:trPr>
          <w:trHeight w:val="454" w:hRule="atLeast"/>
          <w:jc w:val="center"/>
        </w:trPr>
        <w:tc>
          <w:tcPr>
            <w:tcW w:w="1759"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政府采购工程支出</w:t>
            </w:r>
          </w:p>
        </w:tc>
        <w:tc>
          <w:tcPr>
            <w:tcW w:w="1114"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7.00</w:t>
            </w:r>
          </w:p>
        </w:tc>
        <w:tc>
          <w:tcPr>
            <w:tcW w:w="109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7.31</w:t>
            </w:r>
          </w:p>
        </w:tc>
        <w:tc>
          <w:tcPr>
            <w:tcW w:w="103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-0.31</w:t>
            </w:r>
          </w:p>
        </w:tc>
      </w:tr>
      <w:tr>
        <w:tblPrEx>
          <w:tblCellMar>
            <w:top w:w="0" w:type="dxa"/>
            <w:left w:w="108" w:type="dxa"/>
            <w:bottom w:w="0" w:type="dxa"/>
            <w:right w:w="108" w:type="dxa"/>
          </w:tblCellMar>
        </w:tblPrEx>
        <w:trPr>
          <w:trHeight w:val="454" w:hRule="atLeast"/>
          <w:jc w:val="center"/>
        </w:trPr>
        <w:tc>
          <w:tcPr>
            <w:tcW w:w="1759"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政府采购服务支出</w:t>
            </w:r>
          </w:p>
        </w:tc>
        <w:tc>
          <w:tcPr>
            <w:tcW w:w="1114"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18.00</w:t>
            </w:r>
          </w:p>
        </w:tc>
        <w:tc>
          <w:tcPr>
            <w:tcW w:w="109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261.38</w:t>
            </w:r>
          </w:p>
        </w:tc>
        <w:tc>
          <w:tcPr>
            <w:tcW w:w="103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-243.38</w:t>
            </w:r>
          </w:p>
        </w:tc>
      </w:tr>
      <w:tr>
        <w:tblPrEx>
          <w:tblCellMar>
            <w:top w:w="0" w:type="dxa"/>
            <w:left w:w="108" w:type="dxa"/>
            <w:bottom w:w="0" w:type="dxa"/>
            <w:right w:w="108" w:type="dxa"/>
          </w:tblCellMar>
        </w:tblPrEx>
        <w:trPr>
          <w:trHeight w:val="454" w:hRule="atLeast"/>
          <w:jc w:val="center"/>
        </w:trPr>
        <w:tc>
          <w:tcPr>
            <w:tcW w:w="1759"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合计</w:t>
            </w:r>
          </w:p>
        </w:tc>
        <w:tc>
          <w:tcPr>
            <w:tcW w:w="1114"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25.77</w:t>
            </w:r>
          </w:p>
        </w:tc>
        <w:tc>
          <w:tcPr>
            <w:tcW w:w="109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296.82</w:t>
            </w:r>
          </w:p>
        </w:tc>
        <w:tc>
          <w:tcPr>
            <w:tcW w:w="103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-271.05</w:t>
            </w:r>
          </w:p>
        </w:tc>
      </w:tr>
    </w:tbl>
    <w:p>
      <w:pPr>
        <w:ind w:firstLine="640"/>
        <w:rPr>
          <w:color w:val="auto"/>
          <w:highlight w:val="none"/>
        </w:rPr>
      </w:pPr>
      <w:bookmarkStart w:id="34" w:name="_Toc24934"/>
      <w:bookmarkStart w:id="35" w:name="_Toc121404576"/>
      <w:r>
        <w:rPr>
          <w:color w:val="auto"/>
          <w:highlight w:val="none"/>
        </w:rPr>
        <w:t>除此之外，2022年政府采购存在未按计划实施采购、超预算采购等情况，如：复印纸采购预算安排0.77万元，实际未发生采购；再如：人社局饭堂厨房隔墙维修、饭堂天棚、墙面防水及零星维修工程和绿化养护管理服务项目预算安排7万元，实际采购金额为8.56万元，超出1.56万元。综上可见，市医疗保障局在政府采购预算编报的准确性还有待提高。</w:t>
      </w:r>
    </w:p>
    <w:p>
      <w:pPr>
        <w:pStyle w:val="3"/>
        <w:ind w:firstLine="640"/>
        <w:rPr>
          <w:color w:val="auto"/>
          <w:highlight w:val="none"/>
        </w:rPr>
      </w:pPr>
      <w:bookmarkStart w:id="36" w:name="_Toc151997599"/>
      <w:bookmarkStart w:id="37" w:name="_Toc3121"/>
      <w:bookmarkStart w:id="38" w:name="_Toc14738"/>
      <w:bookmarkStart w:id="39" w:name="_Toc13866"/>
      <w:r>
        <w:rPr>
          <w:color w:val="auto"/>
          <w:highlight w:val="none"/>
        </w:rPr>
        <w:t>二</w:t>
      </w:r>
      <w:r>
        <w:rPr>
          <w:rFonts w:eastAsia="仿宋_GB2312"/>
          <w:color w:val="auto"/>
          <w:highlight w:val="none"/>
        </w:rPr>
        <w:t>、</w:t>
      </w:r>
      <w:r>
        <w:rPr>
          <w:color w:val="auto"/>
          <w:highlight w:val="none"/>
        </w:rPr>
        <w:t>绩效评价指标分析</w:t>
      </w:r>
      <w:bookmarkEnd w:id="34"/>
      <w:bookmarkEnd w:id="35"/>
      <w:bookmarkEnd w:id="36"/>
      <w:bookmarkEnd w:id="37"/>
      <w:bookmarkEnd w:id="38"/>
      <w:bookmarkEnd w:id="39"/>
    </w:p>
    <w:p>
      <w:pPr>
        <w:pStyle w:val="4"/>
        <w:ind w:firstLine="640"/>
        <w:rPr>
          <w:rFonts w:cs="Times New Roman"/>
          <w:color w:val="auto"/>
          <w:highlight w:val="none"/>
        </w:rPr>
      </w:pPr>
      <w:bookmarkStart w:id="40" w:name="_Toc110687581"/>
      <w:bookmarkStart w:id="41" w:name="_Toc23365"/>
      <w:bookmarkStart w:id="42" w:name="_Toc28450"/>
      <w:bookmarkStart w:id="43" w:name="_Toc25142"/>
      <w:bookmarkStart w:id="44" w:name="_Toc151997600"/>
      <w:bookmarkStart w:id="45" w:name="_Toc6121"/>
      <w:bookmarkStart w:id="46" w:name="_Toc121404577"/>
      <w:r>
        <w:rPr>
          <w:rFonts w:cs="Times New Roman"/>
          <w:color w:val="auto"/>
          <w:highlight w:val="none"/>
        </w:rPr>
        <w:t>（一）年度工作任务及绩效目标完成情况</w:t>
      </w:r>
      <w:bookmarkEnd w:id="40"/>
      <w:r>
        <w:rPr>
          <w:rFonts w:cs="Times New Roman"/>
          <w:color w:val="auto"/>
          <w:highlight w:val="none"/>
        </w:rPr>
        <w:t>。</w:t>
      </w:r>
      <w:bookmarkEnd w:id="41"/>
      <w:bookmarkEnd w:id="42"/>
      <w:bookmarkEnd w:id="43"/>
      <w:bookmarkEnd w:id="44"/>
      <w:bookmarkEnd w:id="45"/>
      <w:bookmarkEnd w:id="46"/>
    </w:p>
    <w:p>
      <w:pPr>
        <w:ind w:firstLine="640"/>
        <w:rPr>
          <w:bCs/>
          <w:color w:val="auto"/>
          <w:highlight w:val="none"/>
        </w:rPr>
      </w:pPr>
      <w:r>
        <w:rPr>
          <w:bCs/>
          <w:color w:val="auto"/>
          <w:highlight w:val="none"/>
        </w:rPr>
        <w:t>1.年度工作任务完成情况</w:t>
      </w:r>
    </w:p>
    <w:p>
      <w:pPr>
        <w:ind w:firstLine="640"/>
        <w:rPr>
          <w:color w:val="auto"/>
          <w:highlight w:val="none"/>
        </w:rPr>
      </w:pPr>
      <w:r>
        <w:rPr>
          <w:color w:val="auto"/>
          <w:highlight w:val="none"/>
        </w:rPr>
        <w:t>经统计，市医疗保障局2022年设定的5项年度工作任务均已完成，具体见表2-1。</w:t>
      </w:r>
    </w:p>
    <w:p>
      <w:pPr>
        <w:pStyle w:val="25"/>
        <w:rPr>
          <w:rFonts w:eastAsiaTheme="majorEastAsia"/>
          <w:color w:val="auto"/>
          <w:highlight w:val="none"/>
        </w:rPr>
      </w:pPr>
      <w:r>
        <w:rPr>
          <w:rFonts w:eastAsiaTheme="majorEastAsia"/>
          <w:color w:val="auto"/>
          <w:highlight w:val="none"/>
        </w:rPr>
        <w:t>表2-1 2022</w:t>
      </w:r>
      <w:r>
        <w:rPr>
          <w:color w:val="auto"/>
          <w:highlight w:val="none"/>
        </w:rPr>
        <w:t>年度工作任务实际完成情况</w:t>
      </w:r>
    </w:p>
    <w:tbl>
      <w:tblPr>
        <w:tblStyle w:val="1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3100"/>
        <w:gridCol w:w="644"/>
        <w:gridCol w:w="4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81" w:type="pct"/>
            <w:shd w:val="clear" w:color="auto" w:fill="auto"/>
            <w:vAlign w:val="center"/>
          </w:tcPr>
          <w:p>
            <w:pPr>
              <w:pStyle w:val="26"/>
              <w:spacing w:line="240" w:lineRule="auto"/>
              <w:rPr>
                <w:rFonts w:cs="Times New Roman"/>
                <w:b/>
                <w:color w:val="auto"/>
                <w:szCs w:val="21"/>
                <w:highlight w:val="none"/>
                <w:lang w:bidi="ar"/>
              </w:rPr>
            </w:pPr>
            <w:r>
              <w:rPr>
                <w:rFonts w:cs="Times New Roman"/>
                <w:b/>
                <w:color w:val="auto"/>
                <w:szCs w:val="21"/>
                <w:highlight w:val="none"/>
                <w:lang w:bidi="ar"/>
              </w:rPr>
              <w:t>序号</w:t>
            </w:r>
          </w:p>
        </w:tc>
        <w:tc>
          <w:tcPr>
            <w:tcW w:w="1690" w:type="pct"/>
            <w:shd w:val="clear" w:color="auto" w:fill="auto"/>
            <w:vAlign w:val="center"/>
          </w:tcPr>
          <w:p>
            <w:pPr>
              <w:pStyle w:val="26"/>
              <w:spacing w:line="240" w:lineRule="auto"/>
              <w:rPr>
                <w:rFonts w:cs="Times New Roman"/>
                <w:b/>
                <w:color w:val="auto"/>
                <w:szCs w:val="21"/>
                <w:highlight w:val="none"/>
                <w:lang w:bidi="ar"/>
              </w:rPr>
            </w:pPr>
            <w:r>
              <w:rPr>
                <w:rFonts w:cs="Times New Roman"/>
                <w:b/>
                <w:color w:val="auto"/>
                <w:szCs w:val="21"/>
                <w:highlight w:val="none"/>
                <w:lang w:bidi="ar"/>
              </w:rPr>
              <w:t>任务名称</w:t>
            </w:r>
          </w:p>
        </w:tc>
        <w:tc>
          <w:tcPr>
            <w:tcW w:w="351" w:type="pct"/>
            <w:shd w:val="clear" w:color="auto" w:fill="auto"/>
            <w:vAlign w:val="center"/>
          </w:tcPr>
          <w:p>
            <w:pPr>
              <w:pStyle w:val="26"/>
              <w:spacing w:line="240" w:lineRule="auto"/>
              <w:rPr>
                <w:rFonts w:cs="Times New Roman"/>
                <w:b/>
                <w:color w:val="auto"/>
                <w:szCs w:val="21"/>
                <w:highlight w:val="none"/>
                <w:lang w:bidi="ar"/>
              </w:rPr>
            </w:pPr>
            <w:r>
              <w:rPr>
                <w:rFonts w:cs="Times New Roman"/>
                <w:b/>
                <w:color w:val="auto"/>
                <w:szCs w:val="21"/>
                <w:highlight w:val="none"/>
                <w:lang w:bidi="ar"/>
              </w:rPr>
              <w:t>是否完成</w:t>
            </w:r>
          </w:p>
        </w:tc>
        <w:tc>
          <w:tcPr>
            <w:tcW w:w="2576" w:type="pct"/>
            <w:shd w:val="clear" w:color="auto" w:fill="auto"/>
            <w:vAlign w:val="center"/>
          </w:tcPr>
          <w:p>
            <w:pPr>
              <w:pStyle w:val="26"/>
              <w:spacing w:line="240" w:lineRule="auto"/>
              <w:rPr>
                <w:rFonts w:cs="Times New Roman"/>
                <w:b/>
                <w:color w:val="auto"/>
                <w:szCs w:val="21"/>
                <w:highlight w:val="none"/>
                <w:lang w:bidi="ar"/>
              </w:rPr>
            </w:pPr>
            <w:r>
              <w:rPr>
                <w:rFonts w:cs="Times New Roman"/>
                <w:b/>
                <w:color w:val="auto"/>
                <w:szCs w:val="21"/>
                <w:highlight w:val="none"/>
                <w:lang w:bidi="ar"/>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1</w:t>
            </w:r>
          </w:p>
        </w:tc>
        <w:tc>
          <w:tcPr>
            <w:tcW w:w="1690" w:type="pct"/>
            <w:shd w:val="clear" w:color="auto" w:fill="auto"/>
            <w:vAlign w:val="center"/>
          </w:tcPr>
          <w:p>
            <w:pPr>
              <w:pStyle w:val="26"/>
              <w:spacing w:line="240" w:lineRule="auto"/>
              <w:jc w:val="left"/>
              <w:rPr>
                <w:rFonts w:cs="Times New Roman"/>
                <w:color w:val="auto"/>
                <w:szCs w:val="21"/>
                <w:highlight w:val="none"/>
              </w:rPr>
            </w:pPr>
            <w:r>
              <w:rPr>
                <w:rFonts w:cs="Times New Roman"/>
                <w:color w:val="auto"/>
                <w:szCs w:val="21"/>
                <w:highlight w:val="none"/>
              </w:rPr>
              <w:t>推动国家和省、市有关医保待遇和医药服务管理、医药价格和采购管理、基金监管等政策在我市得到贯彻落实</w:t>
            </w:r>
          </w:p>
        </w:tc>
        <w:tc>
          <w:tcPr>
            <w:tcW w:w="35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是</w:t>
            </w:r>
          </w:p>
        </w:tc>
        <w:tc>
          <w:tcPr>
            <w:tcW w:w="2576" w:type="pct"/>
            <w:shd w:val="clear" w:color="auto" w:fill="auto"/>
            <w:vAlign w:val="center"/>
          </w:tcPr>
          <w:p>
            <w:pPr>
              <w:pStyle w:val="26"/>
              <w:spacing w:line="240" w:lineRule="auto"/>
              <w:jc w:val="both"/>
              <w:rPr>
                <w:rFonts w:cs="Times New Roman"/>
                <w:color w:val="auto"/>
                <w:szCs w:val="21"/>
                <w:highlight w:val="none"/>
              </w:rPr>
            </w:pPr>
            <w:r>
              <w:rPr>
                <w:rFonts w:cs="Times New Roman"/>
                <w:b/>
                <w:bCs w:val="0"/>
                <w:color w:val="auto"/>
                <w:szCs w:val="21"/>
                <w:highlight w:val="none"/>
              </w:rPr>
              <w:t>一是</w:t>
            </w:r>
            <w:r>
              <w:rPr>
                <w:rFonts w:cs="Times New Roman"/>
                <w:color w:val="auto"/>
                <w:szCs w:val="21"/>
                <w:highlight w:val="none"/>
              </w:rPr>
              <w:t>完善多层次医疗保障政策体系，如印发韶府规〔2022〕18号、韶府规〔2022〕17号等；</w:t>
            </w:r>
            <w:r>
              <w:rPr>
                <w:rFonts w:cs="Times New Roman"/>
                <w:b/>
                <w:bCs w:val="0"/>
                <w:color w:val="auto"/>
                <w:szCs w:val="21"/>
                <w:highlight w:val="none"/>
              </w:rPr>
              <w:t>二是</w:t>
            </w:r>
            <w:r>
              <w:rPr>
                <w:rFonts w:cs="Times New Roman"/>
                <w:color w:val="auto"/>
                <w:szCs w:val="21"/>
                <w:highlight w:val="none"/>
              </w:rPr>
              <w:t>通过采取日常巡查、飞行检查、线下稽核、专项检查等加强对两定机构的监管；</w:t>
            </w:r>
            <w:r>
              <w:rPr>
                <w:rFonts w:cs="Times New Roman"/>
                <w:b/>
                <w:bCs w:val="0"/>
                <w:color w:val="auto"/>
                <w:szCs w:val="21"/>
                <w:highlight w:val="none"/>
              </w:rPr>
              <w:t>三是</w:t>
            </w:r>
            <w:r>
              <w:rPr>
                <w:rFonts w:cs="Times New Roman"/>
                <w:color w:val="auto"/>
                <w:szCs w:val="21"/>
                <w:highlight w:val="none"/>
              </w:rPr>
              <w:t>推动药品和医用耗材集中带量采购工作等。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2</w:t>
            </w:r>
          </w:p>
        </w:tc>
        <w:tc>
          <w:tcPr>
            <w:tcW w:w="1690" w:type="pct"/>
            <w:shd w:val="clear" w:color="auto" w:fill="auto"/>
            <w:vAlign w:val="center"/>
          </w:tcPr>
          <w:p>
            <w:pPr>
              <w:pStyle w:val="26"/>
              <w:spacing w:line="240" w:lineRule="auto"/>
              <w:jc w:val="left"/>
              <w:rPr>
                <w:rFonts w:cs="Times New Roman"/>
                <w:color w:val="auto"/>
                <w:szCs w:val="21"/>
                <w:highlight w:val="none"/>
              </w:rPr>
            </w:pPr>
            <w:r>
              <w:rPr>
                <w:rFonts w:cs="Times New Roman"/>
                <w:color w:val="auto"/>
                <w:szCs w:val="21"/>
                <w:highlight w:val="none"/>
              </w:rPr>
              <w:t>做好新增基本医疗服务价格项目定价和医疗服务价格动态调整等工作</w:t>
            </w:r>
          </w:p>
        </w:tc>
        <w:tc>
          <w:tcPr>
            <w:tcW w:w="35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是</w:t>
            </w:r>
          </w:p>
        </w:tc>
        <w:tc>
          <w:tcPr>
            <w:tcW w:w="2576" w:type="pct"/>
            <w:shd w:val="clear" w:color="auto" w:fill="auto"/>
            <w:vAlign w:val="center"/>
          </w:tcPr>
          <w:p>
            <w:pPr>
              <w:pStyle w:val="26"/>
              <w:spacing w:line="240" w:lineRule="auto"/>
              <w:jc w:val="both"/>
              <w:rPr>
                <w:rFonts w:cs="Times New Roman"/>
                <w:color w:val="auto"/>
                <w:szCs w:val="21"/>
                <w:highlight w:val="none"/>
              </w:rPr>
            </w:pPr>
            <w:r>
              <w:rPr>
                <w:rFonts w:cs="Times New Roman"/>
                <w:color w:val="auto"/>
                <w:szCs w:val="21"/>
                <w:highlight w:val="none"/>
              </w:rPr>
              <w:t>2022年9月，完成韶关市医疗服务价格动态调整评估工作。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3</w:t>
            </w:r>
          </w:p>
        </w:tc>
        <w:tc>
          <w:tcPr>
            <w:tcW w:w="1690" w:type="pct"/>
            <w:shd w:val="clear" w:color="auto" w:fill="auto"/>
            <w:vAlign w:val="center"/>
          </w:tcPr>
          <w:p>
            <w:pPr>
              <w:pStyle w:val="26"/>
              <w:spacing w:line="240" w:lineRule="auto"/>
              <w:jc w:val="left"/>
              <w:rPr>
                <w:rFonts w:cs="Times New Roman"/>
                <w:color w:val="auto"/>
                <w:szCs w:val="21"/>
                <w:highlight w:val="none"/>
              </w:rPr>
            </w:pPr>
            <w:r>
              <w:rPr>
                <w:rFonts w:cs="Times New Roman"/>
                <w:color w:val="auto"/>
                <w:szCs w:val="21"/>
                <w:highlight w:val="none"/>
              </w:rPr>
              <w:t>开展2022年韶关市医疗保障开展基金监管专项工作</w:t>
            </w:r>
          </w:p>
        </w:tc>
        <w:tc>
          <w:tcPr>
            <w:tcW w:w="35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是</w:t>
            </w:r>
          </w:p>
        </w:tc>
        <w:tc>
          <w:tcPr>
            <w:tcW w:w="2576" w:type="pct"/>
            <w:shd w:val="clear" w:color="auto" w:fill="auto"/>
            <w:vAlign w:val="center"/>
          </w:tcPr>
          <w:p>
            <w:pPr>
              <w:pStyle w:val="26"/>
              <w:spacing w:line="240" w:lineRule="auto"/>
              <w:jc w:val="both"/>
              <w:rPr>
                <w:rFonts w:cs="Times New Roman"/>
                <w:color w:val="auto"/>
                <w:szCs w:val="21"/>
                <w:highlight w:val="none"/>
              </w:rPr>
            </w:pPr>
            <w:r>
              <w:rPr>
                <w:rFonts w:cs="Times New Roman"/>
                <w:color w:val="auto"/>
                <w:szCs w:val="21"/>
                <w:highlight w:val="none"/>
              </w:rPr>
              <w:t>截至2022年12月，市医疗保障局完成医疗保障基金监管工作。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4</w:t>
            </w:r>
          </w:p>
        </w:tc>
        <w:tc>
          <w:tcPr>
            <w:tcW w:w="1690" w:type="pct"/>
            <w:shd w:val="clear" w:color="auto" w:fill="auto"/>
            <w:vAlign w:val="center"/>
          </w:tcPr>
          <w:p>
            <w:pPr>
              <w:pStyle w:val="26"/>
              <w:spacing w:line="240" w:lineRule="auto"/>
              <w:jc w:val="left"/>
              <w:rPr>
                <w:rFonts w:cs="Times New Roman"/>
                <w:color w:val="auto"/>
                <w:szCs w:val="21"/>
                <w:highlight w:val="none"/>
              </w:rPr>
            </w:pPr>
            <w:r>
              <w:rPr>
                <w:rFonts w:cs="Times New Roman"/>
                <w:color w:val="auto"/>
                <w:szCs w:val="21"/>
                <w:highlight w:val="none"/>
              </w:rPr>
              <w:t>市级财政医保补助待遇落实</w:t>
            </w:r>
          </w:p>
        </w:tc>
        <w:tc>
          <w:tcPr>
            <w:tcW w:w="35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是</w:t>
            </w:r>
          </w:p>
        </w:tc>
        <w:tc>
          <w:tcPr>
            <w:tcW w:w="2576" w:type="pct"/>
            <w:shd w:val="clear" w:color="auto" w:fill="auto"/>
            <w:vAlign w:val="center"/>
          </w:tcPr>
          <w:p>
            <w:pPr>
              <w:pStyle w:val="26"/>
              <w:spacing w:line="240" w:lineRule="auto"/>
              <w:jc w:val="both"/>
              <w:rPr>
                <w:rFonts w:cs="Times New Roman"/>
                <w:color w:val="auto"/>
                <w:szCs w:val="21"/>
                <w:highlight w:val="none"/>
              </w:rPr>
            </w:pPr>
            <w:r>
              <w:rPr>
                <w:rFonts w:cs="Times New Roman"/>
                <w:color w:val="auto"/>
                <w:szCs w:val="21"/>
                <w:highlight w:val="none"/>
              </w:rPr>
              <w:t>截至2022年12月底，全市参保人数为287.68万人，基本实现全民参保。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5</w:t>
            </w:r>
          </w:p>
        </w:tc>
        <w:tc>
          <w:tcPr>
            <w:tcW w:w="1690" w:type="pct"/>
            <w:shd w:val="clear" w:color="auto" w:fill="auto"/>
            <w:vAlign w:val="center"/>
          </w:tcPr>
          <w:p>
            <w:pPr>
              <w:pStyle w:val="26"/>
              <w:spacing w:line="240" w:lineRule="auto"/>
              <w:jc w:val="both"/>
              <w:rPr>
                <w:rFonts w:cs="Times New Roman"/>
                <w:color w:val="auto"/>
                <w:szCs w:val="21"/>
                <w:highlight w:val="none"/>
              </w:rPr>
            </w:pPr>
            <w:r>
              <w:rPr>
                <w:rFonts w:cs="Times New Roman"/>
                <w:color w:val="auto"/>
                <w:szCs w:val="21"/>
                <w:highlight w:val="none"/>
              </w:rPr>
              <w:t>城乡困难群众医疗救助</w:t>
            </w:r>
          </w:p>
        </w:tc>
        <w:tc>
          <w:tcPr>
            <w:tcW w:w="351" w:type="pct"/>
            <w:shd w:val="clear" w:color="auto" w:fill="auto"/>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是</w:t>
            </w:r>
          </w:p>
        </w:tc>
        <w:tc>
          <w:tcPr>
            <w:tcW w:w="2576" w:type="pct"/>
            <w:shd w:val="clear" w:color="auto" w:fill="auto"/>
            <w:vAlign w:val="center"/>
          </w:tcPr>
          <w:p>
            <w:pPr>
              <w:pStyle w:val="26"/>
              <w:spacing w:line="240" w:lineRule="auto"/>
              <w:jc w:val="left"/>
              <w:rPr>
                <w:rFonts w:cs="Times New Roman"/>
                <w:color w:val="auto"/>
                <w:szCs w:val="21"/>
                <w:highlight w:val="none"/>
              </w:rPr>
            </w:pPr>
            <w:r>
              <w:rPr>
                <w:rFonts w:cs="Times New Roman"/>
                <w:color w:val="auto"/>
                <w:szCs w:val="21"/>
                <w:highlight w:val="none"/>
              </w:rPr>
              <w:t>2022年将全市532名符合资助条件的监测对象参加城乡居民医保，并100%纳入基本医疗保险、大病保险和医疗救助保障范围。</w:t>
            </w:r>
          </w:p>
        </w:tc>
      </w:tr>
    </w:tbl>
    <w:p>
      <w:pPr>
        <w:ind w:firstLine="640"/>
        <w:rPr>
          <w:bCs/>
          <w:color w:val="auto"/>
          <w:highlight w:val="none"/>
        </w:rPr>
      </w:pPr>
      <w:r>
        <w:rPr>
          <w:bCs/>
          <w:color w:val="auto"/>
          <w:highlight w:val="none"/>
        </w:rPr>
        <w:t>2.绩效目标完成情况</w:t>
      </w:r>
    </w:p>
    <w:p>
      <w:pPr>
        <w:ind w:firstLine="643"/>
        <w:rPr>
          <w:color w:val="auto"/>
          <w:highlight w:val="none"/>
        </w:rPr>
      </w:pPr>
      <w:r>
        <w:rPr>
          <w:b/>
          <w:bCs/>
          <w:color w:val="auto"/>
          <w:highlight w:val="none"/>
        </w:rPr>
        <w:t>一是绩效目标完成情况。</w:t>
      </w:r>
      <w:r>
        <w:rPr>
          <w:color w:val="auto"/>
          <w:highlight w:val="none"/>
        </w:rPr>
        <w:t>截至2022年12月31日，市医疗保障局通过印发韶府规〔2022〕18号、韶府规〔2022〕17号等，进一步完善多层次医疗保障政策体系；通过采取日常巡查、飞行检查、线下稽核、专项检查等强化对两定机构的监管；通过以常态化、制度化推动药品和医用耗材集中带量采购工作等，推动国家和省、市有关医保待遇和医药服务管理、医药价格和采购管理、基金监管等政策在韶关市得到贯彻落实。2022年全市参保人数为287.68万人，参保率达到100.58%，基本实现全民参保，达到预期目标。</w:t>
      </w:r>
    </w:p>
    <w:p>
      <w:pPr>
        <w:ind w:firstLine="643"/>
        <w:rPr>
          <w:color w:val="auto"/>
          <w:highlight w:val="none"/>
        </w:rPr>
      </w:pPr>
      <w:r>
        <w:rPr>
          <w:b/>
          <w:bCs/>
          <w:color w:val="auto"/>
          <w:highlight w:val="none"/>
        </w:rPr>
        <w:t>二是绩效指标完成情况。</w:t>
      </w:r>
      <w:r>
        <w:rPr>
          <w:color w:val="auto"/>
          <w:highlight w:val="none"/>
        </w:rPr>
        <w:t>2022年设置的9项绩效指标中，7项指标达到预期目标，“医疗机构收费行为规范率”和“医疗服务价格收费规范透明度”因指标设置欠科学合理（具体原因见表2-2），无法判定。</w:t>
      </w:r>
    </w:p>
    <w:p>
      <w:pPr>
        <w:pStyle w:val="25"/>
        <w:rPr>
          <w:color w:val="auto"/>
          <w:highlight w:val="none"/>
        </w:rPr>
      </w:pPr>
      <w:r>
        <w:rPr>
          <w:color w:val="auto"/>
          <w:highlight w:val="none"/>
        </w:rPr>
        <w:t>表2-2 绩效指标完成情况表</w:t>
      </w:r>
    </w:p>
    <w:tbl>
      <w:tblPr>
        <w:tblStyle w:val="1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3078"/>
        <w:gridCol w:w="684"/>
        <w:gridCol w:w="4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91" w:type="pct"/>
            <w:vAlign w:val="center"/>
          </w:tcPr>
          <w:p>
            <w:pPr>
              <w:spacing w:line="240" w:lineRule="auto"/>
              <w:ind w:firstLine="0" w:firstLineChars="0"/>
              <w:jc w:val="center"/>
              <w:rPr>
                <w:rFonts w:eastAsia="宋体"/>
                <w:b/>
                <w:bCs/>
                <w:color w:val="auto"/>
                <w:sz w:val="21"/>
                <w:szCs w:val="21"/>
                <w:highlight w:val="none"/>
              </w:rPr>
            </w:pPr>
            <w:bookmarkStart w:id="47" w:name="_Toc121404578"/>
            <w:bookmarkStart w:id="48" w:name="_Toc30800"/>
            <w:r>
              <w:rPr>
                <w:rFonts w:eastAsia="宋体"/>
                <w:b/>
                <w:bCs/>
                <w:color w:val="auto"/>
                <w:sz w:val="21"/>
                <w:szCs w:val="21"/>
                <w:highlight w:val="none"/>
              </w:rPr>
              <w:t>指标类型</w:t>
            </w:r>
          </w:p>
        </w:tc>
        <w:tc>
          <w:tcPr>
            <w:tcW w:w="1678" w:type="pct"/>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指标名称</w:t>
            </w:r>
          </w:p>
        </w:tc>
        <w:tc>
          <w:tcPr>
            <w:tcW w:w="373" w:type="pct"/>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是否完成</w:t>
            </w:r>
          </w:p>
        </w:tc>
        <w:tc>
          <w:tcPr>
            <w:tcW w:w="2556" w:type="pct"/>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1" w:type="pct"/>
            <w:vMerge w:val="restar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产出指标</w:t>
            </w:r>
          </w:p>
        </w:tc>
        <w:tc>
          <w:tcPr>
            <w:tcW w:w="1678"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完成基础信息管理、医疗服务价格管理、医保业务基础、公共服务、支付方式管理、内部统一门户、基金财务管理等子系统的开发及部分地市上线</w:t>
            </w:r>
          </w:p>
        </w:tc>
        <w:tc>
          <w:tcPr>
            <w:tcW w:w="373"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是</w:t>
            </w:r>
          </w:p>
        </w:tc>
        <w:tc>
          <w:tcPr>
            <w:tcW w:w="2556"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根据《广东省医疗保障信息平台（核心业务部分）上线确认报告》，广东省医疗保障信息平台于2021年1月3日上线，达到预期目标（及时更新）。</w:t>
            </w:r>
            <w:r>
              <w:rPr>
                <w:rFonts w:eastAsia="宋体"/>
                <w:b/>
                <w:bCs/>
                <w:color w:val="auto"/>
                <w:sz w:val="21"/>
                <w:szCs w:val="21"/>
                <w:highlight w:val="none"/>
              </w:rPr>
              <w:t>但存在：</w:t>
            </w:r>
            <w:r>
              <w:rPr>
                <w:rFonts w:eastAsia="宋体"/>
                <w:color w:val="auto"/>
                <w:sz w:val="21"/>
                <w:szCs w:val="21"/>
                <w:highlight w:val="none"/>
              </w:rPr>
              <w:t>以2021年已完成事项设定为2022年考核指标，合理性不足。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1" w:type="pct"/>
            <w:vMerge w:val="continue"/>
            <w:vAlign w:val="center"/>
          </w:tcPr>
          <w:p>
            <w:pPr>
              <w:spacing w:line="240" w:lineRule="auto"/>
              <w:ind w:firstLine="0" w:firstLineChars="0"/>
              <w:rPr>
                <w:rFonts w:eastAsia="宋体"/>
                <w:color w:val="auto"/>
                <w:sz w:val="21"/>
                <w:szCs w:val="21"/>
                <w:highlight w:val="none"/>
              </w:rPr>
            </w:pPr>
          </w:p>
        </w:tc>
        <w:tc>
          <w:tcPr>
            <w:tcW w:w="1678"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开展医疗服务价格调研督导</w:t>
            </w:r>
          </w:p>
        </w:tc>
        <w:tc>
          <w:tcPr>
            <w:tcW w:w="373"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是</w:t>
            </w:r>
          </w:p>
        </w:tc>
        <w:tc>
          <w:tcPr>
            <w:tcW w:w="2556"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2022年5月，市医疗保障局开展特需服务项目和市场调节价服务项目调研工作，达到预期目标（不少于1次）。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91" w:type="pct"/>
            <w:vMerge w:val="continue"/>
            <w:vAlign w:val="center"/>
          </w:tcPr>
          <w:p>
            <w:pPr>
              <w:spacing w:line="240" w:lineRule="auto"/>
              <w:ind w:firstLine="0" w:firstLineChars="0"/>
              <w:rPr>
                <w:rFonts w:eastAsia="宋体"/>
                <w:color w:val="auto"/>
                <w:sz w:val="21"/>
                <w:szCs w:val="21"/>
                <w:highlight w:val="none"/>
              </w:rPr>
            </w:pPr>
          </w:p>
        </w:tc>
        <w:tc>
          <w:tcPr>
            <w:tcW w:w="1678"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以应参保人数为基数计算的基本医保综合参保率</w:t>
            </w:r>
          </w:p>
        </w:tc>
        <w:tc>
          <w:tcPr>
            <w:tcW w:w="373"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是</w:t>
            </w:r>
          </w:p>
        </w:tc>
        <w:tc>
          <w:tcPr>
            <w:tcW w:w="2556"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2022年基本医保综合参保率达到100.58%</w:t>
            </w:r>
            <w:r>
              <w:rPr>
                <w:rStyle w:val="23"/>
                <w:rFonts w:eastAsia="宋体"/>
                <w:color w:val="auto"/>
                <w:sz w:val="21"/>
                <w:szCs w:val="21"/>
                <w:highlight w:val="none"/>
              </w:rPr>
              <w:footnoteReference w:id="6"/>
            </w:r>
            <w:r>
              <w:rPr>
                <w:rFonts w:eastAsia="宋体"/>
                <w:color w:val="auto"/>
                <w:sz w:val="21"/>
                <w:szCs w:val="21"/>
                <w:highlight w:val="none"/>
              </w:rPr>
              <w:t>，达到预期目标（98%）。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1" w:type="pct"/>
            <w:vMerge w:val="continue"/>
            <w:vAlign w:val="center"/>
          </w:tcPr>
          <w:p>
            <w:pPr>
              <w:spacing w:line="240" w:lineRule="auto"/>
              <w:ind w:firstLine="0" w:firstLineChars="0"/>
              <w:rPr>
                <w:rFonts w:eastAsia="宋体"/>
                <w:color w:val="auto"/>
                <w:sz w:val="21"/>
                <w:szCs w:val="21"/>
                <w:highlight w:val="none"/>
              </w:rPr>
            </w:pPr>
          </w:p>
        </w:tc>
        <w:tc>
          <w:tcPr>
            <w:tcW w:w="1678"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医疗机构收费行为规范率</w:t>
            </w:r>
          </w:p>
        </w:tc>
        <w:tc>
          <w:tcPr>
            <w:tcW w:w="373"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无法判定</w:t>
            </w:r>
          </w:p>
        </w:tc>
        <w:tc>
          <w:tcPr>
            <w:tcW w:w="2556"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医疗机构收费行为的主责主体为医疗机构，且医疗机构业务主管部门为卫健部门，医保部门则是针对医疗机构有关医保政策执行情况进行监管，故无法提供对应佐证材料。同时也反映出：市医疗保障局在指标设置时，未充分考虑指标设置的可行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1" w:type="pct"/>
            <w:vMerge w:val="restar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效益指标</w:t>
            </w:r>
          </w:p>
        </w:tc>
        <w:tc>
          <w:tcPr>
            <w:tcW w:w="1678"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全民参保率</w:t>
            </w:r>
          </w:p>
        </w:tc>
        <w:tc>
          <w:tcPr>
            <w:tcW w:w="373"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是</w:t>
            </w:r>
          </w:p>
        </w:tc>
        <w:tc>
          <w:tcPr>
            <w:tcW w:w="2556"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2022年全民参保率达到100.58%</w:t>
            </w:r>
            <w:r>
              <w:rPr>
                <w:rStyle w:val="23"/>
                <w:rFonts w:eastAsia="宋体"/>
                <w:color w:val="auto"/>
                <w:sz w:val="21"/>
                <w:szCs w:val="21"/>
                <w:highlight w:val="none"/>
              </w:rPr>
              <w:footnoteReference w:id="7"/>
            </w:r>
            <w:r>
              <w:rPr>
                <w:rFonts w:eastAsia="宋体"/>
                <w:color w:val="auto"/>
                <w:sz w:val="21"/>
                <w:szCs w:val="21"/>
                <w:highlight w:val="none"/>
              </w:rPr>
              <w:t>，达到预期目标（98%）。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1" w:type="pct"/>
            <w:vMerge w:val="continue"/>
            <w:vAlign w:val="center"/>
          </w:tcPr>
          <w:p>
            <w:pPr>
              <w:spacing w:line="240" w:lineRule="auto"/>
              <w:ind w:firstLine="0" w:firstLineChars="0"/>
              <w:rPr>
                <w:rFonts w:eastAsia="宋体"/>
                <w:color w:val="auto"/>
                <w:sz w:val="21"/>
                <w:szCs w:val="21"/>
                <w:highlight w:val="none"/>
              </w:rPr>
            </w:pPr>
          </w:p>
        </w:tc>
        <w:tc>
          <w:tcPr>
            <w:tcW w:w="1678"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参保群众政策知晓率</w:t>
            </w:r>
          </w:p>
        </w:tc>
        <w:tc>
          <w:tcPr>
            <w:tcW w:w="373"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是</w:t>
            </w:r>
          </w:p>
        </w:tc>
        <w:tc>
          <w:tcPr>
            <w:tcW w:w="2556"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2022年韶关市10个县（市、区）医疗保障局共对36位参保人开展问卷调查，调查结果显示：参保群众政策知晓率为93.06%，达到预期目标（90%）。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91" w:type="pct"/>
            <w:vMerge w:val="continue"/>
            <w:vAlign w:val="center"/>
          </w:tcPr>
          <w:p>
            <w:pPr>
              <w:spacing w:line="240" w:lineRule="auto"/>
              <w:ind w:firstLine="0" w:firstLineChars="0"/>
              <w:rPr>
                <w:rFonts w:eastAsia="宋体"/>
                <w:color w:val="auto"/>
                <w:sz w:val="21"/>
                <w:szCs w:val="21"/>
                <w:highlight w:val="none"/>
              </w:rPr>
            </w:pPr>
          </w:p>
        </w:tc>
        <w:tc>
          <w:tcPr>
            <w:tcW w:w="1678"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医疗服务价格收费规范透明度</w:t>
            </w:r>
          </w:p>
        </w:tc>
        <w:tc>
          <w:tcPr>
            <w:tcW w:w="373"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无法判定</w:t>
            </w:r>
          </w:p>
        </w:tc>
        <w:tc>
          <w:tcPr>
            <w:tcW w:w="2556"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医疗机构收费行为的主责主体为医疗机构，且医疗机构业务主管部门为卫健部门，医保部门则是针对医疗机构有关医保政策执行情况进行监管，故无法提供对应佐证材料。同时也反映出：市医疗保障局在指标设置时，未充分考虑指标设置的可行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1" w:type="pct"/>
            <w:vMerge w:val="continue"/>
            <w:vAlign w:val="center"/>
          </w:tcPr>
          <w:p>
            <w:pPr>
              <w:spacing w:line="240" w:lineRule="auto"/>
              <w:ind w:firstLine="0" w:firstLineChars="0"/>
              <w:rPr>
                <w:rFonts w:eastAsia="宋体"/>
                <w:color w:val="auto"/>
                <w:sz w:val="21"/>
                <w:szCs w:val="21"/>
                <w:highlight w:val="none"/>
              </w:rPr>
            </w:pPr>
          </w:p>
        </w:tc>
        <w:tc>
          <w:tcPr>
            <w:tcW w:w="1678"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保障医疗保障基金安全运行</w:t>
            </w:r>
          </w:p>
        </w:tc>
        <w:tc>
          <w:tcPr>
            <w:tcW w:w="373"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是</w:t>
            </w:r>
          </w:p>
        </w:tc>
        <w:tc>
          <w:tcPr>
            <w:tcW w:w="2556"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2022年医保基金收入560,529.77万元，医保基金支出517,972.18万元，收支结余42,557.59万元，基本实现“以收定支、收支平衡、略有结余”目标，基金运行总体平稳。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1" w:type="pct"/>
            <w:vMerge w:val="continue"/>
            <w:vAlign w:val="center"/>
          </w:tcPr>
          <w:p>
            <w:pPr>
              <w:spacing w:line="240" w:lineRule="auto"/>
              <w:ind w:firstLine="0" w:firstLineChars="0"/>
              <w:rPr>
                <w:rFonts w:eastAsia="宋体"/>
                <w:color w:val="auto"/>
                <w:sz w:val="21"/>
                <w:szCs w:val="21"/>
                <w:highlight w:val="none"/>
              </w:rPr>
            </w:pPr>
          </w:p>
        </w:tc>
        <w:tc>
          <w:tcPr>
            <w:tcW w:w="1678"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参保对象满意度</w:t>
            </w:r>
          </w:p>
        </w:tc>
        <w:tc>
          <w:tcPr>
            <w:tcW w:w="373"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是</w:t>
            </w:r>
          </w:p>
        </w:tc>
        <w:tc>
          <w:tcPr>
            <w:tcW w:w="2556" w:type="pct"/>
            <w:vAlign w:val="center"/>
          </w:tcPr>
          <w:p>
            <w:pPr>
              <w:spacing w:line="240" w:lineRule="auto"/>
              <w:ind w:firstLine="0" w:firstLineChars="0"/>
              <w:rPr>
                <w:rFonts w:eastAsia="宋体"/>
                <w:color w:val="auto"/>
                <w:sz w:val="21"/>
                <w:szCs w:val="21"/>
                <w:highlight w:val="none"/>
              </w:rPr>
            </w:pPr>
            <w:r>
              <w:rPr>
                <w:rFonts w:eastAsia="宋体"/>
                <w:color w:val="auto"/>
                <w:sz w:val="21"/>
                <w:szCs w:val="21"/>
                <w:highlight w:val="none"/>
              </w:rPr>
              <w:t>2022年韶关市10个县（市、区）医疗保障局共对36位参保人开展问卷调查，调查结果显示：参保对象满意度为97.22%，达到预期目标（85%）。</w:t>
            </w:r>
          </w:p>
        </w:tc>
      </w:tr>
    </w:tbl>
    <w:p>
      <w:pPr>
        <w:pStyle w:val="4"/>
        <w:ind w:firstLine="640"/>
        <w:rPr>
          <w:rFonts w:cs="Times New Roman"/>
          <w:color w:val="auto"/>
          <w:highlight w:val="none"/>
        </w:rPr>
      </w:pPr>
      <w:bookmarkStart w:id="49" w:name="_Toc151997601"/>
      <w:bookmarkStart w:id="50" w:name="_Toc26201"/>
      <w:bookmarkStart w:id="51" w:name="_Toc25830"/>
      <w:bookmarkStart w:id="52" w:name="_Toc20819"/>
      <w:r>
        <w:rPr>
          <w:rFonts w:cs="Times New Roman"/>
          <w:color w:val="auto"/>
          <w:highlight w:val="none"/>
        </w:rPr>
        <w:t>（二）履职效能分析。</w:t>
      </w:r>
      <w:bookmarkEnd w:id="47"/>
      <w:bookmarkEnd w:id="48"/>
      <w:bookmarkEnd w:id="49"/>
      <w:bookmarkEnd w:id="50"/>
      <w:bookmarkEnd w:id="51"/>
      <w:bookmarkEnd w:id="52"/>
    </w:p>
    <w:p>
      <w:pPr>
        <w:pStyle w:val="2"/>
        <w:ind w:firstLine="600"/>
        <w:rPr>
          <w:color w:val="auto"/>
          <w:highlight w:val="none"/>
        </w:rPr>
      </w:pPr>
      <w:r>
        <w:rPr>
          <w:color w:val="auto"/>
          <w:highlight w:val="none"/>
        </w:rPr>
        <w:t>履职效能主要包括整体效能和专项效能两方面，经评价，“履职效能”指标满分45分，评价得分</w:t>
      </w:r>
      <w:r>
        <w:rPr>
          <w:color w:val="auto"/>
          <w:highlight w:val="none"/>
        </w:rPr>
        <w:t>4</w:t>
      </w:r>
      <w:r>
        <w:rPr>
          <w:rFonts w:hint="eastAsia"/>
          <w:color w:val="auto"/>
          <w:highlight w:val="none"/>
        </w:rPr>
        <w:t>1</w:t>
      </w:r>
      <w:r>
        <w:rPr>
          <w:color w:val="auto"/>
          <w:highlight w:val="none"/>
        </w:rPr>
        <w:t>.</w:t>
      </w:r>
      <w:r>
        <w:rPr>
          <w:rFonts w:hint="eastAsia"/>
          <w:color w:val="auto"/>
          <w:highlight w:val="none"/>
        </w:rPr>
        <w:t>95</w:t>
      </w:r>
      <w:r>
        <w:rPr>
          <w:color w:val="auto"/>
          <w:highlight w:val="none"/>
        </w:rPr>
        <w:t>分，得分率</w:t>
      </w:r>
      <w:r>
        <w:rPr>
          <w:rFonts w:hint="eastAsia"/>
          <w:color w:val="auto"/>
          <w:highlight w:val="none"/>
        </w:rPr>
        <w:t>93.22%</w:t>
      </w:r>
      <w:r>
        <w:rPr>
          <w:color w:val="auto"/>
          <w:highlight w:val="none"/>
        </w:rPr>
        <w:t>，</w:t>
      </w:r>
      <w:r>
        <w:rPr>
          <w:rFonts w:hint="eastAsia"/>
          <w:color w:val="auto"/>
          <w:highlight w:val="none"/>
        </w:rPr>
        <w:t>扣</w:t>
      </w:r>
      <w:r>
        <w:rPr>
          <w:rFonts w:hint="eastAsia"/>
          <w:color w:val="auto"/>
          <w:highlight w:val="none"/>
        </w:rPr>
        <w:t>3.05分</w:t>
      </w:r>
      <w:r>
        <w:rPr>
          <w:rFonts w:hint="eastAsia"/>
          <w:color w:val="auto"/>
          <w:highlight w:val="none"/>
        </w:rPr>
        <w:t>。</w:t>
      </w:r>
      <w:r>
        <w:rPr>
          <w:color w:val="auto"/>
          <w:highlight w:val="none"/>
        </w:rPr>
        <w:t>具体情况见表2-3。</w:t>
      </w:r>
    </w:p>
    <w:p>
      <w:pPr>
        <w:pStyle w:val="25"/>
        <w:rPr>
          <w:color w:val="auto"/>
          <w:highlight w:val="none"/>
        </w:rPr>
      </w:pPr>
      <w:r>
        <w:rPr>
          <w:color w:val="auto"/>
          <w:highlight w:val="none"/>
        </w:rPr>
        <w:t>表2-3</w:t>
      </w:r>
      <w:r>
        <w:rPr>
          <w:rFonts w:hint="eastAsia"/>
          <w:color w:val="auto"/>
          <w:highlight w:val="none"/>
        </w:rPr>
        <w:t xml:space="preserve"> </w:t>
      </w:r>
      <w:r>
        <w:rPr>
          <w:color w:val="auto"/>
          <w:highlight w:val="none"/>
        </w:rPr>
        <w:t xml:space="preserve"> “履职效能”指标得分情况表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4"/>
        <w:gridCol w:w="1257"/>
        <w:gridCol w:w="1200"/>
        <w:gridCol w:w="1260"/>
        <w:gridCol w:w="3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834"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指标名称</w:t>
            </w:r>
          </w:p>
        </w:tc>
        <w:tc>
          <w:tcPr>
            <w:tcW w:w="1257"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指标分值</w:t>
            </w:r>
          </w:p>
        </w:tc>
        <w:tc>
          <w:tcPr>
            <w:tcW w:w="1200"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指标得分</w:t>
            </w:r>
          </w:p>
        </w:tc>
        <w:tc>
          <w:tcPr>
            <w:tcW w:w="1260"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得分率</w:t>
            </w:r>
          </w:p>
        </w:tc>
        <w:tc>
          <w:tcPr>
            <w:tcW w:w="3623"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得分偏差分析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整体效能</w:t>
            </w:r>
          </w:p>
        </w:tc>
        <w:tc>
          <w:tcPr>
            <w:tcW w:w="1257"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20</w:t>
            </w:r>
          </w:p>
        </w:tc>
        <w:tc>
          <w:tcPr>
            <w:tcW w:w="1200"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19.45</w:t>
            </w:r>
          </w:p>
        </w:tc>
        <w:tc>
          <w:tcPr>
            <w:tcW w:w="1260"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97.25%</w:t>
            </w:r>
          </w:p>
        </w:tc>
        <w:tc>
          <w:tcPr>
            <w:tcW w:w="3623" w:type="dxa"/>
            <w:vAlign w:val="center"/>
          </w:tcPr>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1.个别原设指标设置未考虑时效性，考核约束性不强（酌情扣0.5分）。</w:t>
            </w:r>
          </w:p>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2.社会公众满意度为95.35%（扣0.05分）。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专项效能</w:t>
            </w:r>
          </w:p>
        </w:tc>
        <w:tc>
          <w:tcPr>
            <w:tcW w:w="1257"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25</w:t>
            </w:r>
          </w:p>
        </w:tc>
        <w:tc>
          <w:tcPr>
            <w:tcW w:w="1200"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22.5</w:t>
            </w:r>
          </w:p>
        </w:tc>
        <w:tc>
          <w:tcPr>
            <w:tcW w:w="1260" w:type="dxa"/>
            <w:vAlign w:val="center"/>
          </w:tcPr>
          <w:p>
            <w:pPr>
              <w:spacing w:line="240" w:lineRule="auto"/>
              <w:ind w:firstLine="0" w:firstLineChars="0"/>
              <w:jc w:val="center"/>
              <w:rPr>
                <w:rFonts w:eastAsia="宋体"/>
                <w:color w:val="auto"/>
                <w:sz w:val="21"/>
                <w:szCs w:val="21"/>
                <w:highlight w:val="none"/>
              </w:rPr>
            </w:pPr>
            <w:r>
              <w:rPr>
                <w:rFonts w:hint="eastAsia" w:eastAsia="宋体"/>
                <w:color w:val="auto"/>
                <w:sz w:val="21"/>
                <w:szCs w:val="21"/>
                <w:highlight w:val="none"/>
              </w:rPr>
              <w:t>90.00</w:t>
            </w:r>
            <w:r>
              <w:rPr>
                <w:rFonts w:eastAsia="宋体"/>
                <w:color w:val="auto"/>
                <w:sz w:val="21"/>
                <w:szCs w:val="21"/>
                <w:highlight w:val="none"/>
              </w:rPr>
              <w:t>%</w:t>
            </w:r>
          </w:p>
        </w:tc>
        <w:tc>
          <w:tcPr>
            <w:tcW w:w="3623" w:type="dxa"/>
            <w:vAlign w:val="center"/>
          </w:tcPr>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1.38项考核指标中，</w:t>
            </w:r>
            <w:r>
              <w:rPr>
                <w:rFonts w:eastAsia="宋体"/>
                <w:color w:val="auto"/>
                <w:sz w:val="21"/>
                <w:szCs w:val="21"/>
                <w:highlight w:val="none"/>
              </w:rPr>
              <w:t>2</w:t>
            </w:r>
            <w:r>
              <w:rPr>
                <w:rFonts w:hint="eastAsia" w:eastAsia="宋体"/>
                <w:color w:val="auto"/>
                <w:sz w:val="21"/>
                <w:szCs w:val="21"/>
                <w:highlight w:val="none"/>
              </w:rPr>
              <w:t>4</w:t>
            </w:r>
            <w:r>
              <w:rPr>
                <w:rFonts w:eastAsia="宋体"/>
                <w:color w:val="auto"/>
                <w:sz w:val="21"/>
                <w:szCs w:val="21"/>
                <w:highlight w:val="none"/>
              </w:rPr>
              <w:t>项达到预期目标；</w:t>
            </w:r>
            <w:r>
              <w:rPr>
                <w:rFonts w:eastAsia="宋体"/>
                <w:color w:val="auto"/>
                <w:sz w:val="21"/>
                <w:szCs w:val="21"/>
                <w:highlight w:val="none"/>
              </w:rPr>
              <w:t>1</w:t>
            </w:r>
            <w:r>
              <w:rPr>
                <w:rFonts w:hint="eastAsia" w:eastAsia="宋体"/>
                <w:color w:val="auto"/>
                <w:sz w:val="21"/>
                <w:szCs w:val="21"/>
                <w:highlight w:val="none"/>
              </w:rPr>
              <w:t>0</w:t>
            </w:r>
            <w:r>
              <w:rPr>
                <w:rFonts w:eastAsia="宋体"/>
                <w:color w:val="auto"/>
                <w:sz w:val="21"/>
                <w:szCs w:val="21"/>
                <w:highlight w:val="none"/>
              </w:rPr>
              <w:t>项未达到预期目标；</w:t>
            </w:r>
            <w:r>
              <w:rPr>
                <w:rFonts w:hint="eastAsia" w:eastAsia="宋体"/>
                <w:color w:val="auto"/>
                <w:sz w:val="21"/>
                <w:szCs w:val="21"/>
                <w:highlight w:val="none"/>
              </w:rPr>
              <w:t>4</w:t>
            </w:r>
            <w:r>
              <w:rPr>
                <w:rFonts w:eastAsia="宋体"/>
                <w:color w:val="auto"/>
                <w:sz w:val="21"/>
                <w:szCs w:val="21"/>
                <w:highlight w:val="none"/>
              </w:rPr>
              <w:t>项无法判定（酌情扣</w:t>
            </w:r>
            <w:r>
              <w:rPr>
                <w:rFonts w:hint="eastAsia" w:eastAsia="宋体"/>
                <w:color w:val="auto"/>
                <w:sz w:val="21"/>
                <w:szCs w:val="21"/>
                <w:highlight w:val="none"/>
              </w:rPr>
              <w:t>2.49</w:t>
            </w:r>
            <w:r>
              <w:rPr>
                <w:rFonts w:eastAsia="宋体"/>
                <w:color w:val="auto"/>
                <w:sz w:val="21"/>
                <w:szCs w:val="21"/>
                <w:highlight w:val="none"/>
              </w:rPr>
              <w:t>分）。</w:t>
            </w:r>
          </w:p>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2.中省资金支出率为99.94%（扣0.01分）。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合计</w:t>
            </w:r>
          </w:p>
        </w:tc>
        <w:tc>
          <w:tcPr>
            <w:tcW w:w="1257"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45</w:t>
            </w:r>
          </w:p>
        </w:tc>
        <w:tc>
          <w:tcPr>
            <w:tcW w:w="1200"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41.95</w:t>
            </w:r>
          </w:p>
        </w:tc>
        <w:tc>
          <w:tcPr>
            <w:tcW w:w="1260"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93.22%</w:t>
            </w:r>
          </w:p>
        </w:tc>
        <w:tc>
          <w:tcPr>
            <w:tcW w:w="3623"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w:t>
            </w:r>
          </w:p>
        </w:tc>
      </w:tr>
    </w:tbl>
    <w:p>
      <w:pPr>
        <w:ind w:firstLine="640"/>
        <w:rPr>
          <w:bCs/>
          <w:color w:val="auto"/>
          <w:highlight w:val="none"/>
        </w:rPr>
      </w:pPr>
      <w:r>
        <w:rPr>
          <w:bCs/>
          <w:color w:val="auto"/>
          <w:highlight w:val="none"/>
        </w:rPr>
        <w:t>1.整体效能</w:t>
      </w:r>
    </w:p>
    <w:p>
      <w:pPr>
        <w:pStyle w:val="2"/>
        <w:ind w:firstLine="600"/>
        <w:rPr>
          <w:color w:val="auto"/>
          <w:highlight w:val="none"/>
        </w:rPr>
      </w:pPr>
      <w:r>
        <w:rPr>
          <w:color w:val="auto"/>
          <w:highlight w:val="none"/>
        </w:rPr>
        <w:t>整体效能主要评价部门整体绩效目标产出指标完成情况、部门整体绩效目标效益指标完成情况两方面，具体情况如下。</w:t>
      </w:r>
    </w:p>
    <w:p>
      <w:pPr>
        <w:ind w:firstLine="640"/>
        <w:rPr>
          <w:color w:val="auto"/>
          <w:highlight w:val="none"/>
        </w:rPr>
      </w:pPr>
      <w:r>
        <w:rPr>
          <w:color w:val="auto"/>
          <w:kern w:val="0"/>
          <w:highlight w:val="none"/>
        </w:rPr>
        <w:t>（1）部门整体绩效目标产出指标完成情况。</w:t>
      </w:r>
      <w:r>
        <w:rPr>
          <w:color w:val="auto"/>
          <w:highlight w:val="none"/>
        </w:rPr>
        <w:t>指标分值10分，得9.50分，得分率为95.00%。</w:t>
      </w:r>
      <w:r>
        <w:rPr>
          <w:rFonts w:hint="eastAsia"/>
          <w:color w:val="auto"/>
          <w:highlight w:val="none"/>
        </w:rPr>
        <w:t>扣0</w:t>
      </w:r>
      <w:r>
        <w:rPr>
          <w:color w:val="auto"/>
          <w:highlight w:val="none"/>
        </w:rPr>
        <w:t>.5</w:t>
      </w:r>
      <w:r>
        <w:rPr>
          <w:rFonts w:hint="eastAsia"/>
          <w:color w:val="auto"/>
          <w:highlight w:val="none"/>
        </w:rPr>
        <w:t>分。</w:t>
      </w:r>
    </w:p>
    <w:p>
      <w:pPr>
        <w:ind w:firstLine="640"/>
        <w:rPr>
          <w:color w:val="auto"/>
          <w:highlight w:val="none"/>
        </w:rPr>
      </w:pPr>
      <w:r>
        <w:rPr>
          <w:color w:val="auto"/>
          <w:highlight w:val="none"/>
        </w:rPr>
        <w:t>根据《韶关市医疗保障局2022年部门整体支出绩效评价指标体系》，2022年设定</w:t>
      </w:r>
      <w:r>
        <w:rPr>
          <w:rFonts w:hint="eastAsia"/>
          <w:color w:val="auto"/>
          <w:highlight w:val="none"/>
        </w:rPr>
        <w:t>了</w:t>
      </w:r>
      <w:r>
        <w:rPr>
          <w:color w:val="auto"/>
          <w:highlight w:val="none"/>
        </w:rPr>
        <w:t>5项考核指标</w:t>
      </w:r>
      <w:r>
        <w:rPr>
          <w:rFonts w:hint="eastAsia"/>
          <w:color w:val="auto"/>
          <w:highlight w:val="none"/>
        </w:rPr>
        <w:t>，具体得分情况如下所述</w:t>
      </w:r>
      <w:r>
        <w:rPr>
          <w:color w:val="auto"/>
          <w:highlight w:val="none"/>
        </w:rPr>
        <w:t>。</w:t>
      </w:r>
    </w:p>
    <w:p>
      <w:pPr>
        <w:ind w:firstLine="643"/>
        <w:rPr>
          <w:color w:val="auto"/>
          <w:highlight w:val="none"/>
        </w:rPr>
      </w:pPr>
      <w:r>
        <w:rPr>
          <w:b/>
          <w:bCs/>
          <w:color w:val="auto"/>
          <w:highlight w:val="none"/>
        </w:rPr>
        <w:t>“完成基础信息管理、医疗服务价格管理、医保业务基础、公共服务、支付方式管理、内部统一门户、基金财务管理等子系统的开发及部分地市上线”指标得分情况。</w:t>
      </w:r>
      <w:r>
        <w:rPr>
          <w:color w:val="auto"/>
          <w:highlight w:val="none"/>
        </w:rPr>
        <w:t>指标分值2分，得1.5分，得分率为75.00%。</w:t>
      </w:r>
    </w:p>
    <w:p>
      <w:pPr>
        <w:pStyle w:val="2"/>
        <w:ind w:firstLine="600"/>
        <w:rPr>
          <w:color w:val="auto"/>
          <w:highlight w:val="none"/>
        </w:rPr>
      </w:pPr>
      <w:r>
        <w:rPr>
          <w:color w:val="auto"/>
          <w:highlight w:val="none"/>
        </w:rPr>
        <w:t>广东省医疗保障信息平台于2021年1月3日上线，达到预期目标（及时更新）。但存在：以2021年已完成事项设定为2022年考核指标，既未体现年度部门履职成效，也无考核约束性</w:t>
      </w:r>
      <w:r>
        <w:rPr>
          <w:rFonts w:hint="eastAsia"/>
          <w:color w:val="auto"/>
          <w:highlight w:val="none"/>
        </w:rPr>
        <w:t>，</w:t>
      </w:r>
      <w:r>
        <w:rPr>
          <w:color w:val="auto"/>
          <w:highlight w:val="none"/>
        </w:rPr>
        <w:t>酌情扣0.5分</w:t>
      </w:r>
      <w:r>
        <w:rPr>
          <w:rFonts w:hint="eastAsia"/>
          <w:color w:val="auto"/>
          <w:highlight w:val="none"/>
        </w:rPr>
        <w:t>。</w:t>
      </w:r>
      <w:r>
        <w:rPr>
          <w:color w:val="auto"/>
          <w:highlight w:val="none"/>
        </w:rPr>
        <w:t>该指标得1.5分。</w:t>
      </w:r>
    </w:p>
    <w:p>
      <w:pPr>
        <w:ind w:firstLine="643"/>
        <w:rPr>
          <w:color w:val="auto"/>
          <w:highlight w:val="none"/>
        </w:rPr>
      </w:pPr>
      <w:r>
        <w:rPr>
          <w:b/>
          <w:bCs/>
          <w:color w:val="auto"/>
          <w:highlight w:val="none"/>
        </w:rPr>
        <w:t>“开展医疗服务价格调研督导”指标得分情况。</w:t>
      </w:r>
      <w:r>
        <w:rPr>
          <w:color w:val="auto"/>
          <w:highlight w:val="none"/>
        </w:rPr>
        <w:t>指标分值2分，得2分，得分率为100.00%。</w:t>
      </w:r>
    </w:p>
    <w:p>
      <w:pPr>
        <w:ind w:firstLine="640"/>
        <w:rPr>
          <w:color w:val="auto"/>
          <w:highlight w:val="none"/>
        </w:rPr>
      </w:pPr>
      <w:r>
        <w:rPr>
          <w:color w:val="auto"/>
          <w:highlight w:val="none"/>
        </w:rPr>
        <w:t>2022年市医疗保障局开展1次医疗服务价格调研督导，达到预期目标（不少于1次），该指标得满分。</w:t>
      </w:r>
    </w:p>
    <w:p>
      <w:pPr>
        <w:ind w:firstLine="643"/>
        <w:rPr>
          <w:color w:val="auto"/>
          <w:highlight w:val="none"/>
        </w:rPr>
      </w:pPr>
      <w:r>
        <w:rPr>
          <w:b/>
          <w:bCs/>
          <w:color w:val="auto"/>
          <w:highlight w:val="none"/>
        </w:rPr>
        <w:t>“医疗保障政务服务事项线上（窗口）可办率”指标得分情况。</w:t>
      </w:r>
      <w:r>
        <w:rPr>
          <w:color w:val="auto"/>
          <w:highlight w:val="none"/>
        </w:rPr>
        <w:t>指标分值2分，得2分，得分率为100.00%。</w:t>
      </w:r>
    </w:p>
    <w:p>
      <w:pPr>
        <w:pStyle w:val="2"/>
        <w:ind w:firstLine="600"/>
        <w:rPr>
          <w:color w:val="auto"/>
          <w:highlight w:val="none"/>
        </w:rPr>
      </w:pPr>
      <w:r>
        <w:rPr>
          <w:color w:val="auto"/>
          <w:highlight w:val="none"/>
        </w:rPr>
        <w:t>2022年医疗保障政务服务事项线上可办率为92%；医疗保障政务服务事项窗口可办率为100%，均达到规划目标</w:t>
      </w:r>
      <w:r>
        <w:rPr>
          <w:rStyle w:val="23"/>
          <w:color w:val="auto"/>
          <w:highlight w:val="none"/>
        </w:rPr>
        <w:footnoteReference w:id="8"/>
      </w:r>
      <w:r>
        <w:rPr>
          <w:color w:val="auto"/>
          <w:highlight w:val="none"/>
        </w:rPr>
        <w:t>，该指标得满分。</w:t>
      </w:r>
    </w:p>
    <w:p>
      <w:pPr>
        <w:ind w:firstLine="643"/>
        <w:rPr>
          <w:color w:val="auto"/>
          <w:highlight w:val="none"/>
        </w:rPr>
      </w:pPr>
      <w:r>
        <w:rPr>
          <w:b/>
          <w:bCs/>
          <w:color w:val="auto"/>
          <w:highlight w:val="none"/>
        </w:rPr>
        <w:t>“住院费用跨省直接结算率”指标得分情况。</w:t>
      </w:r>
      <w:r>
        <w:rPr>
          <w:color w:val="auto"/>
          <w:highlight w:val="none"/>
        </w:rPr>
        <w:t>指标分值2分，得2分，得分率为100.00%。</w:t>
      </w:r>
    </w:p>
    <w:p>
      <w:pPr>
        <w:ind w:firstLine="640"/>
        <w:rPr>
          <w:color w:val="auto"/>
          <w:highlight w:val="none"/>
        </w:rPr>
      </w:pPr>
      <w:r>
        <w:rPr>
          <w:color w:val="auto"/>
          <w:highlight w:val="none"/>
        </w:rPr>
        <w:t>2022年跨省异地住院费用直接结算率67.50%，较2021年（51.25%）同比增长31.71%</w:t>
      </w:r>
      <w:r>
        <w:rPr>
          <w:rFonts w:hint="eastAsia"/>
          <w:color w:val="auto"/>
          <w:highlight w:val="none"/>
        </w:rPr>
        <w:t>，该指标</w:t>
      </w:r>
      <w:r>
        <w:rPr>
          <w:color w:val="auto"/>
          <w:highlight w:val="none"/>
        </w:rPr>
        <w:t>得</w:t>
      </w:r>
      <w:r>
        <w:rPr>
          <w:rFonts w:hint="eastAsia"/>
          <w:color w:val="auto"/>
          <w:highlight w:val="none"/>
        </w:rPr>
        <w:t>满分</w:t>
      </w:r>
      <w:r>
        <w:rPr>
          <w:color w:val="auto"/>
          <w:highlight w:val="none"/>
        </w:rPr>
        <w:t>。</w:t>
      </w:r>
    </w:p>
    <w:p>
      <w:pPr>
        <w:ind w:firstLine="643"/>
        <w:rPr>
          <w:color w:val="auto"/>
          <w:highlight w:val="none"/>
        </w:rPr>
      </w:pPr>
      <w:r>
        <w:rPr>
          <w:rFonts w:hint="eastAsia"/>
          <w:b/>
          <w:bCs/>
          <w:color w:val="auto"/>
          <w:highlight w:val="none"/>
        </w:rPr>
        <w:t>“医保经办政务服务事项的办理时限（平均时限压缩率）”指标得分情况。</w:t>
      </w:r>
      <w:r>
        <w:rPr>
          <w:color w:val="auto"/>
          <w:highlight w:val="none"/>
        </w:rPr>
        <w:t>指标分值</w:t>
      </w:r>
      <w:r>
        <w:rPr>
          <w:rFonts w:hint="eastAsia"/>
          <w:color w:val="auto"/>
          <w:highlight w:val="none"/>
        </w:rPr>
        <w:t>2</w:t>
      </w:r>
      <w:r>
        <w:rPr>
          <w:color w:val="auto"/>
          <w:highlight w:val="none"/>
        </w:rPr>
        <w:t>分，得</w:t>
      </w:r>
      <w:r>
        <w:rPr>
          <w:rFonts w:hint="eastAsia"/>
          <w:color w:val="auto"/>
          <w:highlight w:val="none"/>
        </w:rPr>
        <w:t>2</w:t>
      </w:r>
      <w:r>
        <w:rPr>
          <w:color w:val="auto"/>
          <w:highlight w:val="none"/>
        </w:rPr>
        <w:t>分，得分率为</w:t>
      </w:r>
      <w:r>
        <w:rPr>
          <w:rFonts w:hint="eastAsia"/>
          <w:color w:val="auto"/>
          <w:highlight w:val="none"/>
        </w:rPr>
        <w:t>100.</w:t>
      </w:r>
      <w:r>
        <w:rPr>
          <w:color w:val="auto"/>
          <w:highlight w:val="none"/>
        </w:rPr>
        <w:t>00%。</w:t>
      </w:r>
    </w:p>
    <w:p>
      <w:pPr>
        <w:pStyle w:val="2"/>
        <w:ind w:firstLine="600"/>
        <w:rPr>
          <w:color w:val="auto"/>
          <w:highlight w:val="none"/>
        </w:rPr>
      </w:pPr>
      <w:r>
        <w:rPr>
          <w:rFonts w:hint="eastAsia"/>
          <w:color w:val="auto"/>
          <w:highlight w:val="none"/>
        </w:rPr>
        <w:t>2022年医保经办政务服务事项的办理时限（平均时限压缩率）35.60%，与2020年国家服务事项办理时限整体压缩比例（超过50%）比较还存在一定差距，但考虑到韶关市医保经办机构（韶关市医保中心）6月30日成立，医保服务机制和体系还有待完善，故该项指标得满分。</w:t>
      </w:r>
    </w:p>
    <w:p>
      <w:pPr>
        <w:ind w:firstLine="640"/>
        <w:rPr>
          <w:color w:val="auto"/>
          <w:highlight w:val="none"/>
        </w:rPr>
      </w:pPr>
      <w:r>
        <w:rPr>
          <w:color w:val="auto"/>
          <w:highlight w:val="none"/>
        </w:rPr>
        <w:t>（2）部门整体绩效目标效益指标</w:t>
      </w:r>
      <w:r>
        <w:rPr>
          <w:color w:val="auto"/>
          <w:kern w:val="0"/>
          <w:highlight w:val="none"/>
        </w:rPr>
        <w:t>完成情况</w:t>
      </w:r>
      <w:r>
        <w:rPr>
          <w:color w:val="auto"/>
          <w:highlight w:val="none"/>
        </w:rPr>
        <w:t>。指标分值10分，得分9.95分，得分率99.50%。</w:t>
      </w:r>
      <w:r>
        <w:rPr>
          <w:rFonts w:hint="eastAsia"/>
          <w:color w:val="auto"/>
          <w:highlight w:val="none"/>
        </w:rPr>
        <w:t>扣0</w:t>
      </w:r>
      <w:r>
        <w:rPr>
          <w:color w:val="auto"/>
          <w:highlight w:val="none"/>
        </w:rPr>
        <w:t>.05</w:t>
      </w:r>
      <w:r>
        <w:rPr>
          <w:rFonts w:hint="eastAsia"/>
          <w:color w:val="auto"/>
          <w:highlight w:val="none"/>
        </w:rPr>
        <w:t>分。</w:t>
      </w:r>
    </w:p>
    <w:p>
      <w:pPr>
        <w:ind w:firstLine="640"/>
        <w:rPr>
          <w:rFonts w:eastAsiaTheme="majorEastAsia"/>
          <w:color w:val="auto"/>
          <w:highlight w:val="none"/>
        </w:rPr>
      </w:pPr>
      <w:r>
        <w:rPr>
          <w:color w:val="auto"/>
          <w:highlight w:val="none"/>
        </w:rPr>
        <w:t>根据《韶关市医疗保障局2022年部门整体支出绩效评价指标体系》，2022年设定的8项考核指标基本达到预期目标</w:t>
      </w:r>
      <w:r>
        <w:rPr>
          <w:rFonts w:hint="eastAsia"/>
          <w:color w:val="auto"/>
          <w:highlight w:val="none"/>
        </w:rPr>
        <w:t>，具体得分情况如下所述。</w:t>
      </w:r>
    </w:p>
    <w:p>
      <w:pPr>
        <w:ind w:firstLine="643"/>
        <w:rPr>
          <w:color w:val="auto"/>
          <w:highlight w:val="none"/>
        </w:rPr>
      </w:pPr>
      <w:r>
        <w:rPr>
          <w:rFonts w:hint="eastAsia"/>
          <w:b/>
          <w:bCs/>
          <w:color w:val="auto"/>
          <w:highlight w:val="none"/>
        </w:rPr>
        <w:t>“</w:t>
      </w:r>
      <w:r>
        <w:rPr>
          <w:b/>
          <w:bCs/>
          <w:color w:val="auto"/>
          <w:highlight w:val="none"/>
        </w:rPr>
        <w:t>重点救助对象符合规定的住院医疗费用救助</w:t>
      </w:r>
      <w:r>
        <w:rPr>
          <w:rFonts w:hint="eastAsia"/>
          <w:b/>
          <w:bCs/>
          <w:color w:val="auto"/>
          <w:highlight w:val="none"/>
        </w:rPr>
        <w:t>”</w:t>
      </w:r>
      <w:r>
        <w:rPr>
          <w:b/>
          <w:bCs/>
          <w:color w:val="auto"/>
          <w:highlight w:val="none"/>
        </w:rPr>
        <w:t>指标完成情况。</w:t>
      </w:r>
      <w:r>
        <w:rPr>
          <w:color w:val="auto"/>
          <w:highlight w:val="none"/>
        </w:rPr>
        <w:t>指标分值</w:t>
      </w:r>
      <w:r>
        <w:rPr>
          <w:rFonts w:hint="eastAsia"/>
          <w:color w:val="auto"/>
          <w:highlight w:val="none"/>
        </w:rPr>
        <w:t>1</w:t>
      </w:r>
      <w:r>
        <w:rPr>
          <w:color w:val="auto"/>
          <w:highlight w:val="none"/>
        </w:rPr>
        <w:t>分，得分</w:t>
      </w:r>
      <w:r>
        <w:rPr>
          <w:rFonts w:hint="eastAsia"/>
          <w:color w:val="auto"/>
          <w:highlight w:val="none"/>
        </w:rPr>
        <w:t>1</w:t>
      </w:r>
      <w:r>
        <w:rPr>
          <w:color w:val="auto"/>
          <w:highlight w:val="none"/>
        </w:rPr>
        <w:t>分，得分率为</w:t>
      </w:r>
      <w:r>
        <w:rPr>
          <w:rFonts w:hint="eastAsia"/>
          <w:color w:val="auto"/>
          <w:highlight w:val="none"/>
        </w:rPr>
        <w:t>100</w:t>
      </w:r>
      <w:r>
        <w:rPr>
          <w:color w:val="auto"/>
          <w:highlight w:val="none"/>
        </w:rPr>
        <w:t>%。</w:t>
      </w:r>
      <w:r>
        <w:rPr>
          <w:color w:val="auto"/>
          <w:highlight w:val="none"/>
        </w:rPr>
        <w:tab/>
      </w:r>
    </w:p>
    <w:p>
      <w:pPr>
        <w:ind w:firstLine="640"/>
        <w:rPr>
          <w:color w:val="auto"/>
          <w:highlight w:val="none"/>
        </w:rPr>
      </w:pPr>
      <w:r>
        <w:rPr>
          <w:color w:val="auto"/>
          <w:highlight w:val="none"/>
        </w:rPr>
        <w:t>2022年重点救助对象符合规定的住院医疗费用救助比例95.67%，达到预期目标（≥70%），且较2021年同比增长3.83%。</w:t>
      </w:r>
      <w:r>
        <w:rPr>
          <w:rFonts w:hint="eastAsia"/>
          <w:color w:val="auto"/>
          <w:highlight w:val="none"/>
        </w:rPr>
        <w:t>该指标</w:t>
      </w:r>
      <w:r>
        <w:rPr>
          <w:color w:val="auto"/>
          <w:highlight w:val="none"/>
        </w:rPr>
        <w:t>得</w:t>
      </w:r>
      <w:r>
        <w:rPr>
          <w:rFonts w:hint="eastAsia"/>
          <w:color w:val="auto"/>
          <w:highlight w:val="none"/>
        </w:rPr>
        <w:t>满</w:t>
      </w:r>
      <w:r>
        <w:rPr>
          <w:color w:val="auto"/>
          <w:highlight w:val="none"/>
        </w:rPr>
        <w:t>分。</w:t>
      </w:r>
    </w:p>
    <w:p>
      <w:pPr>
        <w:ind w:firstLine="643"/>
        <w:rPr>
          <w:color w:val="auto"/>
          <w:highlight w:val="none"/>
        </w:rPr>
      </w:pPr>
      <w:r>
        <w:rPr>
          <w:rFonts w:hint="eastAsia"/>
          <w:b/>
          <w:bCs/>
          <w:color w:val="auto"/>
          <w:highlight w:val="none"/>
        </w:rPr>
        <w:t>“</w:t>
      </w:r>
      <w:r>
        <w:rPr>
          <w:b/>
          <w:bCs/>
          <w:color w:val="auto"/>
          <w:highlight w:val="none"/>
        </w:rPr>
        <w:t>实行按疾病诊断相关分组付费和按病种付费的住院费占全部住院费的比例</w:t>
      </w:r>
      <w:r>
        <w:rPr>
          <w:rFonts w:hint="eastAsia"/>
          <w:b/>
          <w:bCs/>
          <w:color w:val="auto"/>
          <w:highlight w:val="none"/>
        </w:rPr>
        <w:t>”</w:t>
      </w:r>
      <w:r>
        <w:rPr>
          <w:b/>
          <w:bCs/>
          <w:color w:val="auto"/>
          <w:highlight w:val="none"/>
        </w:rPr>
        <w:t>指标完成情况。</w:t>
      </w:r>
      <w:r>
        <w:rPr>
          <w:color w:val="auto"/>
          <w:highlight w:val="none"/>
        </w:rPr>
        <w:t>指标分值</w:t>
      </w:r>
      <w:r>
        <w:rPr>
          <w:rFonts w:hint="eastAsia"/>
          <w:color w:val="auto"/>
          <w:highlight w:val="none"/>
        </w:rPr>
        <w:t>1</w:t>
      </w:r>
      <w:r>
        <w:rPr>
          <w:color w:val="auto"/>
          <w:highlight w:val="none"/>
        </w:rPr>
        <w:t>分，得分</w:t>
      </w:r>
      <w:r>
        <w:rPr>
          <w:rFonts w:hint="eastAsia"/>
          <w:color w:val="auto"/>
          <w:highlight w:val="none"/>
        </w:rPr>
        <w:t>1</w:t>
      </w:r>
      <w:r>
        <w:rPr>
          <w:color w:val="auto"/>
          <w:highlight w:val="none"/>
        </w:rPr>
        <w:t>分，得分率为</w:t>
      </w:r>
      <w:r>
        <w:rPr>
          <w:rFonts w:hint="eastAsia"/>
          <w:color w:val="auto"/>
          <w:highlight w:val="none"/>
        </w:rPr>
        <w:t>100</w:t>
      </w:r>
      <w:r>
        <w:rPr>
          <w:color w:val="auto"/>
          <w:highlight w:val="none"/>
        </w:rPr>
        <w:t>%。</w:t>
      </w:r>
      <w:r>
        <w:rPr>
          <w:color w:val="auto"/>
          <w:highlight w:val="none"/>
        </w:rPr>
        <w:tab/>
      </w:r>
    </w:p>
    <w:p>
      <w:pPr>
        <w:ind w:firstLine="640"/>
        <w:rPr>
          <w:color w:val="auto"/>
          <w:highlight w:val="none"/>
        </w:rPr>
      </w:pPr>
      <w:r>
        <w:rPr>
          <w:color w:val="auto"/>
          <w:highlight w:val="none"/>
        </w:rPr>
        <w:t>2022年实行按疾病诊断相关分组付费和按病种付费的住院费占全部住院费的比例为100%。根据评分标准，</w:t>
      </w:r>
      <w:r>
        <w:rPr>
          <w:rFonts w:hint="eastAsia"/>
          <w:color w:val="auto"/>
          <w:highlight w:val="none"/>
        </w:rPr>
        <w:t>该指标</w:t>
      </w:r>
      <w:r>
        <w:rPr>
          <w:color w:val="auto"/>
          <w:highlight w:val="none"/>
        </w:rPr>
        <w:t>得</w:t>
      </w:r>
      <w:r>
        <w:rPr>
          <w:rFonts w:hint="eastAsia"/>
          <w:color w:val="auto"/>
          <w:highlight w:val="none"/>
        </w:rPr>
        <w:t>满</w:t>
      </w:r>
      <w:r>
        <w:rPr>
          <w:color w:val="auto"/>
          <w:highlight w:val="none"/>
        </w:rPr>
        <w:t>分。</w:t>
      </w:r>
    </w:p>
    <w:p>
      <w:pPr>
        <w:ind w:firstLine="643"/>
        <w:rPr>
          <w:color w:val="auto"/>
          <w:highlight w:val="none"/>
        </w:rPr>
      </w:pPr>
      <w:r>
        <w:rPr>
          <w:rFonts w:hint="eastAsia"/>
          <w:b/>
          <w:bCs/>
          <w:color w:val="auto"/>
          <w:highlight w:val="none"/>
        </w:rPr>
        <w:t>“</w:t>
      </w:r>
      <w:r>
        <w:rPr>
          <w:b/>
          <w:bCs/>
          <w:color w:val="auto"/>
          <w:highlight w:val="none"/>
        </w:rPr>
        <w:t>城乡居民（职工）基本医疗保险政策范围内住院费用基金支付比例</w:t>
      </w:r>
      <w:r>
        <w:rPr>
          <w:rFonts w:hint="eastAsia"/>
          <w:b/>
          <w:bCs/>
          <w:color w:val="auto"/>
          <w:highlight w:val="none"/>
        </w:rPr>
        <w:t>”</w:t>
      </w:r>
      <w:r>
        <w:rPr>
          <w:b/>
          <w:bCs/>
          <w:color w:val="auto"/>
          <w:highlight w:val="none"/>
        </w:rPr>
        <w:t>指标完成情况。</w:t>
      </w:r>
      <w:r>
        <w:rPr>
          <w:color w:val="auto"/>
          <w:highlight w:val="none"/>
        </w:rPr>
        <w:t>指标分值</w:t>
      </w:r>
      <w:r>
        <w:rPr>
          <w:rFonts w:hint="eastAsia"/>
          <w:color w:val="auto"/>
          <w:highlight w:val="none"/>
        </w:rPr>
        <w:t>1</w:t>
      </w:r>
      <w:r>
        <w:rPr>
          <w:color w:val="auto"/>
          <w:highlight w:val="none"/>
        </w:rPr>
        <w:t>分，得分</w:t>
      </w:r>
      <w:r>
        <w:rPr>
          <w:rFonts w:hint="eastAsia"/>
          <w:color w:val="auto"/>
          <w:highlight w:val="none"/>
        </w:rPr>
        <w:t>1</w:t>
      </w:r>
      <w:r>
        <w:rPr>
          <w:color w:val="auto"/>
          <w:highlight w:val="none"/>
        </w:rPr>
        <w:t>分，得分率为</w:t>
      </w:r>
      <w:r>
        <w:rPr>
          <w:rFonts w:hint="eastAsia"/>
          <w:color w:val="auto"/>
          <w:highlight w:val="none"/>
        </w:rPr>
        <w:t>100</w:t>
      </w:r>
      <w:r>
        <w:rPr>
          <w:color w:val="auto"/>
          <w:highlight w:val="none"/>
        </w:rPr>
        <w:t>%</w:t>
      </w:r>
      <w:r>
        <w:rPr>
          <w:rFonts w:hint="eastAsia"/>
          <w:color w:val="auto"/>
          <w:highlight w:val="none"/>
        </w:rPr>
        <w:t>。</w:t>
      </w:r>
    </w:p>
    <w:p>
      <w:pPr>
        <w:ind w:firstLine="640"/>
        <w:rPr>
          <w:color w:val="auto"/>
          <w:highlight w:val="none"/>
        </w:rPr>
      </w:pPr>
      <w:r>
        <w:rPr>
          <w:color w:val="auto"/>
          <w:highlight w:val="none"/>
        </w:rPr>
        <w:t>2022年城乡居民基本医疗保险政策范围内住院费用基金支付比例为75.8%，达到预期目标（≥70%）。但较2021年同比下降0.03%</w:t>
      </w:r>
      <w:r>
        <w:rPr>
          <w:rFonts w:hint="eastAsia"/>
          <w:color w:val="auto"/>
          <w:highlight w:val="none"/>
        </w:rPr>
        <w:t>。</w:t>
      </w:r>
      <w:r>
        <w:rPr>
          <w:color w:val="auto"/>
          <w:highlight w:val="none"/>
        </w:rPr>
        <w:t>2022年职工基本医疗保险政策范围内住院费用基金支付比例为81.28%，达到预期目标（≥80%），且较2021年同比增长0.42%。综上，</w:t>
      </w:r>
      <w:r>
        <w:rPr>
          <w:rFonts w:hint="eastAsia"/>
          <w:color w:val="auto"/>
          <w:highlight w:val="none"/>
        </w:rPr>
        <w:t>该指标得满分</w:t>
      </w:r>
      <w:r>
        <w:rPr>
          <w:color w:val="auto"/>
          <w:highlight w:val="none"/>
        </w:rPr>
        <w:t>。</w:t>
      </w:r>
    </w:p>
    <w:p>
      <w:pPr>
        <w:ind w:firstLine="643"/>
        <w:rPr>
          <w:color w:val="auto"/>
          <w:highlight w:val="none"/>
        </w:rPr>
      </w:pPr>
      <w:r>
        <w:rPr>
          <w:rFonts w:hint="eastAsia"/>
          <w:b/>
          <w:bCs/>
          <w:color w:val="auto"/>
          <w:highlight w:val="none"/>
        </w:rPr>
        <w:t>“</w:t>
      </w:r>
      <w:r>
        <w:rPr>
          <w:b/>
          <w:bCs/>
          <w:color w:val="auto"/>
          <w:highlight w:val="none"/>
        </w:rPr>
        <w:t>基本医疗保险参保率</w:t>
      </w:r>
      <w:r>
        <w:rPr>
          <w:rFonts w:hint="eastAsia"/>
          <w:b/>
          <w:bCs/>
          <w:color w:val="auto"/>
          <w:highlight w:val="none"/>
        </w:rPr>
        <w:t>”</w:t>
      </w:r>
      <w:r>
        <w:rPr>
          <w:b/>
          <w:bCs/>
          <w:color w:val="auto"/>
          <w:highlight w:val="none"/>
        </w:rPr>
        <w:t>指标完成情况。</w:t>
      </w:r>
      <w:r>
        <w:rPr>
          <w:color w:val="auto"/>
          <w:highlight w:val="none"/>
        </w:rPr>
        <w:t>指标分值</w:t>
      </w:r>
      <w:r>
        <w:rPr>
          <w:rFonts w:hint="eastAsia"/>
          <w:color w:val="auto"/>
          <w:highlight w:val="none"/>
        </w:rPr>
        <w:t>1</w:t>
      </w:r>
      <w:r>
        <w:rPr>
          <w:color w:val="auto"/>
          <w:highlight w:val="none"/>
        </w:rPr>
        <w:t>分，得分</w:t>
      </w:r>
      <w:r>
        <w:rPr>
          <w:rFonts w:hint="eastAsia"/>
          <w:color w:val="auto"/>
          <w:highlight w:val="none"/>
        </w:rPr>
        <w:t>1</w:t>
      </w:r>
      <w:r>
        <w:rPr>
          <w:color w:val="auto"/>
          <w:highlight w:val="none"/>
        </w:rPr>
        <w:t>分，得分率为</w:t>
      </w:r>
      <w:r>
        <w:rPr>
          <w:rFonts w:hint="eastAsia"/>
          <w:color w:val="auto"/>
          <w:highlight w:val="none"/>
        </w:rPr>
        <w:t>100</w:t>
      </w:r>
      <w:r>
        <w:rPr>
          <w:color w:val="auto"/>
          <w:highlight w:val="none"/>
        </w:rPr>
        <w:t>%</w:t>
      </w:r>
      <w:r>
        <w:rPr>
          <w:rFonts w:hint="eastAsia"/>
          <w:color w:val="auto"/>
          <w:highlight w:val="none"/>
        </w:rPr>
        <w:t>。</w:t>
      </w:r>
    </w:p>
    <w:p>
      <w:pPr>
        <w:ind w:firstLine="640"/>
        <w:rPr>
          <w:color w:val="auto"/>
          <w:highlight w:val="none"/>
        </w:rPr>
      </w:pPr>
      <w:r>
        <w:rPr>
          <w:color w:val="auto"/>
          <w:highlight w:val="none"/>
        </w:rPr>
        <w:t>2022年基本医疗保险参保率达到100.58%，达到预期目标（98%）。</w:t>
      </w:r>
      <w:r>
        <w:rPr>
          <w:rFonts w:hint="eastAsia"/>
          <w:color w:val="auto"/>
          <w:highlight w:val="none"/>
        </w:rPr>
        <w:t>该指标得满分</w:t>
      </w:r>
      <w:r>
        <w:rPr>
          <w:color w:val="auto"/>
          <w:highlight w:val="none"/>
        </w:rPr>
        <w:t>。</w:t>
      </w:r>
    </w:p>
    <w:p>
      <w:pPr>
        <w:ind w:firstLine="643"/>
        <w:rPr>
          <w:color w:val="auto"/>
          <w:highlight w:val="none"/>
        </w:rPr>
      </w:pPr>
      <w:r>
        <w:rPr>
          <w:rFonts w:hint="eastAsia"/>
          <w:b/>
          <w:bCs/>
          <w:color w:val="auto"/>
          <w:highlight w:val="none"/>
        </w:rPr>
        <w:t>“</w:t>
      </w:r>
      <w:r>
        <w:rPr>
          <w:b/>
          <w:bCs/>
          <w:color w:val="auto"/>
          <w:highlight w:val="none"/>
        </w:rPr>
        <w:t>药品（高值医用耗材）集中带量采购品种同比增长率</w:t>
      </w:r>
      <w:r>
        <w:rPr>
          <w:rFonts w:hint="eastAsia"/>
          <w:b/>
          <w:bCs/>
          <w:color w:val="auto"/>
          <w:highlight w:val="none"/>
        </w:rPr>
        <w:t>”</w:t>
      </w:r>
      <w:r>
        <w:rPr>
          <w:b/>
          <w:bCs/>
          <w:color w:val="auto"/>
          <w:highlight w:val="none"/>
        </w:rPr>
        <w:t>指标完成情况。</w:t>
      </w:r>
      <w:r>
        <w:rPr>
          <w:color w:val="auto"/>
          <w:highlight w:val="none"/>
        </w:rPr>
        <w:t>指标分值</w:t>
      </w:r>
      <w:r>
        <w:rPr>
          <w:rFonts w:hint="eastAsia"/>
          <w:color w:val="auto"/>
          <w:highlight w:val="none"/>
        </w:rPr>
        <w:t>1</w:t>
      </w:r>
      <w:r>
        <w:rPr>
          <w:color w:val="auto"/>
          <w:highlight w:val="none"/>
        </w:rPr>
        <w:t>分，得分</w:t>
      </w:r>
      <w:r>
        <w:rPr>
          <w:rFonts w:hint="eastAsia"/>
          <w:color w:val="auto"/>
          <w:highlight w:val="none"/>
        </w:rPr>
        <w:t>1</w:t>
      </w:r>
      <w:r>
        <w:rPr>
          <w:color w:val="auto"/>
          <w:highlight w:val="none"/>
        </w:rPr>
        <w:t>分，得分率为</w:t>
      </w:r>
      <w:r>
        <w:rPr>
          <w:rFonts w:hint="eastAsia"/>
          <w:color w:val="auto"/>
          <w:highlight w:val="none"/>
        </w:rPr>
        <w:t>100</w:t>
      </w:r>
      <w:r>
        <w:rPr>
          <w:color w:val="auto"/>
          <w:highlight w:val="none"/>
        </w:rPr>
        <w:t>%</w:t>
      </w:r>
      <w:r>
        <w:rPr>
          <w:rFonts w:hint="eastAsia"/>
          <w:color w:val="auto"/>
          <w:highlight w:val="none"/>
        </w:rPr>
        <w:t>。</w:t>
      </w:r>
    </w:p>
    <w:p>
      <w:pPr>
        <w:ind w:firstLine="640"/>
        <w:rPr>
          <w:color w:val="auto"/>
          <w:highlight w:val="none"/>
        </w:rPr>
      </w:pPr>
      <w:r>
        <w:rPr>
          <w:color w:val="auto"/>
          <w:highlight w:val="none"/>
        </w:rPr>
        <w:t>药品集中带量采购品种294种，同比增长25.64%</w:t>
      </w:r>
      <w:r>
        <w:rPr>
          <w:rFonts w:hint="eastAsia"/>
          <w:color w:val="auto"/>
          <w:highlight w:val="none"/>
        </w:rPr>
        <w:t>；</w:t>
      </w:r>
      <w:r>
        <w:rPr>
          <w:color w:val="auto"/>
          <w:highlight w:val="none"/>
        </w:rPr>
        <w:t>高值医用耗材集中带量采购品种13种，同比增长116.67%。药品（高值医用耗材）集中带量采购品种同比增长率</w:t>
      </w:r>
      <w:r>
        <w:rPr>
          <w:rFonts w:hint="eastAsia"/>
          <w:color w:val="auto"/>
          <w:highlight w:val="none"/>
        </w:rPr>
        <w:t>达到预期值，该指标得满分</w:t>
      </w:r>
      <w:r>
        <w:rPr>
          <w:color w:val="auto"/>
          <w:highlight w:val="none"/>
        </w:rPr>
        <w:t>。</w:t>
      </w:r>
    </w:p>
    <w:p>
      <w:pPr>
        <w:ind w:firstLine="643"/>
        <w:rPr>
          <w:color w:val="auto"/>
          <w:highlight w:val="none"/>
        </w:rPr>
      </w:pPr>
      <w:r>
        <w:rPr>
          <w:rFonts w:hint="eastAsia"/>
          <w:b/>
          <w:bCs/>
          <w:color w:val="auto"/>
          <w:highlight w:val="none"/>
        </w:rPr>
        <w:t>“</w:t>
      </w:r>
      <w:r>
        <w:rPr>
          <w:b/>
          <w:bCs/>
          <w:color w:val="auto"/>
          <w:highlight w:val="none"/>
        </w:rPr>
        <w:t>参保群众政策知晓率</w:t>
      </w:r>
      <w:r>
        <w:rPr>
          <w:rFonts w:hint="eastAsia"/>
          <w:b/>
          <w:bCs/>
          <w:color w:val="auto"/>
          <w:highlight w:val="none"/>
        </w:rPr>
        <w:t>”</w:t>
      </w:r>
      <w:r>
        <w:rPr>
          <w:b/>
          <w:bCs/>
          <w:color w:val="auto"/>
          <w:highlight w:val="none"/>
        </w:rPr>
        <w:t>指标完成情况。</w:t>
      </w:r>
      <w:r>
        <w:rPr>
          <w:color w:val="auto"/>
          <w:highlight w:val="none"/>
        </w:rPr>
        <w:t>指标分值</w:t>
      </w:r>
      <w:r>
        <w:rPr>
          <w:rFonts w:hint="eastAsia"/>
          <w:color w:val="auto"/>
          <w:highlight w:val="none"/>
        </w:rPr>
        <w:t>1</w:t>
      </w:r>
      <w:r>
        <w:rPr>
          <w:color w:val="auto"/>
          <w:highlight w:val="none"/>
        </w:rPr>
        <w:t>分，得分</w:t>
      </w:r>
      <w:r>
        <w:rPr>
          <w:rFonts w:hint="eastAsia"/>
          <w:color w:val="auto"/>
          <w:highlight w:val="none"/>
        </w:rPr>
        <w:t>1</w:t>
      </w:r>
      <w:r>
        <w:rPr>
          <w:color w:val="auto"/>
          <w:highlight w:val="none"/>
        </w:rPr>
        <w:t>分，得分率为</w:t>
      </w:r>
      <w:r>
        <w:rPr>
          <w:rFonts w:hint="eastAsia"/>
          <w:color w:val="auto"/>
          <w:highlight w:val="none"/>
        </w:rPr>
        <w:t>100</w:t>
      </w:r>
      <w:r>
        <w:rPr>
          <w:color w:val="auto"/>
          <w:highlight w:val="none"/>
        </w:rPr>
        <w:t>%</w:t>
      </w:r>
      <w:r>
        <w:rPr>
          <w:rFonts w:hint="eastAsia"/>
          <w:color w:val="auto"/>
          <w:highlight w:val="none"/>
        </w:rPr>
        <w:t>。</w:t>
      </w:r>
    </w:p>
    <w:p>
      <w:pPr>
        <w:ind w:firstLine="640"/>
        <w:rPr>
          <w:color w:val="auto"/>
          <w:highlight w:val="none"/>
        </w:rPr>
      </w:pPr>
      <w:r>
        <w:rPr>
          <w:color w:val="auto"/>
          <w:highlight w:val="none"/>
        </w:rPr>
        <w:t>2022年韶关市10个县（市、区）医保局共对32位参保人进行问卷调查，调查结果显示：抽查人群的政策知晓率超过90%，达到预期目标（90%）</w:t>
      </w:r>
      <w:r>
        <w:rPr>
          <w:rFonts w:hint="eastAsia"/>
          <w:color w:val="auto"/>
          <w:highlight w:val="none"/>
        </w:rPr>
        <w:t>，该指标得满分</w:t>
      </w:r>
      <w:r>
        <w:rPr>
          <w:color w:val="auto"/>
          <w:highlight w:val="none"/>
        </w:rPr>
        <w:t>。</w:t>
      </w:r>
    </w:p>
    <w:p>
      <w:pPr>
        <w:ind w:firstLine="640"/>
        <w:rPr>
          <w:color w:val="auto"/>
          <w:highlight w:val="none"/>
        </w:rPr>
      </w:pPr>
      <w:r>
        <w:rPr>
          <w:rFonts w:hint="eastAsia"/>
          <w:color w:val="auto"/>
          <w:highlight w:val="none"/>
        </w:rPr>
        <w:t>“</w:t>
      </w:r>
      <w:r>
        <w:rPr>
          <w:b/>
          <w:bCs/>
          <w:color w:val="auto"/>
          <w:highlight w:val="none"/>
        </w:rPr>
        <w:t>保障医疗保障基金安全运行</w:t>
      </w:r>
      <w:r>
        <w:rPr>
          <w:rFonts w:hint="eastAsia"/>
          <w:b/>
          <w:bCs/>
          <w:color w:val="auto"/>
          <w:highlight w:val="none"/>
        </w:rPr>
        <w:t>”</w:t>
      </w:r>
      <w:r>
        <w:rPr>
          <w:b/>
          <w:bCs/>
          <w:color w:val="auto"/>
          <w:highlight w:val="none"/>
        </w:rPr>
        <w:t>指标完成情况。</w:t>
      </w:r>
      <w:r>
        <w:rPr>
          <w:color w:val="auto"/>
          <w:highlight w:val="none"/>
        </w:rPr>
        <w:t>指标分值</w:t>
      </w:r>
      <w:r>
        <w:rPr>
          <w:rFonts w:hint="eastAsia"/>
          <w:color w:val="auto"/>
          <w:highlight w:val="none"/>
        </w:rPr>
        <w:t>2</w:t>
      </w:r>
      <w:r>
        <w:rPr>
          <w:color w:val="auto"/>
          <w:highlight w:val="none"/>
        </w:rPr>
        <w:t>分，得分</w:t>
      </w:r>
      <w:r>
        <w:rPr>
          <w:rFonts w:hint="eastAsia"/>
          <w:color w:val="auto"/>
          <w:highlight w:val="none"/>
        </w:rPr>
        <w:t>2</w:t>
      </w:r>
      <w:r>
        <w:rPr>
          <w:color w:val="auto"/>
          <w:highlight w:val="none"/>
        </w:rPr>
        <w:t>分，得分率为</w:t>
      </w:r>
      <w:r>
        <w:rPr>
          <w:rFonts w:hint="eastAsia"/>
          <w:color w:val="auto"/>
          <w:highlight w:val="none"/>
        </w:rPr>
        <w:t>100</w:t>
      </w:r>
      <w:r>
        <w:rPr>
          <w:color w:val="auto"/>
          <w:highlight w:val="none"/>
        </w:rPr>
        <w:t>%</w:t>
      </w:r>
      <w:r>
        <w:rPr>
          <w:rFonts w:hint="eastAsia"/>
          <w:color w:val="auto"/>
          <w:highlight w:val="none"/>
        </w:rPr>
        <w:t>。</w:t>
      </w:r>
    </w:p>
    <w:p>
      <w:pPr>
        <w:ind w:firstLine="640"/>
        <w:rPr>
          <w:color w:val="auto"/>
          <w:highlight w:val="none"/>
        </w:rPr>
      </w:pPr>
      <w:r>
        <w:rPr>
          <w:color w:val="auto"/>
          <w:highlight w:val="none"/>
        </w:rPr>
        <w:tab/>
      </w:r>
      <w:r>
        <w:rPr>
          <w:color w:val="auto"/>
          <w:highlight w:val="none"/>
        </w:rPr>
        <w:t>根据省下达的参保计划，结合各县（市、区）的实际参保人数和常住人口数，科学合理分解参保任务目标，压实县（市、区）工作责任。截至2022年12月底，全市参保人数为287.68万人，基本实现全民参保</w:t>
      </w:r>
      <w:r>
        <w:rPr>
          <w:rFonts w:hint="eastAsia"/>
          <w:color w:val="auto"/>
          <w:highlight w:val="none"/>
        </w:rPr>
        <w:t>，该指标得满分</w:t>
      </w:r>
      <w:r>
        <w:rPr>
          <w:color w:val="auto"/>
          <w:highlight w:val="none"/>
        </w:rPr>
        <w:t>。</w:t>
      </w:r>
    </w:p>
    <w:p>
      <w:pPr>
        <w:ind w:firstLine="643"/>
        <w:rPr>
          <w:color w:val="auto"/>
          <w:highlight w:val="none"/>
        </w:rPr>
      </w:pPr>
      <w:r>
        <w:rPr>
          <w:rFonts w:hint="eastAsia"/>
          <w:b/>
          <w:bCs/>
          <w:color w:val="auto"/>
          <w:highlight w:val="none"/>
        </w:rPr>
        <w:t>“</w:t>
      </w:r>
      <w:r>
        <w:rPr>
          <w:b/>
          <w:bCs/>
          <w:color w:val="auto"/>
          <w:highlight w:val="none"/>
        </w:rPr>
        <w:t>社会公众满意度</w:t>
      </w:r>
      <w:r>
        <w:rPr>
          <w:rFonts w:hint="eastAsia"/>
          <w:b/>
          <w:bCs/>
          <w:color w:val="auto"/>
          <w:highlight w:val="none"/>
        </w:rPr>
        <w:t>”</w:t>
      </w:r>
      <w:r>
        <w:rPr>
          <w:b/>
          <w:bCs/>
          <w:color w:val="auto"/>
          <w:highlight w:val="none"/>
        </w:rPr>
        <w:t>指标完成情况。</w:t>
      </w:r>
      <w:r>
        <w:rPr>
          <w:color w:val="auto"/>
          <w:highlight w:val="none"/>
        </w:rPr>
        <w:t>指标分值</w:t>
      </w:r>
      <w:r>
        <w:rPr>
          <w:rFonts w:hint="eastAsia"/>
          <w:color w:val="auto"/>
          <w:highlight w:val="none"/>
        </w:rPr>
        <w:t>2</w:t>
      </w:r>
      <w:r>
        <w:rPr>
          <w:color w:val="auto"/>
          <w:highlight w:val="none"/>
        </w:rPr>
        <w:t>分，得分1.95分，得分率为</w:t>
      </w:r>
      <w:r>
        <w:rPr>
          <w:rFonts w:hint="eastAsia"/>
          <w:color w:val="auto"/>
          <w:highlight w:val="none"/>
        </w:rPr>
        <w:t>97.5</w:t>
      </w:r>
      <w:r>
        <w:rPr>
          <w:color w:val="auto"/>
          <w:highlight w:val="none"/>
        </w:rPr>
        <w:t>%</w:t>
      </w:r>
      <w:r>
        <w:rPr>
          <w:rFonts w:hint="eastAsia"/>
          <w:color w:val="auto"/>
          <w:highlight w:val="none"/>
        </w:rPr>
        <w:t>。</w:t>
      </w:r>
    </w:p>
    <w:p>
      <w:pPr>
        <w:ind w:firstLine="640"/>
        <w:rPr>
          <w:color w:val="auto"/>
          <w:highlight w:val="none"/>
        </w:rPr>
      </w:pPr>
      <w:r>
        <w:rPr>
          <w:color w:val="auto"/>
          <w:highlight w:val="none"/>
        </w:rPr>
        <w:t>2022年韶关市10个县（市、区）医疗保障局共对36位参保人开展问卷调查，调查结果显示：参保对象满意度为97.22%，达到预期目标（85%），</w:t>
      </w:r>
      <w:r>
        <w:rPr>
          <w:rFonts w:hint="eastAsia"/>
          <w:color w:val="auto"/>
          <w:highlight w:val="none"/>
        </w:rPr>
        <w:t>根据评分标准，得一分</w:t>
      </w:r>
      <w:r>
        <w:rPr>
          <w:color w:val="auto"/>
          <w:highlight w:val="none"/>
        </w:rPr>
        <w:t>。2022年第三方机构面向社会公众开展满意度调查，结果显示：社会公众满意度为95.35%。根据评分标准（1分-95.35%*1分），扣0.05分</w:t>
      </w:r>
      <w:r>
        <w:rPr>
          <w:rFonts w:hint="eastAsia"/>
          <w:color w:val="auto"/>
          <w:highlight w:val="none"/>
        </w:rPr>
        <w:t>。该指标得1.95分</w:t>
      </w:r>
      <w:r>
        <w:rPr>
          <w:color w:val="auto"/>
          <w:highlight w:val="none"/>
        </w:rPr>
        <w:t>。</w:t>
      </w:r>
    </w:p>
    <w:p>
      <w:pPr>
        <w:ind w:firstLine="640"/>
        <w:rPr>
          <w:bCs/>
          <w:color w:val="auto"/>
          <w:highlight w:val="none"/>
        </w:rPr>
      </w:pPr>
      <w:r>
        <w:rPr>
          <w:bCs/>
          <w:color w:val="auto"/>
          <w:highlight w:val="none"/>
        </w:rPr>
        <w:t>2.专项效能</w:t>
      </w:r>
    </w:p>
    <w:p>
      <w:pPr>
        <w:ind w:firstLine="640"/>
        <w:rPr>
          <w:color w:val="auto"/>
          <w:highlight w:val="none"/>
        </w:rPr>
      </w:pPr>
      <w:r>
        <w:rPr>
          <w:color w:val="auto"/>
          <w:highlight w:val="none"/>
        </w:rPr>
        <w:t>2022年市医疗保障局涉及中央、省级专项资金共4个，分别是：城乡居民基本医疗保险补助资金、医疗救助金项目、中央财政医疗服务与保障能力提升补助资金、城乡居民基本医疗保险宣传培训经费。专项效能主要评价中省资金绩效完成情况、中省资金支出率两方面，具体情况如下。</w:t>
      </w:r>
    </w:p>
    <w:p>
      <w:pPr>
        <w:ind w:firstLine="640"/>
        <w:rPr>
          <w:color w:val="auto"/>
          <w:highlight w:val="none"/>
        </w:rPr>
      </w:pPr>
      <w:r>
        <w:rPr>
          <w:color w:val="auto"/>
          <w:highlight w:val="none"/>
        </w:rPr>
        <w:t>（1）中省资金绩效完成情况。</w:t>
      </w:r>
      <w:r>
        <w:rPr>
          <w:color w:val="auto"/>
          <w:highlight w:val="none"/>
        </w:rPr>
        <w:t>指标分值20分，得分</w:t>
      </w:r>
      <w:r>
        <w:rPr>
          <w:rFonts w:hint="eastAsia"/>
          <w:color w:val="auto"/>
          <w:highlight w:val="none"/>
        </w:rPr>
        <w:t>17.51</w:t>
      </w:r>
      <w:r>
        <w:rPr>
          <w:color w:val="auto"/>
          <w:highlight w:val="none"/>
        </w:rPr>
        <w:t>分，得分率</w:t>
      </w:r>
      <w:r>
        <w:rPr>
          <w:rFonts w:hint="eastAsia"/>
          <w:color w:val="auto"/>
          <w:highlight w:val="none"/>
        </w:rPr>
        <w:t>87.55</w:t>
      </w:r>
      <w:r>
        <w:rPr>
          <w:color w:val="auto"/>
          <w:highlight w:val="none"/>
        </w:rPr>
        <w:t>%。</w:t>
      </w:r>
      <w:r>
        <w:rPr>
          <w:rFonts w:hint="eastAsia"/>
          <w:color w:val="auto"/>
          <w:highlight w:val="none"/>
        </w:rPr>
        <w:t>扣2.49分。</w:t>
      </w:r>
    </w:p>
    <w:p>
      <w:pPr>
        <w:ind w:firstLine="640"/>
        <w:rPr>
          <w:color w:val="auto"/>
          <w:highlight w:val="none"/>
        </w:rPr>
      </w:pPr>
      <w:r>
        <w:rPr>
          <w:color w:val="auto"/>
          <w:highlight w:val="none"/>
        </w:rPr>
        <w:t>2022年市医疗保障局涉及的4个专项资金共有49项绩效指标，其中</w:t>
      </w:r>
      <w:r>
        <w:rPr>
          <w:rFonts w:hint="eastAsia"/>
          <w:color w:val="auto"/>
          <w:highlight w:val="none"/>
        </w:rPr>
        <w:t>1</w:t>
      </w:r>
      <w:r>
        <w:rPr>
          <w:color w:val="auto"/>
          <w:highlight w:val="none"/>
        </w:rPr>
        <w:t>1项指标因市医疗保障局未结合韶关市实际情况，细化分解上级下达指标，难以对标考核其实际完成情况，故不纳入本次评价范围。经统计，纳入评价范围的3</w:t>
      </w:r>
      <w:r>
        <w:rPr>
          <w:rFonts w:hint="eastAsia"/>
          <w:color w:val="auto"/>
          <w:highlight w:val="none"/>
        </w:rPr>
        <w:t>8</w:t>
      </w:r>
      <w:r>
        <w:rPr>
          <w:color w:val="auto"/>
          <w:highlight w:val="none"/>
        </w:rPr>
        <w:t>项绩效指标中，其中</w:t>
      </w:r>
      <w:r>
        <w:rPr>
          <w:color w:val="auto"/>
          <w:highlight w:val="none"/>
        </w:rPr>
        <w:t>2</w:t>
      </w:r>
      <w:r>
        <w:rPr>
          <w:rFonts w:hint="eastAsia"/>
          <w:color w:val="auto"/>
          <w:highlight w:val="none"/>
        </w:rPr>
        <w:t>4</w:t>
      </w:r>
      <w:r>
        <w:rPr>
          <w:color w:val="auto"/>
          <w:highlight w:val="none"/>
        </w:rPr>
        <w:t>项指标达到预期目标；</w:t>
      </w:r>
      <w:r>
        <w:rPr>
          <w:color w:val="auto"/>
          <w:highlight w:val="none"/>
        </w:rPr>
        <w:t>1</w:t>
      </w:r>
      <w:r>
        <w:rPr>
          <w:rFonts w:hint="eastAsia"/>
          <w:color w:val="auto"/>
          <w:highlight w:val="none"/>
        </w:rPr>
        <w:t>0</w:t>
      </w:r>
      <w:r>
        <w:rPr>
          <w:color w:val="auto"/>
          <w:highlight w:val="none"/>
        </w:rPr>
        <w:t>项指标未达到预期目标</w:t>
      </w:r>
      <w:r>
        <w:rPr>
          <w:rFonts w:hint="eastAsia"/>
          <w:color w:val="auto"/>
          <w:highlight w:val="none"/>
        </w:rPr>
        <w:t>（见表2-5、附件5）</w:t>
      </w:r>
      <w:r>
        <w:rPr>
          <w:color w:val="auto"/>
          <w:highlight w:val="none"/>
        </w:rPr>
        <w:t>；</w:t>
      </w:r>
      <w:r>
        <w:rPr>
          <w:rFonts w:hint="eastAsia"/>
          <w:color w:val="auto"/>
          <w:highlight w:val="none"/>
        </w:rPr>
        <w:t>4</w:t>
      </w:r>
      <w:r>
        <w:rPr>
          <w:color w:val="auto"/>
          <w:highlight w:val="none"/>
        </w:rPr>
        <w:t>项指标因缺少对应佐证材料无法判定（</w:t>
      </w:r>
      <w:r>
        <w:rPr>
          <w:rFonts w:hint="eastAsia"/>
          <w:color w:val="auto"/>
          <w:highlight w:val="none"/>
        </w:rPr>
        <w:t>见表2-5、附件5</w:t>
      </w:r>
      <w:r>
        <w:rPr>
          <w:color w:val="auto"/>
          <w:highlight w:val="none"/>
        </w:rPr>
        <w:t>）。根据评分标准，酌情扣</w:t>
      </w:r>
      <w:r>
        <w:rPr>
          <w:rFonts w:hint="eastAsia"/>
          <w:color w:val="auto"/>
          <w:highlight w:val="none"/>
        </w:rPr>
        <w:t>2.49</w:t>
      </w:r>
      <w:r>
        <w:rPr>
          <w:color w:val="auto"/>
          <w:highlight w:val="none"/>
        </w:rPr>
        <w:t>分。</w:t>
      </w:r>
    </w:p>
    <w:p>
      <w:pPr>
        <w:pStyle w:val="25"/>
        <w:rPr>
          <w:color w:val="auto"/>
          <w:highlight w:val="none"/>
        </w:rPr>
      </w:pPr>
      <w:r>
        <w:rPr>
          <w:color w:val="auto"/>
          <w:highlight w:val="none"/>
        </w:rPr>
        <w:t>表2-</w:t>
      </w:r>
      <w:r>
        <w:rPr>
          <w:rFonts w:hint="eastAsia"/>
          <w:color w:val="auto"/>
          <w:highlight w:val="none"/>
        </w:rPr>
        <w:t>4</w:t>
      </w:r>
      <w:r>
        <w:rPr>
          <w:color w:val="auto"/>
          <w:highlight w:val="none"/>
        </w:rPr>
        <w:t xml:space="preserve"> 中省资金绩效完成情况表</w:t>
      </w:r>
    </w:p>
    <w:tbl>
      <w:tblPr>
        <w:tblStyle w:val="18"/>
        <w:tblW w:w="4996" w:type="pct"/>
        <w:jc w:val="center"/>
        <w:tblLayout w:type="fixed"/>
        <w:tblCellMar>
          <w:top w:w="0" w:type="dxa"/>
          <w:left w:w="108" w:type="dxa"/>
          <w:bottom w:w="0" w:type="dxa"/>
          <w:right w:w="108" w:type="dxa"/>
        </w:tblCellMar>
      </w:tblPr>
      <w:tblGrid>
        <w:gridCol w:w="1915"/>
        <w:gridCol w:w="1152"/>
        <w:gridCol w:w="1224"/>
        <w:gridCol w:w="1031"/>
        <w:gridCol w:w="996"/>
        <w:gridCol w:w="997"/>
        <w:gridCol w:w="996"/>
        <w:gridCol w:w="856"/>
      </w:tblGrid>
      <w:tr>
        <w:tblPrEx>
          <w:tblCellMar>
            <w:top w:w="0" w:type="dxa"/>
            <w:left w:w="108" w:type="dxa"/>
            <w:bottom w:w="0" w:type="dxa"/>
            <w:right w:w="108" w:type="dxa"/>
          </w:tblCellMar>
        </w:tblPrEx>
        <w:trPr>
          <w:trHeight w:val="454" w:hRule="atLeast"/>
          <w:tblHeader/>
          <w:jc w:val="center"/>
        </w:trPr>
        <w:tc>
          <w:tcPr>
            <w:tcW w:w="1043" w:type="pct"/>
            <w:vMerge w:val="restart"/>
            <w:tcBorders>
              <w:top w:val="single" w:color="000000" w:sz="4" w:space="0"/>
              <w:left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项目名称</w:t>
            </w:r>
          </w:p>
        </w:tc>
        <w:tc>
          <w:tcPr>
            <w:tcW w:w="628" w:type="pct"/>
            <w:vMerge w:val="restart"/>
            <w:tcBorders>
              <w:top w:val="single" w:color="000000" w:sz="4" w:space="0"/>
              <w:left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指标</w:t>
            </w:r>
          </w:p>
          <w:p>
            <w:pPr>
              <w:pStyle w:val="26"/>
              <w:spacing w:line="240" w:lineRule="auto"/>
              <w:rPr>
                <w:rFonts w:cs="Times New Roman"/>
                <w:b/>
                <w:bCs w:val="0"/>
                <w:color w:val="auto"/>
                <w:szCs w:val="21"/>
                <w:highlight w:val="none"/>
              </w:rPr>
            </w:pPr>
            <w:r>
              <w:rPr>
                <w:rFonts w:cs="Times New Roman"/>
                <w:b/>
                <w:bCs w:val="0"/>
                <w:color w:val="auto"/>
                <w:szCs w:val="21"/>
                <w:highlight w:val="none"/>
              </w:rPr>
              <w:t>数量</w:t>
            </w:r>
          </w:p>
        </w:tc>
        <w:tc>
          <w:tcPr>
            <w:tcW w:w="667" w:type="pct"/>
            <w:vMerge w:val="restart"/>
            <w:tcBorders>
              <w:top w:val="single" w:color="000000" w:sz="4" w:space="0"/>
              <w:left w:val="single" w:color="auto"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纳入评价范围指标数量</w:t>
            </w:r>
          </w:p>
        </w:tc>
        <w:tc>
          <w:tcPr>
            <w:tcW w:w="1649" w:type="pct"/>
            <w:gridSpan w:val="3"/>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指标完成情况统计</w:t>
            </w:r>
          </w:p>
        </w:tc>
        <w:tc>
          <w:tcPr>
            <w:tcW w:w="543" w:type="pct"/>
            <w:vMerge w:val="restart"/>
            <w:tcBorders>
              <w:top w:val="single" w:color="000000" w:sz="4" w:space="0"/>
              <w:left w:val="single" w:color="auto"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资金</w:t>
            </w:r>
          </w:p>
          <w:p>
            <w:pPr>
              <w:pStyle w:val="26"/>
              <w:spacing w:line="240" w:lineRule="auto"/>
              <w:rPr>
                <w:rFonts w:cs="Times New Roman"/>
                <w:b/>
                <w:bCs w:val="0"/>
                <w:color w:val="auto"/>
                <w:szCs w:val="21"/>
                <w:highlight w:val="none"/>
              </w:rPr>
            </w:pPr>
            <w:r>
              <w:rPr>
                <w:rFonts w:cs="Times New Roman"/>
                <w:b/>
                <w:bCs w:val="0"/>
                <w:color w:val="auto"/>
                <w:szCs w:val="21"/>
                <w:highlight w:val="none"/>
              </w:rPr>
              <w:t>比重</w:t>
            </w:r>
          </w:p>
        </w:tc>
        <w:tc>
          <w:tcPr>
            <w:tcW w:w="467" w:type="pct"/>
            <w:vMerge w:val="restart"/>
            <w:tcBorders>
              <w:top w:val="single" w:color="000000" w:sz="4" w:space="0"/>
              <w:left w:val="single" w:color="auto"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评价</w:t>
            </w:r>
          </w:p>
          <w:p>
            <w:pPr>
              <w:pStyle w:val="26"/>
              <w:spacing w:line="240" w:lineRule="auto"/>
              <w:rPr>
                <w:rFonts w:cs="Times New Roman"/>
                <w:b/>
                <w:bCs w:val="0"/>
                <w:color w:val="auto"/>
                <w:szCs w:val="21"/>
                <w:highlight w:val="none"/>
              </w:rPr>
            </w:pPr>
            <w:r>
              <w:rPr>
                <w:rFonts w:cs="Times New Roman"/>
                <w:b/>
                <w:bCs w:val="0"/>
                <w:color w:val="auto"/>
                <w:szCs w:val="21"/>
                <w:highlight w:val="none"/>
              </w:rPr>
              <w:t>得分</w:t>
            </w:r>
          </w:p>
        </w:tc>
      </w:tr>
      <w:tr>
        <w:tblPrEx>
          <w:tblCellMar>
            <w:top w:w="0" w:type="dxa"/>
            <w:left w:w="108" w:type="dxa"/>
            <w:bottom w:w="0" w:type="dxa"/>
            <w:right w:w="108" w:type="dxa"/>
          </w:tblCellMar>
        </w:tblPrEx>
        <w:trPr>
          <w:trHeight w:val="454" w:hRule="atLeast"/>
          <w:tblHeader/>
          <w:jc w:val="center"/>
        </w:trPr>
        <w:tc>
          <w:tcPr>
            <w:tcW w:w="1043" w:type="pct"/>
            <w:vMerge w:val="continue"/>
            <w:tcBorders>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p>
        </w:tc>
        <w:tc>
          <w:tcPr>
            <w:tcW w:w="628" w:type="pct"/>
            <w:vMerge w:val="continue"/>
            <w:tcBorders>
              <w:left w:val="single" w:color="000000"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p>
        </w:tc>
        <w:tc>
          <w:tcPr>
            <w:tcW w:w="667" w:type="pct"/>
            <w:vMerge w:val="continue"/>
            <w:tcBorders>
              <w:left w:val="single" w:color="auto"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p>
        </w:tc>
        <w:tc>
          <w:tcPr>
            <w:tcW w:w="562"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达到预期目标</w:t>
            </w:r>
          </w:p>
        </w:tc>
        <w:tc>
          <w:tcPr>
            <w:tcW w:w="54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未达预期目标</w:t>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无法判定</w:t>
            </w:r>
            <w:r>
              <w:rPr>
                <w:rStyle w:val="23"/>
                <w:rFonts w:cs="Times New Roman"/>
                <w:b/>
                <w:bCs w:val="0"/>
                <w:color w:val="auto"/>
                <w:szCs w:val="21"/>
                <w:highlight w:val="none"/>
              </w:rPr>
              <w:footnoteReference w:id="9"/>
            </w:r>
          </w:p>
        </w:tc>
        <w:tc>
          <w:tcPr>
            <w:tcW w:w="543" w:type="pct"/>
            <w:vMerge w:val="continue"/>
            <w:tcBorders>
              <w:left w:val="single" w:color="auto"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p>
        </w:tc>
        <w:tc>
          <w:tcPr>
            <w:tcW w:w="467" w:type="pct"/>
            <w:vMerge w:val="continue"/>
            <w:tcBorders>
              <w:left w:val="single" w:color="auto"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p>
        </w:tc>
      </w:tr>
      <w:tr>
        <w:tblPrEx>
          <w:tblCellMar>
            <w:top w:w="0" w:type="dxa"/>
            <w:left w:w="108" w:type="dxa"/>
            <w:bottom w:w="0" w:type="dxa"/>
            <w:right w:w="108" w:type="dxa"/>
          </w:tblCellMar>
        </w:tblPrEx>
        <w:trPr>
          <w:trHeight w:val="454" w:hRule="atLeast"/>
          <w:jc w:val="center"/>
        </w:trPr>
        <w:tc>
          <w:tcPr>
            <w:tcW w:w="1043"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城乡居民基本医疗保险补助资金</w:t>
            </w:r>
          </w:p>
        </w:tc>
        <w:tc>
          <w:tcPr>
            <w:tcW w:w="628"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12</w:t>
            </w:r>
          </w:p>
        </w:tc>
        <w:tc>
          <w:tcPr>
            <w:tcW w:w="6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11</w:t>
            </w:r>
          </w:p>
        </w:tc>
        <w:tc>
          <w:tcPr>
            <w:tcW w:w="562"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hint="eastAsia" w:cs="Times New Roman"/>
                <w:color w:val="auto"/>
                <w:szCs w:val="21"/>
                <w:highlight w:val="none"/>
              </w:rPr>
              <w:t>10</w:t>
            </w:r>
          </w:p>
        </w:tc>
        <w:tc>
          <w:tcPr>
            <w:tcW w:w="54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hint="eastAsia" w:cs="Times New Roman"/>
                <w:color w:val="auto"/>
                <w:szCs w:val="21"/>
                <w:highlight w:val="none"/>
              </w:rPr>
              <w:t>1</w:t>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0</w:t>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88.92%</w:t>
            </w:r>
          </w:p>
        </w:tc>
        <w:tc>
          <w:tcPr>
            <w:tcW w:w="4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hint="eastAsia" w:cs="Times New Roman"/>
                <w:color w:val="auto"/>
                <w:szCs w:val="21"/>
                <w:highlight w:val="none"/>
              </w:rPr>
              <w:t>16.17</w:t>
            </w:r>
          </w:p>
        </w:tc>
      </w:tr>
      <w:tr>
        <w:tblPrEx>
          <w:tblCellMar>
            <w:top w:w="0" w:type="dxa"/>
            <w:left w:w="108" w:type="dxa"/>
            <w:bottom w:w="0" w:type="dxa"/>
            <w:right w:w="108" w:type="dxa"/>
          </w:tblCellMar>
        </w:tblPrEx>
        <w:trPr>
          <w:trHeight w:val="454" w:hRule="atLeast"/>
          <w:jc w:val="center"/>
        </w:trPr>
        <w:tc>
          <w:tcPr>
            <w:tcW w:w="1043"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医疗救助金项目</w:t>
            </w:r>
          </w:p>
        </w:tc>
        <w:tc>
          <w:tcPr>
            <w:tcW w:w="628"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13</w:t>
            </w:r>
          </w:p>
        </w:tc>
        <w:tc>
          <w:tcPr>
            <w:tcW w:w="6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w:t>
            </w:r>
          </w:p>
        </w:tc>
        <w:tc>
          <w:tcPr>
            <w:tcW w:w="562"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6</w:t>
            </w:r>
          </w:p>
        </w:tc>
        <w:tc>
          <w:tcPr>
            <w:tcW w:w="54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0</w:t>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4</w:t>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10.84%</w:t>
            </w:r>
          </w:p>
        </w:tc>
        <w:tc>
          <w:tcPr>
            <w:tcW w:w="4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1.30</w:t>
            </w:r>
          </w:p>
        </w:tc>
      </w:tr>
      <w:tr>
        <w:tblPrEx>
          <w:tblCellMar>
            <w:top w:w="0" w:type="dxa"/>
            <w:left w:w="108" w:type="dxa"/>
            <w:bottom w:w="0" w:type="dxa"/>
            <w:right w:w="108" w:type="dxa"/>
          </w:tblCellMar>
        </w:tblPrEx>
        <w:trPr>
          <w:trHeight w:val="454" w:hRule="atLeast"/>
          <w:jc w:val="center"/>
        </w:trPr>
        <w:tc>
          <w:tcPr>
            <w:tcW w:w="1043"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中央财政医疗服务与保障能力提升补助资金</w:t>
            </w:r>
          </w:p>
        </w:tc>
        <w:tc>
          <w:tcPr>
            <w:tcW w:w="628"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13</w:t>
            </w:r>
          </w:p>
        </w:tc>
        <w:tc>
          <w:tcPr>
            <w:tcW w:w="6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8</w:t>
            </w:r>
          </w:p>
        </w:tc>
        <w:tc>
          <w:tcPr>
            <w:tcW w:w="562"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hint="eastAsia" w:cs="Times New Roman"/>
                <w:color w:val="auto"/>
                <w:szCs w:val="21"/>
                <w:highlight w:val="none"/>
              </w:rPr>
              <w:t>7</w:t>
            </w:r>
          </w:p>
        </w:tc>
        <w:tc>
          <w:tcPr>
            <w:tcW w:w="54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w:t>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hint="eastAsia" w:cs="Times New Roman"/>
                <w:color w:val="auto"/>
                <w:szCs w:val="21"/>
                <w:highlight w:val="none"/>
              </w:rPr>
              <w:t>0</w:t>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0.22%</w:t>
            </w:r>
          </w:p>
        </w:tc>
        <w:tc>
          <w:tcPr>
            <w:tcW w:w="4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0.0</w:t>
            </w:r>
            <w:r>
              <w:rPr>
                <w:rFonts w:hint="eastAsia" w:cs="Times New Roman"/>
                <w:color w:val="auto"/>
                <w:szCs w:val="21"/>
                <w:highlight w:val="none"/>
              </w:rPr>
              <w:t>4</w:t>
            </w:r>
          </w:p>
        </w:tc>
      </w:tr>
      <w:tr>
        <w:tblPrEx>
          <w:tblCellMar>
            <w:top w:w="0" w:type="dxa"/>
            <w:left w:w="108" w:type="dxa"/>
            <w:bottom w:w="0" w:type="dxa"/>
            <w:right w:w="108" w:type="dxa"/>
          </w:tblCellMar>
        </w:tblPrEx>
        <w:trPr>
          <w:trHeight w:val="454" w:hRule="atLeast"/>
          <w:jc w:val="center"/>
        </w:trPr>
        <w:tc>
          <w:tcPr>
            <w:tcW w:w="1043"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城乡居民基本医疗保险宣传培训经费</w:t>
            </w:r>
          </w:p>
        </w:tc>
        <w:tc>
          <w:tcPr>
            <w:tcW w:w="628"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11</w:t>
            </w:r>
          </w:p>
        </w:tc>
        <w:tc>
          <w:tcPr>
            <w:tcW w:w="6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9</w:t>
            </w:r>
          </w:p>
        </w:tc>
        <w:tc>
          <w:tcPr>
            <w:tcW w:w="562"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w:t>
            </w:r>
          </w:p>
        </w:tc>
        <w:tc>
          <w:tcPr>
            <w:tcW w:w="54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8</w:t>
            </w:r>
            <w:r>
              <w:rPr>
                <w:rStyle w:val="23"/>
                <w:rFonts w:cs="Times New Roman"/>
                <w:color w:val="auto"/>
                <w:szCs w:val="21"/>
                <w:highlight w:val="none"/>
              </w:rPr>
              <w:footnoteReference w:id="10"/>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0</w:t>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0.03%</w:t>
            </w:r>
          </w:p>
        </w:tc>
        <w:tc>
          <w:tcPr>
            <w:tcW w:w="4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0.003</w:t>
            </w:r>
          </w:p>
        </w:tc>
      </w:tr>
      <w:tr>
        <w:tblPrEx>
          <w:tblCellMar>
            <w:top w:w="0" w:type="dxa"/>
            <w:left w:w="108" w:type="dxa"/>
            <w:bottom w:w="0" w:type="dxa"/>
            <w:right w:w="108" w:type="dxa"/>
          </w:tblCellMar>
        </w:tblPrEx>
        <w:trPr>
          <w:trHeight w:val="454" w:hRule="atLeast"/>
          <w:jc w:val="center"/>
        </w:trPr>
        <w:tc>
          <w:tcPr>
            <w:tcW w:w="1043"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合计</w:t>
            </w:r>
          </w:p>
        </w:tc>
        <w:tc>
          <w:tcPr>
            <w:tcW w:w="628"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fldChar w:fldCharType="begin"/>
            </w:r>
            <w:r>
              <w:rPr>
                <w:rFonts w:cs="Times New Roman"/>
                <w:b/>
                <w:bCs w:val="0"/>
                <w:color w:val="auto"/>
                <w:szCs w:val="21"/>
                <w:highlight w:val="none"/>
              </w:rPr>
              <w:instrText xml:space="preserve"> = sum(B3:B6) \* MERGEFORMAT </w:instrText>
            </w:r>
            <w:r>
              <w:rPr>
                <w:rFonts w:cs="Times New Roman"/>
                <w:b/>
                <w:bCs w:val="0"/>
                <w:color w:val="auto"/>
                <w:szCs w:val="21"/>
                <w:highlight w:val="none"/>
              </w:rPr>
              <w:fldChar w:fldCharType="separate"/>
            </w:r>
            <w:r>
              <w:rPr>
                <w:rFonts w:cs="Times New Roman"/>
                <w:b/>
                <w:bCs w:val="0"/>
                <w:color w:val="auto"/>
                <w:szCs w:val="21"/>
                <w:highlight w:val="none"/>
              </w:rPr>
              <w:t>49</w:t>
            </w:r>
            <w:r>
              <w:rPr>
                <w:rFonts w:cs="Times New Roman"/>
                <w:b/>
                <w:bCs w:val="0"/>
                <w:color w:val="auto"/>
                <w:szCs w:val="21"/>
                <w:highlight w:val="none"/>
              </w:rPr>
              <w:fldChar w:fldCharType="end"/>
            </w:r>
          </w:p>
        </w:tc>
        <w:tc>
          <w:tcPr>
            <w:tcW w:w="6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fldChar w:fldCharType="begin"/>
            </w:r>
            <w:r>
              <w:rPr>
                <w:rFonts w:cs="Times New Roman"/>
                <w:b/>
                <w:bCs w:val="0"/>
                <w:color w:val="auto"/>
                <w:szCs w:val="21"/>
                <w:highlight w:val="none"/>
              </w:rPr>
              <w:instrText xml:space="preserve"> = sum(C3:C6) \* MERGEFORMAT </w:instrText>
            </w:r>
            <w:r>
              <w:rPr>
                <w:rFonts w:cs="Times New Roman"/>
                <w:b/>
                <w:bCs w:val="0"/>
                <w:color w:val="auto"/>
                <w:szCs w:val="21"/>
                <w:highlight w:val="none"/>
              </w:rPr>
              <w:fldChar w:fldCharType="separate"/>
            </w:r>
            <w:r>
              <w:rPr>
                <w:rFonts w:cs="Times New Roman"/>
                <w:b/>
                <w:bCs w:val="0"/>
                <w:color w:val="auto"/>
                <w:szCs w:val="21"/>
                <w:highlight w:val="none"/>
              </w:rPr>
              <w:t>38</w:t>
            </w:r>
            <w:r>
              <w:rPr>
                <w:rFonts w:cs="Times New Roman"/>
                <w:b/>
                <w:bCs w:val="0"/>
                <w:color w:val="auto"/>
                <w:szCs w:val="21"/>
                <w:highlight w:val="none"/>
              </w:rPr>
              <w:fldChar w:fldCharType="end"/>
            </w:r>
          </w:p>
        </w:tc>
        <w:tc>
          <w:tcPr>
            <w:tcW w:w="562"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fldChar w:fldCharType="begin"/>
            </w:r>
            <w:r>
              <w:rPr>
                <w:rFonts w:cs="Times New Roman"/>
                <w:b/>
                <w:bCs w:val="0"/>
                <w:color w:val="auto"/>
                <w:szCs w:val="21"/>
                <w:highlight w:val="none"/>
              </w:rPr>
              <w:instrText xml:space="preserve"> = sum(D3:D6) \* MERGEFORMAT </w:instrText>
            </w:r>
            <w:r>
              <w:rPr>
                <w:rFonts w:cs="Times New Roman"/>
                <w:b/>
                <w:bCs w:val="0"/>
                <w:color w:val="auto"/>
                <w:szCs w:val="21"/>
                <w:highlight w:val="none"/>
              </w:rPr>
              <w:fldChar w:fldCharType="separate"/>
            </w:r>
            <w:r>
              <w:rPr>
                <w:rFonts w:cs="Times New Roman"/>
                <w:b/>
                <w:bCs w:val="0"/>
                <w:color w:val="auto"/>
                <w:szCs w:val="21"/>
                <w:highlight w:val="none"/>
              </w:rPr>
              <w:t>2</w:t>
            </w:r>
            <w:r>
              <w:rPr>
                <w:rFonts w:hint="eastAsia" w:cs="Times New Roman"/>
                <w:b/>
                <w:bCs w:val="0"/>
                <w:color w:val="auto"/>
                <w:szCs w:val="21"/>
                <w:highlight w:val="none"/>
              </w:rPr>
              <w:t>4</w:t>
            </w:r>
            <w:r>
              <w:rPr>
                <w:rFonts w:cs="Times New Roman"/>
                <w:b/>
                <w:bCs w:val="0"/>
                <w:color w:val="auto"/>
                <w:szCs w:val="21"/>
                <w:highlight w:val="none"/>
              </w:rPr>
              <w:fldChar w:fldCharType="end"/>
            </w:r>
          </w:p>
        </w:tc>
        <w:tc>
          <w:tcPr>
            <w:tcW w:w="543" w:type="pct"/>
            <w:tcBorders>
              <w:top w:val="single" w:color="000000" w:sz="4" w:space="0"/>
              <w:left w:val="single" w:color="000000"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fldChar w:fldCharType="begin"/>
            </w:r>
            <w:r>
              <w:rPr>
                <w:rFonts w:cs="Times New Roman"/>
                <w:b/>
                <w:bCs w:val="0"/>
                <w:color w:val="auto"/>
                <w:szCs w:val="21"/>
                <w:highlight w:val="none"/>
              </w:rPr>
              <w:instrText xml:space="preserve"> = sum(E3:E6) \* MERGEFORMAT </w:instrText>
            </w:r>
            <w:r>
              <w:rPr>
                <w:rFonts w:cs="Times New Roman"/>
                <w:b/>
                <w:bCs w:val="0"/>
                <w:color w:val="auto"/>
                <w:szCs w:val="21"/>
                <w:highlight w:val="none"/>
              </w:rPr>
              <w:fldChar w:fldCharType="separate"/>
            </w:r>
            <w:r>
              <w:rPr>
                <w:rFonts w:cs="Times New Roman"/>
                <w:b/>
                <w:bCs w:val="0"/>
                <w:color w:val="auto"/>
                <w:szCs w:val="21"/>
                <w:highlight w:val="none"/>
              </w:rPr>
              <w:t>1</w:t>
            </w:r>
            <w:r>
              <w:rPr>
                <w:rFonts w:hint="eastAsia" w:cs="Times New Roman"/>
                <w:b/>
                <w:bCs w:val="0"/>
                <w:color w:val="auto"/>
                <w:szCs w:val="21"/>
                <w:highlight w:val="none"/>
              </w:rPr>
              <w:t>0</w:t>
            </w:r>
            <w:r>
              <w:rPr>
                <w:rFonts w:cs="Times New Roman"/>
                <w:b/>
                <w:bCs w:val="0"/>
                <w:color w:val="auto"/>
                <w:szCs w:val="21"/>
                <w:highlight w:val="none"/>
              </w:rPr>
              <w:fldChar w:fldCharType="end"/>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hint="eastAsia" w:cs="Times New Roman"/>
                <w:b/>
                <w:bCs w:val="0"/>
                <w:color w:val="auto"/>
                <w:szCs w:val="21"/>
                <w:highlight w:val="none"/>
              </w:rPr>
              <w:t>4</w:t>
            </w:r>
          </w:p>
        </w:tc>
        <w:tc>
          <w:tcPr>
            <w:tcW w:w="543" w:type="pct"/>
            <w:tcBorders>
              <w:top w:val="single" w:color="000000" w:sz="4" w:space="0"/>
              <w:left w:val="single" w:color="auto" w:sz="4" w:space="0"/>
              <w:bottom w:val="single" w:color="000000" w:sz="4" w:space="0"/>
              <w:right w:val="single" w:color="auto"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100%</w:t>
            </w:r>
          </w:p>
        </w:tc>
        <w:tc>
          <w:tcPr>
            <w:tcW w:w="467" w:type="pct"/>
            <w:tcBorders>
              <w:top w:val="single" w:color="000000" w:sz="4" w:space="0"/>
              <w:left w:val="single" w:color="auto"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w:t>
            </w:r>
            <w:r>
              <w:rPr>
                <w:rFonts w:hint="eastAsia" w:cs="Times New Roman"/>
                <w:b/>
                <w:bCs w:val="0"/>
                <w:color w:val="auto"/>
                <w:szCs w:val="21"/>
                <w:highlight w:val="none"/>
              </w:rPr>
              <w:t>7.51</w:t>
            </w:r>
          </w:p>
        </w:tc>
      </w:tr>
    </w:tbl>
    <w:p>
      <w:pPr>
        <w:pStyle w:val="25"/>
        <w:rPr>
          <w:color w:val="auto"/>
          <w:highlight w:val="none"/>
        </w:rPr>
      </w:pPr>
      <w:r>
        <w:rPr>
          <w:color w:val="auto"/>
          <w:highlight w:val="none"/>
        </w:rPr>
        <w:t>表2-</w:t>
      </w:r>
      <w:r>
        <w:rPr>
          <w:rFonts w:hint="eastAsia"/>
          <w:color w:val="auto"/>
          <w:highlight w:val="none"/>
        </w:rPr>
        <w:t>5</w:t>
      </w:r>
      <w:r>
        <w:rPr>
          <w:color w:val="auto"/>
          <w:highlight w:val="none"/>
        </w:rPr>
        <w:t xml:space="preserve"> 中省资金</w:t>
      </w:r>
      <w:r>
        <w:rPr>
          <w:rFonts w:hint="eastAsia"/>
          <w:color w:val="auto"/>
          <w:highlight w:val="none"/>
        </w:rPr>
        <w:t>绩效指标扣分情况统计表</w:t>
      </w:r>
    </w:p>
    <w:tbl>
      <w:tblPr>
        <w:tblStyle w:val="1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719"/>
        <w:gridCol w:w="1542"/>
        <w:gridCol w:w="860"/>
        <w:gridCol w:w="4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00" w:type="pct"/>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项目名称</w:t>
            </w:r>
          </w:p>
        </w:tc>
        <w:tc>
          <w:tcPr>
            <w:tcW w:w="392" w:type="pct"/>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序号</w:t>
            </w:r>
          </w:p>
        </w:tc>
        <w:tc>
          <w:tcPr>
            <w:tcW w:w="841" w:type="pct"/>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指标名称</w:t>
            </w:r>
          </w:p>
        </w:tc>
        <w:tc>
          <w:tcPr>
            <w:tcW w:w="469" w:type="pct"/>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指标值</w:t>
            </w:r>
          </w:p>
        </w:tc>
        <w:tc>
          <w:tcPr>
            <w:tcW w:w="2697" w:type="pct"/>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评价情况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5"/>
            <w:vAlign w:val="center"/>
          </w:tcPr>
          <w:p>
            <w:pPr>
              <w:spacing w:line="240" w:lineRule="auto"/>
              <w:ind w:firstLine="0" w:firstLineChars="0"/>
              <w:jc w:val="left"/>
              <w:rPr>
                <w:rFonts w:eastAsia="宋体"/>
                <w:b/>
                <w:bCs/>
                <w:color w:val="auto"/>
                <w:sz w:val="21"/>
                <w:szCs w:val="21"/>
                <w:highlight w:val="none"/>
              </w:rPr>
            </w:pPr>
            <w:r>
              <w:rPr>
                <w:rFonts w:eastAsia="宋体"/>
                <w:b/>
                <w:bCs/>
                <w:color w:val="auto"/>
                <w:sz w:val="21"/>
                <w:szCs w:val="21"/>
                <w:highlight w:val="none"/>
              </w:rPr>
              <w:t>1.绩效指标未达到预期目标情况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restar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城乡居民基本医疗保险补助资金</w:t>
            </w: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以户籍人口数为基数计算的基本医保综合参保率</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≥95%</w:t>
            </w:r>
          </w:p>
        </w:tc>
        <w:tc>
          <w:tcPr>
            <w:tcW w:w="2697" w:type="pct"/>
            <w:vAlign w:val="center"/>
          </w:tcPr>
          <w:p>
            <w:pPr>
              <w:spacing w:line="240" w:lineRule="auto"/>
              <w:ind w:firstLine="0" w:firstLineChars="0"/>
              <w:rPr>
                <w:rFonts w:eastAsia="宋体"/>
                <w:color w:val="auto"/>
                <w:sz w:val="21"/>
                <w:szCs w:val="21"/>
                <w:highlight w:val="none"/>
              </w:rPr>
            </w:pPr>
            <w:r>
              <w:rPr>
                <w:rFonts w:eastAsia="宋体"/>
                <w:b/>
                <w:bCs/>
                <w:color w:val="auto"/>
                <w:sz w:val="21"/>
                <w:szCs w:val="21"/>
                <w:highlight w:val="none"/>
              </w:rPr>
              <w:t>达到预期目标。</w:t>
            </w:r>
            <w:r>
              <w:rPr>
                <w:rFonts w:eastAsia="宋体"/>
                <w:color w:val="auto"/>
                <w:sz w:val="21"/>
                <w:szCs w:val="21"/>
                <w:highlight w:val="none"/>
              </w:rPr>
              <w:t>在市医疗保障局未细化分解考核指标的前提下</w:t>
            </w:r>
            <w:r>
              <w:rPr>
                <w:rFonts w:eastAsia="宋体"/>
                <w:bCs/>
                <w:color w:val="auto"/>
                <w:sz w:val="21"/>
                <w:szCs w:val="21"/>
                <w:highlight w:val="none"/>
              </w:rPr>
              <w:t>，以户籍人口数为基数基数的基本医保综合参保率=（287.68（我市参保人）+46.23（我市户籍外市参保人））÷336.71×100%=99.17%</w:t>
            </w:r>
            <w:r>
              <w:rPr>
                <w:rFonts w:hint="eastAsia" w:eastAsia="宋体"/>
                <w:bCs/>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spacing w:line="240" w:lineRule="auto"/>
              <w:ind w:firstLine="0" w:firstLineChars="0"/>
              <w:jc w:val="center"/>
              <w:rPr>
                <w:rFonts w:eastAsia="宋体"/>
                <w:b/>
                <w:bCs/>
                <w:color w:val="auto"/>
                <w:sz w:val="21"/>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2</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重复参保人数</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0人</w:t>
            </w:r>
          </w:p>
        </w:tc>
        <w:tc>
          <w:tcPr>
            <w:tcW w:w="2697" w:type="pct"/>
            <w:vAlign w:val="center"/>
          </w:tcPr>
          <w:p>
            <w:pPr>
              <w:spacing w:line="240" w:lineRule="auto"/>
              <w:ind w:firstLine="0" w:firstLineChars="0"/>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在市医疗保障局未细化分解考核指标的前提下，2022年市医疗保障局开展清理重复参保工作，第一批清理跨制度重复参保5947人；职工重复参保966人；第二批清理居民重复参保1191人。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Align w:val="center"/>
          </w:tcPr>
          <w:p>
            <w:pPr>
              <w:spacing w:line="240" w:lineRule="auto"/>
              <w:ind w:firstLine="0" w:firstLineChars="0"/>
              <w:jc w:val="center"/>
              <w:rPr>
                <w:rFonts w:eastAsia="宋体"/>
                <w:b/>
                <w:bCs/>
                <w:color w:val="auto"/>
                <w:sz w:val="21"/>
                <w:szCs w:val="21"/>
                <w:highlight w:val="none"/>
              </w:rPr>
            </w:pPr>
            <w:r>
              <w:rPr>
                <w:rFonts w:eastAsia="宋体"/>
                <w:color w:val="auto"/>
                <w:sz w:val="21"/>
                <w:szCs w:val="21"/>
                <w:highlight w:val="none"/>
              </w:rPr>
              <w:t>中央财政医疗服务与保障能力提升补助资金</w:t>
            </w: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3</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召开医保工作新闻发布会、政策吹风会次数</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≥2次</w:t>
            </w:r>
          </w:p>
        </w:tc>
        <w:tc>
          <w:tcPr>
            <w:tcW w:w="2697" w:type="pct"/>
            <w:vAlign w:val="center"/>
          </w:tcPr>
          <w:p>
            <w:pPr>
              <w:spacing w:line="240" w:lineRule="auto"/>
              <w:ind w:firstLine="0" w:firstLineChars="0"/>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2022年市医疗保障局召开1次新闻发布会。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restart"/>
            <w:vAlign w:val="center"/>
          </w:tcPr>
          <w:p>
            <w:pPr>
              <w:spacing w:line="240" w:lineRule="auto"/>
              <w:ind w:firstLine="0" w:firstLineChars="0"/>
              <w:jc w:val="center"/>
              <w:rPr>
                <w:rFonts w:eastAsia="宋体"/>
                <w:b/>
                <w:bCs/>
                <w:color w:val="auto"/>
                <w:sz w:val="21"/>
                <w:szCs w:val="21"/>
                <w:highlight w:val="none"/>
              </w:rPr>
            </w:pPr>
            <w:r>
              <w:rPr>
                <w:rFonts w:eastAsia="宋体"/>
                <w:bCs/>
                <w:color w:val="auto"/>
                <w:sz w:val="21"/>
                <w:szCs w:val="21"/>
                <w:highlight w:val="none"/>
              </w:rPr>
              <w:t>城乡居民基本医疗保险宣传培训经费</w:t>
            </w: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4</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召开医保工作县级新闻发布会、政策吹风会次数</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≥1次</w:t>
            </w:r>
          </w:p>
        </w:tc>
        <w:tc>
          <w:tcPr>
            <w:tcW w:w="2697" w:type="pct"/>
            <w:vAlign w:val="center"/>
          </w:tcPr>
          <w:p>
            <w:pPr>
              <w:spacing w:line="240" w:lineRule="auto"/>
              <w:ind w:firstLine="0" w:firstLineChars="0"/>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资金转移支付下达至10个县（市、区）中，4个县（市、区）未召开医保工作县级新闻发布会、政策吹风会，分别是南雄市、始兴县、新丰县和浈江区；2个县（市、区）缺少提供对应佐证资料，分别是曲江区和仁化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spacing w:line="240" w:lineRule="auto"/>
              <w:ind w:firstLine="0" w:firstLineChars="0"/>
              <w:jc w:val="center"/>
              <w:rPr>
                <w:rFonts w:eastAsia="宋体"/>
                <w:b/>
                <w:bCs/>
                <w:color w:val="auto"/>
                <w:sz w:val="21"/>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5</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每年培训人数</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≥50人</w:t>
            </w:r>
          </w:p>
        </w:tc>
        <w:tc>
          <w:tcPr>
            <w:tcW w:w="2697" w:type="pct"/>
            <w:vAlign w:val="center"/>
          </w:tcPr>
          <w:p>
            <w:pPr>
              <w:spacing w:line="240" w:lineRule="auto"/>
              <w:ind w:firstLine="0" w:firstLineChars="0"/>
              <w:jc w:val="left"/>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资金转移支付下达至10个县（市、区）中，2个县（市、区）未召开相关培训，分别是南雄市和新丰县；2个县（市、区）缺少提供对应佐证资料，分别是曲江区和仁化县。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spacing w:line="240" w:lineRule="auto"/>
              <w:ind w:firstLine="0" w:firstLineChars="0"/>
              <w:jc w:val="center"/>
              <w:rPr>
                <w:rFonts w:eastAsia="宋体"/>
                <w:b/>
                <w:bCs/>
                <w:color w:val="auto"/>
                <w:sz w:val="21"/>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6</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召开全县医保业务培训会议次数</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≥2次</w:t>
            </w:r>
          </w:p>
        </w:tc>
        <w:tc>
          <w:tcPr>
            <w:tcW w:w="2697" w:type="pct"/>
            <w:vAlign w:val="center"/>
          </w:tcPr>
          <w:p>
            <w:pPr>
              <w:spacing w:line="240" w:lineRule="auto"/>
              <w:ind w:firstLine="0" w:firstLineChars="0"/>
              <w:jc w:val="left"/>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资金转移支付下达至10个县（市、区）中，2个县（市、区）未召开全县医保业务培训会议，分别是南雄市和新丰县；2个县（市、区）缺少提供对应佐证资料，分别是曲江区和仁化县。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spacing w:line="240" w:lineRule="auto"/>
              <w:ind w:firstLine="0" w:firstLineChars="0"/>
              <w:jc w:val="center"/>
              <w:rPr>
                <w:rFonts w:eastAsia="宋体"/>
                <w:b/>
                <w:bCs/>
                <w:color w:val="auto"/>
                <w:sz w:val="21"/>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7</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宣传培训资金按时足额发放率</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100%</w:t>
            </w:r>
          </w:p>
        </w:tc>
        <w:tc>
          <w:tcPr>
            <w:tcW w:w="2697" w:type="pct"/>
            <w:vAlign w:val="center"/>
          </w:tcPr>
          <w:p>
            <w:pPr>
              <w:spacing w:line="240" w:lineRule="auto"/>
              <w:ind w:firstLine="0" w:firstLineChars="0"/>
              <w:jc w:val="left"/>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根据《韶关市财政局关于下达2022年城乡居民基本医疗保险宣传培训经费的通知》（韶财社〔2022〕19号），2022年1月28日，宣传培训经费按照3.6万元/个县（市、区）按时足额发放至10个县（市、区）。</w:t>
            </w:r>
            <w:r>
              <w:rPr>
                <w:rFonts w:eastAsia="宋体"/>
                <w:b/>
                <w:bCs/>
                <w:color w:val="auto"/>
                <w:sz w:val="21"/>
                <w:szCs w:val="21"/>
                <w:highlight w:val="none"/>
              </w:rPr>
              <w:t>但存在：</w:t>
            </w:r>
            <w:r>
              <w:rPr>
                <w:rFonts w:eastAsia="宋体"/>
                <w:color w:val="auto"/>
                <w:sz w:val="21"/>
                <w:szCs w:val="21"/>
                <w:highlight w:val="none"/>
              </w:rPr>
              <w:t>4个县（市、区）资金按时足额发放率为0%，分别是：浈江区、南雄市、始兴县和新丰县。此外，武江区资金按时足额发放率为2.22%。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spacing w:line="240" w:lineRule="auto"/>
              <w:ind w:firstLine="0" w:firstLineChars="0"/>
              <w:jc w:val="center"/>
              <w:rPr>
                <w:rFonts w:eastAsia="宋体"/>
                <w:b/>
                <w:bCs/>
                <w:color w:val="auto"/>
                <w:sz w:val="21"/>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8</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项目完成时间</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2022年</w:t>
            </w:r>
          </w:p>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12月</w:t>
            </w:r>
          </w:p>
        </w:tc>
        <w:tc>
          <w:tcPr>
            <w:tcW w:w="2697" w:type="pct"/>
            <w:vAlign w:val="center"/>
          </w:tcPr>
          <w:p>
            <w:pPr>
              <w:spacing w:line="240" w:lineRule="auto"/>
              <w:ind w:firstLine="0" w:firstLineChars="0"/>
              <w:jc w:val="left"/>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资金转移支付下达至10个县（市、区）中，2个县（市、区）未召开相关培训会议等工作，分别是南雄市和新丰县；2个县（市、区）缺少提供对应佐证资料，分别是曲江区和仁化县。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spacing w:line="240" w:lineRule="auto"/>
              <w:ind w:firstLine="0" w:firstLineChars="0"/>
              <w:jc w:val="center"/>
              <w:rPr>
                <w:rFonts w:eastAsia="宋体"/>
                <w:b/>
                <w:bCs/>
                <w:color w:val="auto"/>
                <w:sz w:val="21"/>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9</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提升社会对基本医疗保险制度的认同度和参与度</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是</w:t>
            </w:r>
          </w:p>
        </w:tc>
        <w:tc>
          <w:tcPr>
            <w:tcW w:w="2697" w:type="pct"/>
            <w:vAlign w:val="center"/>
          </w:tcPr>
          <w:p>
            <w:pPr>
              <w:spacing w:line="240" w:lineRule="auto"/>
              <w:ind w:firstLine="0" w:firstLineChars="0"/>
              <w:jc w:val="left"/>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资金转移支付下达至10个县（市、区）中，2个县（市、区）未召开相关培训会议等工作，分别是南雄市和新丰县；2个县（市、区）缺少提供对应佐证资料，分别是曲江区和仁化县。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spacing w:line="240" w:lineRule="auto"/>
              <w:ind w:firstLine="0" w:firstLineChars="0"/>
              <w:jc w:val="center"/>
              <w:rPr>
                <w:rFonts w:eastAsia="宋体"/>
                <w:b/>
                <w:bCs/>
                <w:color w:val="auto"/>
                <w:sz w:val="21"/>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10</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参会人员满意度</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≥85%</w:t>
            </w:r>
          </w:p>
        </w:tc>
        <w:tc>
          <w:tcPr>
            <w:tcW w:w="2697" w:type="pct"/>
            <w:vAlign w:val="center"/>
          </w:tcPr>
          <w:p>
            <w:pPr>
              <w:spacing w:line="240" w:lineRule="auto"/>
              <w:ind w:firstLine="0" w:firstLineChars="0"/>
              <w:jc w:val="left"/>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资金转移支付下达至10个县（市、区）中，2个县（市、区）未召开相关培训会议等工作，分别是南雄市和新丰县；5个县（市、区）缺少提供对应佐证资料，分别是曲江区、仁化县、乳源瑶族自治县、始兴县和翁源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spacing w:line="240" w:lineRule="auto"/>
              <w:ind w:firstLine="0" w:firstLineChars="0"/>
              <w:jc w:val="center"/>
              <w:rPr>
                <w:rFonts w:eastAsia="宋体"/>
                <w:b/>
                <w:bCs/>
                <w:color w:val="auto"/>
                <w:sz w:val="21"/>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11</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受训人员满意度</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≥85%</w:t>
            </w:r>
          </w:p>
        </w:tc>
        <w:tc>
          <w:tcPr>
            <w:tcW w:w="2697" w:type="pct"/>
            <w:vAlign w:val="center"/>
          </w:tcPr>
          <w:p>
            <w:pPr>
              <w:spacing w:line="240" w:lineRule="auto"/>
              <w:ind w:firstLine="0" w:firstLineChars="0"/>
              <w:jc w:val="left"/>
              <w:rPr>
                <w:rFonts w:eastAsia="宋体"/>
                <w:color w:val="auto"/>
                <w:sz w:val="21"/>
                <w:szCs w:val="21"/>
                <w:highlight w:val="none"/>
              </w:rPr>
            </w:pPr>
            <w:r>
              <w:rPr>
                <w:rFonts w:eastAsia="宋体"/>
                <w:b/>
                <w:bCs/>
                <w:color w:val="auto"/>
                <w:sz w:val="21"/>
                <w:szCs w:val="21"/>
                <w:highlight w:val="none"/>
              </w:rPr>
              <w:t>未达到预期目标。</w:t>
            </w:r>
            <w:r>
              <w:rPr>
                <w:rFonts w:eastAsia="宋体"/>
                <w:color w:val="auto"/>
                <w:sz w:val="21"/>
                <w:szCs w:val="21"/>
                <w:highlight w:val="none"/>
              </w:rPr>
              <w:t>资金转移支付下达至10个县（市、区）中，2个县（市、区）未召开相关培训会议等工作，分别是南雄市和新丰县；5个县（市、区）缺少提供对应佐证资料，分别是曲江区、仁化县、乳源瑶族自治县、始兴县和翁源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5"/>
            <w:vAlign w:val="center"/>
          </w:tcPr>
          <w:p>
            <w:pPr>
              <w:spacing w:line="240" w:lineRule="auto"/>
              <w:ind w:firstLine="0" w:firstLineChars="0"/>
              <w:jc w:val="left"/>
              <w:rPr>
                <w:rFonts w:eastAsia="宋体"/>
                <w:b/>
                <w:bCs/>
                <w:color w:val="auto"/>
                <w:sz w:val="21"/>
                <w:szCs w:val="21"/>
                <w:highlight w:val="none"/>
              </w:rPr>
            </w:pPr>
            <w:r>
              <w:rPr>
                <w:rFonts w:eastAsia="宋体"/>
                <w:b/>
                <w:bCs/>
                <w:color w:val="auto"/>
                <w:sz w:val="21"/>
                <w:szCs w:val="21"/>
                <w:highlight w:val="none"/>
              </w:rPr>
              <w:t>2.因缺少对应佐证材料无法判定绩效指标完成情况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restar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医疗救助金项目</w:t>
            </w: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资助收入型医疗救助对象参加基本医疗保险率</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达到100%</w:t>
            </w:r>
          </w:p>
        </w:tc>
        <w:tc>
          <w:tcPr>
            <w:tcW w:w="2697" w:type="pct"/>
            <w:vAlign w:val="center"/>
          </w:tcPr>
          <w:p>
            <w:pPr>
              <w:spacing w:line="240" w:lineRule="auto"/>
              <w:ind w:firstLine="0" w:firstLineChars="0"/>
              <w:rPr>
                <w:rFonts w:eastAsia="宋体"/>
                <w:color w:val="auto"/>
                <w:sz w:val="21"/>
                <w:szCs w:val="21"/>
                <w:highlight w:val="none"/>
              </w:rPr>
            </w:pPr>
            <w:r>
              <w:rPr>
                <w:rFonts w:eastAsia="宋体"/>
                <w:b/>
                <w:bCs/>
                <w:color w:val="auto"/>
                <w:sz w:val="21"/>
                <w:szCs w:val="21"/>
                <w:highlight w:val="none"/>
              </w:rPr>
              <w:t>无法判定。</w:t>
            </w:r>
            <w:r>
              <w:rPr>
                <w:rFonts w:eastAsia="宋体"/>
                <w:color w:val="auto"/>
                <w:sz w:val="21"/>
                <w:szCs w:val="21"/>
                <w:highlight w:val="none"/>
              </w:rPr>
              <w:t>在市医疗保障局未细化分解考核指标的前提下，缺少提供对应佐证材料。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pStyle w:val="26"/>
              <w:spacing w:line="240" w:lineRule="auto"/>
              <w:rPr>
                <w:rFonts w:cs="Times New Roman"/>
                <w:color w:val="auto"/>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2</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收入型医疗救助对象住院政策范围内基本医疗救助比例</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达到80%以上</w:t>
            </w:r>
          </w:p>
        </w:tc>
        <w:tc>
          <w:tcPr>
            <w:tcW w:w="2697" w:type="pct"/>
            <w:vAlign w:val="center"/>
          </w:tcPr>
          <w:p>
            <w:pPr>
              <w:spacing w:line="240" w:lineRule="auto"/>
              <w:ind w:firstLine="0" w:firstLineChars="0"/>
              <w:rPr>
                <w:rFonts w:eastAsia="宋体"/>
                <w:color w:val="auto"/>
                <w:sz w:val="21"/>
                <w:szCs w:val="21"/>
                <w:highlight w:val="none"/>
              </w:rPr>
            </w:pPr>
            <w:r>
              <w:rPr>
                <w:rFonts w:eastAsia="宋体"/>
                <w:b/>
                <w:bCs/>
                <w:color w:val="auto"/>
                <w:sz w:val="21"/>
                <w:szCs w:val="21"/>
                <w:highlight w:val="none"/>
              </w:rPr>
              <w:t>无法判定。</w:t>
            </w:r>
            <w:r>
              <w:rPr>
                <w:rFonts w:eastAsia="宋体"/>
                <w:color w:val="auto"/>
                <w:sz w:val="21"/>
                <w:szCs w:val="21"/>
                <w:highlight w:val="none"/>
              </w:rPr>
              <w:t>在市医疗保障局未细化分解考核指标的前提下，缺少提供对应佐证材料。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pStyle w:val="26"/>
              <w:spacing w:line="240" w:lineRule="auto"/>
              <w:rPr>
                <w:rFonts w:cs="Times New Roman"/>
                <w:color w:val="auto"/>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3</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特困供养人员住院政策范围内基本医疗救助比例</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达到100%</w:t>
            </w:r>
          </w:p>
        </w:tc>
        <w:tc>
          <w:tcPr>
            <w:tcW w:w="2697" w:type="pct"/>
            <w:vAlign w:val="center"/>
          </w:tcPr>
          <w:p>
            <w:pPr>
              <w:spacing w:line="240" w:lineRule="auto"/>
              <w:ind w:firstLine="0" w:firstLineChars="0"/>
              <w:rPr>
                <w:rFonts w:eastAsia="宋体"/>
                <w:color w:val="auto"/>
                <w:sz w:val="21"/>
                <w:szCs w:val="21"/>
                <w:highlight w:val="none"/>
              </w:rPr>
            </w:pPr>
            <w:r>
              <w:rPr>
                <w:rFonts w:eastAsia="宋体"/>
                <w:b/>
                <w:bCs/>
                <w:color w:val="auto"/>
                <w:sz w:val="21"/>
                <w:szCs w:val="21"/>
                <w:highlight w:val="none"/>
              </w:rPr>
              <w:t>无法判定。</w:t>
            </w:r>
            <w:r>
              <w:rPr>
                <w:rFonts w:eastAsia="宋体"/>
                <w:color w:val="auto"/>
                <w:sz w:val="21"/>
                <w:szCs w:val="21"/>
                <w:highlight w:val="none"/>
              </w:rPr>
              <w:t>在市医疗保障局未细化分解考核指标的前提下，缺少提供对应佐证材料。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0" w:type="pct"/>
            <w:vMerge w:val="continue"/>
            <w:vAlign w:val="center"/>
          </w:tcPr>
          <w:p>
            <w:pPr>
              <w:pStyle w:val="26"/>
              <w:spacing w:line="240" w:lineRule="auto"/>
              <w:rPr>
                <w:rFonts w:cs="Times New Roman"/>
                <w:color w:val="auto"/>
                <w:szCs w:val="21"/>
                <w:highlight w:val="none"/>
              </w:rPr>
            </w:pPr>
          </w:p>
        </w:tc>
        <w:tc>
          <w:tcPr>
            <w:tcW w:w="392"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4</w:t>
            </w:r>
          </w:p>
        </w:tc>
        <w:tc>
          <w:tcPr>
            <w:tcW w:w="841"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“一站式”即时结算覆盖地区</w:t>
            </w:r>
          </w:p>
        </w:tc>
        <w:tc>
          <w:tcPr>
            <w:tcW w:w="469" w:type="pct"/>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市域内覆盖100%</w:t>
            </w:r>
          </w:p>
        </w:tc>
        <w:tc>
          <w:tcPr>
            <w:tcW w:w="2697" w:type="pct"/>
            <w:vAlign w:val="center"/>
          </w:tcPr>
          <w:p>
            <w:pPr>
              <w:spacing w:line="240" w:lineRule="auto"/>
              <w:ind w:firstLine="0" w:firstLineChars="0"/>
              <w:rPr>
                <w:rFonts w:eastAsia="宋体"/>
                <w:color w:val="auto"/>
                <w:sz w:val="21"/>
                <w:szCs w:val="21"/>
                <w:highlight w:val="none"/>
              </w:rPr>
            </w:pPr>
            <w:r>
              <w:rPr>
                <w:rFonts w:eastAsia="宋体"/>
                <w:b/>
                <w:bCs/>
                <w:color w:val="auto"/>
                <w:sz w:val="21"/>
                <w:szCs w:val="21"/>
                <w:highlight w:val="none"/>
              </w:rPr>
              <w:t>无法判定。</w:t>
            </w:r>
            <w:r>
              <w:rPr>
                <w:rFonts w:eastAsia="宋体"/>
                <w:color w:val="auto"/>
                <w:sz w:val="21"/>
                <w:szCs w:val="21"/>
                <w:highlight w:val="none"/>
              </w:rPr>
              <w:t>在市医疗保障局未细化分解考核指标的前提下，缺少提供对应佐证材料。</w:t>
            </w:r>
          </w:p>
        </w:tc>
      </w:tr>
    </w:tbl>
    <w:p>
      <w:pPr>
        <w:ind w:firstLine="640"/>
        <w:rPr>
          <w:color w:val="auto"/>
          <w:highlight w:val="none"/>
        </w:rPr>
      </w:pPr>
      <w:r>
        <w:rPr>
          <w:color w:val="auto"/>
          <w:highlight w:val="none"/>
        </w:rPr>
        <w:t>（2）中省资金支出率。指标分值5分，得分4.99分，得分率99.80%。</w:t>
      </w:r>
      <w:r>
        <w:rPr>
          <w:rFonts w:hint="eastAsia"/>
          <w:color w:val="auto"/>
          <w:highlight w:val="none"/>
        </w:rPr>
        <w:t>扣0</w:t>
      </w:r>
      <w:r>
        <w:rPr>
          <w:color w:val="auto"/>
          <w:highlight w:val="none"/>
        </w:rPr>
        <w:t>.01</w:t>
      </w:r>
      <w:r>
        <w:rPr>
          <w:rFonts w:hint="eastAsia"/>
          <w:color w:val="auto"/>
          <w:highlight w:val="none"/>
        </w:rPr>
        <w:t>分。</w:t>
      </w:r>
    </w:p>
    <w:p>
      <w:pPr>
        <w:ind w:firstLine="640"/>
        <w:rPr>
          <w:color w:val="auto"/>
          <w:highlight w:val="none"/>
        </w:rPr>
      </w:pPr>
      <w:r>
        <w:rPr>
          <w:color w:val="auto"/>
          <w:highlight w:val="none"/>
        </w:rPr>
        <w:t>2022年中省资金下达125,187.65万元，截至2022年12月，各项资金支出合计125,109.15万元，资金支出率为99.94%，根据评分标准</w:t>
      </w:r>
      <w:r>
        <w:rPr>
          <w:rStyle w:val="23"/>
          <w:color w:val="auto"/>
          <w:highlight w:val="none"/>
        </w:rPr>
        <w:footnoteReference w:id="11"/>
      </w:r>
      <w:r>
        <w:rPr>
          <w:color w:val="auto"/>
          <w:highlight w:val="none"/>
        </w:rPr>
        <w:t>，扣0.01分。</w:t>
      </w:r>
    </w:p>
    <w:p>
      <w:pPr>
        <w:pStyle w:val="25"/>
        <w:rPr>
          <w:color w:val="auto"/>
          <w:highlight w:val="none"/>
        </w:rPr>
      </w:pPr>
      <w:r>
        <w:rPr>
          <w:color w:val="auto"/>
          <w:highlight w:val="none"/>
        </w:rPr>
        <w:t>表2-</w:t>
      </w:r>
      <w:r>
        <w:rPr>
          <w:rFonts w:hint="eastAsia"/>
          <w:color w:val="auto"/>
          <w:highlight w:val="none"/>
        </w:rPr>
        <w:t>6</w:t>
      </w:r>
      <w:r>
        <w:rPr>
          <w:color w:val="auto"/>
          <w:highlight w:val="none"/>
        </w:rPr>
        <w:t xml:space="preserve"> 中省资金预算下达及使用情况明细表</w:t>
      </w:r>
    </w:p>
    <w:p>
      <w:pPr>
        <w:spacing w:line="560" w:lineRule="exact"/>
        <w:ind w:firstLine="0" w:firstLineChars="0"/>
        <w:jc w:val="right"/>
        <w:rPr>
          <w:rFonts w:eastAsia="宋体"/>
          <w:b w:val="0"/>
          <w:bCs/>
          <w:color w:val="auto"/>
          <w:sz w:val="24"/>
          <w:szCs w:val="24"/>
          <w:highlight w:val="none"/>
        </w:rPr>
      </w:pPr>
      <w:r>
        <w:rPr>
          <w:rFonts w:eastAsia="宋体"/>
          <w:b w:val="0"/>
          <w:bCs/>
          <w:color w:val="auto"/>
          <w:sz w:val="24"/>
          <w:szCs w:val="24"/>
          <w:highlight w:val="none"/>
        </w:rPr>
        <w:t>单位：万元</w:t>
      </w:r>
    </w:p>
    <w:tbl>
      <w:tblPr>
        <w:tblStyle w:val="18"/>
        <w:tblW w:w="4994" w:type="pct"/>
        <w:jc w:val="center"/>
        <w:tblLayout w:type="fixed"/>
        <w:tblCellMar>
          <w:top w:w="0" w:type="dxa"/>
          <w:left w:w="108" w:type="dxa"/>
          <w:bottom w:w="0" w:type="dxa"/>
          <w:right w:w="108" w:type="dxa"/>
        </w:tblCellMar>
      </w:tblPr>
      <w:tblGrid>
        <w:gridCol w:w="1736"/>
        <w:gridCol w:w="1225"/>
        <w:gridCol w:w="1608"/>
        <w:gridCol w:w="1440"/>
        <w:gridCol w:w="1272"/>
        <w:gridCol w:w="982"/>
        <w:gridCol w:w="900"/>
      </w:tblGrid>
      <w:tr>
        <w:tblPrEx>
          <w:tblCellMar>
            <w:top w:w="0" w:type="dxa"/>
            <w:left w:w="108" w:type="dxa"/>
            <w:bottom w:w="0" w:type="dxa"/>
            <w:right w:w="108" w:type="dxa"/>
          </w:tblCellMar>
        </w:tblPrEx>
        <w:trPr>
          <w:trHeight w:val="454" w:hRule="atLeast"/>
          <w:tblHeader/>
          <w:jc w:val="center"/>
        </w:trPr>
        <w:tc>
          <w:tcPr>
            <w:tcW w:w="94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项目名称</w:t>
            </w:r>
          </w:p>
        </w:tc>
        <w:tc>
          <w:tcPr>
            <w:tcW w:w="66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资金来源</w:t>
            </w:r>
          </w:p>
        </w:tc>
        <w:tc>
          <w:tcPr>
            <w:tcW w:w="8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预算下达</w:t>
            </w:r>
          </w:p>
          <w:p>
            <w:pPr>
              <w:pStyle w:val="26"/>
              <w:spacing w:line="240" w:lineRule="auto"/>
              <w:rPr>
                <w:rFonts w:cs="Times New Roman"/>
                <w:b/>
                <w:bCs w:val="0"/>
                <w:color w:val="auto"/>
                <w:szCs w:val="21"/>
                <w:highlight w:val="none"/>
              </w:rPr>
            </w:pPr>
            <w:r>
              <w:rPr>
                <w:rFonts w:cs="Times New Roman"/>
                <w:b/>
                <w:bCs w:val="0"/>
                <w:color w:val="auto"/>
                <w:szCs w:val="21"/>
                <w:highlight w:val="none"/>
              </w:rPr>
              <w:t>金额</w:t>
            </w:r>
          </w:p>
        </w:tc>
        <w:tc>
          <w:tcPr>
            <w:tcW w:w="7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实际支出</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资金</w:t>
            </w:r>
          </w:p>
          <w:p>
            <w:pPr>
              <w:pStyle w:val="26"/>
              <w:spacing w:line="240" w:lineRule="auto"/>
              <w:rPr>
                <w:rFonts w:cs="Times New Roman"/>
                <w:b/>
                <w:bCs w:val="0"/>
                <w:color w:val="auto"/>
                <w:szCs w:val="21"/>
                <w:highlight w:val="none"/>
              </w:rPr>
            </w:pPr>
            <w:r>
              <w:rPr>
                <w:rFonts w:cs="Times New Roman"/>
                <w:b/>
                <w:bCs w:val="0"/>
                <w:color w:val="auto"/>
                <w:szCs w:val="21"/>
                <w:highlight w:val="none"/>
              </w:rPr>
              <w:t>支出率</w:t>
            </w:r>
          </w:p>
        </w:tc>
        <w:tc>
          <w:tcPr>
            <w:tcW w:w="536"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资金</w:t>
            </w:r>
          </w:p>
          <w:p>
            <w:pPr>
              <w:pStyle w:val="26"/>
              <w:spacing w:line="240" w:lineRule="auto"/>
              <w:rPr>
                <w:rFonts w:cs="Times New Roman"/>
                <w:b/>
                <w:bCs w:val="0"/>
                <w:color w:val="auto"/>
                <w:szCs w:val="21"/>
                <w:highlight w:val="none"/>
              </w:rPr>
            </w:pPr>
            <w:r>
              <w:rPr>
                <w:rFonts w:cs="Times New Roman"/>
                <w:b/>
                <w:bCs w:val="0"/>
                <w:color w:val="auto"/>
                <w:szCs w:val="21"/>
                <w:highlight w:val="none"/>
              </w:rPr>
              <w:t>比重</w:t>
            </w:r>
          </w:p>
        </w:tc>
        <w:tc>
          <w:tcPr>
            <w:tcW w:w="491"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评价</w:t>
            </w:r>
          </w:p>
          <w:p>
            <w:pPr>
              <w:pStyle w:val="26"/>
              <w:spacing w:line="240" w:lineRule="auto"/>
              <w:rPr>
                <w:rFonts w:cs="Times New Roman"/>
                <w:b/>
                <w:bCs w:val="0"/>
                <w:color w:val="auto"/>
                <w:szCs w:val="21"/>
                <w:highlight w:val="none"/>
              </w:rPr>
            </w:pPr>
            <w:r>
              <w:rPr>
                <w:rFonts w:cs="Times New Roman"/>
                <w:b/>
                <w:bCs w:val="0"/>
                <w:color w:val="auto"/>
                <w:szCs w:val="21"/>
                <w:highlight w:val="none"/>
              </w:rPr>
              <w:t>得分</w:t>
            </w:r>
          </w:p>
        </w:tc>
      </w:tr>
      <w:tr>
        <w:tblPrEx>
          <w:tblCellMar>
            <w:top w:w="0" w:type="dxa"/>
            <w:left w:w="108" w:type="dxa"/>
            <w:bottom w:w="0" w:type="dxa"/>
            <w:right w:w="108" w:type="dxa"/>
          </w:tblCellMar>
        </w:tblPrEx>
        <w:trPr>
          <w:trHeight w:val="454" w:hRule="atLeast"/>
          <w:jc w:val="center"/>
        </w:trPr>
        <w:tc>
          <w:tcPr>
            <w:tcW w:w="947" w:type="pct"/>
            <w:vMerge w:val="restar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城乡居民基本医疗保险补助资金</w:t>
            </w:r>
          </w:p>
        </w:tc>
        <w:tc>
          <w:tcPr>
            <w:tcW w:w="66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中央资金</w:t>
            </w:r>
          </w:p>
        </w:tc>
        <w:tc>
          <w:tcPr>
            <w:tcW w:w="8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40,685.58</w:t>
            </w:r>
          </w:p>
        </w:tc>
        <w:tc>
          <w:tcPr>
            <w:tcW w:w="7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40,685.58</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100%</w:t>
            </w:r>
          </w:p>
        </w:tc>
        <w:tc>
          <w:tcPr>
            <w:tcW w:w="536" w:type="pct"/>
            <w:vMerge w:val="restar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88.92%</w:t>
            </w:r>
          </w:p>
        </w:tc>
        <w:tc>
          <w:tcPr>
            <w:tcW w:w="491" w:type="pct"/>
            <w:vMerge w:val="restar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4.45</w:t>
            </w:r>
          </w:p>
        </w:tc>
      </w:tr>
      <w:tr>
        <w:tblPrEx>
          <w:tblCellMar>
            <w:top w:w="0" w:type="dxa"/>
            <w:left w:w="108" w:type="dxa"/>
            <w:bottom w:w="0" w:type="dxa"/>
            <w:right w:w="108" w:type="dxa"/>
          </w:tblCellMar>
        </w:tblPrEx>
        <w:trPr>
          <w:trHeight w:val="454" w:hRule="atLeast"/>
          <w:jc w:val="center"/>
        </w:trPr>
        <w:tc>
          <w:tcPr>
            <w:tcW w:w="947" w:type="pct"/>
            <w:vMerge w:val="continue"/>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p>
        </w:tc>
        <w:tc>
          <w:tcPr>
            <w:tcW w:w="66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省级资金</w:t>
            </w:r>
          </w:p>
        </w:tc>
        <w:tc>
          <w:tcPr>
            <w:tcW w:w="8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70,626.99</w:t>
            </w:r>
          </w:p>
        </w:tc>
        <w:tc>
          <w:tcPr>
            <w:tcW w:w="7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70,626.99</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100%</w:t>
            </w:r>
          </w:p>
        </w:tc>
        <w:tc>
          <w:tcPr>
            <w:tcW w:w="536"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p>
        </w:tc>
        <w:tc>
          <w:tcPr>
            <w:tcW w:w="491"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p>
        </w:tc>
      </w:tr>
      <w:tr>
        <w:tblPrEx>
          <w:tblCellMar>
            <w:top w:w="0" w:type="dxa"/>
            <w:left w:w="108" w:type="dxa"/>
            <w:bottom w:w="0" w:type="dxa"/>
            <w:right w:w="108" w:type="dxa"/>
          </w:tblCellMar>
        </w:tblPrEx>
        <w:trPr>
          <w:trHeight w:val="454" w:hRule="atLeast"/>
          <w:jc w:val="center"/>
        </w:trPr>
        <w:tc>
          <w:tcPr>
            <w:tcW w:w="947" w:type="pct"/>
            <w:vMerge w:val="continue"/>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p>
        </w:tc>
        <w:tc>
          <w:tcPr>
            <w:tcW w:w="66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小计</w:t>
            </w:r>
          </w:p>
        </w:tc>
        <w:tc>
          <w:tcPr>
            <w:tcW w:w="8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111,312.57</w:t>
            </w:r>
          </w:p>
        </w:tc>
        <w:tc>
          <w:tcPr>
            <w:tcW w:w="7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111,312.57</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100%</w:t>
            </w:r>
          </w:p>
        </w:tc>
        <w:tc>
          <w:tcPr>
            <w:tcW w:w="536"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p>
        </w:tc>
        <w:tc>
          <w:tcPr>
            <w:tcW w:w="491"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p>
        </w:tc>
      </w:tr>
      <w:tr>
        <w:tblPrEx>
          <w:tblCellMar>
            <w:top w:w="0" w:type="dxa"/>
            <w:left w:w="108" w:type="dxa"/>
            <w:bottom w:w="0" w:type="dxa"/>
            <w:right w:w="108" w:type="dxa"/>
          </w:tblCellMar>
        </w:tblPrEx>
        <w:trPr>
          <w:trHeight w:val="454" w:hRule="atLeast"/>
          <w:jc w:val="center"/>
        </w:trPr>
        <w:tc>
          <w:tcPr>
            <w:tcW w:w="947" w:type="pct"/>
            <w:vMerge w:val="restar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医疗救助金</w:t>
            </w:r>
          </w:p>
          <w:p>
            <w:pPr>
              <w:pStyle w:val="26"/>
              <w:spacing w:line="240" w:lineRule="auto"/>
              <w:rPr>
                <w:rFonts w:cs="Times New Roman"/>
                <w:color w:val="auto"/>
                <w:szCs w:val="21"/>
                <w:highlight w:val="none"/>
              </w:rPr>
            </w:pPr>
            <w:r>
              <w:rPr>
                <w:rFonts w:cs="Times New Roman"/>
                <w:color w:val="auto"/>
                <w:szCs w:val="21"/>
                <w:highlight w:val="none"/>
              </w:rPr>
              <w:t>项目</w:t>
            </w:r>
          </w:p>
        </w:tc>
        <w:tc>
          <w:tcPr>
            <w:tcW w:w="66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中央资金</w:t>
            </w:r>
          </w:p>
        </w:tc>
        <w:tc>
          <w:tcPr>
            <w:tcW w:w="8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1,116.00</w:t>
            </w:r>
          </w:p>
        </w:tc>
        <w:tc>
          <w:tcPr>
            <w:tcW w:w="7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1,116.00</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100%</w:t>
            </w:r>
          </w:p>
        </w:tc>
        <w:tc>
          <w:tcPr>
            <w:tcW w:w="536" w:type="pct"/>
            <w:vMerge w:val="restar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10.84%</w:t>
            </w:r>
          </w:p>
        </w:tc>
        <w:tc>
          <w:tcPr>
            <w:tcW w:w="491" w:type="pct"/>
            <w:vMerge w:val="restar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0.54</w:t>
            </w:r>
          </w:p>
        </w:tc>
      </w:tr>
      <w:tr>
        <w:tblPrEx>
          <w:tblCellMar>
            <w:top w:w="0" w:type="dxa"/>
            <w:left w:w="108" w:type="dxa"/>
            <w:bottom w:w="0" w:type="dxa"/>
            <w:right w:w="108" w:type="dxa"/>
          </w:tblCellMar>
        </w:tblPrEx>
        <w:trPr>
          <w:trHeight w:val="454" w:hRule="atLeast"/>
          <w:jc w:val="center"/>
        </w:trPr>
        <w:tc>
          <w:tcPr>
            <w:tcW w:w="947" w:type="pct"/>
            <w:vMerge w:val="continue"/>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p>
        </w:tc>
        <w:tc>
          <w:tcPr>
            <w:tcW w:w="66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省级资金</w:t>
            </w:r>
          </w:p>
        </w:tc>
        <w:tc>
          <w:tcPr>
            <w:tcW w:w="8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12,451.00</w:t>
            </w:r>
          </w:p>
        </w:tc>
        <w:tc>
          <w:tcPr>
            <w:tcW w:w="7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12,451.00</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100%</w:t>
            </w:r>
          </w:p>
        </w:tc>
        <w:tc>
          <w:tcPr>
            <w:tcW w:w="536"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p>
        </w:tc>
        <w:tc>
          <w:tcPr>
            <w:tcW w:w="491"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p>
        </w:tc>
      </w:tr>
      <w:tr>
        <w:tblPrEx>
          <w:tblCellMar>
            <w:top w:w="0" w:type="dxa"/>
            <w:left w:w="108" w:type="dxa"/>
            <w:bottom w:w="0" w:type="dxa"/>
            <w:right w:w="108" w:type="dxa"/>
          </w:tblCellMar>
        </w:tblPrEx>
        <w:trPr>
          <w:trHeight w:val="454" w:hRule="atLeast"/>
          <w:jc w:val="center"/>
        </w:trPr>
        <w:tc>
          <w:tcPr>
            <w:tcW w:w="947" w:type="pct"/>
            <w:vMerge w:val="continue"/>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p>
        </w:tc>
        <w:tc>
          <w:tcPr>
            <w:tcW w:w="66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小计</w:t>
            </w:r>
          </w:p>
        </w:tc>
        <w:tc>
          <w:tcPr>
            <w:tcW w:w="8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13,567.00</w:t>
            </w:r>
          </w:p>
        </w:tc>
        <w:tc>
          <w:tcPr>
            <w:tcW w:w="7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13,567.00</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100%</w:t>
            </w:r>
          </w:p>
        </w:tc>
        <w:tc>
          <w:tcPr>
            <w:tcW w:w="536"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p>
        </w:tc>
        <w:tc>
          <w:tcPr>
            <w:tcW w:w="491"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p>
        </w:tc>
      </w:tr>
      <w:tr>
        <w:tblPrEx>
          <w:tblCellMar>
            <w:top w:w="0" w:type="dxa"/>
            <w:left w:w="108" w:type="dxa"/>
            <w:bottom w:w="0" w:type="dxa"/>
            <w:right w:w="108" w:type="dxa"/>
          </w:tblCellMar>
        </w:tblPrEx>
        <w:trPr>
          <w:trHeight w:val="454" w:hRule="atLeast"/>
          <w:jc w:val="center"/>
        </w:trPr>
        <w:tc>
          <w:tcPr>
            <w:tcW w:w="94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中央财政医疗服务与保障能力提升补助资金</w:t>
            </w:r>
            <w:r>
              <w:rPr>
                <w:rStyle w:val="23"/>
                <w:rFonts w:cs="Times New Roman"/>
                <w:color w:val="auto"/>
                <w:szCs w:val="21"/>
                <w:highlight w:val="none"/>
              </w:rPr>
              <w:footnoteReference w:id="12"/>
            </w:r>
          </w:p>
        </w:tc>
        <w:tc>
          <w:tcPr>
            <w:tcW w:w="66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中央资金</w:t>
            </w:r>
          </w:p>
        </w:tc>
        <w:tc>
          <w:tcPr>
            <w:tcW w:w="8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272.08</w:t>
            </w:r>
          </w:p>
        </w:tc>
        <w:tc>
          <w:tcPr>
            <w:tcW w:w="7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208.24</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76.54%</w:t>
            </w:r>
          </w:p>
        </w:tc>
        <w:tc>
          <w:tcPr>
            <w:tcW w:w="536"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0.22%</w:t>
            </w:r>
          </w:p>
        </w:tc>
        <w:tc>
          <w:tcPr>
            <w:tcW w:w="491"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0.0017</w:t>
            </w:r>
          </w:p>
        </w:tc>
      </w:tr>
      <w:tr>
        <w:tblPrEx>
          <w:tblCellMar>
            <w:top w:w="0" w:type="dxa"/>
            <w:left w:w="108" w:type="dxa"/>
            <w:bottom w:w="0" w:type="dxa"/>
            <w:right w:w="108" w:type="dxa"/>
          </w:tblCellMar>
        </w:tblPrEx>
        <w:trPr>
          <w:trHeight w:val="454" w:hRule="atLeast"/>
          <w:jc w:val="center"/>
        </w:trPr>
        <w:tc>
          <w:tcPr>
            <w:tcW w:w="94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城乡居民基本医疗保险宣传培训经费</w:t>
            </w:r>
          </w:p>
        </w:tc>
        <w:tc>
          <w:tcPr>
            <w:tcW w:w="66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省级资金</w:t>
            </w:r>
          </w:p>
        </w:tc>
        <w:tc>
          <w:tcPr>
            <w:tcW w:w="877"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36.00</w:t>
            </w:r>
          </w:p>
        </w:tc>
        <w:tc>
          <w:tcPr>
            <w:tcW w:w="7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21.34</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color w:val="auto"/>
                <w:szCs w:val="21"/>
                <w:highlight w:val="none"/>
              </w:rPr>
            </w:pPr>
            <w:r>
              <w:rPr>
                <w:rFonts w:cs="Times New Roman"/>
                <w:color w:val="auto"/>
                <w:szCs w:val="21"/>
                <w:highlight w:val="none"/>
              </w:rPr>
              <w:t>59.28%</w:t>
            </w:r>
          </w:p>
        </w:tc>
        <w:tc>
          <w:tcPr>
            <w:tcW w:w="536"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0.03%</w:t>
            </w:r>
          </w:p>
        </w:tc>
        <w:tc>
          <w:tcPr>
            <w:tcW w:w="491"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0.0002</w:t>
            </w:r>
          </w:p>
        </w:tc>
      </w:tr>
      <w:tr>
        <w:tblPrEx>
          <w:tblCellMar>
            <w:top w:w="0" w:type="dxa"/>
            <w:left w:w="108" w:type="dxa"/>
            <w:bottom w:w="0" w:type="dxa"/>
            <w:right w:w="108" w:type="dxa"/>
          </w:tblCellMar>
        </w:tblPrEx>
        <w:trPr>
          <w:trHeight w:val="454" w:hRule="atLeast"/>
          <w:jc w:val="center"/>
        </w:trPr>
        <w:tc>
          <w:tcPr>
            <w:tcW w:w="1615" w:type="pct"/>
            <w:gridSpan w:val="2"/>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合计</w:t>
            </w:r>
          </w:p>
        </w:tc>
        <w:tc>
          <w:tcPr>
            <w:tcW w:w="877"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125,187.65</w:t>
            </w:r>
          </w:p>
        </w:tc>
        <w:tc>
          <w:tcPr>
            <w:tcW w:w="7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125,109.15</w:t>
            </w:r>
          </w:p>
        </w:tc>
        <w:tc>
          <w:tcPr>
            <w:tcW w:w="694"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99.94%</w:t>
            </w:r>
          </w:p>
        </w:tc>
        <w:tc>
          <w:tcPr>
            <w:tcW w:w="536"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100%</w:t>
            </w:r>
          </w:p>
        </w:tc>
        <w:tc>
          <w:tcPr>
            <w:tcW w:w="491"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4.99</w:t>
            </w:r>
          </w:p>
        </w:tc>
      </w:tr>
    </w:tbl>
    <w:p>
      <w:pPr>
        <w:pStyle w:val="4"/>
        <w:ind w:firstLine="640"/>
        <w:rPr>
          <w:rFonts w:cs="Times New Roman"/>
          <w:color w:val="auto"/>
          <w:highlight w:val="none"/>
        </w:rPr>
      </w:pPr>
      <w:bookmarkStart w:id="53" w:name="_Toc8248"/>
      <w:bookmarkStart w:id="54" w:name="_Toc18598"/>
      <w:bookmarkStart w:id="55" w:name="_Toc10125"/>
      <w:bookmarkStart w:id="56" w:name="_Toc31502"/>
      <w:bookmarkStart w:id="57" w:name="_Toc151997602"/>
      <w:r>
        <w:rPr>
          <w:rFonts w:cs="Times New Roman"/>
          <w:color w:val="auto"/>
          <w:highlight w:val="none"/>
        </w:rPr>
        <w:t>（三）管理效率分析。</w:t>
      </w:r>
      <w:bookmarkEnd w:id="53"/>
      <w:bookmarkEnd w:id="54"/>
      <w:bookmarkEnd w:id="55"/>
      <w:bookmarkEnd w:id="56"/>
      <w:bookmarkEnd w:id="57"/>
    </w:p>
    <w:p>
      <w:pPr>
        <w:pStyle w:val="2"/>
        <w:ind w:firstLine="600"/>
        <w:rPr>
          <w:color w:val="auto"/>
          <w:highlight w:val="none"/>
        </w:rPr>
      </w:pPr>
      <w:r>
        <w:rPr>
          <w:color w:val="auto"/>
          <w:highlight w:val="none"/>
        </w:rPr>
        <w:t>管理效率主要包括预算编制、预算执行、信息公开、绩效管理、采购管理、资产管理和运行成本七方面，经评价，“管理效率”指标满分55分，评价得分</w:t>
      </w:r>
      <w:r>
        <w:rPr>
          <w:color w:val="auto"/>
          <w:highlight w:val="none"/>
        </w:rPr>
        <w:t>4</w:t>
      </w:r>
      <w:r>
        <w:rPr>
          <w:rFonts w:hint="eastAsia"/>
          <w:color w:val="auto"/>
          <w:highlight w:val="none"/>
          <w:lang w:val="en-US" w:eastAsia="zh-CN"/>
        </w:rPr>
        <w:t>6</w:t>
      </w:r>
      <w:r>
        <w:rPr>
          <w:rFonts w:hint="eastAsia"/>
          <w:color w:val="auto"/>
          <w:highlight w:val="none"/>
        </w:rPr>
        <w:t>.24</w:t>
      </w:r>
      <w:r>
        <w:rPr>
          <w:color w:val="auto"/>
          <w:highlight w:val="none"/>
        </w:rPr>
        <w:t>分</w:t>
      </w:r>
      <w:r>
        <w:rPr>
          <w:color w:val="auto"/>
          <w:highlight w:val="none"/>
        </w:rPr>
        <w:t>，得分率</w:t>
      </w:r>
      <w:r>
        <w:rPr>
          <w:rFonts w:hint="eastAsia"/>
          <w:color w:val="auto"/>
          <w:highlight w:val="none"/>
        </w:rPr>
        <w:t>84.07%</w:t>
      </w:r>
      <w:r>
        <w:rPr>
          <w:color w:val="auto"/>
          <w:highlight w:val="none"/>
        </w:rPr>
        <w:t>，</w:t>
      </w:r>
      <w:r>
        <w:rPr>
          <w:rFonts w:hint="eastAsia"/>
          <w:color w:val="auto"/>
          <w:highlight w:val="none"/>
        </w:rPr>
        <w:t>扣</w:t>
      </w:r>
      <w:r>
        <w:rPr>
          <w:rFonts w:hint="eastAsia"/>
          <w:color w:val="auto"/>
          <w:highlight w:val="none"/>
          <w:lang w:val="en-US" w:eastAsia="zh-CN"/>
        </w:rPr>
        <w:t>8</w:t>
      </w:r>
      <w:r>
        <w:rPr>
          <w:rFonts w:hint="eastAsia"/>
          <w:color w:val="auto"/>
          <w:highlight w:val="none"/>
        </w:rPr>
        <w:t>.76分</w:t>
      </w:r>
      <w:r>
        <w:rPr>
          <w:rFonts w:hint="eastAsia"/>
          <w:color w:val="auto"/>
          <w:highlight w:val="none"/>
        </w:rPr>
        <w:t>。</w:t>
      </w:r>
      <w:r>
        <w:rPr>
          <w:color w:val="auto"/>
          <w:highlight w:val="none"/>
        </w:rPr>
        <w:t>具体情况见表2-</w:t>
      </w:r>
      <w:r>
        <w:rPr>
          <w:rFonts w:hint="eastAsia"/>
          <w:color w:val="auto"/>
          <w:highlight w:val="none"/>
        </w:rPr>
        <w:t>7</w:t>
      </w:r>
      <w:r>
        <w:rPr>
          <w:color w:val="auto"/>
          <w:highlight w:val="none"/>
        </w:rPr>
        <w:t>。</w:t>
      </w:r>
    </w:p>
    <w:p>
      <w:pPr>
        <w:pStyle w:val="25"/>
        <w:rPr>
          <w:color w:val="auto"/>
          <w:highlight w:val="none"/>
        </w:rPr>
      </w:pPr>
      <w:r>
        <w:rPr>
          <w:color w:val="auto"/>
          <w:highlight w:val="none"/>
        </w:rPr>
        <w:t>表2-</w:t>
      </w:r>
      <w:r>
        <w:rPr>
          <w:rFonts w:hint="eastAsia"/>
          <w:color w:val="auto"/>
          <w:highlight w:val="none"/>
        </w:rPr>
        <w:t xml:space="preserve">7 </w:t>
      </w:r>
      <w:r>
        <w:rPr>
          <w:color w:val="auto"/>
          <w:highlight w:val="none"/>
        </w:rPr>
        <w:t>“管理效率”指标得分情况表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4"/>
        <w:gridCol w:w="1281"/>
        <w:gridCol w:w="1188"/>
        <w:gridCol w:w="1260"/>
        <w:gridCol w:w="3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834"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指标名称</w:t>
            </w:r>
          </w:p>
        </w:tc>
        <w:tc>
          <w:tcPr>
            <w:tcW w:w="1281"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指标分值</w:t>
            </w:r>
          </w:p>
        </w:tc>
        <w:tc>
          <w:tcPr>
            <w:tcW w:w="1188"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指标得分</w:t>
            </w:r>
          </w:p>
        </w:tc>
        <w:tc>
          <w:tcPr>
            <w:tcW w:w="1260"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得分率</w:t>
            </w:r>
          </w:p>
        </w:tc>
        <w:tc>
          <w:tcPr>
            <w:tcW w:w="3611"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得分偏差分析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预算编制</w:t>
            </w:r>
          </w:p>
        </w:tc>
        <w:tc>
          <w:tcPr>
            <w:tcW w:w="1281"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5</w:t>
            </w:r>
          </w:p>
        </w:tc>
        <w:tc>
          <w:tcPr>
            <w:tcW w:w="1188"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5</w:t>
            </w:r>
          </w:p>
        </w:tc>
        <w:tc>
          <w:tcPr>
            <w:tcW w:w="1260"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100.00%</w:t>
            </w:r>
          </w:p>
        </w:tc>
        <w:tc>
          <w:tcPr>
            <w:tcW w:w="3611"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预算执行</w:t>
            </w:r>
          </w:p>
        </w:tc>
        <w:tc>
          <w:tcPr>
            <w:tcW w:w="1281"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15</w:t>
            </w:r>
          </w:p>
        </w:tc>
        <w:tc>
          <w:tcPr>
            <w:tcW w:w="1188"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13.43</w:t>
            </w:r>
          </w:p>
        </w:tc>
        <w:tc>
          <w:tcPr>
            <w:tcW w:w="1260"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89.53%</w:t>
            </w:r>
          </w:p>
        </w:tc>
        <w:tc>
          <w:tcPr>
            <w:tcW w:w="3611" w:type="dxa"/>
            <w:vAlign w:val="center"/>
          </w:tcPr>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1.年中追加资金占比率为1.02%、预算调剂发生率为1.32%（扣0.07分）。</w:t>
            </w:r>
          </w:p>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2.个别项目未专款专用、个别项目偏离资金规定用途、个别费用列支欠合理（扣1.5分）。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信息公开</w:t>
            </w:r>
          </w:p>
        </w:tc>
        <w:tc>
          <w:tcPr>
            <w:tcW w:w="1281"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3</w:t>
            </w:r>
          </w:p>
        </w:tc>
        <w:tc>
          <w:tcPr>
            <w:tcW w:w="1188"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3</w:t>
            </w:r>
          </w:p>
        </w:tc>
        <w:tc>
          <w:tcPr>
            <w:tcW w:w="1260"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100.00%</w:t>
            </w:r>
          </w:p>
        </w:tc>
        <w:tc>
          <w:tcPr>
            <w:tcW w:w="3611"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绩效管理</w:t>
            </w:r>
          </w:p>
        </w:tc>
        <w:tc>
          <w:tcPr>
            <w:tcW w:w="1281"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5</w:t>
            </w:r>
          </w:p>
        </w:tc>
        <w:tc>
          <w:tcPr>
            <w:tcW w:w="1188"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3.5</w:t>
            </w:r>
          </w:p>
        </w:tc>
        <w:tc>
          <w:tcPr>
            <w:tcW w:w="1260"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70.00%</w:t>
            </w:r>
          </w:p>
        </w:tc>
        <w:tc>
          <w:tcPr>
            <w:tcW w:w="3611" w:type="dxa"/>
            <w:vAlign w:val="center"/>
          </w:tcPr>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个别指标重复设置、缺少设置时效指标、未能与国家事业发展规划目标相衔接，此外，还存在个别项目绩效目标设置质量不高（酌情扣1.5分）。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采购管理</w:t>
            </w:r>
          </w:p>
        </w:tc>
        <w:tc>
          <w:tcPr>
            <w:tcW w:w="1281"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10</w:t>
            </w:r>
          </w:p>
        </w:tc>
        <w:tc>
          <w:tcPr>
            <w:tcW w:w="1188" w:type="dxa"/>
            <w:vAlign w:val="center"/>
          </w:tcPr>
          <w:p>
            <w:pPr>
              <w:spacing w:line="240" w:lineRule="auto"/>
              <w:ind w:firstLine="0" w:firstLineChars="0"/>
              <w:jc w:val="center"/>
              <w:rPr>
                <w:rFonts w:eastAsia="宋体"/>
                <w:color w:val="auto"/>
                <w:sz w:val="21"/>
                <w:szCs w:val="21"/>
                <w:highlight w:val="none"/>
              </w:rPr>
            </w:pPr>
            <w:r>
              <w:rPr>
                <w:rFonts w:hint="eastAsia" w:eastAsia="宋体"/>
                <w:color w:val="auto"/>
                <w:sz w:val="21"/>
                <w:szCs w:val="21"/>
                <w:highlight w:val="none"/>
              </w:rPr>
              <w:t>9</w:t>
            </w:r>
            <w:r>
              <w:rPr>
                <w:rFonts w:eastAsia="宋体"/>
                <w:color w:val="auto"/>
                <w:sz w:val="21"/>
                <w:szCs w:val="21"/>
                <w:highlight w:val="none"/>
              </w:rPr>
              <w:t>.44</w:t>
            </w:r>
          </w:p>
        </w:tc>
        <w:tc>
          <w:tcPr>
            <w:tcW w:w="1260" w:type="dxa"/>
            <w:vAlign w:val="center"/>
          </w:tcPr>
          <w:p>
            <w:pPr>
              <w:spacing w:line="240" w:lineRule="auto"/>
              <w:ind w:firstLine="0" w:firstLineChars="0"/>
              <w:jc w:val="center"/>
              <w:rPr>
                <w:rFonts w:eastAsia="宋体"/>
                <w:color w:val="auto"/>
                <w:sz w:val="21"/>
                <w:szCs w:val="21"/>
                <w:highlight w:val="none"/>
              </w:rPr>
            </w:pPr>
            <w:r>
              <w:rPr>
                <w:rFonts w:hint="eastAsia" w:eastAsia="宋体"/>
                <w:color w:val="auto"/>
                <w:sz w:val="21"/>
                <w:szCs w:val="21"/>
                <w:highlight w:val="none"/>
              </w:rPr>
              <w:t>9</w:t>
            </w:r>
            <w:r>
              <w:rPr>
                <w:rFonts w:eastAsia="宋体"/>
                <w:color w:val="auto"/>
                <w:sz w:val="21"/>
                <w:szCs w:val="21"/>
                <w:highlight w:val="none"/>
              </w:rPr>
              <w:t>4.40%</w:t>
            </w:r>
          </w:p>
        </w:tc>
        <w:tc>
          <w:tcPr>
            <w:tcW w:w="3611" w:type="dxa"/>
            <w:vAlign w:val="center"/>
          </w:tcPr>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1.制度未衔接财库〔2020〕10号相关要求（酌情扣0.5分）。</w:t>
            </w:r>
          </w:p>
          <w:p>
            <w:pPr>
              <w:spacing w:line="240" w:lineRule="auto"/>
              <w:ind w:firstLine="0" w:firstLineChars="0"/>
              <w:jc w:val="left"/>
              <w:rPr>
                <w:rFonts w:eastAsia="宋体"/>
                <w:color w:val="auto"/>
                <w:sz w:val="21"/>
                <w:szCs w:val="21"/>
                <w:highlight w:val="none"/>
              </w:rPr>
            </w:pPr>
            <w:r>
              <w:rPr>
                <w:rFonts w:hint="eastAsia" w:eastAsia="宋体"/>
                <w:color w:val="auto"/>
                <w:sz w:val="21"/>
                <w:szCs w:val="21"/>
                <w:highlight w:val="none"/>
              </w:rPr>
              <w:t>2</w:t>
            </w:r>
            <w:r>
              <w:rPr>
                <w:rFonts w:eastAsia="宋体"/>
                <w:color w:val="auto"/>
                <w:sz w:val="21"/>
                <w:szCs w:val="21"/>
                <w:highlight w:val="none"/>
              </w:rPr>
              <w:t>.个别项目合同未及时备案公开（扣0.06分）。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资产管理</w:t>
            </w:r>
          </w:p>
        </w:tc>
        <w:tc>
          <w:tcPr>
            <w:tcW w:w="1281"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10</w:t>
            </w:r>
          </w:p>
        </w:tc>
        <w:tc>
          <w:tcPr>
            <w:tcW w:w="1188" w:type="dxa"/>
            <w:vAlign w:val="center"/>
          </w:tcPr>
          <w:p>
            <w:pPr>
              <w:spacing w:line="240" w:lineRule="auto"/>
              <w:ind w:firstLine="0" w:firstLineChars="0"/>
              <w:jc w:val="center"/>
              <w:rPr>
                <w:rFonts w:eastAsia="宋体"/>
                <w:color w:val="auto"/>
                <w:sz w:val="21"/>
                <w:szCs w:val="21"/>
                <w:highlight w:val="none"/>
              </w:rPr>
            </w:pPr>
            <w:r>
              <w:rPr>
                <w:rFonts w:hint="eastAsia" w:eastAsia="宋体"/>
                <w:color w:val="auto"/>
                <w:sz w:val="21"/>
                <w:szCs w:val="21"/>
                <w:highlight w:val="none"/>
                <w:lang w:val="en-US" w:eastAsia="zh-CN"/>
              </w:rPr>
              <w:t>6</w:t>
            </w:r>
            <w:r>
              <w:rPr>
                <w:rFonts w:eastAsia="宋体"/>
                <w:color w:val="auto"/>
                <w:sz w:val="21"/>
                <w:szCs w:val="21"/>
                <w:highlight w:val="none"/>
              </w:rPr>
              <w:t>.37</w:t>
            </w:r>
          </w:p>
        </w:tc>
        <w:tc>
          <w:tcPr>
            <w:tcW w:w="1260" w:type="dxa"/>
            <w:vAlign w:val="center"/>
          </w:tcPr>
          <w:p>
            <w:pPr>
              <w:spacing w:line="240" w:lineRule="auto"/>
              <w:ind w:firstLine="0" w:firstLineChars="0"/>
              <w:jc w:val="center"/>
              <w:rPr>
                <w:rFonts w:eastAsia="宋体"/>
                <w:color w:val="auto"/>
                <w:sz w:val="21"/>
                <w:szCs w:val="21"/>
                <w:highlight w:val="none"/>
              </w:rPr>
            </w:pPr>
            <w:r>
              <w:rPr>
                <w:rFonts w:hint="eastAsia" w:eastAsia="宋体"/>
                <w:color w:val="auto"/>
                <w:sz w:val="21"/>
                <w:szCs w:val="21"/>
                <w:highlight w:val="none"/>
                <w:lang w:val="en-US" w:eastAsia="zh-CN"/>
              </w:rPr>
              <w:t>6</w:t>
            </w:r>
            <w:r>
              <w:rPr>
                <w:rFonts w:eastAsia="宋体"/>
                <w:color w:val="auto"/>
                <w:sz w:val="21"/>
                <w:szCs w:val="21"/>
                <w:highlight w:val="none"/>
              </w:rPr>
              <w:t>3.70%</w:t>
            </w:r>
          </w:p>
        </w:tc>
        <w:tc>
          <w:tcPr>
            <w:tcW w:w="3611" w:type="dxa"/>
            <w:vAlign w:val="center"/>
          </w:tcPr>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1.个别资产超数量标准配置（扣</w:t>
            </w:r>
            <w:r>
              <w:rPr>
                <w:rFonts w:hint="eastAsia" w:eastAsia="宋体"/>
                <w:color w:val="auto"/>
                <w:sz w:val="21"/>
                <w:szCs w:val="21"/>
                <w:highlight w:val="none"/>
                <w:lang w:val="en-US" w:eastAsia="zh-CN"/>
              </w:rPr>
              <w:t>1</w:t>
            </w:r>
            <w:r>
              <w:rPr>
                <w:rFonts w:eastAsia="宋体"/>
                <w:color w:val="auto"/>
                <w:sz w:val="21"/>
                <w:szCs w:val="21"/>
                <w:highlight w:val="none"/>
              </w:rPr>
              <w:t>分）。</w:t>
            </w:r>
          </w:p>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2.未组织开展全面的固定资产清理、清查；资产自查结果处理不及时（酌情扣0.5分）。</w:t>
            </w:r>
          </w:p>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3.资产年报数据质量不高（扣</w:t>
            </w:r>
            <w:r>
              <w:rPr>
                <w:rFonts w:hint="eastAsia" w:eastAsia="宋体"/>
                <w:color w:val="auto"/>
                <w:sz w:val="21"/>
                <w:szCs w:val="21"/>
                <w:highlight w:val="none"/>
              </w:rPr>
              <w:t>1</w:t>
            </w:r>
            <w:r>
              <w:rPr>
                <w:rFonts w:eastAsia="宋体"/>
                <w:color w:val="auto"/>
                <w:sz w:val="21"/>
                <w:szCs w:val="21"/>
                <w:highlight w:val="none"/>
              </w:rPr>
              <w:t>分）。</w:t>
            </w:r>
          </w:p>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4.制度缺少核算入账、出租、对外投资，以及绩效管理等重点环节；</w:t>
            </w:r>
          </w:p>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5.个别条款未根据现行制度及时更新修订（扣1分）。</w:t>
            </w:r>
          </w:p>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6.固定资产利用率为93.74%（扣0.13分）。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运行成本</w:t>
            </w:r>
          </w:p>
        </w:tc>
        <w:tc>
          <w:tcPr>
            <w:tcW w:w="1281"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7</w:t>
            </w:r>
          </w:p>
        </w:tc>
        <w:tc>
          <w:tcPr>
            <w:tcW w:w="1188"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5</w:t>
            </w:r>
          </w:p>
        </w:tc>
        <w:tc>
          <w:tcPr>
            <w:tcW w:w="1260" w:type="dxa"/>
            <w:vAlign w:val="center"/>
          </w:tcPr>
          <w:p>
            <w:pPr>
              <w:spacing w:line="240" w:lineRule="auto"/>
              <w:ind w:firstLine="0" w:firstLineChars="0"/>
              <w:jc w:val="center"/>
              <w:rPr>
                <w:rFonts w:eastAsia="宋体"/>
                <w:color w:val="auto"/>
                <w:sz w:val="21"/>
                <w:szCs w:val="21"/>
                <w:highlight w:val="none"/>
              </w:rPr>
            </w:pPr>
            <w:r>
              <w:rPr>
                <w:rFonts w:eastAsia="宋体"/>
                <w:color w:val="auto"/>
                <w:sz w:val="21"/>
                <w:szCs w:val="21"/>
                <w:highlight w:val="none"/>
              </w:rPr>
              <w:t>71.43%</w:t>
            </w:r>
          </w:p>
        </w:tc>
        <w:tc>
          <w:tcPr>
            <w:tcW w:w="3611" w:type="dxa"/>
            <w:vAlign w:val="center"/>
          </w:tcPr>
          <w:p>
            <w:pPr>
              <w:spacing w:line="240" w:lineRule="auto"/>
              <w:ind w:firstLine="0" w:firstLineChars="0"/>
              <w:jc w:val="left"/>
              <w:rPr>
                <w:rFonts w:eastAsia="宋体"/>
                <w:color w:val="auto"/>
                <w:sz w:val="21"/>
                <w:szCs w:val="21"/>
                <w:highlight w:val="none"/>
              </w:rPr>
            </w:pPr>
            <w:r>
              <w:rPr>
                <w:rFonts w:eastAsia="宋体"/>
                <w:color w:val="auto"/>
                <w:sz w:val="21"/>
                <w:szCs w:val="21"/>
                <w:highlight w:val="none"/>
              </w:rPr>
              <w:t>个别项目预算测算内容粗糙；资产购置合理性不足（扣2分）。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4"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合计</w:t>
            </w:r>
          </w:p>
        </w:tc>
        <w:tc>
          <w:tcPr>
            <w:tcW w:w="1281"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55</w:t>
            </w:r>
          </w:p>
        </w:tc>
        <w:tc>
          <w:tcPr>
            <w:tcW w:w="1188" w:type="dxa"/>
            <w:vAlign w:val="center"/>
          </w:tcPr>
          <w:p>
            <w:pPr>
              <w:spacing w:line="240" w:lineRule="auto"/>
              <w:ind w:firstLine="0" w:firstLineChars="0"/>
              <w:jc w:val="center"/>
              <w:rPr>
                <w:rFonts w:eastAsia="宋体"/>
                <w:b/>
                <w:bCs/>
                <w:color w:val="auto"/>
                <w:sz w:val="21"/>
                <w:szCs w:val="21"/>
                <w:highlight w:val="none"/>
              </w:rPr>
            </w:pPr>
            <w:r>
              <w:rPr>
                <w:rFonts w:eastAsia="宋体"/>
                <w:b/>
                <w:bCs/>
                <w:color w:val="auto"/>
                <w:sz w:val="21"/>
                <w:szCs w:val="21"/>
                <w:highlight w:val="none"/>
              </w:rPr>
              <w:t>4</w:t>
            </w:r>
            <w:r>
              <w:rPr>
                <w:rFonts w:hint="eastAsia" w:eastAsia="宋体"/>
                <w:b/>
                <w:bCs/>
                <w:color w:val="auto"/>
                <w:sz w:val="21"/>
                <w:szCs w:val="21"/>
                <w:highlight w:val="none"/>
                <w:lang w:val="en-US" w:eastAsia="zh-CN"/>
              </w:rPr>
              <w:t>6</w:t>
            </w:r>
            <w:r>
              <w:rPr>
                <w:rFonts w:eastAsia="宋体"/>
                <w:b/>
                <w:bCs/>
                <w:color w:val="auto"/>
                <w:sz w:val="21"/>
                <w:szCs w:val="21"/>
                <w:highlight w:val="none"/>
              </w:rPr>
              <w:t>.</w:t>
            </w:r>
            <w:r>
              <w:rPr>
                <w:rFonts w:hint="eastAsia" w:eastAsia="宋体"/>
                <w:b/>
                <w:bCs/>
                <w:color w:val="auto"/>
                <w:sz w:val="21"/>
                <w:szCs w:val="21"/>
                <w:highlight w:val="none"/>
              </w:rPr>
              <w:t>2</w:t>
            </w:r>
            <w:r>
              <w:rPr>
                <w:rFonts w:eastAsia="宋体"/>
                <w:b/>
                <w:bCs/>
                <w:color w:val="auto"/>
                <w:sz w:val="21"/>
                <w:szCs w:val="21"/>
                <w:highlight w:val="none"/>
              </w:rPr>
              <w:t>4</w:t>
            </w:r>
          </w:p>
        </w:tc>
        <w:tc>
          <w:tcPr>
            <w:tcW w:w="1260" w:type="dxa"/>
            <w:vAlign w:val="center"/>
          </w:tcPr>
          <w:p>
            <w:pPr>
              <w:spacing w:line="240" w:lineRule="auto"/>
              <w:ind w:firstLine="0" w:firstLineChars="0"/>
              <w:jc w:val="center"/>
              <w:rPr>
                <w:rFonts w:eastAsia="宋体"/>
                <w:b/>
                <w:bCs/>
                <w:color w:val="auto"/>
                <w:sz w:val="21"/>
                <w:szCs w:val="21"/>
                <w:highlight w:val="none"/>
              </w:rPr>
            </w:pPr>
            <w:r>
              <w:rPr>
                <w:rFonts w:hint="eastAsia" w:eastAsia="宋体"/>
                <w:b/>
                <w:bCs/>
                <w:color w:val="auto"/>
                <w:sz w:val="21"/>
                <w:szCs w:val="21"/>
                <w:highlight w:val="none"/>
              </w:rPr>
              <w:t>8</w:t>
            </w:r>
            <w:r>
              <w:rPr>
                <w:rFonts w:hint="eastAsia" w:eastAsia="宋体"/>
                <w:b/>
                <w:bCs/>
                <w:color w:val="auto"/>
                <w:sz w:val="21"/>
                <w:szCs w:val="21"/>
                <w:highlight w:val="none"/>
                <w:lang w:val="en-US" w:eastAsia="zh-CN"/>
              </w:rPr>
              <w:t>4.07</w:t>
            </w:r>
            <w:r>
              <w:rPr>
                <w:rFonts w:eastAsia="宋体"/>
                <w:b/>
                <w:bCs/>
                <w:color w:val="auto"/>
                <w:sz w:val="21"/>
                <w:szCs w:val="21"/>
                <w:highlight w:val="none"/>
              </w:rPr>
              <w:t>%</w:t>
            </w:r>
          </w:p>
        </w:tc>
        <w:tc>
          <w:tcPr>
            <w:tcW w:w="3611" w:type="dxa"/>
            <w:vAlign w:val="center"/>
          </w:tcPr>
          <w:p>
            <w:pPr>
              <w:spacing w:line="240" w:lineRule="auto"/>
              <w:ind w:firstLine="0" w:firstLineChars="0"/>
              <w:jc w:val="left"/>
              <w:rPr>
                <w:rFonts w:eastAsia="宋体"/>
                <w:b/>
                <w:bCs/>
                <w:color w:val="auto"/>
                <w:sz w:val="21"/>
                <w:szCs w:val="21"/>
                <w:highlight w:val="none"/>
              </w:rPr>
            </w:pPr>
          </w:p>
        </w:tc>
      </w:tr>
    </w:tbl>
    <w:p>
      <w:pPr>
        <w:ind w:firstLine="600"/>
        <w:rPr>
          <w:bCs/>
          <w:color w:val="auto"/>
          <w:kern w:val="0"/>
          <w:sz w:val="30"/>
          <w:szCs w:val="30"/>
          <w:highlight w:val="none"/>
        </w:rPr>
      </w:pPr>
      <w:r>
        <w:rPr>
          <w:bCs/>
          <w:color w:val="auto"/>
          <w:kern w:val="0"/>
          <w:sz w:val="30"/>
          <w:szCs w:val="30"/>
          <w:highlight w:val="none"/>
        </w:rPr>
        <w:t>1.</w:t>
      </w:r>
      <w:r>
        <w:rPr>
          <w:bCs/>
          <w:color w:val="auto"/>
          <w:kern w:val="0"/>
          <w:highlight w:val="none"/>
        </w:rPr>
        <w:t>预算编制</w:t>
      </w:r>
    </w:p>
    <w:p>
      <w:pPr>
        <w:ind w:firstLine="640"/>
        <w:rPr>
          <w:color w:val="auto"/>
          <w:highlight w:val="none"/>
        </w:rPr>
      </w:pPr>
      <w:r>
        <w:rPr>
          <w:color w:val="auto"/>
          <w:highlight w:val="none"/>
        </w:rPr>
        <w:t>预算编制主要评价部门对申请新增预算的入库项目开展事前绩效评估工作的落实情况，指标分值5分，得分5分，得分率100%。</w:t>
      </w:r>
    </w:p>
    <w:p>
      <w:pPr>
        <w:ind w:firstLine="640"/>
        <w:rPr>
          <w:b/>
          <w:bCs/>
          <w:color w:val="auto"/>
          <w:highlight w:val="none"/>
        </w:rPr>
      </w:pPr>
      <w:r>
        <w:rPr>
          <w:color w:val="auto"/>
          <w:highlight w:val="none"/>
        </w:rPr>
        <w:t>市医疗保障局2022年无新增申请事业发展性支出一级项目和部门预算500万元以上二级项目，不涉及该项评价。</w:t>
      </w:r>
    </w:p>
    <w:p>
      <w:pPr>
        <w:ind w:firstLine="600"/>
        <w:rPr>
          <w:bCs/>
          <w:color w:val="auto"/>
          <w:kern w:val="0"/>
          <w:sz w:val="30"/>
          <w:szCs w:val="30"/>
          <w:highlight w:val="none"/>
        </w:rPr>
      </w:pPr>
      <w:r>
        <w:rPr>
          <w:bCs/>
          <w:color w:val="auto"/>
          <w:kern w:val="0"/>
          <w:sz w:val="30"/>
          <w:szCs w:val="30"/>
          <w:highlight w:val="none"/>
        </w:rPr>
        <w:t>2.</w:t>
      </w:r>
      <w:r>
        <w:rPr>
          <w:bCs/>
          <w:color w:val="auto"/>
          <w:kern w:val="0"/>
          <w:highlight w:val="none"/>
        </w:rPr>
        <w:t>预算执行</w:t>
      </w:r>
    </w:p>
    <w:p>
      <w:pPr>
        <w:ind w:firstLine="640"/>
        <w:rPr>
          <w:color w:val="auto"/>
          <w:kern w:val="0"/>
          <w:highlight w:val="none"/>
        </w:rPr>
      </w:pPr>
      <w:r>
        <w:rPr>
          <w:color w:val="auto"/>
          <w:highlight w:val="none"/>
        </w:rPr>
        <w:t>预算执行主要评价预算编制约束性、财务管理合规性两方面，具体情况如下。</w:t>
      </w:r>
    </w:p>
    <w:p>
      <w:pPr>
        <w:ind w:firstLine="640"/>
        <w:rPr>
          <w:color w:val="auto"/>
          <w:highlight w:val="none"/>
        </w:rPr>
      </w:pPr>
      <w:r>
        <w:rPr>
          <w:color w:val="auto"/>
          <w:highlight w:val="none"/>
        </w:rPr>
        <w:t>（1）预算编制约束性。指标分值6分，得分5.93分，得分率98.83%。</w:t>
      </w:r>
      <w:r>
        <w:rPr>
          <w:rFonts w:hint="eastAsia"/>
          <w:color w:val="auto"/>
          <w:highlight w:val="none"/>
        </w:rPr>
        <w:t>扣0</w:t>
      </w:r>
      <w:r>
        <w:rPr>
          <w:color w:val="auto"/>
          <w:highlight w:val="none"/>
        </w:rPr>
        <w:t>.07</w:t>
      </w:r>
      <w:r>
        <w:rPr>
          <w:rFonts w:hint="eastAsia"/>
          <w:color w:val="auto"/>
          <w:highlight w:val="none"/>
        </w:rPr>
        <w:t>分。</w:t>
      </w:r>
    </w:p>
    <w:p>
      <w:pPr>
        <w:ind w:firstLine="640"/>
        <w:rPr>
          <w:color w:val="auto"/>
          <w:highlight w:val="none"/>
        </w:rPr>
      </w:pPr>
      <w:r>
        <w:rPr>
          <w:color w:val="auto"/>
          <w:highlight w:val="none"/>
        </w:rPr>
        <w:t>经统计，市医疗保障局2022年年中追加资金182.13万元；预算调剂11次，金额为236.61万元。剔除财政收回资金（340.28万元），年初预算安排17,883.70万元，年中追加资金占比率为1.02%；预算调剂发生率为1.32%。根据评分标准</w:t>
      </w:r>
      <w:r>
        <w:rPr>
          <w:rStyle w:val="23"/>
          <w:color w:val="auto"/>
          <w:highlight w:val="none"/>
        </w:rPr>
        <w:footnoteReference w:id="13"/>
      </w:r>
      <w:r>
        <w:rPr>
          <w:color w:val="auto"/>
          <w:highlight w:val="none"/>
        </w:rPr>
        <w:t>，扣0.07分。</w:t>
      </w:r>
    </w:p>
    <w:p>
      <w:pPr>
        <w:ind w:firstLine="640"/>
        <w:rPr>
          <w:color w:val="auto"/>
          <w:highlight w:val="none"/>
        </w:rPr>
      </w:pPr>
      <w:r>
        <w:rPr>
          <w:color w:val="auto"/>
          <w:highlight w:val="none"/>
        </w:rPr>
        <w:t>（2）财务管理合规性。指标分值9分，</w:t>
      </w:r>
      <w:r>
        <w:rPr>
          <w:color w:val="auto"/>
          <w:highlight w:val="none"/>
        </w:rPr>
        <w:t>得分</w:t>
      </w:r>
      <w:r>
        <w:rPr>
          <w:rFonts w:hint="eastAsia"/>
          <w:color w:val="auto"/>
          <w:highlight w:val="none"/>
        </w:rPr>
        <w:t>8</w:t>
      </w:r>
      <w:r>
        <w:rPr>
          <w:color w:val="auto"/>
          <w:highlight w:val="none"/>
        </w:rPr>
        <w:t>分，得分率</w:t>
      </w:r>
      <w:r>
        <w:rPr>
          <w:rFonts w:hint="eastAsia"/>
          <w:color w:val="auto"/>
          <w:highlight w:val="none"/>
        </w:rPr>
        <w:t>88.89</w:t>
      </w:r>
      <w:r>
        <w:rPr>
          <w:color w:val="auto"/>
          <w:highlight w:val="none"/>
        </w:rPr>
        <w:t>%。</w:t>
      </w:r>
      <w:r>
        <w:rPr>
          <w:rFonts w:hint="eastAsia"/>
          <w:color w:val="auto"/>
          <w:highlight w:val="none"/>
        </w:rPr>
        <w:t>扣1分。</w:t>
      </w:r>
    </w:p>
    <w:p>
      <w:pPr>
        <w:ind w:firstLine="640"/>
        <w:jc w:val="left"/>
        <w:rPr>
          <w:color w:val="auto"/>
          <w:sz w:val="21"/>
          <w:szCs w:val="21"/>
          <w:highlight w:val="none"/>
        </w:rPr>
      </w:pPr>
      <w:r>
        <w:rPr>
          <w:color w:val="auto"/>
          <w:highlight w:val="none"/>
        </w:rPr>
        <w:t>2022年市医疗保障局部门整体资金</w:t>
      </w:r>
      <w:r>
        <w:rPr>
          <w:color w:val="auto"/>
          <w:kern w:val="0"/>
          <w:highlight w:val="none"/>
        </w:rPr>
        <w:t>支出范围、程序、核算基本符合国家财经法规，以及《韶关市医疗保障局财务管理制度（试行）》等。</w:t>
      </w:r>
      <w:r>
        <w:rPr>
          <w:b/>
          <w:bCs/>
          <w:color w:val="auto"/>
          <w:kern w:val="0"/>
          <w:highlight w:val="none"/>
        </w:rPr>
        <w:t>但存在：一是</w:t>
      </w:r>
      <w:r>
        <w:rPr>
          <w:color w:val="auto"/>
          <w:kern w:val="0"/>
          <w:highlight w:val="none"/>
        </w:rPr>
        <w:t>“城乡居民基本医疗保险宣传培训经费”项目未专款专用，2022年资金下达曲江区3.6万元，其中1.73万元用于采购办公用品和耗材等。</w:t>
      </w:r>
      <w:r>
        <w:rPr>
          <w:b/>
          <w:bCs/>
          <w:color w:val="auto"/>
          <w:kern w:val="0"/>
          <w:highlight w:val="none"/>
        </w:rPr>
        <w:t>二是</w:t>
      </w:r>
      <w:r>
        <w:rPr>
          <w:color w:val="auto"/>
          <w:kern w:val="0"/>
          <w:highlight w:val="none"/>
        </w:rPr>
        <w:t>“中央财政医疗服务与保障能力提升补助资金”实际支出偏离资金规定用途，2022年资金下达乐昌市</w:t>
      </w:r>
      <w:r>
        <w:rPr>
          <w:color w:val="auto"/>
          <w:kern w:val="0"/>
          <w:highlight w:val="none"/>
        </w:rPr>
        <w:t>1</w:t>
      </w:r>
      <w:r>
        <w:rPr>
          <w:rFonts w:hint="eastAsia"/>
          <w:color w:val="auto"/>
          <w:kern w:val="0"/>
          <w:highlight w:val="none"/>
        </w:rPr>
        <w:t>6</w:t>
      </w:r>
      <w:r>
        <w:rPr>
          <w:color w:val="auto"/>
          <w:kern w:val="0"/>
          <w:highlight w:val="none"/>
        </w:rPr>
        <w:t>万元，其中6.67万元用于支付档案盒、打印机、手提电脑、保密柜、佳能相机、碎纸机等，南雄市、曲江区等县（市、区）也存在同样情况。根据评分标准，扣</w:t>
      </w:r>
      <w:r>
        <w:rPr>
          <w:rFonts w:hint="eastAsia"/>
          <w:color w:val="auto"/>
          <w:kern w:val="0"/>
          <w:highlight w:val="none"/>
        </w:rPr>
        <w:t>1</w:t>
      </w:r>
      <w:r>
        <w:rPr>
          <w:color w:val="auto"/>
          <w:kern w:val="0"/>
          <w:highlight w:val="none"/>
        </w:rPr>
        <w:t>分。</w:t>
      </w:r>
    </w:p>
    <w:p>
      <w:pPr>
        <w:ind w:firstLine="640"/>
        <w:rPr>
          <w:bCs/>
          <w:color w:val="auto"/>
          <w:kern w:val="0"/>
          <w:highlight w:val="none"/>
        </w:rPr>
      </w:pPr>
      <w:r>
        <w:rPr>
          <w:bCs/>
          <w:color w:val="auto"/>
          <w:kern w:val="0"/>
          <w:highlight w:val="none"/>
        </w:rPr>
        <w:t>3.信息公开</w:t>
      </w:r>
    </w:p>
    <w:p>
      <w:pPr>
        <w:ind w:firstLine="640"/>
        <w:rPr>
          <w:color w:val="auto"/>
          <w:kern w:val="0"/>
          <w:highlight w:val="none"/>
        </w:rPr>
      </w:pPr>
      <w:r>
        <w:rPr>
          <w:color w:val="auto"/>
          <w:kern w:val="0"/>
          <w:highlight w:val="none"/>
        </w:rPr>
        <w:t>信息公开</w:t>
      </w:r>
      <w:r>
        <w:rPr>
          <w:color w:val="auto"/>
          <w:highlight w:val="none"/>
        </w:rPr>
        <w:t>主要评价预决算公开合规性、绩效信息公开情况两方面，具体情况如下。</w:t>
      </w:r>
    </w:p>
    <w:p>
      <w:pPr>
        <w:ind w:firstLine="640"/>
        <w:rPr>
          <w:color w:val="auto"/>
          <w:highlight w:val="none"/>
        </w:rPr>
      </w:pPr>
      <w:r>
        <w:rPr>
          <w:color w:val="auto"/>
          <w:highlight w:val="none"/>
        </w:rPr>
        <w:t>（1）预决算公开合规性。指标分值2分，得分2分，得分率100%。</w:t>
      </w:r>
    </w:p>
    <w:p>
      <w:pPr>
        <w:ind w:firstLine="640"/>
        <w:rPr>
          <w:b/>
          <w:bCs/>
          <w:color w:val="auto"/>
          <w:highlight w:val="none"/>
        </w:rPr>
      </w:pPr>
      <w:r>
        <w:rPr>
          <w:color w:val="auto"/>
          <w:highlight w:val="none"/>
        </w:rPr>
        <w:t>根据《韶关市财政局关于下达2022年度市级部门预算的通知》（韶财预〔2022〕号），市医疗保障局2022年部门预算于2022年1月28日获得批复，并于2022年2月13日挂网</w:t>
      </w:r>
      <w:r>
        <w:rPr>
          <w:rStyle w:val="23"/>
          <w:color w:val="auto"/>
          <w:highlight w:val="none"/>
        </w:rPr>
        <w:footnoteReference w:id="14"/>
      </w:r>
      <w:r>
        <w:rPr>
          <w:color w:val="auto"/>
          <w:highlight w:val="none"/>
        </w:rPr>
        <w:t>向社会公开，符合“非涉密部门在财政部门批复本部门预算后，20日内向社会公开”要求。市医疗保障局2021年部门决算于2022年9月13日获得批复，并于2022年9月22日挂网</w:t>
      </w:r>
      <w:r>
        <w:rPr>
          <w:rStyle w:val="23"/>
          <w:color w:val="auto"/>
          <w:highlight w:val="none"/>
        </w:rPr>
        <w:footnoteReference w:id="15"/>
      </w:r>
      <w:r>
        <w:rPr>
          <w:color w:val="auto"/>
          <w:highlight w:val="none"/>
        </w:rPr>
        <w:t>向社会公开，符合“非涉密部门在财政部门批复本部门决算后，20日内向社会公开”要求。</w:t>
      </w:r>
    </w:p>
    <w:p>
      <w:pPr>
        <w:ind w:firstLine="640"/>
        <w:rPr>
          <w:color w:val="auto"/>
          <w:highlight w:val="none"/>
        </w:rPr>
      </w:pPr>
      <w:r>
        <w:rPr>
          <w:color w:val="auto"/>
          <w:highlight w:val="none"/>
        </w:rPr>
        <w:t>（2）绩效信息公开情况。指标分值1分，得分1分，得分率100%。</w:t>
      </w:r>
    </w:p>
    <w:p>
      <w:pPr>
        <w:ind w:firstLine="640"/>
        <w:rPr>
          <w:color w:val="auto"/>
          <w:highlight w:val="none"/>
        </w:rPr>
      </w:pPr>
      <w:r>
        <w:rPr>
          <w:color w:val="auto"/>
          <w:highlight w:val="none"/>
        </w:rPr>
        <w:t>根据《韶关市医疗保障局2022年部门预算》，市医疗保障局2个重点项目绩效目标随部门预算一并公开。此外，2021年医保待遇保障和医药服务价格采购管理项目经费支出项目等6个项目绩效自评基础信息表（项目自评资料）随部门决算文件一并公开。</w:t>
      </w:r>
    </w:p>
    <w:p>
      <w:pPr>
        <w:ind w:firstLine="640"/>
        <w:rPr>
          <w:bCs/>
          <w:color w:val="auto"/>
          <w:kern w:val="0"/>
          <w:highlight w:val="none"/>
        </w:rPr>
      </w:pPr>
      <w:r>
        <w:rPr>
          <w:bCs/>
          <w:color w:val="auto"/>
          <w:kern w:val="0"/>
          <w:highlight w:val="none"/>
        </w:rPr>
        <w:t>4.绩效管理</w:t>
      </w:r>
    </w:p>
    <w:p>
      <w:pPr>
        <w:ind w:firstLine="640"/>
        <w:rPr>
          <w:color w:val="auto"/>
          <w:kern w:val="0"/>
          <w:highlight w:val="none"/>
        </w:rPr>
      </w:pPr>
      <w:r>
        <w:rPr>
          <w:color w:val="auto"/>
          <w:kern w:val="0"/>
          <w:highlight w:val="none"/>
        </w:rPr>
        <w:t>绩效管理</w:t>
      </w:r>
      <w:r>
        <w:rPr>
          <w:color w:val="auto"/>
          <w:highlight w:val="none"/>
        </w:rPr>
        <w:t>主要评价绩效管理制度建设、绩效管理制度执行两方面，具体情况如下。</w:t>
      </w:r>
    </w:p>
    <w:p>
      <w:pPr>
        <w:ind w:firstLine="640"/>
        <w:rPr>
          <w:color w:val="auto"/>
          <w:highlight w:val="none"/>
        </w:rPr>
      </w:pPr>
      <w:r>
        <w:rPr>
          <w:color w:val="auto"/>
          <w:highlight w:val="none"/>
        </w:rPr>
        <w:t>（1）绩效管理制度建设。指标分值2分，得分2分，得分率100%。</w:t>
      </w:r>
    </w:p>
    <w:p>
      <w:pPr>
        <w:ind w:firstLine="640"/>
        <w:rPr>
          <w:color w:val="auto"/>
          <w:highlight w:val="none"/>
        </w:rPr>
      </w:pPr>
      <w:r>
        <w:rPr>
          <w:color w:val="auto"/>
          <w:highlight w:val="none"/>
        </w:rPr>
        <w:t>2022年市医疗保障局执行《韶关市医疗保障局财务管理制度（试行）补充规定》《韶关市医疗保障局预算绩效管理内部工作规程（试行）》等管理制度，明确职责分工，绩效目标管理、绩效运行监控、绩效评价管理和评价结果应用等方面的管理要求。</w:t>
      </w:r>
    </w:p>
    <w:p>
      <w:pPr>
        <w:ind w:firstLine="640"/>
        <w:rPr>
          <w:color w:val="auto"/>
          <w:highlight w:val="none"/>
        </w:rPr>
      </w:pPr>
      <w:r>
        <w:rPr>
          <w:color w:val="auto"/>
          <w:highlight w:val="none"/>
        </w:rPr>
        <w:t>（2）绩效管理制度执行。指标分值3分，得分1.5分，得分率50.00%。</w:t>
      </w:r>
      <w:r>
        <w:rPr>
          <w:rFonts w:hint="eastAsia"/>
          <w:color w:val="auto"/>
          <w:highlight w:val="none"/>
        </w:rPr>
        <w:t>扣1</w:t>
      </w:r>
      <w:r>
        <w:rPr>
          <w:color w:val="auto"/>
          <w:highlight w:val="none"/>
        </w:rPr>
        <w:t>.5</w:t>
      </w:r>
      <w:r>
        <w:rPr>
          <w:rFonts w:hint="eastAsia"/>
          <w:color w:val="auto"/>
          <w:highlight w:val="none"/>
        </w:rPr>
        <w:t>分。</w:t>
      </w:r>
    </w:p>
    <w:p>
      <w:pPr>
        <w:ind w:firstLine="640"/>
        <w:jc w:val="left"/>
        <w:rPr>
          <w:color w:val="auto"/>
          <w:highlight w:val="none"/>
        </w:rPr>
      </w:pPr>
      <w:r>
        <w:rPr>
          <w:color w:val="auto"/>
          <w:highlight w:val="none"/>
        </w:rPr>
        <w:t>根据《部门整体预算绩效目标申报表》，市医疗保障局在绩效目标设置方面存在以下不足：</w:t>
      </w:r>
      <w:r>
        <w:rPr>
          <w:b/>
          <w:bCs/>
          <w:color w:val="auto"/>
          <w:highlight w:val="none"/>
        </w:rPr>
        <w:t>一是</w:t>
      </w:r>
      <w:r>
        <w:rPr>
          <w:color w:val="auto"/>
          <w:highlight w:val="none"/>
        </w:rPr>
        <w:t>个别指标重复设置。</w:t>
      </w:r>
      <w:r>
        <w:rPr>
          <w:b/>
          <w:bCs/>
          <w:color w:val="auto"/>
          <w:highlight w:val="none"/>
        </w:rPr>
        <w:t>二是</w:t>
      </w:r>
      <w:r>
        <w:rPr>
          <w:color w:val="auto"/>
          <w:highlight w:val="none"/>
        </w:rPr>
        <w:t>未设置时效指标。</w:t>
      </w:r>
      <w:r>
        <w:rPr>
          <w:b/>
          <w:bCs/>
          <w:color w:val="auto"/>
          <w:highlight w:val="none"/>
        </w:rPr>
        <w:t>三是</w:t>
      </w:r>
      <w:r>
        <w:rPr>
          <w:color w:val="auto"/>
          <w:highlight w:val="none"/>
        </w:rPr>
        <w:t>指标设置未能与国家事业发展规划目标相衔接。除此之外，个别项目绩效目标设置质量不高，如：韶关市医疗保障开展基金监管专项资金项目、医保待遇保障和医药服务价格采购管理项目经费</w:t>
      </w:r>
      <w:r>
        <w:rPr>
          <w:color w:val="auto"/>
          <w:kern w:val="0"/>
          <w:highlight w:val="none"/>
        </w:rPr>
        <w:t>（具体见“五、存在问题”）</w:t>
      </w:r>
      <w:r>
        <w:rPr>
          <w:color w:val="auto"/>
          <w:highlight w:val="none"/>
        </w:rPr>
        <w:t>。综上，酌情扣1.5分。</w:t>
      </w:r>
    </w:p>
    <w:p>
      <w:pPr>
        <w:ind w:firstLine="640"/>
        <w:rPr>
          <w:bCs/>
          <w:color w:val="auto"/>
          <w:kern w:val="0"/>
          <w:highlight w:val="none"/>
        </w:rPr>
      </w:pPr>
      <w:r>
        <w:rPr>
          <w:bCs/>
          <w:color w:val="auto"/>
          <w:kern w:val="0"/>
          <w:highlight w:val="none"/>
        </w:rPr>
        <w:t>5.采购管理</w:t>
      </w:r>
    </w:p>
    <w:p>
      <w:pPr>
        <w:ind w:firstLine="640"/>
        <w:rPr>
          <w:color w:val="auto"/>
          <w:highlight w:val="none"/>
        </w:rPr>
      </w:pPr>
      <w:r>
        <w:rPr>
          <w:color w:val="auto"/>
          <w:kern w:val="0"/>
          <w:highlight w:val="none"/>
        </w:rPr>
        <w:t>采购管理</w:t>
      </w:r>
      <w:r>
        <w:rPr>
          <w:color w:val="auto"/>
          <w:highlight w:val="none"/>
        </w:rPr>
        <w:t>主要评价采购意向公开合规性、采购内控制度建设、采购活动合规性、采购合同签订时效性、合同备案时效性、采购政策效能六方面，具体情况如下。</w:t>
      </w:r>
    </w:p>
    <w:p>
      <w:pPr>
        <w:ind w:firstLine="640"/>
        <w:rPr>
          <w:color w:val="auto"/>
          <w:highlight w:val="none"/>
        </w:rPr>
      </w:pPr>
      <w:r>
        <w:rPr>
          <w:color w:val="auto"/>
          <w:highlight w:val="none"/>
        </w:rPr>
        <w:t>（1）采购意向公开合规性。指标分值2分，得分</w:t>
      </w:r>
      <w:r>
        <w:rPr>
          <w:rFonts w:hint="eastAsia"/>
          <w:color w:val="auto"/>
          <w:highlight w:val="none"/>
        </w:rPr>
        <w:t>2</w:t>
      </w:r>
      <w:r>
        <w:rPr>
          <w:color w:val="auto"/>
          <w:highlight w:val="none"/>
        </w:rPr>
        <w:t>分，得分率</w:t>
      </w:r>
      <w:r>
        <w:rPr>
          <w:rFonts w:hint="eastAsia"/>
          <w:color w:val="auto"/>
          <w:highlight w:val="none"/>
        </w:rPr>
        <w:t>10</w:t>
      </w:r>
      <w:r>
        <w:rPr>
          <w:color w:val="auto"/>
          <w:highlight w:val="none"/>
        </w:rPr>
        <w:t>0.00%</w:t>
      </w:r>
      <w:r>
        <w:rPr>
          <w:rFonts w:hint="eastAsia"/>
          <w:color w:val="auto"/>
          <w:highlight w:val="none"/>
        </w:rPr>
        <w:t>。</w:t>
      </w:r>
    </w:p>
    <w:p>
      <w:pPr>
        <w:ind w:firstLine="640"/>
        <w:rPr>
          <w:color w:val="auto"/>
          <w:highlight w:val="none"/>
        </w:rPr>
      </w:pPr>
      <w:r>
        <w:rPr>
          <w:color w:val="auto"/>
          <w:highlight w:val="none"/>
        </w:rPr>
        <w:t>根据广东省政府采购网、韶关市医疗保障局官网等的公开内容，韶关市医疗保障局2023-2025年韶关市职工大额医疗费用补助、职工大病保险和韶关市城乡居民大病保险项目在2022年11月2日公开政府采购意向，2022年12月27日公开招标，符合“采购意向公开时限，原则不得晚于采购活动开始前30日”要求。</w:t>
      </w:r>
    </w:p>
    <w:p>
      <w:pPr>
        <w:ind w:firstLine="640"/>
        <w:rPr>
          <w:color w:val="auto"/>
          <w:highlight w:val="none"/>
        </w:rPr>
      </w:pPr>
      <w:r>
        <w:rPr>
          <w:color w:val="auto"/>
          <w:highlight w:val="none"/>
        </w:rPr>
        <w:t>（2）采购内控制度建设。指标分值1分，得分0.5分，得分率50%。</w:t>
      </w:r>
      <w:r>
        <w:rPr>
          <w:rFonts w:hint="eastAsia"/>
          <w:color w:val="auto"/>
          <w:highlight w:val="none"/>
        </w:rPr>
        <w:t>扣0</w:t>
      </w:r>
      <w:r>
        <w:rPr>
          <w:color w:val="auto"/>
          <w:highlight w:val="none"/>
        </w:rPr>
        <w:t>.5</w:t>
      </w:r>
      <w:r>
        <w:rPr>
          <w:rFonts w:hint="eastAsia"/>
          <w:color w:val="auto"/>
          <w:highlight w:val="none"/>
        </w:rPr>
        <w:t>分。</w:t>
      </w:r>
    </w:p>
    <w:p>
      <w:pPr>
        <w:ind w:firstLine="640"/>
        <w:rPr>
          <w:b/>
          <w:bCs/>
          <w:color w:val="auto"/>
          <w:highlight w:val="none"/>
        </w:rPr>
      </w:pPr>
      <w:r>
        <w:rPr>
          <w:color w:val="auto"/>
          <w:highlight w:val="none"/>
        </w:rPr>
        <w:t>2020年8月31日，市医疗保障局印发施行《韶关市医疗保障局政府采购管理制度（试行）》，并报财政部门备案。</w:t>
      </w:r>
      <w:r>
        <w:rPr>
          <w:b/>
          <w:bCs/>
          <w:color w:val="auto"/>
          <w:highlight w:val="none"/>
        </w:rPr>
        <w:t>但存在：</w:t>
      </w:r>
      <w:r>
        <w:rPr>
          <w:color w:val="auto"/>
          <w:highlight w:val="none"/>
        </w:rPr>
        <w:t>该制度未衔接2020年3月2日印发《财政部关于开展政府采购意向公开工作的通知》（财库〔2020〕10号）</w:t>
      </w:r>
      <w:r>
        <w:rPr>
          <w:rStyle w:val="23"/>
          <w:color w:val="auto"/>
          <w:highlight w:val="none"/>
        </w:rPr>
        <w:footnoteReference w:id="16"/>
      </w:r>
      <w:r>
        <w:rPr>
          <w:color w:val="auto"/>
          <w:highlight w:val="none"/>
        </w:rPr>
        <w:t>有关政府采购意向公开工作要求、政府采购需求管理等，采购内控制度建设有待健全，酌情扣0.5分。</w:t>
      </w:r>
    </w:p>
    <w:p>
      <w:pPr>
        <w:ind w:firstLine="640"/>
        <w:rPr>
          <w:color w:val="auto"/>
          <w:highlight w:val="none"/>
        </w:rPr>
      </w:pPr>
      <w:r>
        <w:rPr>
          <w:color w:val="auto"/>
          <w:highlight w:val="none"/>
        </w:rPr>
        <w:t>（3）采购活动合规性。指标分值2分，得分2分，得分率100%。</w:t>
      </w:r>
    </w:p>
    <w:p>
      <w:pPr>
        <w:ind w:firstLine="640"/>
        <w:rPr>
          <w:color w:val="auto"/>
          <w:highlight w:val="none"/>
        </w:rPr>
      </w:pPr>
      <w:r>
        <w:rPr>
          <w:color w:val="auto"/>
          <w:highlight w:val="none"/>
        </w:rPr>
        <w:t>2022年市医疗保障局未收到经财政部门查证认定投诉事项成立的采购活动。</w:t>
      </w:r>
    </w:p>
    <w:p>
      <w:pPr>
        <w:ind w:firstLine="640"/>
        <w:rPr>
          <w:color w:val="auto"/>
          <w:highlight w:val="none"/>
        </w:rPr>
      </w:pPr>
      <w:r>
        <w:rPr>
          <w:color w:val="auto"/>
          <w:highlight w:val="none"/>
        </w:rPr>
        <w:t>（4）采购合同签订时效性。指标分值3分，得分3分，得分率100%。</w:t>
      </w:r>
    </w:p>
    <w:p>
      <w:pPr>
        <w:ind w:firstLine="640"/>
        <w:rPr>
          <w:color w:val="auto"/>
          <w:highlight w:val="none"/>
        </w:rPr>
      </w:pPr>
      <w:r>
        <w:rPr>
          <w:color w:val="auto"/>
          <w:highlight w:val="none"/>
        </w:rPr>
        <w:t>市医疗保障局2022年通过竞争性磋商的采购项目1个，通过电子卖场的采购项目16个。其中：竞争性磋商采购项目能在中标、成交通知书发出之日起三十日内及时签订政府采购合同。</w:t>
      </w:r>
    </w:p>
    <w:p>
      <w:pPr>
        <w:ind w:firstLine="640"/>
        <w:rPr>
          <w:color w:val="auto"/>
          <w:highlight w:val="none"/>
        </w:rPr>
      </w:pPr>
      <w:r>
        <w:rPr>
          <w:color w:val="auto"/>
          <w:highlight w:val="none"/>
        </w:rPr>
        <w:t>（5）合同备案时效性。指标分值1分，得分0.94分，得分率94%。</w:t>
      </w:r>
      <w:r>
        <w:rPr>
          <w:rFonts w:hint="eastAsia"/>
          <w:color w:val="auto"/>
          <w:highlight w:val="none"/>
        </w:rPr>
        <w:t>扣0</w:t>
      </w:r>
      <w:r>
        <w:rPr>
          <w:color w:val="auto"/>
          <w:highlight w:val="none"/>
        </w:rPr>
        <w:t>.06</w:t>
      </w:r>
      <w:r>
        <w:rPr>
          <w:rFonts w:hint="eastAsia"/>
          <w:color w:val="auto"/>
          <w:highlight w:val="none"/>
        </w:rPr>
        <w:t>分。</w:t>
      </w:r>
    </w:p>
    <w:p>
      <w:pPr>
        <w:ind w:firstLine="640"/>
        <w:rPr>
          <w:color w:val="auto"/>
          <w:highlight w:val="none"/>
        </w:rPr>
      </w:pPr>
      <w:r>
        <w:rPr>
          <w:color w:val="auto"/>
          <w:highlight w:val="none"/>
        </w:rPr>
        <w:t>经核查，2022年市医疗保障局17个采购项目签订的合同中，其中1个项目合同不符合“自合同签订之日起2个工作日内在‘广东省政府采购网’备案公开”要求，延迟公开19个工作日。根据评分标准，扣0.06分。</w:t>
      </w:r>
    </w:p>
    <w:p>
      <w:pPr>
        <w:pStyle w:val="25"/>
        <w:rPr>
          <w:color w:val="auto"/>
          <w:highlight w:val="none"/>
        </w:rPr>
      </w:pPr>
      <w:r>
        <w:rPr>
          <w:color w:val="auto"/>
          <w:highlight w:val="none"/>
        </w:rPr>
        <w:t>表2-</w:t>
      </w:r>
      <w:r>
        <w:rPr>
          <w:rFonts w:hint="eastAsia"/>
          <w:color w:val="auto"/>
          <w:highlight w:val="none"/>
        </w:rPr>
        <w:t>8</w:t>
      </w:r>
      <w:r>
        <w:rPr>
          <w:color w:val="auto"/>
          <w:highlight w:val="none"/>
        </w:rPr>
        <w:t xml:space="preserve"> 合同备案时效信息情况表</w:t>
      </w:r>
    </w:p>
    <w:tbl>
      <w:tblPr>
        <w:tblStyle w:val="18"/>
        <w:tblW w:w="5000" w:type="pct"/>
        <w:jc w:val="center"/>
        <w:tblLayout w:type="fixed"/>
        <w:tblCellMar>
          <w:top w:w="0" w:type="dxa"/>
          <w:left w:w="108" w:type="dxa"/>
          <w:bottom w:w="0" w:type="dxa"/>
          <w:right w:w="108" w:type="dxa"/>
        </w:tblCellMar>
      </w:tblPr>
      <w:tblGrid>
        <w:gridCol w:w="694"/>
        <w:gridCol w:w="2974"/>
        <w:gridCol w:w="2134"/>
        <w:gridCol w:w="2176"/>
        <w:gridCol w:w="1196"/>
      </w:tblGrid>
      <w:tr>
        <w:tblPrEx>
          <w:tblCellMar>
            <w:top w:w="0" w:type="dxa"/>
            <w:left w:w="108" w:type="dxa"/>
            <w:bottom w:w="0" w:type="dxa"/>
            <w:right w:w="108" w:type="dxa"/>
          </w:tblCellMar>
        </w:tblPrEx>
        <w:trPr>
          <w:trHeight w:val="567" w:hRule="atLeast"/>
          <w:tblHeader/>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序号</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项目名称</w:t>
            </w:r>
          </w:p>
        </w:tc>
        <w:tc>
          <w:tcPr>
            <w:tcW w:w="1162"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合同签订日期</w:t>
            </w:r>
          </w:p>
        </w:tc>
        <w:tc>
          <w:tcPr>
            <w:tcW w:w="1185"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合同公开备案日期</w:t>
            </w:r>
          </w:p>
        </w:tc>
        <w:tc>
          <w:tcPr>
            <w:tcW w:w="652" w:type="pct"/>
            <w:tcBorders>
              <w:top w:val="single" w:color="000000" w:sz="4" w:space="0"/>
              <w:left w:val="single" w:color="000000" w:sz="4" w:space="0"/>
              <w:bottom w:val="single" w:color="000000" w:sz="4" w:space="0"/>
              <w:right w:val="single" w:color="000000" w:sz="4" w:space="0"/>
            </w:tcBorders>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是否及时备案公开</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广东省医疗保障信息平台（韶关）运营（2022年）项目</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2022年11月30日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2022年12月29日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否</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医保电子凭证宣传资料印刷服务</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2022年12月19日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2022年12月19日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3</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宣传医保政策小册子等印刷服务</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2022年12月15日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2022年12月15日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4</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医保政策小册子等印刷服务</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2022年12月15日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2022年12月15日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9"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5</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激光打印机采购项目</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2022年11月28日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2022年11月28日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6</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基金监管科多功能一体机、碎纸机采购项目</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2022年11月9日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2022年11月9日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7</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《韶关市医疗保障系统通讯录》印刷服务</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2022年10月24日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2022年10月26日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8</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视频会议系统采购</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2022年10月20日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2022年10月20日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9</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人社局饭堂厨房隔墙维修、饭堂天棚、墙面防水及零星维修工程</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2022年9月27日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2022年9月27日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10</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绿化养护管理服务项目</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2022年5月20日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2022年5月20日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11</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办公家具采购项目</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2022年9月19日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2022年9月20日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12</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医疗保障经办宣传品印刷服务</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2022年9月16日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2022年9月16日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13</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法律服务项目（代理案件应诉）</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2022年8月11日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2022年8月11日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14</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视频会议摄像头购买</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2022年7月19日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2022年7月19日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15</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印刷品定点采购服务项目（基本医疗保障定点医疗机构服务协议书、定点零售药店服务协议书）</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2022年7月18日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2022年7月19日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16</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10M视频会议系统医保专线采购项目</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2022年6月6日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2022年6月7日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r>
        <w:tblPrEx>
          <w:tblCellMar>
            <w:top w:w="0" w:type="dxa"/>
            <w:left w:w="108" w:type="dxa"/>
            <w:bottom w:w="0" w:type="dxa"/>
            <w:right w:w="108" w:type="dxa"/>
          </w:tblCellMar>
        </w:tblPrEx>
        <w:trPr>
          <w:trHeight w:val="567" w:hRule="atLeast"/>
          <w:jc w:val="center"/>
        </w:trPr>
        <w:tc>
          <w:tcPr>
            <w:tcW w:w="378"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17</w:t>
            </w:r>
          </w:p>
        </w:tc>
        <w:tc>
          <w:tcPr>
            <w:tcW w:w="1620"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法律服务项目（聘请法律顾问）</w:t>
            </w:r>
          </w:p>
        </w:tc>
        <w:tc>
          <w:tcPr>
            <w:tcW w:w="116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2022年3月23日</w:t>
            </w:r>
          </w:p>
        </w:tc>
        <w:tc>
          <w:tcPr>
            <w:tcW w:w="1185"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2022年3月24日</w:t>
            </w:r>
          </w:p>
        </w:tc>
        <w:tc>
          <w:tcPr>
            <w:tcW w:w="652" w:type="pct"/>
            <w:tcBorders>
              <w:top w:val="single" w:color="000000" w:sz="4" w:space="0"/>
              <w:left w:val="single" w:color="000000" w:sz="4" w:space="0"/>
              <w:bottom w:val="single" w:color="000000" w:sz="4" w:space="0"/>
              <w:right w:val="single" w:color="000000" w:sz="4" w:space="0"/>
            </w:tcBorders>
            <w:noWrap/>
            <w:vAlign w:val="center"/>
          </w:tcPr>
          <w:p>
            <w:pPr>
              <w:pStyle w:val="26"/>
              <w:spacing w:line="240" w:lineRule="auto"/>
              <w:rPr>
                <w:rFonts w:cs="Times New Roman"/>
                <w:color w:val="auto"/>
                <w:szCs w:val="21"/>
                <w:highlight w:val="none"/>
              </w:rPr>
            </w:pPr>
            <w:r>
              <w:rPr>
                <w:rFonts w:cs="Times New Roman"/>
                <w:color w:val="auto"/>
                <w:szCs w:val="21"/>
                <w:highlight w:val="none"/>
              </w:rPr>
              <w:t>是</w:t>
            </w:r>
          </w:p>
        </w:tc>
      </w:tr>
    </w:tbl>
    <w:p>
      <w:pPr>
        <w:ind w:firstLine="640"/>
        <w:rPr>
          <w:color w:val="auto"/>
          <w:highlight w:val="none"/>
        </w:rPr>
      </w:pPr>
      <w:r>
        <w:rPr>
          <w:color w:val="auto"/>
          <w:highlight w:val="none"/>
        </w:rPr>
        <w:t>（6）采购政策效能。指标分值1分，得分1分，得分率100%。</w:t>
      </w:r>
    </w:p>
    <w:p>
      <w:pPr>
        <w:ind w:firstLine="640"/>
        <w:rPr>
          <w:color w:val="auto"/>
          <w:highlight w:val="none"/>
        </w:rPr>
      </w:pPr>
      <w:r>
        <w:rPr>
          <w:color w:val="auto"/>
          <w:highlight w:val="none"/>
        </w:rPr>
        <w:t>根据《2022年政府采购预算表》，预算编制时部门预留金额为55.77万元，实际面向中小企业采购金额为296.41万元。</w:t>
      </w:r>
    </w:p>
    <w:p>
      <w:pPr>
        <w:ind w:firstLine="640"/>
        <w:rPr>
          <w:bCs/>
          <w:color w:val="auto"/>
          <w:kern w:val="0"/>
          <w:highlight w:val="none"/>
        </w:rPr>
      </w:pPr>
      <w:r>
        <w:rPr>
          <w:bCs/>
          <w:color w:val="auto"/>
          <w:kern w:val="0"/>
          <w:highlight w:val="none"/>
        </w:rPr>
        <w:t>6.资产管理</w:t>
      </w:r>
    </w:p>
    <w:p>
      <w:pPr>
        <w:ind w:firstLine="640"/>
        <w:rPr>
          <w:color w:val="auto"/>
          <w:highlight w:val="none"/>
        </w:rPr>
      </w:pPr>
      <w:r>
        <w:rPr>
          <w:color w:val="auto"/>
          <w:kern w:val="0"/>
          <w:highlight w:val="none"/>
        </w:rPr>
        <w:t>资产管理</w:t>
      </w:r>
      <w:r>
        <w:rPr>
          <w:color w:val="auto"/>
          <w:highlight w:val="none"/>
        </w:rPr>
        <w:t>主要评价资产配置合规性、资产收益上缴的及时性、资产盘点情况、数据质量、资产管理合规性、固定资产利用率六方面，具体情况如下。</w:t>
      </w:r>
    </w:p>
    <w:p>
      <w:pPr>
        <w:ind w:firstLine="640"/>
        <w:rPr>
          <w:color w:val="auto"/>
          <w:highlight w:val="none"/>
        </w:rPr>
      </w:pPr>
      <w:r>
        <w:rPr>
          <w:color w:val="auto"/>
          <w:highlight w:val="none"/>
        </w:rPr>
        <w:t>（1）资产配置合规性。指标分值2分，得分</w:t>
      </w:r>
      <w:r>
        <w:rPr>
          <w:rFonts w:hint="eastAsia"/>
          <w:color w:val="auto"/>
          <w:highlight w:val="none"/>
          <w:lang w:val="en-US" w:eastAsia="zh-CN"/>
        </w:rPr>
        <w:t>1</w:t>
      </w:r>
      <w:r>
        <w:rPr>
          <w:color w:val="auto"/>
          <w:highlight w:val="none"/>
        </w:rPr>
        <w:t>分，得分率</w:t>
      </w:r>
      <w:r>
        <w:rPr>
          <w:rFonts w:hint="eastAsia"/>
          <w:color w:val="auto"/>
          <w:highlight w:val="none"/>
          <w:lang w:val="en-US" w:eastAsia="zh-CN"/>
        </w:rPr>
        <w:t>50</w:t>
      </w:r>
      <w:r>
        <w:rPr>
          <w:color w:val="auto"/>
          <w:highlight w:val="none"/>
        </w:rPr>
        <w:t>%</w:t>
      </w:r>
      <w:r>
        <w:rPr>
          <w:color w:val="auto"/>
          <w:highlight w:val="none"/>
        </w:rPr>
        <w:t>。</w:t>
      </w:r>
      <w:r>
        <w:rPr>
          <w:rFonts w:hint="eastAsia"/>
          <w:color w:val="auto"/>
          <w:highlight w:val="none"/>
        </w:rPr>
        <w:t>扣</w:t>
      </w:r>
      <w:r>
        <w:rPr>
          <w:rFonts w:hint="eastAsia"/>
          <w:color w:val="auto"/>
          <w:highlight w:val="none"/>
          <w:lang w:val="en-US" w:eastAsia="zh-CN"/>
        </w:rPr>
        <w:t>1</w:t>
      </w:r>
      <w:r>
        <w:rPr>
          <w:rFonts w:hint="eastAsia"/>
          <w:color w:val="auto"/>
          <w:highlight w:val="none"/>
        </w:rPr>
        <w:t>分。</w:t>
      </w:r>
    </w:p>
    <w:p>
      <w:pPr>
        <w:ind w:firstLine="640"/>
        <w:rPr>
          <w:color w:val="auto"/>
          <w:szCs w:val="32"/>
          <w:highlight w:val="none"/>
        </w:rPr>
      </w:pPr>
      <w:r>
        <w:rPr>
          <w:rFonts w:hint="eastAsia"/>
          <w:color w:val="auto"/>
          <w:szCs w:val="32"/>
          <w:highlight w:val="none"/>
        </w:rPr>
        <w:t>部分办公设备数量配置超标。</w:t>
      </w:r>
      <w:r>
        <w:rPr>
          <w:color w:val="auto"/>
          <w:szCs w:val="32"/>
          <w:highlight w:val="none"/>
        </w:rPr>
        <w:t>2022年市医疗保障局便携式计算机26台、打印机20台、扫描仪7台、碎纸机7台、台式计算机41台、一体机12台等设备配置数量</w:t>
      </w:r>
      <w:r>
        <w:rPr>
          <w:rFonts w:hint="eastAsia"/>
          <w:color w:val="auto"/>
          <w:szCs w:val="32"/>
          <w:highlight w:val="none"/>
        </w:rPr>
        <w:t>超出</w:t>
      </w:r>
      <w:r>
        <w:rPr>
          <w:color w:val="auto"/>
          <w:szCs w:val="32"/>
          <w:highlight w:val="none"/>
        </w:rPr>
        <w:t>标准上限</w:t>
      </w:r>
      <w:r>
        <w:rPr>
          <w:color w:val="auto"/>
          <w:kern w:val="0"/>
          <w:highlight w:val="none"/>
        </w:rPr>
        <w:t>（具体见“五、存在问题”）</w:t>
      </w:r>
      <w:r>
        <w:rPr>
          <w:color w:val="auto"/>
          <w:szCs w:val="32"/>
          <w:highlight w:val="none"/>
        </w:rPr>
        <w:t>。根据评分标准，扣</w:t>
      </w:r>
      <w:r>
        <w:rPr>
          <w:rFonts w:hint="eastAsia"/>
          <w:color w:val="auto"/>
          <w:szCs w:val="32"/>
          <w:highlight w:val="none"/>
          <w:lang w:val="en-US" w:eastAsia="zh-CN"/>
        </w:rPr>
        <w:t>1</w:t>
      </w:r>
      <w:r>
        <w:rPr>
          <w:color w:val="auto"/>
          <w:szCs w:val="32"/>
          <w:highlight w:val="none"/>
        </w:rPr>
        <w:t>分。</w:t>
      </w:r>
    </w:p>
    <w:p>
      <w:pPr>
        <w:ind w:firstLine="640"/>
        <w:rPr>
          <w:color w:val="auto"/>
          <w:highlight w:val="none"/>
        </w:rPr>
      </w:pPr>
      <w:r>
        <w:rPr>
          <w:color w:val="auto"/>
          <w:highlight w:val="none"/>
        </w:rPr>
        <w:t>（2）资产收益上缴的及时性。指标分值1分，得分1分，得分率100%。</w:t>
      </w:r>
    </w:p>
    <w:p>
      <w:pPr>
        <w:ind w:firstLine="640"/>
        <w:rPr>
          <w:color w:val="auto"/>
          <w:highlight w:val="none"/>
        </w:rPr>
      </w:pPr>
      <w:r>
        <w:rPr>
          <w:color w:val="auto"/>
          <w:highlight w:val="none"/>
        </w:rPr>
        <w:t>市医疗保障局2022年无资产处理和租金收入，不涉及该项评价。</w:t>
      </w:r>
    </w:p>
    <w:p>
      <w:pPr>
        <w:ind w:firstLine="640"/>
        <w:rPr>
          <w:color w:val="auto"/>
          <w:highlight w:val="none"/>
        </w:rPr>
      </w:pPr>
      <w:r>
        <w:rPr>
          <w:color w:val="auto"/>
          <w:highlight w:val="none"/>
        </w:rPr>
        <w:t>（3）资产盘点情况。指标分值1分，得分0.50分，得分率50.00%。</w:t>
      </w:r>
      <w:r>
        <w:rPr>
          <w:rFonts w:hint="eastAsia"/>
          <w:color w:val="auto"/>
          <w:highlight w:val="none"/>
        </w:rPr>
        <w:t>扣0</w:t>
      </w:r>
      <w:r>
        <w:rPr>
          <w:color w:val="auto"/>
          <w:highlight w:val="none"/>
        </w:rPr>
        <w:t>.5</w:t>
      </w:r>
      <w:r>
        <w:rPr>
          <w:rFonts w:hint="eastAsia"/>
          <w:color w:val="auto"/>
          <w:highlight w:val="none"/>
        </w:rPr>
        <w:t>分。</w:t>
      </w:r>
    </w:p>
    <w:p>
      <w:pPr>
        <w:ind w:firstLine="640"/>
        <w:rPr>
          <w:color w:val="auto"/>
          <w:highlight w:val="none"/>
        </w:rPr>
      </w:pPr>
      <w:r>
        <w:rPr>
          <w:color w:val="auto"/>
          <w:highlight w:val="none"/>
        </w:rPr>
        <w:t>2022年6月，市医疗保障局组织各业务科室开展固定资产自查，但未组织开展全面的固定资产清理、清查，不符合《韶关市医疗保障局固定资产管理规定（试行）》</w:t>
      </w:r>
      <w:r>
        <w:rPr>
          <w:rFonts w:hint="eastAsia"/>
          <w:color w:val="auto"/>
          <w:highlight w:val="none"/>
        </w:rPr>
        <w:t>提出</w:t>
      </w:r>
      <w:r>
        <w:rPr>
          <w:color w:val="auto"/>
          <w:highlight w:val="none"/>
        </w:rPr>
        <w:t>“办公室每年9月份开展固定资产清理、清查”要求。此外，</w:t>
      </w:r>
      <w:r>
        <w:rPr>
          <w:rFonts w:hint="eastAsia"/>
          <w:color w:val="auto"/>
          <w:highlight w:val="none"/>
        </w:rPr>
        <w:t>部门于</w:t>
      </w:r>
      <w:r>
        <w:rPr>
          <w:color w:val="auto"/>
          <w:highlight w:val="none"/>
        </w:rPr>
        <w:t>2023年4月23日</w:t>
      </w:r>
      <w:r>
        <w:rPr>
          <w:rFonts w:hint="eastAsia"/>
          <w:color w:val="auto"/>
          <w:highlight w:val="none"/>
        </w:rPr>
        <w:t>开展</w:t>
      </w:r>
      <w:r>
        <w:rPr>
          <w:color w:val="auto"/>
          <w:highlight w:val="none"/>
        </w:rPr>
        <w:t>资产自查结果处理，</w:t>
      </w:r>
      <w:r>
        <w:rPr>
          <w:rFonts w:hint="eastAsia"/>
          <w:color w:val="auto"/>
          <w:highlight w:val="none"/>
        </w:rPr>
        <w:t>对</w:t>
      </w:r>
      <w:r>
        <w:rPr>
          <w:color w:val="auto"/>
          <w:highlight w:val="none"/>
        </w:rPr>
        <w:t>个别资产未编号、资产外借、个别资产无法兼容换货等情况</w:t>
      </w:r>
      <w:r>
        <w:rPr>
          <w:rFonts w:hint="eastAsia"/>
          <w:color w:val="auto"/>
          <w:highlight w:val="none"/>
        </w:rPr>
        <w:t>逐项处理整改</w:t>
      </w:r>
      <w:r>
        <w:rPr>
          <w:color w:val="auto"/>
          <w:highlight w:val="none"/>
        </w:rPr>
        <w:t>，</w:t>
      </w:r>
      <w:r>
        <w:rPr>
          <w:rFonts w:hint="eastAsia"/>
          <w:color w:val="auto"/>
          <w:highlight w:val="none"/>
        </w:rPr>
        <w:t>距离资产自查时间前后相隔约7个月，结果</w:t>
      </w:r>
      <w:r>
        <w:rPr>
          <w:color w:val="auto"/>
          <w:highlight w:val="none"/>
        </w:rPr>
        <w:t>处理时间较晚。根据评分标准，酌情扣0.5分。</w:t>
      </w:r>
    </w:p>
    <w:p>
      <w:pPr>
        <w:ind w:firstLine="640"/>
        <w:rPr>
          <w:color w:val="auto"/>
          <w:highlight w:val="none"/>
        </w:rPr>
      </w:pPr>
      <w:r>
        <w:rPr>
          <w:color w:val="auto"/>
          <w:highlight w:val="none"/>
        </w:rPr>
        <w:t>（4）数据质量。</w:t>
      </w:r>
      <w:r>
        <w:rPr>
          <w:color w:val="auto"/>
          <w:highlight w:val="none"/>
        </w:rPr>
        <w:t>指标分值2分，得分</w:t>
      </w:r>
      <w:r>
        <w:rPr>
          <w:rFonts w:hint="eastAsia"/>
          <w:color w:val="auto"/>
          <w:highlight w:val="none"/>
        </w:rPr>
        <w:t>1</w:t>
      </w:r>
      <w:r>
        <w:rPr>
          <w:color w:val="auto"/>
          <w:highlight w:val="none"/>
        </w:rPr>
        <w:t>分，得分率</w:t>
      </w:r>
      <w:r>
        <w:rPr>
          <w:rFonts w:hint="eastAsia"/>
          <w:color w:val="auto"/>
          <w:highlight w:val="none"/>
        </w:rPr>
        <w:t>50</w:t>
      </w:r>
      <w:r>
        <w:rPr>
          <w:color w:val="auto"/>
          <w:highlight w:val="none"/>
        </w:rPr>
        <w:t>%。</w:t>
      </w:r>
      <w:r>
        <w:rPr>
          <w:rFonts w:hint="eastAsia"/>
          <w:color w:val="auto"/>
          <w:highlight w:val="none"/>
        </w:rPr>
        <w:t>扣1分。</w:t>
      </w:r>
    </w:p>
    <w:p>
      <w:pPr>
        <w:ind w:firstLine="640"/>
        <w:rPr>
          <w:color w:val="auto"/>
          <w:highlight w:val="none"/>
        </w:rPr>
      </w:pPr>
      <w:r>
        <w:rPr>
          <w:color w:val="auto"/>
          <w:highlight w:val="none"/>
        </w:rPr>
        <w:t>《韶关市医疗保障局2022年度行政事业性国有资产分析报告》（以下简称《资产分析报告》）文中表述“截至2022年12月31日，本单位财政核定编制在职人员为17人；年末实有在职人员为23人”有误，实际应为市委编办核定行政编制15人，年末实际在编15人。再如：《资产分析报告》不够完整、</w:t>
      </w:r>
      <w:r>
        <w:rPr>
          <w:rFonts w:hint="eastAsia"/>
          <w:color w:val="auto"/>
          <w:highlight w:val="none"/>
        </w:rPr>
        <w:t>缺乏</w:t>
      </w:r>
      <w:r>
        <w:rPr>
          <w:color w:val="auto"/>
          <w:highlight w:val="none"/>
        </w:rPr>
        <w:t>深度，缺少2022年度单位资产配置情况，也未对固定资产（净值）年度增减变化作出原因分析</w:t>
      </w:r>
      <w:r>
        <w:rPr>
          <w:color w:val="auto"/>
          <w:kern w:val="0"/>
          <w:highlight w:val="none"/>
        </w:rPr>
        <w:t>（具体见“五、存在问题”）</w:t>
      </w:r>
      <w:r>
        <w:rPr>
          <w:rFonts w:hint="eastAsia"/>
          <w:color w:val="auto"/>
          <w:kern w:val="0"/>
          <w:highlight w:val="none"/>
        </w:rPr>
        <w:t>，</w:t>
      </w:r>
      <w:r>
        <w:rPr>
          <w:color w:val="auto"/>
          <w:highlight w:val="none"/>
        </w:rPr>
        <w:t>资产年报数据质量不高。扣</w:t>
      </w:r>
      <w:r>
        <w:rPr>
          <w:rFonts w:hint="eastAsia"/>
          <w:color w:val="auto"/>
          <w:highlight w:val="none"/>
        </w:rPr>
        <w:t>1</w:t>
      </w:r>
      <w:r>
        <w:rPr>
          <w:color w:val="auto"/>
          <w:highlight w:val="none"/>
        </w:rPr>
        <w:t>分。</w:t>
      </w:r>
    </w:p>
    <w:p>
      <w:pPr>
        <w:ind w:firstLine="640"/>
        <w:rPr>
          <w:color w:val="auto"/>
          <w:highlight w:val="none"/>
        </w:rPr>
      </w:pPr>
      <w:r>
        <w:rPr>
          <w:color w:val="auto"/>
          <w:highlight w:val="none"/>
        </w:rPr>
        <w:t>（5）资产管理合规性。指标分值2分，得分1分，得分率50.00%。</w:t>
      </w:r>
      <w:r>
        <w:rPr>
          <w:rFonts w:hint="eastAsia"/>
          <w:color w:val="auto"/>
          <w:highlight w:val="none"/>
        </w:rPr>
        <w:t>扣1分。</w:t>
      </w:r>
    </w:p>
    <w:p>
      <w:pPr>
        <w:ind w:firstLine="643"/>
        <w:jc w:val="left"/>
        <w:rPr>
          <w:color w:val="auto"/>
          <w:highlight w:val="none"/>
        </w:rPr>
      </w:pPr>
      <w:r>
        <w:rPr>
          <w:b/>
          <w:bCs/>
          <w:color w:val="auto"/>
          <w:highlight w:val="none"/>
        </w:rPr>
        <w:t>一是</w:t>
      </w:r>
      <w:r>
        <w:rPr>
          <w:color w:val="auto"/>
          <w:highlight w:val="none"/>
        </w:rPr>
        <w:t>《韶关市医疗保障局固定资产管理规定（试行）》缺少核算入账、出租、对外投资，以及绩效管理等重点环节，不符合《财政部关于加强行政事业单位固定资产管理的通知》（财资〔2020〕97号）有关要求。</w:t>
      </w:r>
      <w:r>
        <w:rPr>
          <w:b/>
          <w:bCs/>
          <w:color w:val="auto"/>
          <w:highlight w:val="none"/>
        </w:rPr>
        <w:t>二是</w:t>
      </w:r>
      <w:r>
        <w:rPr>
          <w:color w:val="auto"/>
          <w:highlight w:val="none"/>
        </w:rPr>
        <w:t>个别条款未根据现行制度及时更新修订，如：制度第三条提出“购置、更新固定资产，由使用部门根据工作需要结合行政单位常用公用设施配置标准提出购置申请，填写《办公用品（含固定资产）购置审批表》，报办公室按规定程序审批或购置”要求，与《行政事业性国有资产管理条例》有关要求存在偏差</w:t>
      </w:r>
      <w:r>
        <w:rPr>
          <w:color w:val="auto"/>
          <w:kern w:val="0"/>
          <w:highlight w:val="none"/>
        </w:rPr>
        <w:t>（具体见“五、存在问题”）</w:t>
      </w:r>
      <w:r>
        <w:rPr>
          <w:color w:val="auto"/>
          <w:highlight w:val="none"/>
        </w:rPr>
        <w:t>。综上，扣1分。</w:t>
      </w:r>
    </w:p>
    <w:p>
      <w:pPr>
        <w:ind w:firstLine="640"/>
        <w:rPr>
          <w:color w:val="auto"/>
          <w:highlight w:val="none"/>
        </w:rPr>
      </w:pPr>
      <w:r>
        <w:rPr>
          <w:color w:val="auto"/>
          <w:highlight w:val="none"/>
        </w:rPr>
        <w:t>（6）固定资产利用率。指标分值2分，得分1.87分，得分率93.50%。</w:t>
      </w:r>
      <w:r>
        <w:rPr>
          <w:rFonts w:hint="eastAsia"/>
          <w:color w:val="auto"/>
          <w:highlight w:val="none"/>
        </w:rPr>
        <w:t>扣0</w:t>
      </w:r>
      <w:r>
        <w:rPr>
          <w:color w:val="auto"/>
          <w:highlight w:val="none"/>
        </w:rPr>
        <w:t>.13</w:t>
      </w:r>
      <w:r>
        <w:rPr>
          <w:rFonts w:hint="eastAsia"/>
          <w:color w:val="auto"/>
          <w:highlight w:val="none"/>
        </w:rPr>
        <w:t>分。</w:t>
      </w:r>
    </w:p>
    <w:p>
      <w:pPr>
        <w:ind w:firstLine="640"/>
        <w:rPr>
          <w:color w:val="auto"/>
          <w:highlight w:val="none"/>
        </w:rPr>
      </w:pPr>
      <w:r>
        <w:rPr>
          <w:color w:val="auto"/>
          <w:highlight w:val="none"/>
        </w:rPr>
        <w:t>根据《部门整体支出绩效自评指标评分表》，市医疗保障局2022年固定资产总额111.19万元，在用资金总额104.23万元，固定资产利用率为93.74%，根据评分标准，扣0.13分。</w:t>
      </w:r>
    </w:p>
    <w:p>
      <w:pPr>
        <w:ind w:firstLine="600"/>
        <w:rPr>
          <w:bCs/>
          <w:color w:val="auto"/>
          <w:kern w:val="0"/>
          <w:szCs w:val="32"/>
          <w:highlight w:val="none"/>
        </w:rPr>
      </w:pPr>
      <w:r>
        <w:rPr>
          <w:bCs/>
          <w:color w:val="auto"/>
          <w:kern w:val="0"/>
          <w:sz w:val="30"/>
          <w:szCs w:val="30"/>
          <w:highlight w:val="none"/>
        </w:rPr>
        <w:t>7.</w:t>
      </w:r>
      <w:r>
        <w:rPr>
          <w:bCs/>
          <w:color w:val="auto"/>
          <w:kern w:val="0"/>
          <w:szCs w:val="32"/>
          <w:highlight w:val="none"/>
        </w:rPr>
        <w:t>运行成本</w:t>
      </w:r>
    </w:p>
    <w:p>
      <w:pPr>
        <w:ind w:firstLine="640"/>
        <w:rPr>
          <w:color w:val="auto"/>
          <w:highlight w:val="none"/>
        </w:rPr>
      </w:pPr>
      <w:r>
        <w:rPr>
          <w:color w:val="auto"/>
          <w:kern w:val="0"/>
          <w:szCs w:val="32"/>
          <w:highlight w:val="none"/>
        </w:rPr>
        <w:t>运行成本</w:t>
      </w:r>
      <w:r>
        <w:rPr>
          <w:color w:val="auto"/>
          <w:szCs w:val="32"/>
          <w:highlight w:val="none"/>
        </w:rPr>
        <w:t>主要评价</w:t>
      </w:r>
      <w:r>
        <w:rPr>
          <w:color w:val="auto"/>
          <w:highlight w:val="none"/>
        </w:rPr>
        <w:t>经济成本控制情况和“三公”经费控制情况两方面，具体情况如下。</w:t>
      </w:r>
    </w:p>
    <w:p>
      <w:pPr>
        <w:ind w:firstLine="640"/>
        <w:rPr>
          <w:color w:val="auto"/>
          <w:highlight w:val="none"/>
        </w:rPr>
      </w:pPr>
      <w:r>
        <w:rPr>
          <w:color w:val="auto"/>
          <w:highlight w:val="none"/>
        </w:rPr>
        <w:t>（1）经济成本控制情况。指标分值6分，得分4分，得分率66.67%。</w:t>
      </w:r>
      <w:r>
        <w:rPr>
          <w:rFonts w:hint="eastAsia"/>
          <w:color w:val="auto"/>
          <w:highlight w:val="none"/>
        </w:rPr>
        <w:t>扣2分。</w:t>
      </w:r>
    </w:p>
    <w:p>
      <w:pPr>
        <w:ind w:firstLine="640"/>
        <w:rPr>
          <w:color w:val="auto"/>
          <w:highlight w:val="none"/>
        </w:rPr>
      </w:pPr>
      <w:r>
        <w:rPr>
          <w:color w:val="auto"/>
          <w:highlight w:val="none"/>
        </w:rPr>
        <w:t>市医疗保障局2022年经济成本控制意识有待强化，主要表现为：</w:t>
      </w:r>
      <w:r>
        <w:rPr>
          <w:b/>
          <w:bCs/>
          <w:color w:val="auto"/>
          <w:highlight w:val="none"/>
        </w:rPr>
        <w:t>一是</w:t>
      </w:r>
      <w:r>
        <w:rPr>
          <w:color w:val="auto"/>
          <w:highlight w:val="none"/>
        </w:rPr>
        <w:t>个别项目预算测算内容粗糙。如：韶关市医疗保障开展基金监管专项资金。根据《项目绩效目标申报表》，项目预算测算信息填写粗糙，未将项目细化分解的各项开支内容、单价/支出标准、工作量、测算依据即说明等专项填报，也缺少提供对应的佐证材料，2022年预算申请25万元欠缺充分且合理的依据。再如：医保待遇保障和医药服务价格采购管理项目经费。2022年“一上”预算申请40万元缺乏合理依据，例如申请印刷费18万元、差旅费14万元、会议费0.5万元、宣传费7.5万元等均缺少相关开支内容、单价/支出标准、工作量、测算依据等关键信息。</w:t>
      </w:r>
      <w:r>
        <w:rPr>
          <w:b/>
          <w:bCs/>
          <w:color w:val="auto"/>
          <w:highlight w:val="none"/>
        </w:rPr>
        <w:t>二是</w:t>
      </w:r>
      <w:r>
        <w:rPr>
          <w:color w:val="auto"/>
          <w:highlight w:val="none"/>
        </w:rPr>
        <w:t>资产购置合理性不足。市医疗保障局在超标准配置资产的情况下，2022年12月仍购进打印机、碎纸机等</w:t>
      </w:r>
      <w:r>
        <w:rPr>
          <w:color w:val="auto"/>
          <w:kern w:val="0"/>
          <w:highlight w:val="none"/>
        </w:rPr>
        <w:t>（具体见“五、存在问题”）</w:t>
      </w:r>
      <w:r>
        <w:rPr>
          <w:color w:val="auto"/>
          <w:highlight w:val="none"/>
        </w:rPr>
        <w:t>。综上，酌情扣2分。</w:t>
      </w:r>
    </w:p>
    <w:p>
      <w:pPr>
        <w:ind w:firstLine="640"/>
        <w:rPr>
          <w:color w:val="auto"/>
          <w:highlight w:val="none"/>
        </w:rPr>
      </w:pPr>
      <w:r>
        <w:rPr>
          <w:color w:val="auto"/>
          <w:highlight w:val="none"/>
        </w:rPr>
        <w:t>（2）“三公”经费控制情况。指标分值1分，得分1分，得分率100%。</w:t>
      </w:r>
    </w:p>
    <w:p>
      <w:pPr>
        <w:ind w:firstLine="640"/>
        <w:rPr>
          <w:color w:val="auto"/>
          <w:highlight w:val="none"/>
        </w:rPr>
      </w:pPr>
      <w:bookmarkStart w:id="58" w:name="_Toc18691"/>
      <w:bookmarkStart w:id="59" w:name="_Toc3670"/>
      <w:r>
        <w:rPr>
          <w:color w:val="auto"/>
          <w:highlight w:val="none"/>
        </w:rPr>
        <w:t>2022年“三公”经费预算安排3.06万元，年末实际支出2.15万元，支出率为70.26%，</w:t>
      </w:r>
      <w:r>
        <w:rPr>
          <w:rFonts w:hint="eastAsia"/>
          <w:color w:val="auto"/>
          <w:highlight w:val="none"/>
        </w:rPr>
        <w:t>三公经费支出控制良好</w:t>
      </w:r>
      <w:r>
        <w:rPr>
          <w:color w:val="auto"/>
          <w:highlight w:val="none"/>
        </w:rPr>
        <w:t>。</w:t>
      </w:r>
    </w:p>
    <w:p>
      <w:pPr>
        <w:pStyle w:val="3"/>
        <w:ind w:firstLine="640"/>
        <w:rPr>
          <w:color w:val="auto"/>
          <w:highlight w:val="none"/>
        </w:rPr>
      </w:pPr>
      <w:bookmarkStart w:id="60" w:name="_Toc3112"/>
      <w:bookmarkStart w:id="61" w:name="_Toc151997603"/>
      <w:bookmarkStart w:id="62" w:name="_Toc27587"/>
      <w:bookmarkStart w:id="63" w:name="_Toc32231"/>
      <w:r>
        <w:rPr>
          <w:color w:val="auto"/>
          <w:highlight w:val="none"/>
        </w:rPr>
        <w:t>三、评价结论</w:t>
      </w:r>
      <w:bookmarkEnd w:id="58"/>
      <w:bookmarkEnd w:id="59"/>
      <w:bookmarkEnd w:id="60"/>
      <w:bookmarkEnd w:id="61"/>
      <w:bookmarkEnd w:id="62"/>
      <w:bookmarkEnd w:id="63"/>
    </w:p>
    <w:p>
      <w:pPr>
        <w:ind w:firstLine="640"/>
        <w:rPr>
          <w:color w:val="auto"/>
          <w:highlight w:val="none"/>
        </w:rPr>
      </w:pPr>
      <w:r>
        <w:rPr>
          <w:color w:val="auto"/>
          <w:highlight w:val="none"/>
        </w:rPr>
        <w:t>按照指标体系和评分标准，结合书面审核、现场调研等情况，韶关市医疗保障局2022年度部门整体支出绩效评价得分：</w:t>
      </w:r>
      <w:r>
        <w:rPr>
          <w:b/>
          <w:bCs/>
          <w:color w:val="auto"/>
          <w:highlight w:val="none"/>
        </w:rPr>
        <w:t>8</w:t>
      </w:r>
      <w:r>
        <w:rPr>
          <w:rFonts w:hint="eastAsia"/>
          <w:b/>
          <w:bCs/>
          <w:color w:val="auto"/>
          <w:highlight w:val="none"/>
          <w:lang w:val="en-US" w:eastAsia="zh-CN"/>
        </w:rPr>
        <w:t>8</w:t>
      </w:r>
      <w:r>
        <w:rPr>
          <w:b/>
          <w:bCs/>
          <w:color w:val="auto"/>
          <w:highlight w:val="none"/>
        </w:rPr>
        <w:t>.</w:t>
      </w:r>
      <w:r>
        <w:rPr>
          <w:rFonts w:hint="eastAsia"/>
          <w:b/>
          <w:bCs/>
          <w:color w:val="auto"/>
          <w:highlight w:val="none"/>
        </w:rPr>
        <w:t>19</w:t>
      </w:r>
      <w:r>
        <w:rPr>
          <w:color w:val="auto"/>
          <w:highlight w:val="none"/>
        </w:rPr>
        <w:t>分，绩效等级为“</w:t>
      </w:r>
      <w:r>
        <w:rPr>
          <w:b/>
          <w:bCs/>
          <w:color w:val="auto"/>
          <w:highlight w:val="none"/>
        </w:rPr>
        <w:t>良</w:t>
      </w:r>
      <w:r>
        <w:rPr>
          <w:color w:val="auto"/>
          <w:highlight w:val="none"/>
        </w:rPr>
        <w:t>”。其中，“履职效能”“管理效率”得分率分别为</w:t>
      </w:r>
      <w:r>
        <w:rPr>
          <w:rFonts w:hint="eastAsia"/>
          <w:color w:val="auto"/>
          <w:highlight w:val="none"/>
        </w:rPr>
        <w:t>93.22</w:t>
      </w:r>
      <w:r>
        <w:rPr>
          <w:color w:val="auto"/>
          <w:highlight w:val="none"/>
        </w:rPr>
        <w:t>%、</w:t>
      </w:r>
      <w:r>
        <w:rPr>
          <w:rFonts w:hint="eastAsia"/>
          <w:color w:val="auto"/>
          <w:highlight w:val="none"/>
        </w:rPr>
        <w:t>8</w:t>
      </w:r>
      <w:r>
        <w:rPr>
          <w:rFonts w:hint="eastAsia"/>
          <w:color w:val="auto"/>
          <w:highlight w:val="none"/>
          <w:lang w:val="en-US" w:eastAsia="zh-CN"/>
        </w:rPr>
        <w:t>4</w:t>
      </w:r>
      <w:r>
        <w:rPr>
          <w:rFonts w:hint="eastAsia"/>
          <w:color w:val="auto"/>
          <w:highlight w:val="none"/>
        </w:rPr>
        <w:t>.</w:t>
      </w:r>
      <w:r>
        <w:rPr>
          <w:rFonts w:hint="eastAsia"/>
          <w:color w:val="auto"/>
          <w:highlight w:val="none"/>
          <w:lang w:val="en-US" w:eastAsia="zh-CN"/>
        </w:rPr>
        <w:t>07</w:t>
      </w:r>
      <w:r>
        <w:rPr>
          <w:color w:val="auto"/>
          <w:highlight w:val="none"/>
        </w:rPr>
        <w:t>%</w:t>
      </w:r>
      <w:r>
        <w:rPr>
          <w:color w:val="auto"/>
          <w:highlight w:val="none"/>
        </w:rPr>
        <w:t>，见表3-1。</w:t>
      </w:r>
    </w:p>
    <w:p>
      <w:pPr>
        <w:pStyle w:val="25"/>
        <w:rPr>
          <w:color w:val="auto"/>
          <w:highlight w:val="none"/>
        </w:rPr>
      </w:pPr>
      <w:r>
        <w:rPr>
          <w:color w:val="auto"/>
          <w:highlight w:val="none"/>
        </w:rPr>
        <w:t>表3-1 一级指标评价得分统计表</w:t>
      </w:r>
    </w:p>
    <w:tbl>
      <w:tblPr>
        <w:tblStyle w:val="18"/>
        <w:tblW w:w="8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1"/>
        <w:gridCol w:w="1812"/>
        <w:gridCol w:w="190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901" w:type="dxa"/>
            <w:shd w:val="clear" w:color="auto" w:fill="auto"/>
            <w:vAlign w:val="center"/>
          </w:tcPr>
          <w:p>
            <w:pPr>
              <w:pStyle w:val="26"/>
              <w:spacing w:line="240" w:lineRule="auto"/>
              <w:rPr>
                <w:rFonts w:cs="Times New Roman"/>
                <w:b/>
                <w:color w:val="auto"/>
                <w:szCs w:val="21"/>
                <w:highlight w:val="none"/>
              </w:rPr>
            </w:pPr>
            <w:r>
              <w:rPr>
                <w:rFonts w:cs="Times New Roman"/>
                <w:b/>
                <w:color w:val="auto"/>
                <w:szCs w:val="21"/>
                <w:highlight w:val="none"/>
              </w:rPr>
              <w:t>评价因素</w:t>
            </w:r>
          </w:p>
        </w:tc>
        <w:tc>
          <w:tcPr>
            <w:tcW w:w="1812" w:type="dxa"/>
            <w:shd w:val="clear" w:color="auto" w:fill="auto"/>
            <w:vAlign w:val="center"/>
          </w:tcPr>
          <w:p>
            <w:pPr>
              <w:pStyle w:val="26"/>
              <w:spacing w:line="240" w:lineRule="auto"/>
              <w:rPr>
                <w:rFonts w:cs="Times New Roman"/>
                <w:b/>
                <w:color w:val="auto"/>
                <w:szCs w:val="21"/>
                <w:highlight w:val="none"/>
              </w:rPr>
            </w:pPr>
            <w:r>
              <w:rPr>
                <w:rFonts w:cs="Times New Roman"/>
                <w:b/>
                <w:color w:val="auto"/>
                <w:szCs w:val="21"/>
                <w:highlight w:val="none"/>
              </w:rPr>
              <w:t>分值</w:t>
            </w:r>
          </w:p>
        </w:tc>
        <w:tc>
          <w:tcPr>
            <w:tcW w:w="1903" w:type="dxa"/>
            <w:shd w:val="clear" w:color="auto" w:fill="auto"/>
            <w:vAlign w:val="center"/>
          </w:tcPr>
          <w:p>
            <w:pPr>
              <w:pStyle w:val="26"/>
              <w:spacing w:line="240" w:lineRule="auto"/>
              <w:rPr>
                <w:rFonts w:cs="Times New Roman"/>
                <w:b/>
                <w:color w:val="auto"/>
                <w:szCs w:val="21"/>
                <w:highlight w:val="none"/>
              </w:rPr>
            </w:pPr>
            <w:r>
              <w:rPr>
                <w:rFonts w:cs="Times New Roman"/>
                <w:b/>
                <w:color w:val="auto"/>
                <w:szCs w:val="21"/>
                <w:highlight w:val="none"/>
              </w:rPr>
              <w:t>评价得分</w:t>
            </w:r>
          </w:p>
        </w:tc>
        <w:tc>
          <w:tcPr>
            <w:tcW w:w="1842" w:type="dxa"/>
            <w:shd w:val="clear" w:color="auto" w:fill="auto"/>
            <w:vAlign w:val="center"/>
          </w:tcPr>
          <w:p>
            <w:pPr>
              <w:pStyle w:val="26"/>
              <w:spacing w:line="240" w:lineRule="auto"/>
              <w:rPr>
                <w:rFonts w:cs="Times New Roman"/>
                <w:b/>
                <w:color w:val="auto"/>
                <w:szCs w:val="21"/>
                <w:highlight w:val="none"/>
              </w:rPr>
            </w:pPr>
            <w:r>
              <w:rPr>
                <w:rFonts w:cs="Times New Roman"/>
                <w:b/>
                <w:color w:val="auto"/>
                <w:szCs w:val="21"/>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901" w:type="dxa"/>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评价总得分</w:t>
            </w:r>
          </w:p>
        </w:tc>
        <w:tc>
          <w:tcPr>
            <w:tcW w:w="1812" w:type="dxa"/>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100</w:t>
            </w:r>
          </w:p>
        </w:tc>
        <w:tc>
          <w:tcPr>
            <w:tcW w:w="1903" w:type="dxa"/>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8</w:t>
            </w:r>
            <w:r>
              <w:rPr>
                <w:rFonts w:hint="eastAsia" w:cs="Times New Roman"/>
                <w:b/>
                <w:bCs w:val="0"/>
                <w:color w:val="auto"/>
                <w:szCs w:val="21"/>
                <w:highlight w:val="none"/>
                <w:lang w:val="en-US" w:eastAsia="zh-CN"/>
              </w:rPr>
              <w:t>8</w:t>
            </w:r>
            <w:r>
              <w:rPr>
                <w:rFonts w:cs="Times New Roman"/>
                <w:b/>
                <w:bCs w:val="0"/>
                <w:color w:val="auto"/>
                <w:szCs w:val="21"/>
                <w:highlight w:val="none"/>
              </w:rPr>
              <w:t>.19</w:t>
            </w:r>
          </w:p>
        </w:tc>
        <w:tc>
          <w:tcPr>
            <w:tcW w:w="1842" w:type="dxa"/>
            <w:vAlign w:val="center"/>
          </w:tcPr>
          <w:p>
            <w:pPr>
              <w:pStyle w:val="26"/>
              <w:spacing w:line="240" w:lineRule="auto"/>
              <w:rPr>
                <w:rFonts w:cs="Times New Roman"/>
                <w:b/>
                <w:bCs w:val="0"/>
                <w:color w:val="auto"/>
                <w:szCs w:val="21"/>
                <w:highlight w:val="none"/>
              </w:rPr>
            </w:pPr>
            <w:r>
              <w:rPr>
                <w:rFonts w:cs="Times New Roman"/>
                <w:b/>
                <w:bCs w:val="0"/>
                <w:color w:val="auto"/>
                <w:szCs w:val="21"/>
                <w:highlight w:val="none"/>
              </w:rPr>
              <w:t>8</w:t>
            </w:r>
            <w:r>
              <w:rPr>
                <w:rFonts w:hint="eastAsia" w:cs="Times New Roman"/>
                <w:b/>
                <w:bCs w:val="0"/>
                <w:color w:val="auto"/>
                <w:szCs w:val="21"/>
                <w:highlight w:val="none"/>
                <w:lang w:val="en-US" w:eastAsia="zh-CN"/>
              </w:rPr>
              <w:t>8</w:t>
            </w:r>
            <w:r>
              <w:rPr>
                <w:rFonts w:cs="Times New Roman"/>
                <w:b/>
                <w:bCs w:val="0"/>
                <w:color w:val="auto"/>
                <w:szCs w:val="21"/>
                <w:highlight w:val="none"/>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901" w:type="dxa"/>
            <w:vAlign w:val="center"/>
          </w:tcPr>
          <w:p>
            <w:pPr>
              <w:pStyle w:val="26"/>
              <w:spacing w:line="240" w:lineRule="auto"/>
              <w:rPr>
                <w:rFonts w:cs="Times New Roman"/>
                <w:color w:val="auto"/>
                <w:szCs w:val="21"/>
                <w:highlight w:val="none"/>
              </w:rPr>
            </w:pPr>
            <w:r>
              <w:rPr>
                <w:rFonts w:cs="Times New Roman"/>
                <w:color w:val="auto"/>
                <w:szCs w:val="21"/>
                <w:highlight w:val="none"/>
              </w:rPr>
              <w:t>履职效能</w:t>
            </w:r>
          </w:p>
        </w:tc>
        <w:tc>
          <w:tcPr>
            <w:tcW w:w="1812" w:type="dxa"/>
            <w:vAlign w:val="center"/>
          </w:tcPr>
          <w:p>
            <w:pPr>
              <w:pStyle w:val="26"/>
              <w:spacing w:line="240" w:lineRule="auto"/>
              <w:rPr>
                <w:rFonts w:cs="Times New Roman"/>
                <w:color w:val="auto"/>
                <w:szCs w:val="21"/>
                <w:highlight w:val="none"/>
              </w:rPr>
            </w:pPr>
            <w:r>
              <w:rPr>
                <w:rFonts w:cs="Times New Roman"/>
                <w:color w:val="auto"/>
                <w:szCs w:val="21"/>
                <w:highlight w:val="none"/>
              </w:rPr>
              <w:t>45</w:t>
            </w:r>
          </w:p>
        </w:tc>
        <w:tc>
          <w:tcPr>
            <w:tcW w:w="1903" w:type="dxa"/>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4</w:t>
            </w:r>
            <w:r>
              <w:rPr>
                <w:rFonts w:hint="eastAsia" w:cs="Times New Roman"/>
                <w:color w:val="auto"/>
                <w:szCs w:val="21"/>
                <w:highlight w:val="none"/>
                <w:lang w:bidi="ar"/>
              </w:rPr>
              <w:t>1.95</w:t>
            </w:r>
          </w:p>
        </w:tc>
        <w:tc>
          <w:tcPr>
            <w:tcW w:w="1842" w:type="dxa"/>
            <w:vAlign w:val="center"/>
          </w:tcPr>
          <w:p>
            <w:pPr>
              <w:pStyle w:val="26"/>
              <w:spacing w:line="240" w:lineRule="auto"/>
              <w:rPr>
                <w:rFonts w:cs="Times New Roman"/>
                <w:color w:val="auto"/>
                <w:szCs w:val="21"/>
                <w:highlight w:val="none"/>
                <w:lang w:bidi="ar"/>
              </w:rPr>
            </w:pPr>
            <w:r>
              <w:rPr>
                <w:rFonts w:hint="eastAsia" w:cs="Times New Roman"/>
                <w:color w:val="auto"/>
                <w:szCs w:val="21"/>
                <w:highlight w:val="none"/>
                <w:lang w:bidi="ar"/>
              </w:rPr>
              <w:t>93.22</w:t>
            </w:r>
            <w:r>
              <w:rPr>
                <w:rFonts w:cs="Times New Roman"/>
                <w:color w:val="auto"/>
                <w:szCs w:val="21"/>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901" w:type="dxa"/>
            <w:vAlign w:val="center"/>
          </w:tcPr>
          <w:p>
            <w:pPr>
              <w:pStyle w:val="26"/>
              <w:spacing w:line="240" w:lineRule="auto"/>
              <w:rPr>
                <w:rFonts w:cs="Times New Roman"/>
                <w:color w:val="auto"/>
                <w:szCs w:val="21"/>
                <w:highlight w:val="none"/>
              </w:rPr>
            </w:pPr>
            <w:r>
              <w:rPr>
                <w:rFonts w:cs="Times New Roman"/>
                <w:color w:val="auto"/>
                <w:szCs w:val="21"/>
                <w:highlight w:val="none"/>
              </w:rPr>
              <w:t>管理效率</w:t>
            </w:r>
          </w:p>
        </w:tc>
        <w:tc>
          <w:tcPr>
            <w:tcW w:w="1812" w:type="dxa"/>
            <w:vAlign w:val="center"/>
          </w:tcPr>
          <w:p>
            <w:pPr>
              <w:pStyle w:val="26"/>
              <w:spacing w:line="240" w:lineRule="auto"/>
              <w:rPr>
                <w:rFonts w:cs="Times New Roman"/>
                <w:color w:val="auto"/>
                <w:szCs w:val="21"/>
                <w:highlight w:val="none"/>
              </w:rPr>
            </w:pPr>
            <w:r>
              <w:rPr>
                <w:rFonts w:cs="Times New Roman"/>
                <w:color w:val="auto"/>
                <w:szCs w:val="21"/>
                <w:highlight w:val="none"/>
              </w:rPr>
              <w:t>55</w:t>
            </w:r>
          </w:p>
        </w:tc>
        <w:tc>
          <w:tcPr>
            <w:tcW w:w="1903" w:type="dxa"/>
            <w:vAlign w:val="center"/>
          </w:tcPr>
          <w:p>
            <w:pPr>
              <w:pStyle w:val="26"/>
              <w:spacing w:line="240" w:lineRule="auto"/>
              <w:rPr>
                <w:rFonts w:cs="Times New Roman"/>
                <w:color w:val="auto"/>
                <w:szCs w:val="21"/>
                <w:highlight w:val="none"/>
                <w:lang w:bidi="ar"/>
              </w:rPr>
            </w:pPr>
            <w:r>
              <w:rPr>
                <w:rFonts w:cs="Times New Roman"/>
                <w:color w:val="auto"/>
                <w:szCs w:val="21"/>
                <w:highlight w:val="none"/>
                <w:lang w:bidi="ar"/>
              </w:rPr>
              <w:t>4</w:t>
            </w:r>
            <w:r>
              <w:rPr>
                <w:rFonts w:hint="eastAsia" w:cs="Times New Roman"/>
                <w:color w:val="auto"/>
                <w:szCs w:val="21"/>
                <w:highlight w:val="none"/>
                <w:lang w:val="en-US" w:eastAsia="zh-CN" w:bidi="ar"/>
              </w:rPr>
              <w:t>6</w:t>
            </w:r>
            <w:r>
              <w:rPr>
                <w:rFonts w:hint="eastAsia" w:cs="Times New Roman"/>
                <w:color w:val="auto"/>
                <w:szCs w:val="21"/>
                <w:highlight w:val="none"/>
                <w:lang w:bidi="ar"/>
              </w:rPr>
              <w:t>.24</w:t>
            </w:r>
          </w:p>
        </w:tc>
        <w:tc>
          <w:tcPr>
            <w:tcW w:w="1842" w:type="dxa"/>
            <w:vAlign w:val="center"/>
          </w:tcPr>
          <w:p>
            <w:pPr>
              <w:pStyle w:val="26"/>
              <w:spacing w:line="240" w:lineRule="auto"/>
              <w:rPr>
                <w:rFonts w:cs="Times New Roman"/>
                <w:color w:val="auto"/>
                <w:szCs w:val="21"/>
                <w:highlight w:val="none"/>
                <w:lang w:bidi="ar"/>
              </w:rPr>
            </w:pPr>
            <w:r>
              <w:rPr>
                <w:rFonts w:hint="eastAsia" w:cs="Times New Roman"/>
                <w:color w:val="auto"/>
                <w:szCs w:val="21"/>
                <w:highlight w:val="none"/>
                <w:lang w:bidi="ar"/>
              </w:rPr>
              <w:t>8</w:t>
            </w:r>
            <w:r>
              <w:rPr>
                <w:rFonts w:hint="eastAsia" w:cs="Times New Roman"/>
                <w:color w:val="auto"/>
                <w:szCs w:val="21"/>
                <w:highlight w:val="none"/>
                <w:lang w:val="en-US" w:eastAsia="zh-CN" w:bidi="ar"/>
              </w:rPr>
              <w:t>4.07</w:t>
            </w:r>
            <w:r>
              <w:rPr>
                <w:rFonts w:cs="Times New Roman"/>
                <w:color w:val="auto"/>
                <w:szCs w:val="21"/>
                <w:highlight w:val="none"/>
                <w:lang w:bidi="ar"/>
              </w:rPr>
              <w:t>%</w:t>
            </w:r>
          </w:p>
        </w:tc>
      </w:tr>
    </w:tbl>
    <w:p>
      <w:pPr>
        <w:pStyle w:val="3"/>
        <w:numPr>
          <w:ilvl w:val="0"/>
          <w:numId w:val="1"/>
        </w:numPr>
        <w:ind w:firstLine="640"/>
        <w:rPr>
          <w:color w:val="auto"/>
          <w:highlight w:val="none"/>
        </w:rPr>
      </w:pPr>
      <w:bookmarkStart w:id="64" w:name="_Toc10519"/>
      <w:bookmarkStart w:id="65" w:name="_Toc151997604"/>
      <w:bookmarkStart w:id="66" w:name="_Toc3822"/>
      <w:bookmarkStart w:id="67" w:name="_Toc31650"/>
      <w:bookmarkStart w:id="68" w:name="_Toc5786"/>
      <w:bookmarkStart w:id="69" w:name="_Toc3561"/>
      <w:r>
        <w:rPr>
          <w:color w:val="auto"/>
          <w:highlight w:val="none"/>
        </w:rPr>
        <w:t>主要绩效</w:t>
      </w:r>
      <w:bookmarkEnd w:id="64"/>
      <w:bookmarkEnd w:id="65"/>
      <w:bookmarkEnd w:id="66"/>
      <w:bookmarkEnd w:id="67"/>
      <w:bookmarkEnd w:id="68"/>
      <w:bookmarkEnd w:id="69"/>
    </w:p>
    <w:p>
      <w:pPr>
        <w:pStyle w:val="4"/>
        <w:ind w:firstLine="640"/>
        <w:rPr>
          <w:rFonts w:cs="Times New Roman"/>
          <w:color w:val="auto"/>
          <w:highlight w:val="none"/>
        </w:rPr>
      </w:pPr>
      <w:bookmarkStart w:id="70" w:name="_Toc30462"/>
      <w:bookmarkStart w:id="71" w:name="_Toc151997605"/>
      <w:bookmarkStart w:id="72" w:name="_Toc17124"/>
      <w:bookmarkStart w:id="73" w:name="_Toc7141"/>
      <w:bookmarkStart w:id="74" w:name="_Toc16702"/>
      <w:r>
        <w:rPr>
          <w:rFonts w:cs="Times New Roman"/>
          <w:color w:val="auto"/>
          <w:highlight w:val="none"/>
        </w:rPr>
        <w:t>（一）</w:t>
      </w:r>
      <w:bookmarkEnd w:id="70"/>
      <w:r>
        <w:rPr>
          <w:rFonts w:cs="Times New Roman"/>
          <w:color w:val="auto"/>
          <w:highlight w:val="none"/>
        </w:rPr>
        <w:t>持续完善医疗保障体系，促进医疗保障水平逐步提高。</w:t>
      </w:r>
      <w:bookmarkEnd w:id="71"/>
      <w:bookmarkEnd w:id="72"/>
      <w:bookmarkEnd w:id="73"/>
      <w:bookmarkEnd w:id="74"/>
    </w:p>
    <w:p>
      <w:pPr>
        <w:ind w:firstLine="640"/>
        <w:rPr>
          <w:b/>
          <w:bCs/>
          <w:color w:val="auto"/>
          <w:highlight w:val="none"/>
        </w:rPr>
      </w:pPr>
      <w:bookmarkStart w:id="75" w:name="_Toc24888"/>
      <w:r>
        <w:rPr>
          <w:bCs/>
          <w:color w:val="auto"/>
          <w:highlight w:val="none"/>
        </w:rPr>
        <w:t>1.整合医保政策体系，健全医疗保障制度。</w:t>
      </w:r>
      <w:r>
        <w:rPr>
          <w:color w:val="auto"/>
          <w:highlight w:val="none"/>
        </w:rPr>
        <w:t>2022年市医疗保障局制定出台《韶关市基本医疗保险实施办法》《韶关市职工生育保险实施办法》</w:t>
      </w:r>
      <w:r>
        <w:rPr>
          <w:color w:val="auto"/>
          <w:szCs w:val="32"/>
          <w:highlight w:val="none"/>
          <w:lang w:bidi="ar"/>
        </w:rPr>
        <w:t>《韶关市职工基本医疗保险门诊共济保障实施细则（试行）》</w:t>
      </w:r>
      <w:r>
        <w:rPr>
          <w:color w:val="auto"/>
          <w:highlight w:val="none"/>
        </w:rPr>
        <w:t>等制度，进一步整合优化医保政策体系，完善韶关市医疗保障制度，加快建成覆盖全民、城乡统筹、权责清晰、保障适度、可持续的多层次医疗保障制度机制，推动医疗保障管理体系主动顺应新形势新要求。</w:t>
      </w:r>
    </w:p>
    <w:p>
      <w:pPr>
        <w:ind w:firstLine="640"/>
        <w:rPr>
          <w:color w:val="auto"/>
          <w:highlight w:val="none"/>
        </w:rPr>
      </w:pPr>
      <w:r>
        <w:rPr>
          <w:bCs/>
          <w:color w:val="auto"/>
          <w:highlight w:val="none"/>
        </w:rPr>
        <w:t>2.优化医保缴费机制，有序推动全民参保。</w:t>
      </w:r>
      <w:r>
        <w:rPr>
          <w:color w:val="auto"/>
          <w:highlight w:val="none"/>
        </w:rPr>
        <w:t>2022年市医疗保障局推出延长城乡居民医疗保险缴费和参保信息变更时间、简化缴费程序，新业态从业人员不限户籍参保等系列措施，截至2022年12月，韶关市全市基本医疗保险参保人数达287.68万人，基本实现全民参保。除此之外，市医疗保障局大力推广普惠型补充商业医疗保险，截至2022年12月，“韶关市民保”参保人数达到56.9万人。</w:t>
      </w:r>
    </w:p>
    <w:p>
      <w:pPr>
        <w:ind w:firstLine="640"/>
        <w:rPr>
          <w:color w:val="auto"/>
          <w:highlight w:val="none"/>
        </w:rPr>
      </w:pPr>
      <w:r>
        <w:rPr>
          <w:bCs/>
          <w:color w:val="auto"/>
          <w:highlight w:val="none"/>
        </w:rPr>
        <w:t>3.坚守医疗救助底线，提升待遇保障水平。</w:t>
      </w:r>
      <w:r>
        <w:rPr>
          <w:b/>
          <w:bCs/>
          <w:color w:val="auto"/>
          <w:highlight w:val="none"/>
        </w:rPr>
        <w:t>一是</w:t>
      </w:r>
      <w:r>
        <w:rPr>
          <w:color w:val="auto"/>
          <w:highlight w:val="none"/>
        </w:rPr>
        <w:t>2022年韶关市城乡居民医疗保险财政补助标准从580元/人提升至610元/人，三级医院住院报销比例由60%调至70%。全市职工生育保险参保人数由38万人增加到44万人，增幅达21%，政策落实效果较为明显。</w:t>
      </w:r>
      <w:r>
        <w:rPr>
          <w:b/>
          <w:bCs/>
          <w:color w:val="auto"/>
          <w:highlight w:val="none"/>
        </w:rPr>
        <w:t>二是</w:t>
      </w:r>
      <w:r>
        <w:rPr>
          <w:color w:val="auto"/>
          <w:highlight w:val="none"/>
        </w:rPr>
        <w:t>全市532名符合资助条件的监测对象全部由政府全额资助参加2022年度城乡居民医保，并100%纳入基本医疗保险、大病保险和医疗救助保障范围，救助比例由80%提高至85%，其中重点救助人群的救助比例达到100%</w:t>
      </w:r>
      <w:r>
        <w:rPr>
          <w:rFonts w:hint="eastAsia"/>
          <w:color w:val="auto"/>
          <w:highlight w:val="none"/>
        </w:rPr>
        <w:t>，</w:t>
      </w:r>
      <w:r>
        <w:rPr>
          <w:color w:val="auto"/>
          <w:highlight w:val="none"/>
        </w:rPr>
        <w:t>有效减轻困难群众就医负担，防范化解因病致贫返贫风险。</w:t>
      </w:r>
    </w:p>
    <w:p>
      <w:pPr>
        <w:pStyle w:val="4"/>
        <w:ind w:firstLine="640"/>
        <w:rPr>
          <w:rFonts w:cs="Times New Roman"/>
          <w:color w:val="auto"/>
          <w:highlight w:val="none"/>
        </w:rPr>
      </w:pPr>
      <w:bookmarkStart w:id="76" w:name="_Toc3206"/>
      <w:bookmarkStart w:id="77" w:name="_Toc32345"/>
      <w:bookmarkStart w:id="78" w:name="_Toc151997606"/>
      <w:bookmarkStart w:id="79" w:name="_Toc22774"/>
      <w:r>
        <w:rPr>
          <w:rFonts w:cs="Times New Roman"/>
          <w:color w:val="auto"/>
          <w:highlight w:val="none"/>
        </w:rPr>
        <w:t>（二）</w:t>
      </w:r>
      <w:bookmarkEnd w:id="75"/>
      <w:r>
        <w:rPr>
          <w:rFonts w:cs="Times New Roman"/>
          <w:color w:val="auto"/>
          <w:highlight w:val="none"/>
        </w:rPr>
        <w:t>强化医保基金监管能力，推动医疗保障高质量发展。</w:t>
      </w:r>
      <w:bookmarkEnd w:id="76"/>
      <w:bookmarkEnd w:id="77"/>
      <w:bookmarkEnd w:id="78"/>
      <w:bookmarkEnd w:id="79"/>
    </w:p>
    <w:p>
      <w:pPr>
        <w:ind w:firstLine="643"/>
        <w:rPr>
          <w:color w:val="auto"/>
          <w:highlight w:val="none"/>
        </w:rPr>
      </w:pPr>
      <w:bookmarkStart w:id="80" w:name="_Toc23419"/>
      <w:r>
        <w:rPr>
          <w:b/>
          <w:bCs/>
          <w:color w:val="auto"/>
          <w:highlight w:val="none"/>
        </w:rPr>
        <w:t>一是</w:t>
      </w:r>
      <w:r>
        <w:rPr>
          <w:color w:val="auto"/>
          <w:szCs w:val="32"/>
          <w:highlight w:val="none"/>
        </w:rPr>
        <w:t>2022年市医疗保障局与公安部门联合对涉及5家医疗机构和相关参保人员14人，医保基金支付金额17.80万元的可疑线索进行核查，未发现欺诈骗取医保基金行为。</w:t>
      </w:r>
      <w:r>
        <w:rPr>
          <w:b/>
          <w:bCs/>
          <w:color w:val="auto"/>
          <w:szCs w:val="32"/>
          <w:highlight w:val="none"/>
        </w:rPr>
        <w:t>二是</w:t>
      </w:r>
      <w:r>
        <w:rPr>
          <w:rFonts w:hint="eastAsia"/>
          <w:color w:val="auto"/>
          <w:szCs w:val="32"/>
          <w:highlight w:val="none"/>
        </w:rPr>
        <w:t>2022年市医疗保障局</w:t>
      </w:r>
      <w:r>
        <w:rPr>
          <w:color w:val="auto"/>
          <w:szCs w:val="32"/>
          <w:highlight w:val="none"/>
        </w:rPr>
        <w:t>统筹组织开展县（市、区）间交叉检查，查处30家医疗机构存在重复收费项目、多收费类别等方面问题；配合开展省医保基金交叉检查，发现被检医疗机构存在一般违法违规行为</w:t>
      </w:r>
      <w:r>
        <w:rPr>
          <w:rFonts w:hint="eastAsia"/>
          <w:color w:val="auto"/>
          <w:szCs w:val="32"/>
          <w:highlight w:val="none"/>
        </w:rPr>
        <w:t>，</w:t>
      </w:r>
      <w:r>
        <w:rPr>
          <w:color w:val="auto"/>
          <w:szCs w:val="32"/>
          <w:highlight w:val="none"/>
        </w:rPr>
        <w:t>2022年基本完成相关处理及整改落实。此外，</w:t>
      </w:r>
      <w:r>
        <w:rPr>
          <w:color w:val="auto"/>
          <w:highlight w:val="none"/>
        </w:rPr>
        <w:t>2022年市医疗保障局</w:t>
      </w:r>
      <w:r>
        <w:rPr>
          <w:color w:val="auto"/>
          <w:szCs w:val="32"/>
          <w:highlight w:val="none"/>
        </w:rPr>
        <w:t>通过优化监管方式，采取日常巡查、飞行检查、线下稽核、专项检查等对两定机构</w:t>
      </w:r>
      <w:r>
        <w:rPr>
          <w:rFonts w:hint="eastAsia"/>
          <w:color w:val="auto"/>
          <w:szCs w:val="32"/>
          <w:highlight w:val="none"/>
        </w:rPr>
        <w:t>进行</w:t>
      </w:r>
      <w:r>
        <w:rPr>
          <w:color w:val="auto"/>
          <w:szCs w:val="32"/>
          <w:highlight w:val="none"/>
        </w:rPr>
        <w:t>监管</w:t>
      </w:r>
      <w:r>
        <w:rPr>
          <w:rFonts w:hint="eastAsia"/>
          <w:color w:val="auto"/>
          <w:szCs w:val="32"/>
          <w:highlight w:val="none"/>
        </w:rPr>
        <w:t>，</w:t>
      </w:r>
      <w:r>
        <w:rPr>
          <w:color w:val="auto"/>
          <w:szCs w:val="32"/>
          <w:highlight w:val="none"/>
        </w:rPr>
        <w:t>截至2022年12月底，</w:t>
      </w:r>
      <w:r>
        <w:rPr>
          <w:color w:val="auto"/>
          <w:highlight w:val="none"/>
        </w:rPr>
        <w:t>检查定点医药机构1107家（次），定点医药机构监督检查覆盖率达到100%。</w:t>
      </w:r>
    </w:p>
    <w:p>
      <w:pPr>
        <w:pStyle w:val="4"/>
        <w:ind w:firstLine="640"/>
        <w:rPr>
          <w:rFonts w:cs="Times New Roman"/>
          <w:color w:val="auto"/>
          <w:highlight w:val="none"/>
        </w:rPr>
      </w:pPr>
      <w:bookmarkStart w:id="81" w:name="_Toc1365"/>
      <w:bookmarkStart w:id="82" w:name="_Toc151997607"/>
      <w:bookmarkStart w:id="83" w:name="_Toc19043"/>
      <w:bookmarkStart w:id="84" w:name="_Toc32324"/>
      <w:r>
        <w:rPr>
          <w:rFonts w:cs="Times New Roman"/>
          <w:color w:val="auto"/>
          <w:highlight w:val="none"/>
        </w:rPr>
        <w:t>（三）</w:t>
      </w:r>
      <w:bookmarkEnd w:id="80"/>
      <w:r>
        <w:rPr>
          <w:rFonts w:cs="Times New Roman"/>
          <w:color w:val="auto"/>
          <w:highlight w:val="none"/>
        </w:rPr>
        <w:t>优化医保公共管理服务，提升医保公共服务能力。</w:t>
      </w:r>
      <w:bookmarkEnd w:id="81"/>
      <w:bookmarkEnd w:id="82"/>
      <w:bookmarkEnd w:id="83"/>
      <w:bookmarkEnd w:id="84"/>
    </w:p>
    <w:p>
      <w:pPr>
        <w:ind w:firstLine="640"/>
        <w:rPr>
          <w:color w:val="auto"/>
          <w:highlight w:val="none"/>
        </w:rPr>
      </w:pPr>
      <w:r>
        <w:rPr>
          <w:bCs/>
          <w:color w:val="auto"/>
          <w:highlight w:val="none"/>
        </w:rPr>
        <w:t>1.优化医保公共服务管理事项，促进医保服务更加高效优质。</w:t>
      </w:r>
      <w:r>
        <w:rPr>
          <w:b/>
          <w:bCs/>
          <w:color w:val="auto"/>
          <w:highlight w:val="none"/>
        </w:rPr>
        <w:t>一是</w:t>
      </w:r>
      <w:r>
        <w:rPr>
          <w:color w:val="auto"/>
          <w:highlight w:val="none"/>
        </w:rPr>
        <w:t>2022年印发《韶关市医疗保障经办政务服务事项清单》，大幅压减韶关市医保经办政务服务事项的办理时限，平均时限压缩率达35.60%。</w:t>
      </w:r>
      <w:r>
        <w:rPr>
          <w:b/>
          <w:bCs/>
          <w:color w:val="auto"/>
          <w:highlight w:val="none"/>
        </w:rPr>
        <w:t>二是</w:t>
      </w:r>
      <w:r>
        <w:rPr>
          <w:color w:val="auto"/>
          <w:highlight w:val="none"/>
        </w:rPr>
        <w:t>全面推广医保电子凭证应用，促进互联网、大数据等先进技术与医保融合，为参保群众提供更精准化、更精细化、更便捷高效的医疗保障服务。2022年全市医保电子凭证激活287</w:t>
      </w:r>
      <w:r>
        <w:rPr>
          <w:color w:val="auto"/>
          <w:highlight w:val="none"/>
          <w:lang w:bidi="ar"/>
        </w:rPr>
        <w:t>万余人</w:t>
      </w:r>
      <w:r>
        <w:rPr>
          <w:color w:val="auto"/>
          <w:highlight w:val="none"/>
        </w:rPr>
        <w:t>，激活率达到79.21%，与2021年（</w:t>
      </w:r>
      <w:r>
        <w:rPr>
          <w:color w:val="auto"/>
          <w:highlight w:val="none"/>
          <w:lang w:bidi="ar"/>
        </w:rPr>
        <w:t>116万人</w:t>
      </w:r>
      <w:r>
        <w:rPr>
          <w:color w:val="auto"/>
          <w:highlight w:val="none"/>
        </w:rPr>
        <w:t>）相较，同比增长147.41%。</w:t>
      </w:r>
    </w:p>
    <w:p>
      <w:pPr>
        <w:ind w:firstLine="640"/>
        <w:rPr>
          <w:color w:val="auto"/>
          <w:highlight w:val="none"/>
        </w:rPr>
      </w:pPr>
      <w:r>
        <w:rPr>
          <w:bCs/>
          <w:color w:val="auto"/>
          <w:highlight w:val="none"/>
        </w:rPr>
        <w:t>2.推进异地就医备案结算改革，实现异地就医直接结算。</w:t>
      </w:r>
      <w:r>
        <w:rPr>
          <w:b/>
          <w:bCs/>
          <w:color w:val="auto"/>
          <w:highlight w:val="none"/>
        </w:rPr>
        <w:t>一是</w:t>
      </w:r>
      <w:r>
        <w:rPr>
          <w:color w:val="auto"/>
          <w:highlight w:val="none"/>
        </w:rPr>
        <w:t>2022年市医疗保障局推进“不见面”的线上异地就医备案，全市异地就医备案实现在粤省事、粤医保、国家医保服务平台等多个平台全流程线上办理，打通群众异地就医备案难点、堵点。</w:t>
      </w:r>
      <w:r>
        <w:rPr>
          <w:b/>
          <w:bCs/>
          <w:color w:val="auto"/>
          <w:highlight w:val="none"/>
        </w:rPr>
        <w:t>二是</w:t>
      </w:r>
      <w:r>
        <w:rPr>
          <w:color w:val="auto"/>
          <w:highlight w:val="none"/>
        </w:rPr>
        <w:t>2022年全市160家医疗机构开通门诊医疗费用联网直接结算服务，实现52个门诊特定病种省内异地就医直接结算。截至2022年12月底，</w:t>
      </w:r>
      <w:r>
        <w:rPr>
          <w:color w:val="auto"/>
          <w:highlight w:val="none"/>
          <w:lang w:bidi="ar"/>
        </w:rPr>
        <w:t>跨省异地住院费用直接结算率67.50%，较2021年（51.25%）同比增长31.71%。</w:t>
      </w:r>
    </w:p>
    <w:p>
      <w:pPr>
        <w:ind w:firstLine="640"/>
        <w:rPr>
          <w:color w:val="auto"/>
          <w:szCs w:val="32"/>
          <w:highlight w:val="none"/>
        </w:rPr>
      </w:pPr>
      <w:r>
        <w:rPr>
          <w:bCs/>
          <w:color w:val="auto"/>
          <w:highlight w:val="none"/>
        </w:rPr>
        <w:t>3.推进药品和医用耗材集中采购，医药服务供给侧改革取得新成效</w:t>
      </w:r>
      <w:r>
        <w:rPr>
          <w:rFonts w:hint="eastAsia"/>
          <w:bCs/>
          <w:color w:val="auto"/>
          <w:highlight w:val="none"/>
        </w:rPr>
        <w:t>。</w:t>
      </w:r>
      <w:r>
        <w:rPr>
          <w:b/>
          <w:bCs/>
          <w:color w:val="auto"/>
          <w:highlight w:val="none"/>
        </w:rPr>
        <w:t>一是</w:t>
      </w:r>
      <w:r>
        <w:rPr>
          <w:color w:val="auto"/>
          <w:highlight w:val="none"/>
        </w:rPr>
        <w:t>2022年组织全市公立医疗机构参与国家和省组织</w:t>
      </w:r>
      <w:r>
        <w:rPr>
          <w:color w:val="auto"/>
          <w:szCs w:val="32"/>
          <w:highlight w:val="none"/>
        </w:rPr>
        <w:t>药品集中采购共11批次</w:t>
      </w:r>
      <w:r>
        <w:rPr>
          <w:rFonts w:hint="eastAsia"/>
          <w:color w:val="auto"/>
          <w:szCs w:val="32"/>
          <w:highlight w:val="none"/>
        </w:rPr>
        <w:t>，</w:t>
      </w:r>
      <w:r>
        <w:rPr>
          <w:color w:val="auto"/>
          <w:szCs w:val="32"/>
          <w:highlight w:val="none"/>
        </w:rPr>
        <w:t>对比2021年落实集采增加两批次共124个品种。2022年韶关市公立医疗机构采购集采药品订单金额1.21亿元，节约采购资金约1.3亿元。</w:t>
      </w:r>
      <w:r>
        <w:rPr>
          <w:b/>
          <w:bCs/>
          <w:color w:val="auto"/>
          <w:szCs w:val="32"/>
          <w:highlight w:val="none"/>
        </w:rPr>
        <w:t>二是</w:t>
      </w:r>
      <w:r>
        <w:rPr>
          <w:color w:val="auto"/>
          <w:szCs w:val="32"/>
          <w:highlight w:val="none"/>
        </w:rPr>
        <w:t>推进国家和省组织医用耗材集中带量采购落地共7批次，涉及冠脉支架、人工关节、冠脉扩张球囊、人工晶体、新冠核酸试剂、骨科创伤类等多个品种，平均降幅约83%，最高降幅达92%。</w:t>
      </w:r>
    </w:p>
    <w:p>
      <w:pPr>
        <w:pStyle w:val="3"/>
        <w:ind w:firstLine="640"/>
        <w:rPr>
          <w:color w:val="auto"/>
          <w:highlight w:val="none"/>
        </w:rPr>
      </w:pPr>
      <w:bookmarkStart w:id="85" w:name="_Toc17516"/>
      <w:bookmarkStart w:id="86" w:name="_Toc8526"/>
      <w:bookmarkStart w:id="87" w:name="_Toc151997608"/>
      <w:bookmarkStart w:id="88" w:name="_Toc16639"/>
      <w:bookmarkStart w:id="89" w:name="_Toc5690"/>
      <w:bookmarkStart w:id="90" w:name="_Toc13742"/>
      <w:r>
        <w:rPr>
          <w:color w:val="auto"/>
          <w:highlight w:val="none"/>
        </w:rPr>
        <w:t>五、存在问题</w:t>
      </w:r>
      <w:bookmarkEnd w:id="85"/>
      <w:bookmarkEnd w:id="86"/>
      <w:bookmarkEnd w:id="87"/>
      <w:bookmarkEnd w:id="88"/>
      <w:bookmarkEnd w:id="89"/>
      <w:bookmarkEnd w:id="90"/>
    </w:p>
    <w:p>
      <w:pPr>
        <w:pStyle w:val="4"/>
        <w:ind w:firstLine="640"/>
        <w:rPr>
          <w:rFonts w:cs="Times New Roman"/>
          <w:color w:val="auto"/>
          <w:highlight w:val="none"/>
        </w:rPr>
      </w:pPr>
      <w:bookmarkStart w:id="91" w:name="_Toc151997609"/>
      <w:bookmarkStart w:id="92" w:name="_Toc21423"/>
      <w:bookmarkStart w:id="93" w:name="_Toc27159"/>
      <w:bookmarkStart w:id="94" w:name="_Toc14541"/>
      <w:bookmarkStart w:id="95" w:name="_Toc15424"/>
      <w:bookmarkStart w:id="96" w:name="_Toc18632"/>
      <w:r>
        <w:rPr>
          <w:rFonts w:cs="Times New Roman"/>
          <w:color w:val="auto"/>
          <w:highlight w:val="none"/>
        </w:rPr>
        <w:t>（一）预算绩效管理意识薄弱，目标管理质量有待提升。</w:t>
      </w:r>
      <w:bookmarkEnd w:id="91"/>
    </w:p>
    <w:p>
      <w:pPr>
        <w:ind w:firstLine="640"/>
        <w:jc w:val="left"/>
        <w:rPr>
          <w:color w:val="auto"/>
          <w:highlight w:val="none"/>
        </w:rPr>
      </w:pPr>
      <w:r>
        <w:rPr>
          <w:bCs/>
          <w:color w:val="auto"/>
          <w:highlight w:val="none"/>
        </w:rPr>
        <w:t>1.</w:t>
      </w:r>
      <w:r>
        <w:rPr>
          <w:rFonts w:hint="eastAsia"/>
          <w:bCs/>
          <w:color w:val="auto"/>
          <w:highlight w:val="none"/>
        </w:rPr>
        <w:t>部分</w:t>
      </w:r>
      <w:r>
        <w:rPr>
          <w:bCs/>
          <w:color w:val="auto"/>
          <w:highlight w:val="none"/>
        </w:rPr>
        <w:t>指标设置质量不高。</w:t>
      </w:r>
      <w:r>
        <w:rPr>
          <w:rFonts w:hint="eastAsia"/>
          <w:color w:val="auto"/>
          <w:highlight w:val="none"/>
        </w:rPr>
        <w:t>2022年市医疗保障局部门</w:t>
      </w:r>
      <w:r>
        <w:rPr>
          <w:color w:val="auto"/>
          <w:highlight w:val="none"/>
        </w:rPr>
        <w:t>绩效目标设置存在以下不足：</w:t>
      </w:r>
      <w:r>
        <w:rPr>
          <w:b/>
          <w:bCs/>
          <w:color w:val="auto"/>
          <w:highlight w:val="none"/>
        </w:rPr>
        <w:t>一是</w:t>
      </w:r>
      <w:r>
        <w:rPr>
          <w:color w:val="auto"/>
          <w:highlight w:val="none"/>
        </w:rPr>
        <w:t>个别指标重复设置，如：“以应参保人数为基数计算的基本医保综合参保率”和“全民参保率”指标，前者为产出指标，后者为效益指标，且考核范围和对象基本一致。</w:t>
      </w:r>
      <w:r>
        <w:rPr>
          <w:b/>
          <w:bCs/>
          <w:color w:val="auto"/>
          <w:highlight w:val="none"/>
        </w:rPr>
        <w:t>二是</w:t>
      </w:r>
      <w:r>
        <w:rPr>
          <w:color w:val="auto"/>
          <w:highlight w:val="none"/>
        </w:rPr>
        <w:t>未设置时效指标，如：“医保经办政务服务事项平均时限压缩率”“项目按期完成率”等指标，指标设置欠完整全面。</w:t>
      </w:r>
      <w:r>
        <w:rPr>
          <w:b/>
          <w:bCs/>
          <w:color w:val="auto"/>
          <w:highlight w:val="none"/>
        </w:rPr>
        <w:t>三是</w:t>
      </w:r>
      <w:r>
        <w:rPr>
          <w:color w:val="auto"/>
          <w:highlight w:val="none"/>
        </w:rPr>
        <w:t>指标设置未能与</w:t>
      </w:r>
      <w:r>
        <w:rPr>
          <w:rFonts w:hint="eastAsia"/>
          <w:color w:val="auto"/>
          <w:highlight w:val="none"/>
        </w:rPr>
        <w:t>医疗保障规划</w:t>
      </w:r>
      <w:r>
        <w:rPr>
          <w:color w:val="auto"/>
          <w:highlight w:val="none"/>
        </w:rPr>
        <w:t>目标相衔接，如：缺少“基本医疗保险基金收支情况”“城乡居民和职工基本医疗保险政策范围内住院费用基金支付比例”“住院费用跨省直接结算率”等指标。除此之外，个别项目绩效目标设置还欠科学合理，如：韶关市医疗保障开展基金监管专项资金项目。“实际支出与计划支出率”为硬性约束指标，重复考核；设置“全民参保率”“参保对象满意度”与项目实施产生的效益的直接关联程度不大。</w:t>
      </w:r>
    </w:p>
    <w:p>
      <w:pPr>
        <w:ind w:firstLine="640"/>
        <w:jc w:val="left"/>
        <w:rPr>
          <w:color w:val="auto"/>
          <w:highlight w:val="none"/>
        </w:rPr>
      </w:pPr>
      <w:r>
        <w:rPr>
          <w:bCs/>
          <w:color w:val="auto"/>
          <w:highlight w:val="none"/>
        </w:rPr>
        <w:t>2.</w:t>
      </w:r>
      <w:r>
        <w:rPr>
          <w:rFonts w:hint="eastAsia"/>
          <w:bCs/>
          <w:color w:val="auto"/>
          <w:highlight w:val="none"/>
        </w:rPr>
        <w:t>部分指标未细化分解</w:t>
      </w:r>
      <w:r>
        <w:rPr>
          <w:bCs/>
          <w:color w:val="auto"/>
          <w:highlight w:val="none"/>
        </w:rPr>
        <w:t>。</w:t>
      </w:r>
      <w:r>
        <w:rPr>
          <w:color w:val="auto"/>
          <w:highlight w:val="none"/>
        </w:rPr>
        <w:t>2022年市医疗保障局涉及的4个专项资金共有49项绩效指标，其中</w:t>
      </w:r>
      <w:r>
        <w:rPr>
          <w:color w:val="auto"/>
          <w:highlight w:val="none"/>
        </w:rPr>
        <w:t>1</w:t>
      </w:r>
      <w:r>
        <w:rPr>
          <w:rFonts w:hint="eastAsia"/>
          <w:color w:val="auto"/>
          <w:highlight w:val="none"/>
          <w:lang w:val="en-US" w:eastAsia="zh-CN"/>
        </w:rPr>
        <w:t>1</w:t>
      </w:r>
      <w:r>
        <w:rPr>
          <w:color w:val="auto"/>
          <w:highlight w:val="none"/>
        </w:rPr>
        <w:t>项指标因市医疗保障局未结合韶关市实际情况，细化分解上级下达指标，导致年度终了，难以对标考核其实际完成情况，总结财政</w:t>
      </w:r>
      <w:r>
        <w:rPr>
          <w:rFonts w:hint="eastAsia"/>
          <w:color w:val="auto"/>
          <w:highlight w:val="none"/>
        </w:rPr>
        <w:t>资金</w:t>
      </w:r>
      <w:r>
        <w:rPr>
          <w:color w:val="auto"/>
          <w:highlight w:val="none"/>
        </w:rPr>
        <w:t>投入对应</w:t>
      </w:r>
      <w:r>
        <w:rPr>
          <w:rFonts w:hint="eastAsia"/>
          <w:color w:val="auto"/>
          <w:highlight w:val="none"/>
        </w:rPr>
        <w:t>产出</w:t>
      </w:r>
      <w:r>
        <w:rPr>
          <w:color w:val="auto"/>
          <w:highlight w:val="none"/>
        </w:rPr>
        <w:t>的绩效。</w:t>
      </w:r>
    </w:p>
    <w:p>
      <w:pPr>
        <w:pStyle w:val="4"/>
        <w:ind w:firstLine="640"/>
        <w:rPr>
          <w:rFonts w:cs="Times New Roman"/>
          <w:color w:val="auto"/>
          <w:highlight w:val="none"/>
        </w:rPr>
      </w:pPr>
      <w:bookmarkStart w:id="97" w:name="_Toc151997610"/>
      <w:r>
        <w:rPr>
          <w:rFonts w:cs="Times New Roman"/>
          <w:color w:val="auto"/>
          <w:highlight w:val="none"/>
        </w:rPr>
        <w:t>（</w:t>
      </w:r>
      <w:r>
        <w:rPr>
          <w:rFonts w:hint="eastAsia" w:cs="Times New Roman"/>
          <w:color w:val="auto"/>
          <w:highlight w:val="none"/>
        </w:rPr>
        <w:t>二</w:t>
      </w:r>
      <w:r>
        <w:rPr>
          <w:rFonts w:cs="Times New Roman"/>
          <w:color w:val="auto"/>
          <w:highlight w:val="none"/>
        </w:rPr>
        <w:t>）</w:t>
      </w:r>
      <w:bookmarkEnd w:id="92"/>
      <w:bookmarkEnd w:id="93"/>
      <w:r>
        <w:rPr>
          <w:rFonts w:cs="Times New Roman"/>
          <w:color w:val="auto"/>
          <w:highlight w:val="none"/>
        </w:rPr>
        <w:t>资金管理不够规范，监管能力仍需提升。</w:t>
      </w:r>
      <w:bookmarkEnd w:id="94"/>
      <w:bookmarkEnd w:id="95"/>
      <w:bookmarkEnd w:id="96"/>
      <w:bookmarkEnd w:id="97"/>
    </w:p>
    <w:p>
      <w:pPr>
        <w:ind w:firstLine="640"/>
        <w:jc w:val="left"/>
        <w:rPr>
          <w:color w:val="auto"/>
          <w:kern w:val="0"/>
          <w:highlight w:val="none"/>
        </w:rPr>
      </w:pPr>
      <w:bookmarkStart w:id="98" w:name="_Toc3053"/>
      <w:r>
        <w:rPr>
          <w:color w:val="auto"/>
          <w:kern w:val="0"/>
          <w:highlight w:val="none"/>
        </w:rPr>
        <w:t>2022年市医疗保障局资金监管模式主要以监控预算执行进度为主，缺少对资金实际用途是否符合相关要求的监督</w:t>
      </w:r>
      <w:r>
        <w:rPr>
          <w:rFonts w:hint="eastAsia"/>
          <w:color w:val="auto"/>
          <w:kern w:val="0"/>
          <w:highlight w:val="none"/>
        </w:rPr>
        <w:t>和</w:t>
      </w:r>
      <w:r>
        <w:rPr>
          <w:color w:val="auto"/>
          <w:kern w:val="0"/>
          <w:highlight w:val="none"/>
        </w:rPr>
        <w:t>检查，资金管理水平有待加强，</w:t>
      </w:r>
      <w:r>
        <w:rPr>
          <w:rFonts w:hint="eastAsia"/>
          <w:color w:val="auto"/>
          <w:kern w:val="0"/>
          <w:highlight w:val="none"/>
        </w:rPr>
        <w:t>导致出现以下情况</w:t>
      </w:r>
      <w:r>
        <w:rPr>
          <w:color w:val="auto"/>
          <w:kern w:val="0"/>
          <w:highlight w:val="none"/>
        </w:rPr>
        <w:t>。</w:t>
      </w:r>
    </w:p>
    <w:p>
      <w:pPr>
        <w:ind w:firstLine="643"/>
        <w:jc w:val="left"/>
        <w:rPr>
          <w:color w:val="auto"/>
          <w:kern w:val="0"/>
          <w:highlight w:val="none"/>
        </w:rPr>
      </w:pPr>
      <w:r>
        <w:rPr>
          <w:b/>
          <w:bCs/>
          <w:color w:val="auto"/>
          <w:kern w:val="0"/>
          <w:highlight w:val="none"/>
        </w:rPr>
        <w:t>一是个别项目未专款专用。</w:t>
      </w:r>
      <w:r>
        <w:rPr>
          <w:color w:val="auto"/>
          <w:kern w:val="0"/>
          <w:highlight w:val="none"/>
        </w:rPr>
        <w:t>如：城乡居民基本医疗保险宣传培训经费。2022年下达曲江区3.6万元，其中1.73万元主要用于支付办公用品和耗材等（占比48.33%），不符合《广东省省级城乡居民基本医疗保险宣传培训资金管理办法（修订）》第三条“宣传培训资金用于城乡居民基本医疗保险政策宣传，业务培训，推进扩面征缴等相关业务支出”规定。</w:t>
      </w:r>
    </w:p>
    <w:p>
      <w:pPr>
        <w:ind w:firstLine="643"/>
        <w:rPr>
          <w:color w:val="auto"/>
          <w:kern w:val="0"/>
          <w:highlight w:val="none"/>
        </w:rPr>
      </w:pPr>
      <w:r>
        <w:rPr>
          <w:b/>
          <w:bCs/>
          <w:color w:val="auto"/>
          <w:kern w:val="0"/>
          <w:highlight w:val="none"/>
        </w:rPr>
        <w:t>二是个别项目偏离资金规定用途。</w:t>
      </w:r>
      <w:r>
        <w:rPr>
          <w:color w:val="auto"/>
          <w:kern w:val="0"/>
          <w:highlight w:val="none"/>
        </w:rPr>
        <w:t>如：中央财政医疗服务与保障能力提升补助资金。专项转移支付10个县（市、区）中，9个县（市、区）实际支出均出现不同程度的偏差，例如浈江区资金下达9万元，其中</w:t>
      </w:r>
      <w:r>
        <w:rPr>
          <w:color w:val="auto"/>
          <w:kern w:val="0"/>
          <w:highlight w:val="none"/>
          <w:lang w:bidi="ar"/>
        </w:rPr>
        <w:t>3.52用于采购打印机、保密柜、电脑、移动电视支架、会议室背景墙清理拆除等，占下达资金比重39.06%</w:t>
      </w:r>
      <w:r>
        <w:rPr>
          <w:color w:val="auto"/>
          <w:kern w:val="0"/>
          <w:highlight w:val="none"/>
        </w:rPr>
        <w:t>，偏离《关于下达2022年中央财政医疗服务与保障能力提升补助资金的通知》（粤财社〔2021〕307号）明确提出：“</w:t>
      </w:r>
      <w:r>
        <w:rPr>
          <w:color w:val="auto"/>
          <w:kern w:val="0"/>
          <w:sz w:val="31"/>
          <w:szCs w:val="31"/>
          <w:highlight w:val="none"/>
          <w:lang w:bidi="ar"/>
        </w:rPr>
        <w:t>该项资金用于医疗保障能力建设，主要包括战略规划、综合监管、宣传引导、经办服务能力提升、信息化建设、人才队伍建设等</w:t>
      </w:r>
      <w:r>
        <w:rPr>
          <w:color w:val="auto"/>
          <w:kern w:val="0"/>
          <w:highlight w:val="none"/>
        </w:rPr>
        <w:t>”要求。</w:t>
      </w:r>
      <w:r>
        <w:rPr>
          <w:rFonts w:hint="eastAsia"/>
          <w:color w:val="auto"/>
          <w:kern w:val="0"/>
          <w:highlight w:val="none"/>
        </w:rPr>
        <w:t>根据《广东省医疗保障局关于做好医疗服务和保障能力提升补助资金查出问题整改落实的通知》，韶关市</w:t>
      </w:r>
      <w:r>
        <w:rPr>
          <w:rFonts w:hint="eastAsia"/>
          <w:color w:val="auto"/>
          <w:kern w:val="0"/>
          <w:highlight w:val="none"/>
          <w:lang w:eastAsia="zh-CN"/>
        </w:rPr>
        <w:t>部分县（市、区）</w:t>
      </w:r>
      <w:r>
        <w:rPr>
          <w:rFonts w:hint="eastAsia"/>
          <w:color w:val="auto"/>
          <w:kern w:val="0"/>
          <w:highlight w:val="none"/>
        </w:rPr>
        <w:t>存在2022年使用补助资金不合规的情况（包含本次评价披露问题）。经了解，截至2023年11月，</w:t>
      </w:r>
      <w:r>
        <w:rPr>
          <w:rFonts w:hint="eastAsia"/>
          <w:color w:val="auto"/>
          <w:kern w:val="0"/>
          <w:highlight w:val="none"/>
          <w:lang w:eastAsia="zh-CN"/>
        </w:rPr>
        <w:t>相关县（市、区）</w:t>
      </w:r>
      <w:r>
        <w:rPr>
          <w:rFonts w:hint="eastAsia"/>
          <w:color w:val="auto"/>
          <w:kern w:val="0"/>
          <w:highlight w:val="none"/>
        </w:rPr>
        <w:t>医疗保障局组织相关单位完成该问题的整改工作。</w:t>
      </w:r>
    </w:p>
    <w:p>
      <w:pPr>
        <w:pStyle w:val="25"/>
        <w:rPr>
          <w:color w:val="auto"/>
          <w:highlight w:val="none"/>
        </w:rPr>
      </w:pPr>
      <w:r>
        <w:rPr>
          <w:color w:val="auto"/>
          <w:highlight w:val="none"/>
        </w:rPr>
        <w:t>表5-1 项目资金偏离规定用途信息统计表</w:t>
      </w:r>
    </w:p>
    <w:p>
      <w:pPr>
        <w:spacing w:line="560" w:lineRule="exact"/>
        <w:ind w:firstLine="0" w:firstLineChars="0"/>
        <w:jc w:val="right"/>
        <w:rPr>
          <w:rFonts w:eastAsia="宋体"/>
          <w:b w:val="0"/>
          <w:bCs/>
          <w:color w:val="auto"/>
          <w:sz w:val="24"/>
          <w:szCs w:val="24"/>
          <w:highlight w:val="none"/>
        </w:rPr>
      </w:pPr>
      <w:r>
        <w:rPr>
          <w:rFonts w:eastAsia="宋体"/>
          <w:b w:val="0"/>
          <w:bCs/>
          <w:color w:val="auto"/>
          <w:sz w:val="24"/>
          <w:szCs w:val="24"/>
          <w:highlight w:val="none"/>
        </w:rPr>
        <w:t>单位：万元</w:t>
      </w:r>
    </w:p>
    <w:tbl>
      <w:tblPr>
        <w:tblStyle w:val="18"/>
        <w:tblW w:w="4996" w:type="pct"/>
        <w:jc w:val="center"/>
        <w:tblLayout w:type="autofit"/>
        <w:tblCellMar>
          <w:top w:w="0" w:type="dxa"/>
          <w:left w:w="108" w:type="dxa"/>
          <w:bottom w:w="0" w:type="dxa"/>
          <w:right w:w="108" w:type="dxa"/>
        </w:tblCellMar>
      </w:tblPr>
      <w:tblGrid>
        <w:gridCol w:w="1667"/>
        <w:gridCol w:w="1262"/>
        <w:gridCol w:w="1680"/>
        <w:gridCol w:w="1332"/>
        <w:gridCol w:w="3226"/>
      </w:tblGrid>
      <w:tr>
        <w:tblPrEx>
          <w:tblCellMar>
            <w:top w:w="0" w:type="dxa"/>
            <w:left w:w="108" w:type="dxa"/>
            <w:bottom w:w="0" w:type="dxa"/>
            <w:right w:w="108" w:type="dxa"/>
          </w:tblCellMar>
        </w:tblPrEx>
        <w:trPr>
          <w:trHeight w:val="454" w:hRule="atLeast"/>
          <w:tblHeader/>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县（市、区）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下达资金</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偏离资金规定用途的金额</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资金占比</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用途</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乐昌市</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w:t>
            </w:r>
            <w:r>
              <w:rPr>
                <w:rFonts w:hint="eastAsia" w:eastAsia="宋体"/>
                <w:color w:val="auto"/>
                <w:kern w:val="0"/>
                <w:sz w:val="21"/>
                <w:szCs w:val="21"/>
                <w:highlight w:val="none"/>
                <w:lang w:bidi="ar"/>
              </w:rPr>
              <w:t>6</w:t>
            </w:r>
            <w:r>
              <w:rPr>
                <w:rFonts w:eastAsia="宋体"/>
                <w:color w:val="auto"/>
                <w:kern w:val="0"/>
                <w:sz w:val="21"/>
                <w:szCs w:val="21"/>
                <w:highlight w:val="none"/>
                <w:lang w:bidi="ar"/>
              </w:rPr>
              <w:t>.00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6.67</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hint="eastAsia" w:eastAsia="宋体"/>
                <w:color w:val="auto"/>
                <w:kern w:val="0"/>
                <w:sz w:val="21"/>
                <w:szCs w:val="21"/>
                <w:highlight w:val="none"/>
                <w:lang w:bidi="ar"/>
              </w:rPr>
              <w:t>41.69</w:t>
            </w:r>
            <w:r>
              <w:rPr>
                <w:rFonts w:eastAsia="宋体"/>
                <w:color w:val="auto"/>
                <w:kern w:val="0"/>
                <w:sz w:val="21"/>
                <w:szCs w:val="21"/>
                <w:highlight w:val="none"/>
                <w:lang w:bidi="ar"/>
              </w:rPr>
              <w:t>%</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采购档案盒、打印机、手提电脑、保密柜、佳能相机、碎纸机等。</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南雄市</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15.00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1.17</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7.80%</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采购打印机。</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曲江区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11.00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2.11</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19.18%</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采购电脑。</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仁化县</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9.00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0.00</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0.00%</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乳源瑶族</w:t>
            </w:r>
          </w:p>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自治县</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9.00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6.99</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77.67%</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采购办公家具、交换机、固态硬盘、涉密设备、交换机、硒鼓等配件等。</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始兴县</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9.00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1.29</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14.33%</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购置会议室桌椅。</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翁源县</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14.00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3.55</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25.36%</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购置培训折叠桌、专用设备；用于保密室改造、设备安装等。</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武江区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10.25</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1.18</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11.51%</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购买复印纸、购买喷墨打印机等。</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新丰县</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10.00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2.02</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20.20%</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拨付聘请法律顾问费用、支付购买医保行业信息保密电脑及相关配件费用。</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浈江区</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9.00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3.52</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39.11%</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olor w:val="auto"/>
                <w:sz w:val="21"/>
                <w:szCs w:val="21"/>
                <w:highlight w:val="none"/>
              </w:rPr>
            </w:pPr>
            <w:r>
              <w:rPr>
                <w:rFonts w:eastAsia="宋体"/>
                <w:color w:val="auto"/>
                <w:kern w:val="0"/>
                <w:sz w:val="21"/>
                <w:szCs w:val="21"/>
                <w:highlight w:val="none"/>
                <w:lang w:bidi="ar"/>
              </w:rPr>
              <w:t>采购打印机、保密柜、电脑、移动电视支架、会议室背景墙清理拆除等。</w:t>
            </w:r>
          </w:p>
        </w:tc>
      </w:tr>
      <w:tr>
        <w:tblPrEx>
          <w:tblCellMar>
            <w:top w:w="0" w:type="dxa"/>
            <w:left w:w="108" w:type="dxa"/>
            <w:bottom w:w="0" w:type="dxa"/>
            <w:right w:w="108" w:type="dxa"/>
          </w:tblCellMar>
        </w:tblPrEx>
        <w:trPr>
          <w:trHeight w:val="454" w:hRule="atLeast"/>
          <w:jc w:val="center"/>
        </w:trPr>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合计</w:t>
            </w:r>
          </w:p>
        </w:tc>
        <w:tc>
          <w:tcPr>
            <w:tcW w:w="6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fldChar w:fldCharType="begin"/>
            </w:r>
            <w:r>
              <w:rPr>
                <w:rFonts w:eastAsia="宋体"/>
                <w:b/>
                <w:bCs/>
                <w:color w:val="auto"/>
                <w:kern w:val="0"/>
                <w:sz w:val="21"/>
                <w:szCs w:val="21"/>
                <w:highlight w:val="none"/>
                <w:lang w:bidi="ar"/>
              </w:rPr>
              <w:instrText xml:space="preserve"> = sum(B2:B11) \* MERGEFORMAT </w:instrText>
            </w:r>
            <w:r>
              <w:rPr>
                <w:rFonts w:eastAsia="宋体"/>
                <w:b/>
                <w:bCs/>
                <w:color w:val="auto"/>
                <w:kern w:val="0"/>
                <w:sz w:val="21"/>
                <w:szCs w:val="21"/>
                <w:highlight w:val="none"/>
                <w:lang w:bidi="ar"/>
              </w:rPr>
              <w:fldChar w:fldCharType="separate"/>
            </w:r>
            <w:r>
              <w:rPr>
                <w:rFonts w:eastAsia="宋体"/>
                <w:b/>
                <w:bCs/>
                <w:color w:val="auto"/>
                <w:kern w:val="0"/>
                <w:sz w:val="21"/>
                <w:szCs w:val="21"/>
                <w:highlight w:val="none"/>
                <w:lang w:bidi="ar"/>
              </w:rPr>
              <w:t>112.25</w:t>
            </w:r>
            <w:r>
              <w:rPr>
                <w:rFonts w:eastAsia="宋体"/>
                <w:b/>
                <w:bCs/>
                <w:color w:val="auto"/>
                <w:kern w:val="0"/>
                <w:sz w:val="21"/>
                <w:szCs w:val="21"/>
                <w:highlight w:val="none"/>
                <w:lang w:bidi="ar"/>
              </w:rPr>
              <w:fldChar w:fldCharType="end"/>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28.49</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hint="eastAsia" w:eastAsia="宋体"/>
                <w:b/>
                <w:bCs/>
                <w:color w:val="auto"/>
                <w:kern w:val="0"/>
                <w:sz w:val="21"/>
                <w:szCs w:val="21"/>
                <w:highlight w:val="none"/>
                <w:lang w:bidi="ar"/>
              </w:rPr>
              <w:t>25.38</w:t>
            </w:r>
            <w:r>
              <w:rPr>
                <w:rFonts w:eastAsia="宋体"/>
                <w:b/>
                <w:bCs/>
                <w:color w:val="auto"/>
                <w:kern w:val="0"/>
                <w:sz w:val="21"/>
                <w:szCs w:val="21"/>
                <w:highlight w:val="none"/>
                <w:lang w:bidi="ar"/>
              </w:rPr>
              <w:t>%</w:t>
            </w:r>
          </w:p>
        </w:tc>
        <w:tc>
          <w:tcPr>
            <w:tcW w:w="17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w:t>
            </w:r>
          </w:p>
        </w:tc>
      </w:tr>
    </w:tbl>
    <w:p>
      <w:pPr>
        <w:pStyle w:val="4"/>
        <w:ind w:firstLine="640"/>
        <w:rPr>
          <w:rFonts w:cs="Times New Roman"/>
          <w:color w:val="auto"/>
          <w:highlight w:val="none"/>
        </w:rPr>
      </w:pPr>
      <w:bookmarkStart w:id="99" w:name="_Toc5494"/>
      <w:bookmarkStart w:id="100" w:name="_Toc151997611"/>
      <w:bookmarkStart w:id="101" w:name="_Toc8186"/>
      <w:bookmarkStart w:id="102" w:name="_Toc15126"/>
      <w:r>
        <w:rPr>
          <w:rFonts w:cs="Times New Roman"/>
          <w:color w:val="auto"/>
          <w:highlight w:val="none"/>
        </w:rPr>
        <w:t>（</w:t>
      </w:r>
      <w:r>
        <w:rPr>
          <w:rFonts w:hint="eastAsia" w:cs="Times New Roman"/>
          <w:color w:val="auto"/>
          <w:highlight w:val="none"/>
        </w:rPr>
        <w:t>三</w:t>
      </w:r>
      <w:r>
        <w:rPr>
          <w:rFonts w:cs="Times New Roman"/>
          <w:color w:val="auto"/>
          <w:highlight w:val="none"/>
        </w:rPr>
        <w:t>）</w:t>
      </w:r>
      <w:bookmarkEnd w:id="98"/>
      <w:r>
        <w:rPr>
          <w:rFonts w:cs="Times New Roman"/>
          <w:color w:val="auto"/>
          <w:highlight w:val="none"/>
        </w:rPr>
        <w:t>内控制度健全性不足，部分制度执行不到位。</w:t>
      </w:r>
      <w:bookmarkEnd w:id="99"/>
      <w:bookmarkEnd w:id="100"/>
      <w:bookmarkEnd w:id="101"/>
      <w:bookmarkEnd w:id="102"/>
    </w:p>
    <w:p>
      <w:pPr>
        <w:ind w:firstLine="640"/>
        <w:rPr>
          <w:color w:val="auto"/>
          <w:highlight w:val="none"/>
        </w:rPr>
      </w:pPr>
      <w:r>
        <w:rPr>
          <w:bCs/>
          <w:color w:val="auto"/>
          <w:highlight w:val="none"/>
        </w:rPr>
        <w:t>1.</w:t>
      </w:r>
      <w:r>
        <w:rPr>
          <w:rFonts w:hint="eastAsia"/>
          <w:bCs/>
          <w:color w:val="auto"/>
          <w:highlight w:val="none"/>
        </w:rPr>
        <w:t>个别</w:t>
      </w:r>
      <w:r>
        <w:rPr>
          <w:bCs/>
          <w:color w:val="auto"/>
          <w:highlight w:val="none"/>
        </w:rPr>
        <w:t>管理制度不够健全。</w:t>
      </w:r>
      <w:r>
        <w:rPr>
          <w:b/>
          <w:bCs/>
          <w:color w:val="auto"/>
          <w:highlight w:val="none"/>
        </w:rPr>
        <w:t>一是</w:t>
      </w:r>
      <w:r>
        <w:rPr>
          <w:color w:val="auto"/>
          <w:highlight w:val="none"/>
        </w:rPr>
        <w:t>《韶关市医疗保障局政府采购管理制度（试行）》未衔接2020年3月2日印发《财政部关于开展政府采购意向公开工作的通知》（财库〔2020〕10号）</w:t>
      </w:r>
      <w:r>
        <w:rPr>
          <w:rStyle w:val="23"/>
          <w:color w:val="auto"/>
          <w:highlight w:val="none"/>
        </w:rPr>
        <w:footnoteReference w:id="17"/>
      </w:r>
      <w:r>
        <w:rPr>
          <w:color w:val="auto"/>
          <w:highlight w:val="none"/>
        </w:rPr>
        <w:t>有关政府采购意向公开工作要求、政府采购需求管理等。</w:t>
      </w:r>
      <w:r>
        <w:rPr>
          <w:b/>
          <w:bCs/>
          <w:color w:val="auto"/>
          <w:highlight w:val="none"/>
        </w:rPr>
        <w:t>二是</w:t>
      </w:r>
      <w:r>
        <w:rPr>
          <w:color w:val="auto"/>
          <w:highlight w:val="none"/>
        </w:rPr>
        <w:t>《韶关市医疗保障局固定资产管理规定（试行）》缺少核算入账、出租、对外投资，以及绩效管理等重点环节，不符合2020年8月26日印发实施《财政部关于加强行政事业单位固定资产管理的通知》（财资〔2020〕97号）明确提出：“针对固定资产验收登记、核算入账、领用移交、维修保管、清查盘点、出租出借、对外投资、回收处置、绩效管理等重点环节，查漏补缺，明确操作规程，确保流程清晰、管理规范、责任可查规定”要求。除此之外，个别条款未根据现行制度及时更新修订，如：制度第三条提出“购置、更新固定资产，由使用部门根据工作需要结合行政单位常用公用设施配置标准提出购置申请，填写《办公用品（含固定资产）购置审批表》，报办公室按规定程序审批或购置”要求，未与《行政事业性国有资产管理条例》（2021年4月1日施行）第八条“各部门及其所属单位应当根据依法履行职能和事业发展的需要，结合资产存量、资产配置标准、绩效目标和财政承受能力配置资产”；第九条“各部门及其所属单位应当合理选择资产配置方式，资产配置重大事项应当经可行性研究和集体决策，资产价值较高的按照国家有关规定进行资产评估，并履行审批程序”；第十一条“各部门及其所属单位应当优先通过调剂方式配置资产。不能调剂的，可以采用购置、建设、租用等方式”等要求紧密衔接。</w:t>
      </w:r>
    </w:p>
    <w:p>
      <w:pPr>
        <w:ind w:firstLine="643"/>
        <w:rPr>
          <w:color w:val="auto"/>
          <w:highlight w:val="none"/>
        </w:rPr>
      </w:pPr>
      <w:r>
        <w:rPr>
          <w:bCs/>
          <w:color w:val="auto"/>
          <w:highlight w:val="none"/>
        </w:rPr>
        <w:t>2.</w:t>
      </w:r>
      <w:r>
        <w:rPr>
          <w:rFonts w:hint="eastAsia"/>
          <w:bCs/>
          <w:color w:val="auto"/>
          <w:highlight w:val="none"/>
        </w:rPr>
        <w:t>个别</w:t>
      </w:r>
      <w:r>
        <w:rPr>
          <w:bCs/>
          <w:color w:val="auto"/>
          <w:highlight w:val="none"/>
        </w:rPr>
        <w:t>管理制度执行不够到位。</w:t>
      </w:r>
      <w:r>
        <w:rPr>
          <w:color w:val="auto"/>
          <w:highlight w:val="none"/>
        </w:rPr>
        <w:t>2022年6月，市医疗保障局组织各业务科室开展固定资产自查，但未组织开展全面的固定资产清理、清查，不符合《韶关市医疗保障局固定资产管理规定（试行）》“办公室每年9月份开展固定资产清理、清查。各部门应在每年8月31日前对本部门使用的固定资产自查一次，上报办公室进行核对，做到账物相符”要求。</w:t>
      </w:r>
      <w:bookmarkStart w:id="103" w:name="_Toc9278"/>
    </w:p>
    <w:p>
      <w:pPr>
        <w:ind w:firstLine="643"/>
        <w:rPr>
          <w:color w:val="auto"/>
          <w:szCs w:val="32"/>
          <w:highlight w:val="none"/>
        </w:rPr>
      </w:pPr>
      <w:r>
        <w:rPr>
          <w:rFonts w:hint="eastAsia"/>
          <w:b w:val="0"/>
          <w:bCs w:val="0"/>
          <w:color w:val="auto"/>
          <w:szCs w:val="32"/>
          <w:highlight w:val="none"/>
          <w:lang w:val="en-US" w:eastAsia="zh-CN"/>
        </w:rPr>
        <w:t>3.</w:t>
      </w:r>
      <w:r>
        <w:rPr>
          <w:b w:val="0"/>
          <w:bCs w:val="0"/>
          <w:color w:val="auto"/>
          <w:szCs w:val="32"/>
          <w:highlight w:val="none"/>
        </w:rPr>
        <w:t>个别资产超数量标准配置。</w:t>
      </w:r>
      <w:r>
        <w:rPr>
          <w:color w:val="auto"/>
          <w:szCs w:val="32"/>
          <w:highlight w:val="none"/>
        </w:rPr>
        <w:t>2022年市医疗保障局编制内实有人数15人，根据《中央行政单位通用办公设备家具配置标准》有关要求，对照《2022年固定资产盘点表》核查发现，市医疗保障局配置便携式计算机26台、打印机20台、扫描仪7台、碎纸机7台、台式计算机41台、一体机12台，分别超出数量上限</w:t>
      </w:r>
      <w:r>
        <w:rPr>
          <w:color w:val="auto"/>
          <w:szCs w:val="32"/>
          <w:highlight w:val="none"/>
          <w:lang w:bidi="ar"/>
        </w:rPr>
        <w:t>18</w:t>
      </w:r>
      <w:r>
        <w:rPr>
          <w:color w:val="auto"/>
          <w:szCs w:val="32"/>
          <w:highlight w:val="none"/>
        </w:rPr>
        <w:t>台</w:t>
      </w:r>
      <w:r>
        <w:rPr>
          <w:color w:val="auto"/>
          <w:szCs w:val="32"/>
          <w:highlight w:val="none"/>
          <w:lang w:bidi="ar"/>
        </w:rPr>
        <w:t>、8</w:t>
      </w:r>
      <w:r>
        <w:rPr>
          <w:color w:val="auto"/>
          <w:szCs w:val="32"/>
          <w:highlight w:val="none"/>
        </w:rPr>
        <w:t>台</w:t>
      </w:r>
      <w:r>
        <w:rPr>
          <w:color w:val="auto"/>
          <w:szCs w:val="32"/>
          <w:highlight w:val="none"/>
          <w:lang w:bidi="ar"/>
        </w:rPr>
        <w:t>、6</w:t>
      </w:r>
      <w:r>
        <w:rPr>
          <w:color w:val="auto"/>
          <w:szCs w:val="32"/>
          <w:highlight w:val="none"/>
        </w:rPr>
        <w:t>台</w:t>
      </w:r>
      <w:r>
        <w:rPr>
          <w:color w:val="auto"/>
          <w:szCs w:val="32"/>
          <w:highlight w:val="none"/>
          <w:lang w:bidi="ar"/>
        </w:rPr>
        <w:t>、6</w:t>
      </w:r>
      <w:r>
        <w:rPr>
          <w:color w:val="auto"/>
          <w:szCs w:val="32"/>
          <w:highlight w:val="none"/>
        </w:rPr>
        <w:t>台</w:t>
      </w:r>
      <w:r>
        <w:rPr>
          <w:color w:val="auto"/>
          <w:szCs w:val="32"/>
          <w:highlight w:val="none"/>
          <w:lang w:bidi="ar"/>
        </w:rPr>
        <w:t>、26</w:t>
      </w:r>
      <w:r>
        <w:rPr>
          <w:color w:val="auto"/>
          <w:szCs w:val="32"/>
          <w:highlight w:val="none"/>
        </w:rPr>
        <w:t>台</w:t>
      </w:r>
      <w:r>
        <w:rPr>
          <w:color w:val="auto"/>
          <w:szCs w:val="32"/>
          <w:highlight w:val="none"/>
          <w:lang w:bidi="ar"/>
        </w:rPr>
        <w:t>、7</w:t>
      </w:r>
      <w:r>
        <w:rPr>
          <w:color w:val="auto"/>
          <w:szCs w:val="32"/>
          <w:highlight w:val="none"/>
        </w:rPr>
        <w:t>台（具体见表5-3），在此基础上，</w:t>
      </w:r>
      <w:r>
        <w:rPr>
          <w:color w:val="auto"/>
          <w:highlight w:val="none"/>
        </w:rPr>
        <w:t>2022年12月市医疗保障局仍购进用于基金监管工作的打印机1台、碎纸机1台，总价0.42万元；用于医保工作的打印机1台，总价0.18万元，不符合《行政事业性国有资产管理条例》第八条“各部门及其所属单位应当根据依法履行职能和事业发展的需要，结合资产存量、资产配置标准、绩效目标和财政承受能力配置资产”要求。</w:t>
      </w:r>
    </w:p>
    <w:p>
      <w:pPr>
        <w:pStyle w:val="25"/>
        <w:rPr>
          <w:color w:val="auto"/>
          <w:highlight w:val="none"/>
        </w:rPr>
      </w:pPr>
      <w:r>
        <w:rPr>
          <w:color w:val="auto"/>
          <w:highlight w:val="none"/>
        </w:rPr>
        <w:t>表5-3 办公设备超标准配置情况表</w:t>
      </w:r>
    </w:p>
    <w:tbl>
      <w:tblPr>
        <w:tblStyle w:val="18"/>
        <w:tblW w:w="4996" w:type="pct"/>
        <w:jc w:val="center"/>
        <w:tblLayout w:type="fixed"/>
        <w:tblCellMar>
          <w:top w:w="0" w:type="dxa"/>
          <w:left w:w="108" w:type="dxa"/>
          <w:bottom w:w="0" w:type="dxa"/>
          <w:right w:w="108" w:type="dxa"/>
        </w:tblCellMar>
      </w:tblPr>
      <w:tblGrid>
        <w:gridCol w:w="1690"/>
        <w:gridCol w:w="3461"/>
        <w:gridCol w:w="1579"/>
        <w:gridCol w:w="2437"/>
      </w:tblGrid>
      <w:tr>
        <w:tblPrEx>
          <w:tblCellMar>
            <w:top w:w="0" w:type="dxa"/>
            <w:left w:w="108" w:type="dxa"/>
            <w:bottom w:w="0" w:type="dxa"/>
            <w:right w:w="108" w:type="dxa"/>
          </w:tblCellMar>
        </w:tblPrEx>
        <w:trPr>
          <w:trHeight w:val="454" w:hRule="atLeast"/>
          <w:jc w:val="center"/>
        </w:trPr>
        <w:tc>
          <w:tcPr>
            <w:tcW w:w="922"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资产名称</w:t>
            </w:r>
          </w:p>
        </w:tc>
        <w:tc>
          <w:tcPr>
            <w:tcW w:w="18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配置数量标准</w:t>
            </w:r>
          </w:p>
        </w:tc>
        <w:tc>
          <w:tcPr>
            <w:tcW w:w="86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实际配置数量</w:t>
            </w:r>
          </w:p>
        </w:tc>
        <w:tc>
          <w:tcPr>
            <w:tcW w:w="132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sz w:val="21"/>
                <w:szCs w:val="21"/>
                <w:highlight w:val="none"/>
              </w:rPr>
            </w:pPr>
            <w:r>
              <w:rPr>
                <w:rFonts w:eastAsia="宋体"/>
                <w:b/>
                <w:bCs/>
                <w:color w:val="auto"/>
                <w:kern w:val="0"/>
                <w:sz w:val="21"/>
                <w:szCs w:val="21"/>
                <w:highlight w:val="none"/>
                <w:lang w:bidi="ar"/>
              </w:rPr>
              <w:t>超数量上限的设备数量</w:t>
            </w:r>
          </w:p>
        </w:tc>
      </w:tr>
      <w:tr>
        <w:tblPrEx>
          <w:tblCellMar>
            <w:top w:w="0" w:type="dxa"/>
            <w:left w:w="108" w:type="dxa"/>
            <w:bottom w:w="0" w:type="dxa"/>
            <w:right w:w="108" w:type="dxa"/>
          </w:tblCellMar>
        </w:tblPrEx>
        <w:trPr>
          <w:trHeight w:val="770" w:hRule="atLeast"/>
          <w:jc w:val="center"/>
        </w:trPr>
        <w:tc>
          <w:tcPr>
            <w:tcW w:w="922"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便携式计算机</w:t>
            </w:r>
          </w:p>
        </w:tc>
        <w:tc>
          <w:tcPr>
            <w:tcW w:w="18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8</w:t>
            </w:r>
          </w:p>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（单位编制内实有人数的50%）</w:t>
            </w:r>
          </w:p>
        </w:tc>
        <w:tc>
          <w:tcPr>
            <w:tcW w:w="86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26</w:t>
            </w:r>
          </w:p>
        </w:tc>
        <w:tc>
          <w:tcPr>
            <w:tcW w:w="132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18</w:t>
            </w:r>
          </w:p>
        </w:tc>
      </w:tr>
      <w:tr>
        <w:tblPrEx>
          <w:tblCellMar>
            <w:top w:w="0" w:type="dxa"/>
            <w:left w:w="108" w:type="dxa"/>
            <w:bottom w:w="0" w:type="dxa"/>
            <w:right w:w="108" w:type="dxa"/>
          </w:tblCellMar>
        </w:tblPrEx>
        <w:trPr>
          <w:trHeight w:val="454" w:hRule="atLeast"/>
          <w:jc w:val="center"/>
        </w:trPr>
        <w:tc>
          <w:tcPr>
            <w:tcW w:w="922"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Style w:val="32"/>
                <w:rFonts w:hint="default" w:ascii="Times New Roman" w:hAnsi="Times New Roman" w:cs="Times New Roman"/>
                <w:color w:val="auto"/>
                <w:sz w:val="21"/>
                <w:szCs w:val="21"/>
                <w:highlight w:val="none"/>
                <w:lang w:bidi="ar"/>
              </w:rPr>
              <w:t>打印机</w:t>
            </w:r>
          </w:p>
        </w:tc>
        <w:tc>
          <w:tcPr>
            <w:tcW w:w="18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12</w:t>
            </w:r>
          </w:p>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（单位编制内实有人数的80%）</w:t>
            </w:r>
          </w:p>
        </w:tc>
        <w:tc>
          <w:tcPr>
            <w:tcW w:w="86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20</w:t>
            </w:r>
          </w:p>
        </w:tc>
        <w:tc>
          <w:tcPr>
            <w:tcW w:w="132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8</w:t>
            </w:r>
          </w:p>
        </w:tc>
      </w:tr>
      <w:tr>
        <w:trPr>
          <w:trHeight w:val="454" w:hRule="atLeast"/>
          <w:jc w:val="center"/>
        </w:trPr>
        <w:tc>
          <w:tcPr>
            <w:tcW w:w="922"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扫描仪</w:t>
            </w:r>
          </w:p>
        </w:tc>
        <w:tc>
          <w:tcPr>
            <w:tcW w:w="18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1</w:t>
            </w:r>
          </w:p>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（单位编制内实有人数的5%）</w:t>
            </w:r>
          </w:p>
        </w:tc>
        <w:tc>
          <w:tcPr>
            <w:tcW w:w="86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7</w:t>
            </w:r>
          </w:p>
        </w:tc>
        <w:tc>
          <w:tcPr>
            <w:tcW w:w="132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6</w:t>
            </w:r>
          </w:p>
        </w:tc>
      </w:tr>
      <w:tr>
        <w:tblPrEx>
          <w:tblCellMar>
            <w:top w:w="0" w:type="dxa"/>
            <w:left w:w="108" w:type="dxa"/>
            <w:bottom w:w="0" w:type="dxa"/>
            <w:right w:w="108" w:type="dxa"/>
          </w:tblCellMar>
        </w:tblPrEx>
        <w:trPr>
          <w:trHeight w:val="454" w:hRule="atLeast"/>
          <w:jc w:val="center"/>
        </w:trPr>
        <w:tc>
          <w:tcPr>
            <w:tcW w:w="922"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碎纸机</w:t>
            </w:r>
          </w:p>
        </w:tc>
        <w:tc>
          <w:tcPr>
            <w:tcW w:w="18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1</w:t>
            </w:r>
          </w:p>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（单位编制内实有人数的5%）</w:t>
            </w:r>
          </w:p>
        </w:tc>
        <w:tc>
          <w:tcPr>
            <w:tcW w:w="86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7</w:t>
            </w:r>
          </w:p>
        </w:tc>
        <w:tc>
          <w:tcPr>
            <w:tcW w:w="132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6</w:t>
            </w:r>
          </w:p>
        </w:tc>
      </w:tr>
      <w:tr>
        <w:tblPrEx>
          <w:tblCellMar>
            <w:top w:w="0" w:type="dxa"/>
            <w:left w:w="108" w:type="dxa"/>
            <w:bottom w:w="0" w:type="dxa"/>
            <w:right w:w="108" w:type="dxa"/>
          </w:tblCellMar>
        </w:tblPrEx>
        <w:trPr>
          <w:trHeight w:val="454" w:hRule="atLeast"/>
          <w:jc w:val="center"/>
        </w:trPr>
        <w:tc>
          <w:tcPr>
            <w:tcW w:w="922"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台式计算机</w:t>
            </w:r>
          </w:p>
        </w:tc>
        <w:tc>
          <w:tcPr>
            <w:tcW w:w="18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15</w:t>
            </w:r>
          </w:p>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（单位编制内实有人数的150%）</w:t>
            </w:r>
          </w:p>
        </w:tc>
        <w:tc>
          <w:tcPr>
            <w:tcW w:w="86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41</w:t>
            </w:r>
          </w:p>
        </w:tc>
        <w:tc>
          <w:tcPr>
            <w:tcW w:w="132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26</w:t>
            </w:r>
          </w:p>
        </w:tc>
      </w:tr>
      <w:tr>
        <w:tblPrEx>
          <w:tblCellMar>
            <w:top w:w="0" w:type="dxa"/>
            <w:left w:w="108" w:type="dxa"/>
            <w:bottom w:w="0" w:type="dxa"/>
            <w:right w:w="108" w:type="dxa"/>
          </w:tblCellMar>
        </w:tblPrEx>
        <w:trPr>
          <w:trHeight w:val="454" w:hRule="atLeast"/>
          <w:jc w:val="center"/>
        </w:trPr>
        <w:tc>
          <w:tcPr>
            <w:tcW w:w="922"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一体机</w:t>
            </w:r>
          </w:p>
        </w:tc>
        <w:tc>
          <w:tcPr>
            <w:tcW w:w="18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5</w:t>
            </w:r>
          </w:p>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（单位编制内实有人数的30%）</w:t>
            </w:r>
          </w:p>
        </w:tc>
        <w:tc>
          <w:tcPr>
            <w:tcW w:w="86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1"/>
                <w:szCs w:val="21"/>
                <w:highlight w:val="none"/>
              </w:rPr>
            </w:pPr>
            <w:r>
              <w:rPr>
                <w:rFonts w:eastAsia="宋体"/>
                <w:color w:val="auto"/>
                <w:kern w:val="0"/>
                <w:sz w:val="21"/>
                <w:szCs w:val="21"/>
                <w:highlight w:val="none"/>
                <w:lang w:bidi="ar"/>
              </w:rPr>
              <w:t>12</w:t>
            </w:r>
          </w:p>
        </w:tc>
        <w:tc>
          <w:tcPr>
            <w:tcW w:w="132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kern w:val="0"/>
                <w:sz w:val="21"/>
                <w:szCs w:val="21"/>
                <w:highlight w:val="none"/>
                <w:lang w:bidi="ar"/>
              </w:rPr>
            </w:pPr>
            <w:r>
              <w:rPr>
                <w:rFonts w:eastAsia="宋体"/>
                <w:color w:val="auto"/>
                <w:kern w:val="0"/>
                <w:sz w:val="21"/>
                <w:szCs w:val="21"/>
                <w:highlight w:val="none"/>
                <w:lang w:bidi="ar"/>
              </w:rPr>
              <w:t>7</w:t>
            </w:r>
          </w:p>
        </w:tc>
      </w:tr>
      <w:tr>
        <w:trPr>
          <w:trHeight w:val="454" w:hRule="atLeast"/>
          <w:jc w:val="center"/>
        </w:trPr>
        <w:tc>
          <w:tcPr>
            <w:tcW w:w="922"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kern w:val="0"/>
                <w:sz w:val="21"/>
                <w:szCs w:val="21"/>
                <w:highlight w:val="none"/>
                <w:lang w:bidi="ar"/>
              </w:rPr>
            </w:pPr>
            <w:r>
              <w:rPr>
                <w:rFonts w:eastAsia="宋体"/>
                <w:b/>
                <w:bCs/>
                <w:color w:val="auto"/>
                <w:kern w:val="0"/>
                <w:sz w:val="21"/>
                <w:szCs w:val="21"/>
                <w:highlight w:val="none"/>
                <w:lang w:bidi="ar"/>
              </w:rPr>
              <w:t>合计</w:t>
            </w:r>
          </w:p>
        </w:tc>
        <w:tc>
          <w:tcPr>
            <w:tcW w:w="18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kern w:val="0"/>
                <w:sz w:val="21"/>
                <w:szCs w:val="21"/>
                <w:highlight w:val="none"/>
                <w:lang w:bidi="ar"/>
              </w:rPr>
            </w:pPr>
            <w:r>
              <w:rPr>
                <w:rFonts w:eastAsia="宋体"/>
                <w:b/>
                <w:bCs/>
                <w:color w:val="auto"/>
                <w:kern w:val="0"/>
                <w:sz w:val="21"/>
                <w:szCs w:val="21"/>
                <w:highlight w:val="none"/>
                <w:lang w:bidi="ar"/>
              </w:rPr>
              <w:t>-</w:t>
            </w:r>
          </w:p>
        </w:tc>
        <w:tc>
          <w:tcPr>
            <w:tcW w:w="86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kern w:val="0"/>
                <w:sz w:val="21"/>
                <w:szCs w:val="21"/>
                <w:highlight w:val="none"/>
                <w:lang w:bidi="ar"/>
              </w:rPr>
            </w:pPr>
            <w:r>
              <w:rPr>
                <w:rFonts w:eastAsia="宋体"/>
                <w:b/>
                <w:bCs/>
                <w:color w:val="auto"/>
                <w:kern w:val="0"/>
                <w:sz w:val="21"/>
                <w:szCs w:val="21"/>
                <w:highlight w:val="none"/>
                <w:lang w:bidi="ar"/>
              </w:rPr>
              <w:fldChar w:fldCharType="begin"/>
            </w:r>
            <w:r>
              <w:rPr>
                <w:rFonts w:eastAsia="宋体"/>
                <w:b/>
                <w:bCs/>
                <w:color w:val="auto"/>
                <w:kern w:val="0"/>
                <w:sz w:val="21"/>
                <w:szCs w:val="21"/>
                <w:highlight w:val="none"/>
                <w:lang w:bidi="ar"/>
              </w:rPr>
              <w:instrText xml:space="preserve"> = sum(C2:C12) \* MERGEFORMAT </w:instrText>
            </w:r>
            <w:r>
              <w:rPr>
                <w:rFonts w:eastAsia="宋体"/>
                <w:b/>
                <w:bCs/>
                <w:color w:val="auto"/>
                <w:kern w:val="0"/>
                <w:sz w:val="21"/>
                <w:szCs w:val="21"/>
                <w:highlight w:val="none"/>
                <w:lang w:bidi="ar"/>
              </w:rPr>
              <w:fldChar w:fldCharType="separate"/>
            </w:r>
            <w:r>
              <w:rPr>
                <w:rFonts w:eastAsia="宋体"/>
                <w:b/>
                <w:bCs/>
                <w:color w:val="auto"/>
                <w:kern w:val="0"/>
                <w:sz w:val="21"/>
                <w:szCs w:val="21"/>
                <w:highlight w:val="none"/>
                <w:lang w:bidi="ar"/>
              </w:rPr>
              <w:t>196</w:t>
            </w:r>
            <w:r>
              <w:rPr>
                <w:rFonts w:eastAsia="宋体"/>
                <w:b/>
                <w:bCs/>
                <w:color w:val="auto"/>
                <w:kern w:val="0"/>
                <w:sz w:val="21"/>
                <w:szCs w:val="21"/>
                <w:highlight w:val="none"/>
                <w:lang w:bidi="ar"/>
              </w:rPr>
              <w:fldChar w:fldCharType="end"/>
            </w:r>
          </w:p>
        </w:tc>
        <w:tc>
          <w:tcPr>
            <w:tcW w:w="132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b/>
                <w:bCs/>
                <w:color w:val="auto"/>
                <w:kern w:val="0"/>
                <w:sz w:val="21"/>
                <w:szCs w:val="21"/>
                <w:highlight w:val="none"/>
                <w:lang w:bidi="ar"/>
              </w:rPr>
            </w:pPr>
            <w:r>
              <w:rPr>
                <w:rFonts w:eastAsia="宋体"/>
                <w:b/>
                <w:bCs/>
                <w:color w:val="auto"/>
                <w:sz w:val="21"/>
                <w:szCs w:val="21"/>
                <w:highlight w:val="none"/>
              </w:rPr>
              <w:fldChar w:fldCharType="begin"/>
            </w:r>
            <w:r>
              <w:rPr>
                <w:rFonts w:eastAsia="宋体"/>
                <w:b/>
                <w:bCs/>
                <w:color w:val="auto"/>
                <w:sz w:val="21"/>
                <w:szCs w:val="21"/>
                <w:highlight w:val="none"/>
              </w:rPr>
              <w:instrText xml:space="preserve"> = sum(D3:D12) \* MERGEFORMAT </w:instrText>
            </w:r>
            <w:r>
              <w:rPr>
                <w:rFonts w:eastAsia="宋体"/>
                <w:b/>
                <w:bCs/>
                <w:color w:val="auto"/>
                <w:sz w:val="21"/>
                <w:szCs w:val="21"/>
                <w:highlight w:val="none"/>
              </w:rPr>
              <w:fldChar w:fldCharType="separate"/>
            </w:r>
            <w:r>
              <w:rPr>
                <w:rFonts w:eastAsia="宋体"/>
                <w:b/>
                <w:bCs/>
                <w:color w:val="auto"/>
                <w:sz w:val="21"/>
                <w:szCs w:val="21"/>
                <w:highlight w:val="none"/>
              </w:rPr>
              <w:t>75</w:t>
            </w:r>
            <w:r>
              <w:rPr>
                <w:rFonts w:eastAsia="宋体"/>
                <w:b/>
                <w:bCs/>
                <w:color w:val="auto"/>
                <w:sz w:val="21"/>
                <w:szCs w:val="21"/>
                <w:highlight w:val="none"/>
              </w:rPr>
              <w:fldChar w:fldCharType="end"/>
            </w:r>
          </w:p>
        </w:tc>
      </w:tr>
      <w:bookmarkEnd w:id="103"/>
    </w:tbl>
    <w:p>
      <w:pPr>
        <w:pStyle w:val="4"/>
        <w:ind w:firstLine="640"/>
        <w:rPr>
          <w:rFonts w:cs="Times New Roman"/>
          <w:color w:val="auto"/>
          <w:highlight w:val="none"/>
        </w:rPr>
      </w:pPr>
      <w:bookmarkStart w:id="104" w:name="_Toc8916"/>
      <w:bookmarkStart w:id="105" w:name="_Toc15280"/>
      <w:bookmarkStart w:id="106" w:name="_Toc29117"/>
      <w:bookmarkStart w:id="107" w:name="_Toc151997612"/>
      <w:bookmarkStart w:id="108" w:name="_Toc1053"/>
      <w:bookmarkStart w:id="109" w:name="_Toc89957743"/>
      <w:bookmarkStart w:id="110" w:name="_Toc19102"/>
      <w:r>
        <w:rPr>
          <w:rFonts w:cs="Times New Roman"/>
          <w:color w:val="auto"/>
          <w:highlight w:val="none"/>
        </w:rPr>
        <w:t>（四）其他</w:t>
      </w:r>
      <w:bookmarkEnd w:id="104"/>
      <w:bookmarkEnd w:id="105"/>
      <w:r>
        <w:rPr>
          <w:rFonts w:cs="Times New Roman"/>
          <w:color w:val="auto"/>
          <w:highlight w:val="none"/>
        </w:rPr>
        <w:t>需要关注的问题</w:t>
      </w:r>
      <w:bookmarkEnd w:id="106"/>
      <w:r>
        <w:rPr>
          <w:rFonts w:hint="eastAsia" w:cs="Times New Roman"/>
          <w:color w:val="auto"/>
          <w:highlight w:val="none"/>
        </w:rPr>
        <w:t>。</w:t>
      </w:r>
      <w:bookmarkEnd w:id="107"/>
    </w:p>
    <w:p>
      <w:pPr>
        <w:widowControl/>
        <w:ind w:firstLine="640"/>
        <w:rPr>
          <w:color w:val="auto"/>
          <w:highlight w:val="none"/>
        </w:rPr>
      </w:pPr>
      <w:r>
        <w:rPr>
          <w:bCs/>
          <w:color w:val="auto"/>
          <w:highlight w:val="none"/>
        </w:rPr>
        <w:t>1.检查结果整改反馈亟待引起关注。</w:t>
      </w:r>
      <w:r>
        <w:rPr>
          <w:color w:val="auto"/>
          <w:highlight w:val="none"/>
        </w:rPr>
        <w:t>202</w:t>
      </w:r>
      <w:r>
        <w:rPr>
          <w:rFonts w:hint="eastAsia"/>
          <w:color w:val="auto"/>
          <w:highlight w:val="none"/>
        </w:rPr>
        <w:t>3</w:t>
      </w:r>
      <w:r>
        <w:rPr>
          <w:color w:val="auto"/>
          <w:highlight w:val="none"/>
        </w:rPr>
        <w:t>年5月现场核查发现，乡亲大药房未悬挂定点医疗机构标识，不符合《零售药店医疗保障定点管理暂行办法》</w:t>
      </w:r>
      <w:r>
        <w:rPr>
          <w:color w:val="auto"/>
          <w:highlight w:val="none"/>
          <w:lang w:bidi="ar"/>
        </w:rPr>
        <w:t>第十八条“定点零售药店在显著位置悬挂统一格式的定点零售药店标识”要求。经了解，2022年度该药房开展多次季度检查、不定期检查等，但仍存在上述基础性问题，各级医疗保障局应加强对医药定点机构服务质量考核结果的整改情况，促进韶关市医药定点机构总体服务质量逐步提升。</w:t>
      </w:r>
    </w:p>
    <w:p>
      <w:pPr>
        <w:ind w:firstLine="640"/>
        <w:rPr>
          <w:color w:val="auto"/>
          <w:highlight w:val="none"/>
        </w:rPr>
      </w:pPr>
      <w:r>
        <w:rPr>
          <w:rFonts w:hint="eastAsia"/>
          <w:bCs/>
          <w:color w:val="auto"/>
          <w:highlight w:val="none"/>
        </w:rPr>
        <w:t>2.部分县（市、区）财政资金投入与对应的绩效不相匹配。如：医疗服务与保障能力提升补助资金。经核查，部分县（市、区）存在用转移支付资金购置专用设备、办公家具等方面的现象，这部分资金使用用途与推动实现‘提升医保信息信息化水平、加大打击欺诈骗保工作力度、加快推进医保支付方式改革和DRG试点工作，以及提升医疗保障服务能力’等目标缺乏紧密关联</w:t>
      </w:r>
      <w:r>
        <w:rPr>
          <w:color w:val="auto"/>
          <w:highlight w:val="none"/>
        </w:rPr>
        <w:t>。</w:t>
      </w:r>
    </w:p>
    <w:p>
      <w:pPr>
        <w:ind w:firstLine="640"/>
        <w:rPr>
          <w:color w:val="auto"/>
          <w:highlight w:val="none"/>
        </w:rPr>
      </w:pPr>
      <w:r>
        <w:rPr>
          <w:bCs/>
          <w:color w:val="auto"/>
          <w:highlight w:val="none"/>
        </w:rPr>
        <w:t>3.项目预算测算较为粗糙</w:t>
      </w:r>
      <w:r>
        <w:rPr>
          <w:color w:val="auto"/>
          <w:highlight w:val="none"/>
        </w:rPr>
        <w:t>。如：韶关市医疗保障开展基金监管专项资金。根据《项目绩效目标申报表》，项目预算测算信息填写粗糙，未将项目细化分解的各项开支内容、单价/支出标准、工作量、测算依据即说明等专项填报，也缺少提供对应的佐证材料，2022年预算申请25万元欠缺充分且合理的依据。再如：医保待遇保障和医药服务价格采购管理项目经费。2022年“一上”预算申请40万元缺乏合理依据，例如申请印刷费18万元、差旅费14万元、会议费0.5万元、宣传费7.5万元等均缺少相关开支内容、单价/支出标准、工作量、测算依据等关键信息，未能有效体现预算编制的科学合理性、经济投入性。</w:t>
      </w:r>
    </w:p>
    <w:p>
      <w:pPr>
        <w:pStyle w:val="3"/>
        <w:ind w:firstLine="640"/>
        <w:rPr>
          <w:color w:val="auto"/>
          <w:highlight w:val="none"/>
        </w:rPr>
      </w:pPr>
      <w:bookmarkStart w:id="111" w:name="_Toc4574"/>
      <w:bookmarkStart w:id="112" w:name="_Toc22313"/>
      <w:bookmarkStart w:id="113" w:name="_Toc151997613"/>
      <w:bookmarkStart w:id="114" w:name="_Toc23602"/>
      <w:r>
        <w:rPr>
          <w:color w:val="auto"/>
          <w:highlight w:val="none"/>
        </w:rPr>
        <w:t>六、相关建议</w:t>
      </w:r>
      <w:bookmarkEnd w:id="108"/>
      <w:bookmarkEnd w:id="109"/>
      <w:bookmarkEnd w:id="110"/>
      <w:bookmarkEnd w:id="111"/>
      <w:bookmarkEnd w:id="112"/>
      <w:bookmarkEnd w:id="113"/>
      <w:bookmarkEnd w:id="114"/>
    </w:p>
    <w:p>
      <w:pPr>
        <w:pStyle w:val="4"/>
        <w:ind w:firstLine="640"/>
        <w:rPr>
          <w:rFonts w:cs="Times New Roman"/>
          <w:color w:val="auto"/>
          <w:highlight w:val="none"/>
        </w:rPr>
      </w:pPr>
      <w:bookmarkStart w:id="115" w:name="_Toc151997614"/>
      <w:bookmarkStart w:id="116" w:name="_Toc12856"/>
      <w:bookmarkStart w:id="117" w:name="_Toc2925"/>
      <w:bookmarkStart w:id="118" w:name="_Toc31091"/>
      <w:bookmarkStart w:id="119" w:name="_Toc19180"/>
      <w:r>
        <w:rPr>
          <w:rFonts w:cs="Times New Roman"/>
          <w:color w:val="auto"/>
          <w:highlight w:val="none"/>
        </w:rPr>
        <w:t>（一）重视预算绩效管理，提升绩效目标管理效能。</w:t>
      </w:r>
      <w:bookmarkEnd w:id="115"/>
    </w:p>
    <w:p>
      <w:pPr>
        <w:ind w:firstLine="640"/>
        <w:rPr>
          <w:color w:val="auto"/>
          <w:highlight w:val="none"/>
        </w:rPr>
      </w:pPr>
      <w:r>
        <w:rPr>
          <w:bCs/>
          <w:color w:val="auto"/>
          <w:highlight w:val="none"/>
        </w:rPr>
        <w:t>1.全面提升绩效目标设置质量。</w:t>
      </w:r>
      <w:r>
        <w:rPr>
          <w:b/>
          <w:bCs/>
          <w:color w:val="auto"/>
          <w:highlight w:val="none"/>
        </w:rPr>
        <w:t>一是</w:t>
      </w:r>
      <w:r>
        <w:rPr>
          <w:color w:val="auto"/>
          <w:highlight w:val="none"/>
        </w:rPr>
        <w:t>绩效指标设置应从全面完整性出发，即：结合项目特点，设置数量、质量、时效、成本、社会经济效益，以及服务对象满意度等指标；</w:t>
      </w:r>
      <w:r>
        <w:rPr>
          <w:b/>
          <w:bCs/>
          <w:color w:val="auto"/>
          <w:highlight w:val="none"/>
        </w:rPr>
        <w:t>二是</w:t>
      </w:r>
      <w:r>
        <w:rPr>
          <w:color w:val="auto"/>
          <w:highlight w:val="none"/>
        </w:rPr>
        <w:t>绩效指标设置应紧扣事业发展规划目标、项目实施内容，以及资金用途等，确保指标设置贴合实际，切实提高绩效指标的可行性和合理性。除此之外，绩效指标的设置应着重考虑预期目标可实现性，即指标设置时，应考虑年度终了需要搜集和准备的佐证材料，体现项目实施成效。</w:t>
      </w:r>
    </w:p>
    <w:p>
      <w:pPr>
        <w:ind w:firstLine="640"/>
        <w:rPr>
          <w:color w:val="auto"/>
          <w:highlight w:val="none"/>
        </w:rPr>
      </w:pPr>
      <w:r>
        <w:rPr>
          <w:bCs/>
          <w:color w:val="auto"/>
          <w:highlight w:val="none"/>
        </w:rPr>
        <w:t>2.适度优化调整上级下达指标。</w:t>
      </w:r>
      <w:r>
        <w:rPr>
          <w:color w:val="auto"/>
          <w:highlight w:val="none"/>
        </w:rPr>
        <w:t>市医疗保障局应在收到上级下达的考核指标时，组织有关业务科室和县（市、区）业务部门进行内部研讨，对难以考核或不适用于考核韶关市的绩效指标应及时与上级部门沟通反馈，提出优化调整建议或意见，确保各项考核指标符合韶关市实际情况，充分发挥财政资金使用效益。</w:t>
      </w:r>
    </w:p>
    <w:p>
      <w:pPr>
        <w:pStyle w:val="4"/>
        <w:ind w:firstLine="640"/>
        <w:rPr>
          <w:rFonts w:cs="Times New Roman"/>
          <w:color w:val="auto"/>
          <w:highlight w:val="none"/>
        </w:rPr>
      </w:pPr>
      <w:bookmarkStart w:id="120" w:name="_Toc151997615"/>
      <w:r>
        <w:rPr>
          <w:rFonts w:cs="Times New Roman"/>
          <w:color w:val="auto"/>
          <w:highlight w:val="none"/>
        </w:rPr>
        <w:t>（</w:t>
      </w:r>
      <w:r>
        <w:rPr>
          <w:rFonts w:hint="eastAsia" w:cs="Times New Roman"/>
          <w:color w:val="auto"/>
          <w:highlight w:val="none"/>
        </w:rPr>
        <w:t>二</w:t>
      </w:r>
      <w:r>
        <w:rPr>
          <w:rFonts w:cs="Times New Roman"/>
          <w:color w:val="auto"/>
          <w:highlight w:val="none"/>
        </w:rPr>
        <w:t>）</w:t>
      </w:r>
      <w:bookmarkEnd w:id="116"/>
      <w:r>
        <w:rPr>
          <w:rFonts w:cs="Times New Roman"/>
          <w:color w:val="auto"/>
          <w:highlight w:val="none"/>
        </w:rPr>
        <w:t>加大资金监管力度，提升资金管理规范性</w:t>
      </w:r>
      <w:bookmarkEnd w:id="117"/>
      <w:bookmarkEnd w:id="118"/>
      <w:r>
        <w:rPr>
          <w:rFonts w:cs="Times New Roman"/>
          <w:color w:val="auto"/>
          <w:highlight w:val="none"/>
        </w:rPr>
        <w:t>。</w:t>
      </w:r>
      <w:bookmarkEnd w:id="119"/>
      <w:bookmarkEnd w:id="120"/>
    </w:p>
    <w:p>
      <w:pPr>
        <w:ind w:firstLine="643"/>
        <w:rPr>
          <w:color w:val="auto"/>
          <w:highlight w:val="none"/>
        </w:rPr>
      </w:pPr>
      <w:r>
        <w:rPr>
          <w:b/>
          <w:bCs/>
          <w:color w:val="auto"/>
          <w:highlight w:val="none"/>
        </w:rPr>
        <w:t>一是采取“前端限制+后端把控”的资金监管模式。</w:t>
      </w:r>
      <w:r>
        <w:rPr>
          <w:color w:val="auto"/>
          <w:highlight w:val="none"/>
        </w:rPr>
        <w:t>针对对下专项转移支付的项目，</w:t>
      </w:r>
      <w:r>
        <w:rPr>
          <w:rFonts w:hint="eastAsia"/>
          <w:color w:val="auto"/>
          <w:highlight w:val="none"/>
        </w:rPr>
        <w:t>在</w:t>
      </w:r>
      <w:r>
        <w:rPr>
          <w:color w:val="auto"/>
          <w:highlight w:val="none"/>
        </w:rPr>
        <w:t>资金下达时，要求各县（市、区）紧扣工作任务、年度绩效目标，以及绩效指标，填报资金使用计划，明确资金支出类型、资金用途、分配资金额度。此外，制定资金使用负面清单，明确专项资金不得用于与项目无关支出，如办公设备、办公用品、办公耗材等购置。年度终了，要求各县（市、区）对照年初资金使用计划，逐项核实各类支出情况，深入分析偏差原因，并在规定时间内报送整改情况。</w:t>
      </w:r>
    </w:p>
    <w:p>
      <w:pPr>
        <w:ind w:firstLine="643"/>
        <w:rPr>
          <w:color w:val="auto"/>
          <w:highlight w:val="none"/>
        </w:rPr>
      </w:pPr>
      <w:r>
        <w:rPr>
          <w:b/>
          <w:bCs/>
          <w:color w:val="auto"/>
          <w:highlight w:val="none"/>
        </w:rPr>
        <w:t>二是强化对资金支出用途的监控。</w:t>
      </w:r>
      <w:r>
        <w:rPr>
          <w:color w:val="auto"/>
          <w:highlight w:val="none"/>
        </w:rPr>
        <w:t>部门预算项目经费下达时，市医疗保障局应及时向相关业务科室传达预算项目资金用途范围，严控超范围支出行为。在预算执行进度监控时，除了紧盯执行进度，剖析进度滞后原因外，还应对已列支资金用途进行抽检，及时调整资金用途，保障各项支出严格按照预算申报用途，围绕完成特定的工作任务和事业发展目标发生支出。</w:t>
      </w:r>
    </w:p>
    <w:p>
      <w:pPr>
        <w:pStyle w:val="4"/>
        <w:ind w:firstLine="640"/>
        <w:rPr>
          <w:rFonts w:cs="Times New Roman"/>
          <w:color w:val="auto"/>
          <w:highlight w:val="none"/>
        </w:rPr>
      </w:pPr>
      <w:bookmarkStart w:id="121" w:name="_Toc12591"/>
      <w:bookmarkStart w:id="122" w:name="_Toc21130"/>
      <w:bookmarkStart w:id="123" w:name="_Toc31398"/>
      <w:bookmarkStart w:id="124" w:name="_Toc151997616"/>
      <w:bookmarkStart w:id="125" w:name="_Toc5056"/>
      <w:r>
        <w:rPr>
          <w:rFonts w:cs="Times New Roman"/>
          <w:color w:val="auto"/>
          <w:highlight w:val="none"/>
        </w:rPr>
        <w:t>（</w:t>
      </w:r>
      <w:r>
        <w:rPr>
          <w:rFonts w:hint="eastAsia" w:cs="Times New Roman"/>
          <w:color w:val="auto"/>
          <w:highlight w:val="none"/>
        </w:rPr>
        <w:t>三</w:t>
      </w:r>
      <w:r>
        <w:rPr>
          <w:rFonts w:cs="Times New Roman"/>
          <w:color w:val="auto"/>
          <w:highlight w:val="none"/>
        </w:rPr>
        <w:t>）</w:t>
      </w:r>
      <w:bookmarkEnd w:id="121"/>
      <w:r>
        <w:rPr>
          <w:rFonts w:cs="Times New Roman"/>
          <w:color w:val="auto"/>
          <w:highlight w:val="none"/>
        </w:rPr>
        <w:t>建立健全内控管理制度，严格执行各项管理制度</w:t>
      </w:r>
      <w:bookmarkEnd w:id="122"/>
      <w:bookmarkEnd w:id="123"/>
      <w:r>
        <w:rPr>
          <w:rFonts w:cs="Times New Roman"/>
          <w:color w:val="auto"/>
          <w:highlight w:val="none"/>
        </w:rPr>
        <w:t>。</w:t>
      </w:r>
      <w:bookmarkEnd w:id="124"/>
      <w:bookmarkEnd w:id="125"/>
    </w:p>
    <w:p>
      <w:pPr>
        <w:ind w:firstLine="640"/>
        <w:rPr>
          <w:color w:val="auto"/>
          <w:highlight w:val="none"/>
        </w:rPr>
      </w:pPr>
      <w:r>
        <w:rPr>
          <w:bCs/>
          <w:color w:val="auto"/>
          <w:highlight w:val="none"/>
        </w:rPr>
        <w:t>1.结合新要求适时调整管理制度。</w:t>
      </w:r>
      <w:r>
        <w:rPr>
          <w:color w:val="auto"/>
          <w:highlight w:val="none"/>
        </w:rPr>
        <w:t>内部控制管理制度应随着新要求、新规定适时调整。《韶关市医疗保障局政府采购管理制度（试行）》应根据《财政部印发关于开展政府采购意向公开工作的通知》（财库〔2020〕10号）《财政部关于印发〈政府采购需求管理办法〉的通知》（财库〔2021〕22号）等相关要求，结合内部管理需要，将政府采购意向公开工作要求、政府采购需求管理要求等整合优化。《韶关市医疗保障局固定资产管理规定（试行）》应根据《财政部关于加强行政事业单位固定资产管理的通知》（财资〔2020〕97号）《行政事业性国有资产管理条例》等相关要求，增设核算入账、出租、对外投资，以及绩效管理等重点环节；优化调整内部管理程序等。</w:t>
      </w:r>
    </w:p>
    <w:p>
      <w:pPr>
        <w:ind w:firstLine="640"/>
        <w:rPr>
          <w:color w:val="auto"/>
          <w:highlight w:val="none"/>
        </w:rPr>
      </w:pPr>
      <w:r>
        <w:rPr>
          <w:bCs/>
          <w:color w:val="auto"/>
          <w:highlight w:val="none"/>
        </w:rPr>
        <w:t>2.严控各项工作执行的程序性和规范性。</w:t>
      </w:r>
      <w:r>
        <w:rPr>
          <w:color w:val="auto"/>
          <w:highlight w:val="none"/>
        </w:rPr>
        <w:t>严格按照《韶关市医疗保障局固定资产管理规定（试行）》要求，提前布置和谋划，在各业务科室完成固定资产自查的基础上，组织开展全面的固定资产清理和清查，摸清存量资产，反映固定资产的数量、价值和使用状况，及时处理闲置资产。此外，市医疗保障局还应定期或不定期对固定资产进行对账，如其他单位调拨使用资产，应及时办理资产交接使用手续，并按照财务、会计和资产管理制度有关规定进行账务处理，确保账实相符、账账相符。</w:t>
      </w:r>
    </w:p>
    <w:p>
      <w:pPr>
        <w:pStyle w:val="4"/>
        <w:ind w:firstLine="640"/>
        <w:rPr>
          <w:rFonts w:cs="Times New Roman"/>
          <w:color w:val="auto"/>
          <w:highlight w:val="none"/>
        </w:rPr>
      </w:pPr>
      <w:bookmarkStart w:id="126" w:name="_Toc5165"/>
      <w:bookmarkStart w:id="127" w:name="_Toc25913"/>
      <w:bookmarkStart w:id="128" w:name="_Toc10993"/>
      <w:bookmarkStart w:id="129" w:name="_Toc151997617"/>
      <w:r>
        <w:rPr>
          <w:rFonts w:cs="Times New Roman"/>
          <w:color w:val="auto"/>
          <w:highlight w:val="none"/>
        </w:rPr>
        <w:t>（四）其他</w:t>
      </w:r>
      <w:bookmarkEnd w:id="126"/>
      <w:bookmarkEnd w:id="127"/>
      <w:r>
        <w:rPr>
          <w:rFonts w:cs="Times New Roman"/>
          <w:color w:val="auto"/>
          <w:highlight w:val="none"/>
        </w:rPr>
        <w:t>建议</w:t>
      </w:r>
      <w:bookmarkEnd w:id="128"/>
      <w:r>
        <w:rPr>
          <w:rFonts w:hint="eastAsia" w:cs="Times New Roman"/>
          <w:color w:val="auto"/>
          <w:highlight w:val="none"/>
        </w:rPr>
        <w:t>。</w:t>
      </w:r>
      <w:bookmarkEnd w:id="129"/>
    </w:p>
    <w:p>
      <w:pPr>
        <w:ind w:firstLine="640"/>
        <w:rPr>
          <w:b/>
          <w:bCs/>
          <w:color w:val="auto"/>
          <w:highlight w:val="none"/>
        </w:rPr>
      </w:pPr>
      <w:r>
        <w:rPr>
          <w:bCs/>
          <w:color w:val="auto"/>
          <w:highlight w:val="none"/>
        </w:rPr>
        <w:t>1.关注结果整改情况，形成闭环管理思维。</w:t>
      </w:r>
      <w:r>
        <w:rPr>
          <w:color w:val="auto"/>
          <w:highlight w:val="none"/>
        </w:rPr>
        <w:t>针对各项月度、季度等定期或不定期检查，应及时将检查结果反馈至被检查方，要求在规定期限内作出整改，并将整改结果纳入下一年度服务质量考核体系中，督促被检查方逐步完善经营管理模式，进一步提高韶关市定点医药服务机构的服务质量。</w:t>
      </w:r>
    </w:p>
    <w:p>
      <w:pPr>
        <w:ind w:firstLine="640"/>
        <w:rPr>
          <w:b/>
          <w:bCs/>
          <w:color w:val="auto"/>
          <w:highlight w:val="none"/>
        </w:rPr>
      </w:pPr>
      <w:r>
        <w:rPr>
          <w:bCs/>
          <w:color w:val="auto"/>
          <w:highlight w:val="none"/>
        </w:rPr>
        <w:t>2.做好顶层设计，充分发挥财政资金使用效益。</w:t>
      </w:r>
      <w:r>
        <w:rPr>
          <w:color w:val="auto"/>
          <w:highlight w:val="none"/>
        </w:rPr>
        <w:t>资金下达时，应要求各专项转移支付的县（市、区）围绕预算规模、资金用途，充分考虑项目实施内容，并编制年度工作计划，明确工作目标、工作任务、工作进度和时间节点安排，以及保障措施，确保专项转移支付资金有序安排，有效使用。</w:t>
      </w:r>
    </w:p>
    <w:p>
      <w:pPr>
        <w:ind w:firstLine="640"/>
        <w:rPr>
          <w:color w:val="auto"/>
          <w:highlight w:val="none"/>
        </w:rPr>
        <w:sectPr>
          <w:footerReference r:id="rId12" w:type="default"/>
          <w:pgSz w:w="11906" w:h="16838"/>
          <w:pgMar w:top="1440" w:right="1417" w:bottom="1440" w:left="1531" w:header="851" w:footer="992" w:gutter="0"/>
          <w:pgNumType w:fmt="numberInDash" w:start="1"/>
          <w:cols w:space="425" w:num="1"/>
          <w:docGrid w:type="lines" w:linePitch="435" w:charSpace="0"/>
        </w:sectPr>
      </w:pPr>
      <w:r>
        <w:rPr>
          <w:bCs/>
          <w:color w:val="auto"/>
          <w:highlight w:val="none"/>
        </w:rPr>
        <w:t>3.优化预算测算明细，科学合理编报预算。</w:t>
      </w:r>
      <w:r>
        <w:rPr>
          <w:color w:val="auto"/>
          <w:highlight w:val="none"/>
        </w:rPr>
        <w:t>预算编制时，应充分结合年度工作计划，将各项工作细化分解为各项开支内容，同时，还可通过市场三家询价、同类项目比价、前期市场摸查、专业造价咨询等，科学测算项目总资金需求，并按要求填写各项工作综合单价、支出标准、预估工作量、测算依据等，提高预算编制的精准性。</w:t>
      </w:r>
    </w:p>
    <w:p>
      <w:pPr>
        <w:pStyle w:val="3"/>
        <w:spacing w:line="240" w:lineRule="auto"/>
        <w:ind w:firstLine="640"/>
        <w:rPr>
          <w:color w:val="auto"/>
          <w:highlight w:val="none"/>
        </w:rPr>
      </w:pPr>
      <w:bookmarkStart w:id="130" w:name="_Toc14929"/>
      <w:bookmarkStart w:id="131" w:name="_Toc29993"/>
      <w:bookmarkStart w:id="132" w:name="_Toc109566478"/>
      <w:bookmarkStart w:id="133" w:name="_Toc151997618"/>
      <w:bookmarkStart w:id="134" w:name="_Toc8208"/>
      <w:bookmarkStart w:id="135" w:name="_Toc30423"/>
      <w:bookmarkStart w:id="136" w:name="_Toc20716"/>
      <w:bookmarkStart w:id="137" w:name="_Toc27301"/>
      <w:r>
        <w:rPr>
          <w:color w:val="auto"/>
          <w:highlight w:val="none"/>
        </w:rPr>
        <w:t>附件1</w:t>
      </w:r>
      <w:bookmarkEnd w:id="130"/>
      <w:bookmarkEnd w:id="131"/>
      <w:bookmarkEnd w:id="132"/>
      <w:bookmarkEnd w:id="133"/>
      <w:bookmarkEnd w:id="134"/>
      <w:r>
        <w:rPr>
          <w:color w:val="auto"/>
          <w:highlight w:val="none"/>
        </w:rPr>
        <w:t xml:space="preserve"> </w:t>
      </w:r>
      <w:bookmarkEnd w:id="135"/>
      <w:bookmarkEnd w:id="136"/>
      <w:bookmarkEnd w:id="137"/>
    </w:p>
    <w:p>
      <w:pPr>
        <w:spacing w:line="240" w:lineRule="auto"/>
        <w:ind w:firstLine="0" w:firstLineChars="0"/>
        <w:jc w:val="center"/>
        <w:rPr>
          <w:rFonts w:eastAsia="黑体"/>
          <w:bCs/>
          <w:color w:val="auto"/>
          <w:highlight w:val="none"/>
        </w:rPr>
      </w:pPr>
      <w:r>
        <w:rPr>
          <w:rFonts w:eastAsia="黑体"/>
          <w:bCs/>
          <w:color w:val="auto"/>
          <w:highlight w:val="none"/>
        </w:rPr>
        <w:t>韶关市医疗保障局2022年部门整体支出绩效评价评分表</w:t>
      </w:r>
    </w:p>
    <w:tbl>
      <w:tblPr>
        <w:tblStyle w:val="18"/>
        <w:tblW w:w="4656" w:type="pct"/>
        <w:jc w:val="center"/>
        <w:tblLayout w:type="autofit"/>
        <w:tblCellMar>
          <w:top w:w="0" w:type="dxa"/>
          <w:left w:w="108" w:type="dxa"/>
          <w:bottom w:w="0" w:type="dxa"/>
          <w:right w:w="108" w:type="dxa"/>
        </w:tblCellMar>
      </w:tblPr>
      <w:tblGrid>
        <w:gridCol w:w="785"/>
        <w:gridCol w:w="579"/>
        <w:gridCol w:w="855"/>
        <w:gridCol w:w="611"/>
        <w:gridCol w:w="1417"/>
        <w:gridCol w:w="634"/>
        <w:gridCol w:w="4954"/>
        <w:gridCol w:w="867"/>
        <w:gridCol w:w="3838"/>
      </w:tblGrid>
      <w:tr>
        <w:tblPrEx>
          <w:tblCellMar>
            <w:top w:w="0" w:type="dxa"/>
            <w:left w:w="108" w:type="dxa"/>
            <w:bottom w:w="0" w:type="dxa"/>
            <w:right w:w="108" w:type="dxa"/>
          </w:tblCellMar>
        </w:tblPrEx>
        <w:trPr>
          <w:trHeight w:val="454" w:hRule="atLeast"/>
          <w:tblHeader/>
          <w:jc w:val="center"/>
        </w:trPr>
        <w:tc>
          <w:tcPr>
            <w:tcW w:w="27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0"/>
                <w:szCs w:val="20"/>
                <w:highlight w:val="none"/>
              </w:rPr>
            </w:pPr>
            <w:r>
              <w:rPr>
                <w:rFonts w:eastAsia="宋体"/>
                <w:b/>
                <w:bCs/>
                <w:color w:val="auto"/>
                <w:kern w:val="0"/>
                <w:sz w:val="20"/>
                <w:szCs w:val="20"/>
                <w:highlight w:val="none"/>
                <w:lang w:bidi="ar"/>
              </w:rPr>
              <w:t>一级指标</w:t>
            </w:r>
          </w:p>
        </w:tc>
        <w:tc>
          <w:tcPr>
            <w:tcW w:w="19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0"/>
                <w:szCs w:val="20"/>
                <w:highlight w:val="none"/>
              </w:rPr>
            </w:pPr>
            <w:r>
              <w:rPr>
                <w:rFonts w:eastAsia="宋体"/>
                <w:b/>
                <w:bCs/>
                <w:color w:val="auto"/>
                <w:kern w:val="0"/>
                <w:sz w:val="20"/>
                <w:szCs w:val="20"/>
                <w:highlight w:val="none"/>
                <w:lang w:bidi="ar"/>
              </w:rPr>
              <w:t>分值</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0"/>
                <w:szCs w:val="20"/>
                <w:highlight w:val="none"/>
              </w:rPr>
            </w:pPr>
            <w:r>
              <w:rPr>
                <w:rFonts w:eastAsia="宋体"/>
                <w:b/>
                <w:bCs/>
                <w:color w:val="auto"/>
                <w:kern w:val="0"/>
                <w:sz w:val="20"/>
                <w:szCs w:val="20"/>
                <w:highlight w:val="none"/>
                <w:lang w:bidi="ar"/>
              </w:rPr>
              <w:t>二级指标</w:t>
            </w:r>
          </w:p>
        </w:tc>
        <w:tc>
          <w:tcPr>
            <w:tcW w:w="2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0"/>
                <w:szCs w:val="20"/>
                <w:highlight w:val="none"/>
              </w:rPr>
            </w:pPr>
            <w:r>
              <w:rPr>
                <w:rFonts w:eastAsia="宋体"/>
                <w:b/>
                <w:bCs/>
                <w:color w:val="auto"/>
                <w:kern w:val="0"/>
                <w:sz w:val="20"/>
                <w:szCs w:val="20"/>
                <w:highlight w:val="none"/>
                <w:lang w:bidi="ar"/>
              </w:rPr>
              <w:t>分值</w:t>
            </w: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0"/>
                <w:szCs w:val="20"/>
                <w:highlight w:val="none"/>
              </w:rPr>
            </w:pPr>
            <w:r>
              <w:rPr>
                <w:rFonts w:eastAsia="宋体"/>
                <w:b/>
                <w:bCs/>
                <w:color w:val="auto"/>
                <w:kern w:val="0"/>
                <w:sz w:val="20"/>
                <w:szCs w:val="20"/>
                <w:highlight w:val="none"/>
                <w:lang w:bidi="ar"/>
              </w:rPr>
              <w:t>三级指标</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0"/>
                <w:szCs w:val="20"/>
                <w:highlight w:val="none"/>
              </w:rPr>
            </w:pPr>
            <w:r>
              <w:rPr>
                <w:rFonts w:eastAsia="宋体"/>
                <w:b/>
                <w:bCs/>
                <w:color w:val="auto"/>
                <w:kern w:val="0"/>
                <w:sz w:val="20"/>
                <w:szCs w:val="20"/>
                <w:highlight w:val="none"/>
                <w:lang w:bidi="ar"/>
              </w:rPr>
              <w:t>分值</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0"/>
                <w:szCs w:val="20"/>
                <w:highlight w:val="none"/>
              </w:rPr>
            </w:pPr>
            <w:r>
              <w:rPr>
                <w:rFonts w:eastAsia="宋体"/>
                <w:b/>
                <w:bCs/>
                <w:color w:val="auto"/>
                <w:kern w:val="0"/>
                <w:sz w:val="20"/>
                <w:szCs w:val="20"/>
                <w:highlight w:val="none"/>
                <w:lang w:bidi="ar"/>
              </w:rPr>
              <w:t>评分标准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0"/>
                <w:szCs w:val="20"/>
                <w:highlight w:val="none"/>
              </w:rPr>
            </w:pPr>
            <w:r>
              <w:rPr>
                <w:rFonts w:eastAsia="宋体"/>
                <w:b/>
                <w:bCs/>
                <w:color w:val="auto"/>
                <w:kern w:val="0"/>
                <w:sz w:val="20"/>
                <w:szCs w:val="20"/>
                <w:highlight w:val="none"/>
                <w:lang w:bidi="ar"/>
              </w:rPr>
              <w:t>得分</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sz w:val="20"/>
                <w:szCs w:val="20"/>
                <w:highlight w:val="none"/>
              </w:rPr>
            </w:pPr>
            <w:r>
              <w:rPr>
                <w:rFonts w:eastAsia="宋体"/>
                <w:b/>
                <w:bCs/>
                <w:color w:val="auto"/>
                <w:kern w:val="0"/>
                <w:sz w:val="20"/>
                <w:szCs w:val="20"/>
                <w:highlight w:val="none"/>
                <w:lang w:bidi="ar"/>
              </w:rPr>
              <w:t>评分依据</w:t>
            </w:r>
          </w:p>
        </w:tc>
      </w:tr>
      <w:tr>
        <w:tblPrEx>
          <w:tblCellMar>
            <w:top w:w="0" w:type="dxa"/>
            <w:left w:w="108" w:type="dxa"/>
            <w:bottom w:w="0" w:type="dxa"/>
            <w:right w:w="108" w:type="dxa"/>
          </w:tblCellMar>
        </w:tblPrEx>
        <w:trPr>
          <w:trHeight w:val="454" w:hRule="atLeast"/>
          <w:jc w:val="center"/>
        </w:trPr>
        <w:tc>
          <w:tcPr>
            <w:tcW w:w="27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履职效能</w:t>
            </w:r>
          </w:p>
        </w:tc>
        <w:tc>
          <w:tcPr>
            <w:tcW w:w="199"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45</w:t>
            </w:r>
          </w:p>
        </w:tc>
        <w:tc>
          <w:tcPr>
            <w:tcW w:w="29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整体效能</w:t>
            </w:r>
          </w:p>
        </w:tc>
        <w:tc>
          <w:tcPr>
            <w:tcW w:w="21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20</w:t>
            </w: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部门整体绩效目标产出指标完成情况</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10</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1.首先根据绩效目标表（年初目标值/实际完成值）计算指标完成率。按完成率计分：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（1）完成率60%以下为不及格，不得分；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（2）完成率为60%-100%的，得分=完成率×本指标分值；</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（3）完成率100-150%的，得满分；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（4）完成率高于150%的，得一半分。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2.再计算本评价指标的综合得分=各产出指标得分合计÷产出指标个数。</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3.如未报整体绩效目标，此项自评不得分。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9.5</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根据《韶关市医疗保障局2022年部门整体支出绩效评价指标体系》，2022年设定的5项考核指标均达到预期目标（见表2-4）。但存在：其中1项指标设置不合理，将过去完成的事项列为年度考核指标，无考核约束性。酌情扣0.5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部门整体绩效目标效益指标完成情况</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10</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1.首先根据绩效目标表（年初目标值/实际完成值）计算指标完成率。按完成率计分：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（1）完成率60%以下为不及格，不得分；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（2）完成率为60%-100%的，得分=完成率×本指标分值；</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（3）完成率100-150%的，得满分；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（4）完成率高于150%的，得一半分。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2.再计算本指标的综合得分=各产出指标得分合计÷产出指标个数。</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3.非量化效益指标的得分需提供详细的书面评分依据。评分采取评级方式评分，优=95，良=85，达标=70，不达标=50。</w:t>
            </w:r>
            <w:r>
              <w:rPr>
                <w:rFonts w:eastAsia="宋体"/>
                <w:color w:val="auto"/>
                <w:kern w:val="0"/>
                <w:sz w:val="20"/>
                <w:szCs w:val="20"/>
                <w:highlight w:val="none"/>
                <w:lang w:bidi="ar"/>
              </w:rPr>
              <w:br w:type="textWrapping"/>
            </w:r>
            <w:r>
              <w:rPr>
                <w:rFonts w:eastAsia="宋体"/>
                <w:color w:val="auto"/>
                <w:kern w:val="0"/>
                <w:sz w:val="20"/>
                <w:szCs w:val="20"/>
                <w:highlight w:val="none"/>
                <w:lang w:bidi="ar"/>
              </w:rPr>
              <w:t>4.如未报整体绩效目标，此项自评不得分。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9.95</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根据《韶关市医疗保障局2022年部门整体支出绩效评价指标体系》，2022年设定的8项考核指标基本达到预期目标（见表2-5）。但存在：根据第三方满意度调查结果，社会公众满意度为95.35%（见附件4），根据评分标准，扣0.05分。</w:t>
            </w:r>
          </w:p>
        </w:tc>
      </w:tr>
      <w:tr>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专项效能</w:t>
            </w:r>
          </w:p>
        </w:tc>
        <w:tc>
          <w:tcPr>
            <w:tcW w:w="21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25</w:t>
            </w: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中省资金绩效完成情况</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20</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1.首先计算各中省资金（政策任务）得分=各专项资金单位产出、效益指标自评分数×本指标分值÷100。</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2.再计算本指标综合得分=按照部门当年度各中省资金额度占部门所有中省资金额度的比重，对各中省资金得分进行加权平均。</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hint="eastAsia" w:eastAsia="宋体"/>
                <w:color w:val="auto"/>
                <w:sz w:val="20"/>
                <w:szCs w:val="20"/>
                <w:highlight w:val="none"/>
              </w:rPr>
              <w:t>17.51</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hint="eastAsia" w:eastAsia="宋体"/>
                <w:color w:val="auto"/>
                <w:sz w:val="20"/>
                <w:szCs w:val="20"/>
                <w:highlight w:val="none"/>
              </w:rPr>
              <w:t>2022年市医疗保障局涉及的4个专项资金共有49项绩效指标，其中11项指标因市医疗保障局未结合韶关市实际情况，细化分解上级下达指标，难以对标考核其实际完成情况，故不纳入本次评价范围。经统计，纳入评价范围的38项绩效指标中，其中24项指标达到预期目标；10项指标未达到预期目标；4项指标因缺少对应佐证材料无法判定。根据评分标准，酌情扣2.49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中省资金支出率</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5</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 首先计算各专项资金（政策任务）支出进度=（各专项资金预算支出数÷专项资金下达（安排）数）×100%。</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2.再计算部门主管专项资金综合支出进度=按照部门当年度各专项资金额度占部门所有专项资金额度的比重，对各专项资金支出进度进行加权平均。</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3.本指标综合得分=部门主管专项资金综合支出进度×本指标分值。</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4.99</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2022年中省资金下达125,187.65万元，截至2022年12月，各项资金支出合计125,109.15万元，资金支出率为99.94%，根据评分标准，扣0.01分。</w:t>
            </w:r>
          </w:p>
        </w:tc>
      </w:tr>
      <w:tr>
        <w:tblPrEx>
          <w:tblCellMar>
            <w:top w:w="0" w:type="dxa"/>
            <w:left w:w="108" w:type="dxa"/>
            <w:bottom w:w="0" w:type="dxa"/>
            <w:right w:w="108" w:type="dxa"/>
          </w:tblCellMar>
        </w:tblPrEx>
        <w:trPr>
          <w:trHeight w:val="454" w:hRule="atLeast"/>
          <w:jc w:val="center"/>
        </w:trPr>
        <w:tc>
          <w:tcPr>
            <w:tcW w:w="27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管理效率</w:t>
            </w:r>
          </w:p>
        </w:tc>
        <w:tc>
          <w:tcPr>
            <w:tcW w:w="199"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55</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预算编制</w:t>
            </w:r>
          </w:p>
        </w:tc>
        <w:tc>
          <w:tcPr>
            <w:tcW w:w="21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5</w:t>
            </w: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预算项目事前绩效评估</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5</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预算入库项目，指新增预算申请的事业发展性支出一级项目、部门预算500万元以上二级项目。</w:t>
            </w:r>
            <w:r>
              <w:rPr>
                <w:rFonts w:eastAsia="宋体"/>
                <w:color w:val="auto"/>
                <w:kern w:val="0"/>
                <w:sz w:val="20"/>
                <w:szCs w:val="20"/>
                <w:highlight w:val="none"/>
                <w:lang w:bidi="ar"/>
              </w:rPr>
              <w:br w:type="textWrapping"/>
            </w:r>
            <w:r>
              <w:rPr>
                <w:rFonts w:eastAsia="宋体"/>
                <w:color w:val="auto"/>
                <w:kern w:val="0"/>
                <w:sz w:val="20"/>
                <w:szCs w:val="20"/>
                <w:highlight w:val="none"/>
                <w:lang w:bidi="ar"/>
              </w:rPr>
              <w:t>检查部门申请新增预算的项目是否按要求的范围开展绩效评估，是否按《指南》的程序和内容开展工作，评分采用扣分法。</w:t>
            </w:r>
            <w:r>
              <w:rPr>
                <w:rFonts w:eastAsia="宋体"/>
                <w:color w:val="auto"/>
                <w:kern w:val="0"/>
                <w:sz w:val="20"/>
                <w:szCs w:val="20"/>
                <w:highlight w:val="none"/>
                <w:lang w:bidi="ar"/>
              </w:rPr>
              <w:br w:type="textWrapping"/>
            </w:r>
            <w:r>
              <w:rPr>
                <w:rFonts w:eastAsia="宋体"/>
                <w:color w:val="auto"/>
                <w:kern w:val="0"/>
                <w:sz w:val="20"/>
                <w:szCs w:val="20"/>
                <w:highlight w:val="none"/>
                <w:lang w:bidi="ar"/>
              </w:rPr>
              <w:t>1.应评估项目超过3个的，有1项没有开展评估，扣0.3分，扣完为止。</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2.应评估项目3个以内的，有1项没有开展评估，扣0.5分，扣完为止。</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5</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市医疗保障局2022年无新增申请事业发展性支出一级项目和部门预算500万元以上二级项目，不涉及该项考核。</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预算执行</w:t>
            </w:r>
          </w:p>
        </w:tc>
        <w:tc>
          <w:tcPr>
            <w:tcW w:w="21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15</w:t>
            </w: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预算编制约束性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6</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1.本指标综合得分=（1-预算调剂发生率）×分值×60%+（1-年中追加资金占比率）×分值×40%。</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2.预算调剂发生率，考核预算执行过程中，非因中央和省、市政策调整或发生自然灾害等不可抗力因素，部门要求调剂预算资金情况，包括预算科目、级次、项目调剂。</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3.年中追加资金占比率，考核非因新出台的统一政策（如年中增人增编经费、中央追加资金、非本部门主管的专项资金），当年度年中追加资金占比情况。</w:t>
            </w:r>
            <w:r>
              <w:rPr>
                <w:rFonts w:eastAsia="宋体"/>
                <w:color w:val="auto"/>
                <w:kern w:val="0"/>
                <w:sz w:val="20"/>
                <w:szCs w:val="20"/>
                <w:highlight w:val="none"/>
                <w:lang w:bidi="ar"/>
              </w:rPr>
              <w:br w:type="textWrapping"/>
            </w:r>
            <w:r>
              <w:rPr>
                <w:rFonts w:eastAsia="宋体"/>
                <w:color w:val="auto"/>
                <w:kern w:val="0"/>
                <w:sz w:val="20"/>
                <w:szCs w:val="20"/>
                <w:highlight w:val="none"/>
                <w:lang w:bidi="ar"/>
              </w:rPr>
              <w:t>4.各基础数据与机关绩效考核口径一致。</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5.93</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经统计，市医疗保障局2022年年中追加资金182.13万元，预算调剂11次，金额为236.61万元，剔除财政收回资金（340.28万元），年初预算安排17,883.70万元，年中追加资金占比率为1.02%，预算调剂发生率为1.32%。根据评分标准，扣0.07分。</w:t>
            </w:r>
          </w:p>
        </w:tc>
      </w:tr>
      <w:tr>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财务管理合规性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9</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支出范围、程序、用途、核算应符合国家财经法规和财务管理制度及有关专项资金管理办法的规定，采取扣分法评分：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1.明确指出问题和处理意见的（具体根据审计（以部门预算审计和专项审计为主）和财会监督意见），并限期整改的，1项扣0.5分。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2.未明确处理意见，属于因主管部门制度设计缺陷或失职等造成资金套取、冒领、挪用的，1项扣0.5分。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3.连续两年对因业务主管部门责任引发的同一问题提出意见，或主管部门未落实相关审计和财会监督整改意见的，1项扣1分。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4.评价中发现的支出范围、程序、用途、核算不符合国家财经法规和财务管理制度及有关专项资金管理办法的规定的情况，发现一项扣0.5分。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根据上述扣分情况扣完为止，审计提出的下达期限、资产管理、采购等合规性在相应指标扣分，在此项指标不重复扣分。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hint="eastAsia" w:eastAsia="宋体"/>
                <w:color w:val="auto"/>
                <w:sz w:val="20"/>
                <w:szCs w:val="20"/>
                <w:highlight w:val="none"/>
              </w:rPr>
              <w:t>8</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b/>
                <w:bCs/>
                <w:color w:val="auto"/>
                <w:sz w:val="20"/>
                <w:szCs w:val="20"/>
                <w:highlight w:val="none"/>
              </w:rPr>
              <w:t>一是</w:t>
            </w:r>
            <w:r>
              <w:rPr>
                <w:rFonts w:eastAsia="宋体"/>
                <w:color w:val="auto"/>
                <w:sz w:val="20"/>
                <w:szCs w:val="20"/>
                <w:highlight w:val="none"/>
              </w:rPr>
              <w:t>城乡居民基本医疗保险宣传培训经费未专款专用；</w:t>
            </w:r>
            <w:r>
              <w:rPr>
                <w:rFonts w:eastAsia="宋体"/>
                <w:b/>
                <w:bCs/>
                <w:color w:val="auto"/>
                <w:sz w:val="20"/>
                <w:szCs w:val="20"/>
                <w:highlight w:val="none"/>
              </w:rPr>
              <w:t>二是</w:t>
            </w:r>
            <w:r>
              <w:rPr>
                <w:rFonts w:eastAsia="宋体"/>
                <w:color w:val="auto"/>
                <w:sz w:val="20"/>
                <w:szCs w:val="20"/>
                <w:highlight w:val="none"/>
              </w:rPr>
              <w:t>中央财政医疗服务与保障能力提升补助资金偏离资金规定用途。根据评分标准，扣</w:t>
            </w:r>
            <w:r>
              <w:rPr>
                <w:rFonts w:hint="eastAsia" w:eastAsia="宋体"/>
                <w:color w:val="auto"/>
                <w:sz w:val="20"/>
                <w:szCs w:val="20"/>
                <w:highlight w:val="none"/>
              </w:rPr>
              <w:t>1</w:t>
            </w:r>
            <w:r>
              <w:rPr>
                <w:rFonts w:eastAsia="宋体"/>
                <w:color w:val="auto"/>
                <w:sz w:val="20"/>
                <w:szCs w:val="20"/>
                <w:highlight w:val="none"/>
              </w:rPr>
              <w:t>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信息公开</w:t>
            </w:r>
          </w:p>
        </w:tc>
        <w:tc>
          <w:tcPr>
            <w:tcW w:w="21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w:t>
            </w: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预决算公开合规性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预算、决算公开合规性各占50%，对未公开预算或决算的非涉密部门，得0分。已公开部门预决算的，分别从及时性（10%）、规范性（40%）2个方面考核：一是非涉密部门在财政部门批复本部门预决算后， 20日内向社会公开的得10%分值，未及时公开的得0分。二是根据公开规范性检查指标计算得分，即：公开工作合规指标数量÷检查指标数量×40%分值。</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2</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市医疗保障局2022年部门预算于2022年1月28日获得批复，并于2022年2月13日挂网向社会公开；2021年部门决算于2022年9月13日获得批复，并于2022年9月22日挂网向社会公开，符合要求。根据评分标准，得2分。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绩效信息公开情况</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指绩效目标、绩效自评资料按规定在单位网站公开情况。</w:t>
            </w:r>
            <w:r>
              <w:rPr>
                <w:rFonts w:eastAsia="宋体"/>
                <w:color w:val="auto"/>
                <w:kern w:val="0"/>
                <w:sz w:val="20"/>
                <w:szCs w:val="20"/>
                <w:highlight w:val="none"/>
                <w:lang w:bidi="ar"/>
              </w:rPr>
              <w:br w:type="textWrapping"/>
            </w:r>
            <w:r>
              <w:rPr>
                <w:rFonts w:eastAsia="宋体"/>
                <w:color w:val="auto"/>
                <w:kern w:val="0"/>
                <w:sz w:val="20"/>
                <w:szCs w:val="20"/>
                <w:highlight w:val="none"/>
                <w:lang w:bidi="ar"/>
              </w:rPr>
              <w:t>1.绩效目标在规定时间公开的，得满分，否则不得分；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2.绩效自评资料在规定时间公开的，得满分，否则不得分。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3.目标公开情况和自评资料公开情况得分各占50%，计算出本指标的综合得分。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1</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市医疗保障局2个重点项目绩效目标随部门预算一并公开。此外，2021年医保待遇保障和医药服务价格采购管理项目经费支出项目等6个项目绩效自评基础信息表（项目自评资料）随部门决算文件一并公开。根据评分标准，得1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绩效管理</w:t>
            </w:r>
          </w:p>
        </w:tc>
        <w:tc>
          <w:tcPr>
            <w:tcW w:w="21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5</w:t>
            </w: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绩效管理制度建设</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1.部门出台对本级使用资金管理制度明确绩效要求的，得满分，否则不得分。绩效要求应包含绩效目标管理、绩效运行监控、绩效评价管理和评价结果应用等方面。</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2.部门主管专项资金印发管理办法，并体现绩效管理要求的，得满分，否则不得分。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3.部门出台制度明确机关各科室、机关与下属单位的绩效职责分工要求的，得满分，否则不得分。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4.制度形式可以为专门规定，也可以是综合制度。内容有缺漏的，酌情扣分。以上三项得分分别占30%、30%和40%，计算出本指标的综合得分。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2</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2022年市医疗保障局执行《韶关市医疗保障局财务管理制度（试行）补充规定》《韶关市医疗保障局预算绩效管理内部工作规程（试行）》等管理制度，明确职责分工，绩效目标管理、绩效运行监控、绩效评价管理和评价结果应用等方面的管理要求。根据评分标准，得2分。</w:t>
            </w:r>
          </w:p>
        </w:tc>
      </w:tr>
      <w:tr>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绩效管理制度执行</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1.根据评价部门整体预算绩效目标和项目绩效目标编报质量评分。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2.根据部门自评复核等级情况评分。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3.以上两项内容评分各占50%。</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1.5</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市医疗保障局在部门整体支出绩效目标设置方面存在以下不足：一是个别指标重复设置；二是缺少设置时效指标；三是指标设置未能与国家事业发展规划目标相衔接。除此之外，个别项目绩效目标设置质量不高。综上，酌情扣1.5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采购管理</w:t>
            </w:r>
          </w:p>
        </w:tc>
        <w:tc>
          <w:tcPr>
            <w:tcW w:w="21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10</w:t>
            </w:r>
          </w:p>
        </w:tc>
        <w:tc>
          <w:tcPr>
            <w:tcW w:w="487"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采购意向公开合规性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0.5</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采购意向100%公开的得满分，否则不得分。</w:t>
            </w:r>
          </w:p>
        </w:tc>
        <w:tc>
          <w:tcPr>
            <w:tcW w:w="298" w:type="pct"/>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hint="eastAsia" w:eastAsia="宋体"/>
                <w:color w:val="auto"/>
                <w:sz w:val="20"/>
                <w:szCs w:val="20"/>
                <w:highlight w:val="none"/>
              </w:rPr>
              <w:t>2</w:t>
            </w:r>
          </w:p>
        </w:tc>
        <w:tc>
          <w:tcPr>
            <w:tcW w:w="1319" w:type="pct"/>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hint="eastAsia" w:eastAsia="宋体"/>
                <w:color w:val="auto"/>
                <w:sz w:val="20"/>
                <w:szCs w:val="20"/>
                <w:highlight w:val="none"/>
              </w:rPr>
              <w:t>一是</w:t>
            </w:r>
            <w:r>
              <w:rPr>
                <w:rFonts w:eastAsia="宋体"/>
                <w:color w:val="auto"/>
                <w:sz w:val="20"/>
                <w:szCs w:val="20"/>
                <w:highlight w:val="none"/>
              </w:rPr>
              <w:t>根据广东省政府采购网、韶关市医疗保障局官网等的公开内容，韶关市医疗保障局2023-2025年韶关市职工大额医疗费用补助、职工大病保险和韶关市城乡居民大病保险项目在2022年11月2日公开政府采购意向，2022年12月27日公开招标，符合“采购意向公开时限，原则不得晚于采购活动开始前30日”要求。</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1.5</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采购意向公开时限，原则不得晚于采购活动开始前30日。纳入部门预算支出范围的采购项目，预算单位应当在部门预算批复后40日内，在政府采购系统填报采购意向要素，各主管预算部门通过政府采购系统汇总本部门、本系统所有预算单位的采购意向（涉密信息除外）后，在部门预算批复后60日内予以公开。符合规定的，得满分，否则不得分。</w:t>
            </w:r>
          </w:p>
        </w:tc>
        <w:tc>
          <w:tcPr>
            <w:tcW w:w="298" w:type="pct"/>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319" w:type="pct"/>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采购内控制度建设</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部门建立政府采购内部控制管理制度并报财政部门备案的，得1分，否则不得分。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0.5</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2020年8月31日，市医疗保障局印发施行《韶关市医疗保障局政府采购管理制度（试行）》，并报财政部门备案。</w:t>
            </w:r>
            <w:r>
              <w:rPr>
                <w:rFonts w:eastAsia="宋体"/>
                <w:b/>
                <w:bCs/>
                <w:color w:val="auto"/>
                <w:sz w:val="20"/>
                <w:szCs w:val="20"/>
                <w:highlight w:val="none"/>
              </w:rPr>
              <w:t>但存在：</w:t>
            </w:r>
            <w:r>
              <w:rPr>
                <w:rFonts w:eastAsia="宋体"/>
                <w:color w:val="auto"/>
                <w:sz w:val="20"/>
                <w:szCs w:val="20"/>
                <w:highlight w:val="none"/>
              </w:rPr>
              <w:t>该制度未衔接财库〔2020〕10号有关政府采购意向公开工作要求、政府采购需求管理等，采购内控制度建设有待健全，酌情扣0.5分。</w:t>
            </w:r>
          </w:p>
        </w:tc>
      </w:tr>
      <w:tr>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采购活动合规性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采购投诉处理，经财政部门查证认定投诉事项成立的，发现1例扣1分，扣完为止。</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2</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2022年市医疗保障局未收到经财政部门查证认定投诉事项成立的采购活动。</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采购合同签订时效性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1.预算单位与中标、成交供应商应当在中标、成交通知书发出之日起三十日内，按照采购文件确定的事项签订政府采购合同。</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2.合同签订及时率=在规定时限内签订合同项目数/总项目数。</w:t>
            </w:r>
            <w:r>
              <w:rPr>
                <w:rFonts w:eastAsia="宋体"/>
                <w:color w:val="auto"/>
                <w:kern w:val="0"/>
                <w:sz w:val="20"/>
                <w:szCs w:val="20"/>
                <w:highlight w:val="none"/>
                <w:lang w:bidi="ar"/>
              </w:rPr>
              <w:br w:type="textWrapping"/>
            </w:r>
            <w:r>
              <w:rPr>
                <w:rFonts w:eastAsia="宋体"/>
                <w:color w:val="auto"/>
                <w:kern w:val="0"/>
                <w:sz w:val="20"/>
                <w:szCs w:val="20"/>
                <w:highlight w:val="none"/>
                <w:lang w:bidi="ar"/>
              </w:rPr>
              <w:t>合同签订及时率=100%，得3分；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90%</w:t>
            </w:r>
            <w:r>
              <w:rPr>
                <w:rStyle w:val="34"/>
                <w:rFonts w:ascii="Times New Roman" w:hAnsi="Times New Roman" w:eastAsia="宋体" w:cs="Times New Roman"/>
                <w:color w:val="auto"/>
                <w:highlight w:val="none"/>
                <w:lang w:bidi="ar"/>
              </w:rPr>
              <w:t>≤</w:t>
            </w:r>
            <w:r>
              <w:rPr>
                <w:rFonts w:eastAsia="宋体"/>
                <w:color w:val="auto"/>
                <w:kern w:val="0"/>
                <w:sz w:val="20"/>
                <w:szCs w:val="20"/>
                <w:highlight w:val="none"/>
                <w:lang w:bidi="ar"/>
              </w:rPr>
              <w:t>合同签订及时率</w:t>
            </w:r>
            <w:r>
              <w:rPr>
                <w:rStyle w:val="35"/>
                <w:rFonts w:ascii="Times New Roman" w:eastAsia="宋体" w:cs="Times New Roman"/>
                <w:color w:val="auto"/>
                <w:highlight w:val="none"/>
                <w:lang w:bidi="ar"/>
              </w:rPr>
              <w:t>&lt;</w:t>
            </w:r>
            <w:r>
              <w:rPr>
                <w:rFonts w:eastAsia="宋体"/>
                <w:color w:val="auto"/>
                <w:kern w:val="0"/>
                <w:sz w:val="20"/>
                <w:szCs w:val="20"/>
                <w:highlight w:val="none"/>
                <w:lang w:bidi="ar"/>
              </w:rPr>
              <w:t>100%，得2分；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80%≤合同签订及时率&lt;90%，得1分；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合同签订及时率&lt;80%，不得分。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3</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市医疗保障局2022年通过竞争性磋商的采购项目1个，通过电子卖场的采购项目16个。其中：竞争性磋商采购项目能在中标、成交通知书发出之日起三十日内及时签订政府采购合同。根据评分标准，得3分。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合同备案时效性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合同备案公开，自合同签订之日起2个工作日内在“广东省政府采购网” 备案公开，符合规定的得满分，否则不得分。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0.94</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经核查，2022年市医疗保障局17个采购项目签订的合同中，其中1个项目合同不符合“自合同签订之日起2个工作日内在‘广东省政府采购网’备案公开”要求，延迟公开19个工作日。根据评分标准，扣0.06分。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采购政策效能</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按照《政府采购促进中小企业发展管理办法》要求为中小企业预留采购份额。数值=（实际面向中小企业采购金额合计数/预算编制时部门预留金额合计数）×100%。</w:t>
            </w:r>
            <w:r>
              <w:rPr>
                <w:rFonts w:eastAsia="宋体"/>
                <w:color w:val="auto"/>
                <w:kern w:val="0"/>
                <w:sz w:val="20"/>
                <w:szCs w:val="20"/>
                <w:highlight w:val="none"/>
                <w:lang w:bidi="ar"/>
              </w:rPr>
              <w:br w:type="textWrapping"/>
            </w:r>
            <w:r>
              <w:rPr>
                <w:rFonts w:eastAsia="宋体"/>
                <w:color w:val="auto"/>
                <w:kern w:val="0"/>
                <w:sz w:val="20"/>
                <w:szCs w:val="20"/>
                <w:highlight w:val="none"/>
                <w:lang w:bidi="ar"/>
              </w:rPr>
              <w:t>评分=数值×分值。</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1</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根据《2022年政府采购预算表》，预算编制时部门预留金额为55.77万元，实际面向中小企业采购金额为296.41万元。根据评分标准，得1分。</w:t>
            </w:r>
          </w:p>
        </w:tc>
      </w:tr>
      <w:tr>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资产管理</w:t>
            </w:r>
          </w:p>
        </w:tc>
        <w:tc>
          <w:tcPr>
            <w:tcW w:w="21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10</w:t>
            </w: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资产配置合规性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符合标准的，得2分，发现一项（类）不符的，扣1分，扣完为止。</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eastAsia="宋体"/>
                <w:color w:val="auto"/>
                <w:sz w:val="20"/>
                <w:szCs w:val="20"/>
                <w:highlight w:val="none"/>
                <w:lang w:eastAsia="zh-CN"/>
              </w:rPr>
            </w:pPr>
            <w:r>
              <w:rPr>
                <w:rFonts w:hint="eastAsia" w:eastAsia="宋体"/>
                <w:color w:val="auto"/>
                <w:sz w:val="20"/>
                <w:szCs w:val="20"/>
                <w:highlight w:val="none"/>
                <w:lang w:val="en-US" w:eastAsia="zh-CN"/>
              </w:rPr>
              <w:t>1</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个别资产数量超标准配置。根据评分标准，扣</w:t>
            </w:r>
            <w:r>
              <w:rPr>
                <w:rFonts w:hint="eastAsia" w:eastAsia="宋体"/>
                <w:color w:val="auto"/>
                <w:sz w:val="20"/>
                <w:szCs w:val="20"/>
                <w:highlight w:val="none"/>
                <w:lang w:val="en-US" w:eastAsia="zh-CN"/>
              </w:rPr>
              <w:t>1</w:t>
            </w:r>
            <w:r>
              <w:rPr>
                <w:rFonts w:eastAsia="宋体"/>
                <w:color w:val="auto"/>
                <w:sz w:val="20"/>
                <w:szCs w:val="20"/>
                <w:highlight w:val="none"/>
              </w:rPr>
              <w:t>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资产收益上缴的及时性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检查处置收益和租金上缴是否及时（高校可自留的资金除外）。存在长期（超过3个月）未上缴的，每1笔扣0.5分，扣完为止。</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1</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市医疗保障局2022年无资产处理和租金收入，不涉及该项评价。</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资产盘点情况</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每年进行一次资产盘点，并完成结果处理的，得1分。未进行盘点的，不得分。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0.5</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未组织开展全面的固定资产清理、清查，不符合《韶关市医疗保障局固定资产管理规定（试行）》有关要求。此外，资产自查结果处理在2023年4月23日完成，处理时间较晚。根据评分标准，酌情扣0.5分。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数据质量</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部门（单位）行政事业性国有资产年报数据完整、准确，核实性问题均能提供有效、真实的说明，且资产账与财务账、资产实体相符的，得2分；否则酌情扣分。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hint="eastAsia" w:eastAsia="宋体"/>
                <w:color w:val="auto"/>
                <w:sz w:val="20"/>
                <w:szCs w:val="20"/>
                <w:highlight w:val="none"/>
              </w:rPr>
              <w:t>1</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资产年报数据质量不高（具体见报告正文表述）。扣</w:t>
            </w:r>
            <w:r>
              <w:rPr>
                <w:rFonts w:hint="eastAsia" w:eastAsia="宋体"/>
                <w:color w:val="auto"/>
                <w:sz w:val="20"/>
                <w:szCs w:val="20"/>
                <w:highlight w:val="none"/>
              </w:rPr>
              <w:t>1</w:t>
            </w:r>
            <w:r>
              <w:rPr>
                <w:rFonts w:eastAsia="宋体"/>
                <w:color w:val="auto"/>
                <w:sz w:val="20"/>
                <w:szCs w:val="20"/>
                <w:highlight w:val="none"/>
              </w:rPr>
              <w:t>分。</w:t>
            </w:r>
          </w:p>
        </w:tc>
      </w:tr>
      <w:tr>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资产管理合规性</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1.有无行政事业性国有资产管理内部管理规程；如无，扣0.5分。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2.在各类巡视、审计、监督检查工作中如发现资产管理存在问题的，每发现1次扣0.5分，扣完为止。</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1</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b/>
                <w:bCs/>
                <w:color w:val="auto"/>
                <w:sz w:val="20"/>
                <w:szCs w:val="20"/>
                <w:highlight w:val="none"/>
              </w:rPr>
              <w:t>一是</w:t>
            </w:r>
            <w:r>
              <w:rPr>
                <w:rFonts w:eastAsia="宋体"/>
                <w:color w:val="auto"/>
                <w:sz w:val="20"/>
                <w:szCs w:val="20"/>
                <w:highlight w:val="none"/>
              </w:rPr>
              <w:t>该制度缺少核算入账、出租、对外投资，以及绩效管理等重点环节，不符合财资〔2020〕97号有关要求；</w:t>
            </w:r>
            <w:r>
              <w:rPr>
                <w:rFonts w:eastAsia="宋体"/>
                <w:b/>
                <w:bCs/>
                <w:color w:val="auto"/>
                <w:sz w:val="20"/>
                <w:szCs w:val="20"/>
                <w:highlight w:val="none"/>
              </w:rPr>
              <w:t>二是</w:t>
            </w:r>
            <w:r>
              <w:rPr>
                <w:rFonts w:eastAsia="宋体"/>
                <w:color w:val="auto"/>
                <w:sz w:val="20"/>
                <w:szCs w:val="20"/>
                <w:highlight w:val="none"/>
              </w:rPr>
              <w:t>个别条款未根据现行制度及时更新修订（具体见报告正文表述）。综上，扣1分。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固定资产利用率</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部门（单位）实际在用固定资产总额与所有固定资产总额的比例。</w:t>
            </w:r>
            <w:r>
              <w:rPr>
                <w:rFonts w:eastAsia="宋体"/>
                <w:color w:val="auto"/>
                <w:kern w:val="0"/>
                <w:sz w:val="20"/>
                <w:szCs w:val="20"/>
                <w:highlight w:val="none"/>
                <w:lang w:bidi="ar"/>
              </w:rPr>
              <w:br w:type="textWrapping"/>
            </w:r>
            <w:r>
              <w:rPr>
                <w:rFonts w:eastAsia="宋体"/>
                <w:color w:val="auto"/>
                <w:kern w:val="0"/>
                <w:sz w:val="20"/>
                <w:szCs w:val="20"/>
                <w:highlight w:val="none"/>
                <w:lang w:bidi="ar"/>
              </w:rPr>
              <w:t>1.比率≥90%的，得2分；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2.90%＞比率≥75%的，得1分；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3.75%＞比率≥60%的，得0.5分；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4.比率＜60%的，得0分。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1.87</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根据《部门整体支出绩效自评指标评分表》，市医疗保障局2022年固定资产总额111.19万元，在用资金总额104.23万元，固定资产利用率为93.74%，根据评分标准，扣0.13分。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运行成本</w:t>
            </w:r>
          </w:p>
        </w:tc>
        <w:tc>
          <w:tcPr>
            <w:tcW w:w="210"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7</w:t>
            </w: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经济成本控制情况</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6</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1.相关工作预算编制依据较为明确的，得3分；</w:t>
            </w:r>
            <w:r>
              <w:rPr>
                <w:rFonts w:eastAsia="宋体"/>
                <w:color w:val="auto"/>
                <w:kern w:val="0"/>
                <w:sz w:val="20"/>
                <w:szCs w:val="20"/>
                <w:highlight w:val="none"/>
                <w:lang w:bidi="ar"/>
              </w:rPr>
              <w:br w:type="textWrapping"/>
            </w:r>
            <w:r>
              <w:rPr>
                <w:rFonts w:eastAsia="宋体"/>
                <w:color w:val="auto"/>
                <w:kern w:val="0"/>
                <w:sz w:val="20"/>
                <w:szCs w:val="20"/>
                <w:highlight w:val="none"/>
                <w:lang w:bidi="ar"/>
              </w:rPr>
              <w:t>2.相关工作成本与市场价格、行业标准、其他地市的同类项目相比较为合理的得3分。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4</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市医疗保障局2022年经济成本控制意识有待强化，主要表现为：</w:t>
            </w:r>
            <w:r>
              <w:rPr>
                <w:rFonts w:eastAsia="宋体"/>
                <w:b/>
                <w:bCs/>
                <w:color w:val="auto"/>
                <w:sz w:val="20"/>
                <w:szCs w:val="20"/>
                <w:highlight w:val="none"/>
              </w:rPr>
              <w:t>一是</w:t>
            </w:r>
            <w:r>
              <w:rPr>
                <w:rFonts w:eastAsia="宋体"/>
                <w:color w:val="auto"/>
                <w:sz w:val="20"/>
                <w:szCs w:val="20"/>
                <w:highlight w:val="none"/>
              </w:rPr>
              <w:t>个别项目预算测算内容粗糙；</w:t>
            </w:r>
            <w:r>
              <w:rPr>
                <w:rFonts w:eastAsia="宋体"/>
                <w:b/>
                <w:bCs/>
                <w:color w:val="auto"/>
                <w:sz w:val="20"/>
                <w:szCs w:val="20"/>
                <w:highlight w:val="none"/>
              </w:rPr>
              <w:t>二是</w:t>
            </w:r>
            <w:r>
              <w:rPr>
                <w:rFonts w:eastAsia="宋体"/>
                <w:color w:val="auto"/>
                <w:sz w:val="20"/>
                <w:szCs w:val="20"/>
                <w:highlight w:val="none"/>
              </w:rPr>
              <w:t>资产购置合理性不足。综上，酌情扣2分。</w:t>
            </w:r>
          </w:p>
        </w:tc>
      </w:tr>
      <w:tr>
        <w:tblPrEx>
          <w:tblCellMar>
            <w:top w:w="0" w:type="dxa"/>
            <w:left w:w="108" w:type="dxa"/>
            <w:bottom w:w="0" w:type="dxa"/>
            <w:right w:w="108" w:type="dxa"/>
          </w:tblCellMar>
        </w:tblPrEx>
        <w:trPr>
          <w:trHeight w:val="454" w:hRule="atLeast"/>
          <w:jc w:val="center"/>
        </w:trPr>
        <w:tc>
          <w:tcPr>
            <w:tcW w:w="27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199"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p>
        </w:tc>
        <w:tc>
          <w:tcPr>
            <w:tcW w:w="210" w:type="pct"/>
            <w:vMerge w:val="continue"/>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rPr>
                <w:rFonts w:eastAsia="宋体"/>
                <w:color w:val="auto"/>
                <w:sz w:val="20"/>
                <w:szCs w:val="20"/>
                <w:highlight w:val="none"/>
              </w:rPr>
            </w:pPr>
          </w:p>
        </w:tc>
        <w:tc>
          <w:tcPr>
            <w:tcW w:w="4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“三公”经费控制情况</w:t>
            </w:r>
          </w:p>
        </w:tc>
        <w:tc>
          <w:tcPr>
            <w:tcW w:w="21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w:t>
            </w:r>
          </w:p>
        </w:tc>
        <w:tc>
          <w:tcPr>
            <w:tcW w:w="17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“三公”经费实际支出数（按照经济科目计算）≤预算安排的“三公”经费数（按照预算公开金额取数），符合要求的得满分，不符合要求的不得分。</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1</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rPr>
                <w:rFonts w:eastAsia="宋体"/>
                <w:color w:val="auto"/>
                <w:sz w:val="20"/>
                <w:szCs w:val="20"/>
                <w:highlight w:val="none"/>
              </w:rPr>
            </w:pPr>
            <w:r>
              <w:rPr>
                <w:rFonts w:eastAsia="宋体"/>
                <w:color w:val="auto"/>
                <w:sz w:val="20"/>
                <w:szCs w:val="20"/>
                <w:highlight w:val="none"/>
              </w:rPr>
              <w:t>2022年“三公”经费预算安排3.06万元，年末实际支出2.15万元，支出率为70.26%，未超出预算安排额度。根据评分标准，得1分。</w:t>
            </w:r>
          </w:p>
        </w:tc>
      </w:tr>
      <w:tr>
        <w:trPr>
          <w:trHeight w:val="454" w:hRule="atLeast"/>
          <w:jc w:val="center"/>
        </w:trPr>
        <w:tc>
          <w:tcPr>
            <w:tcW w:w="3381"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eastAsia="宋体"/>
                <w:b/>
                <w:bCs/>
                <w:color w:val="auto"/>
                <w:kern w:val="0"/>
                <w:sz w:val="20"/>
                <w:szCs w:val="20"/>
                <w:highlight w:val="none"/>
                <w:lang w:bidi="ar"/>
              </w:rPr>
            </w:pPr>
            <w:r>
              <w:rPr>
                <w:rFonts w:eastAsia="宋体"/>
                <w:b/>
                <w:bCs/>
                <w:color w:val="auto"/>
                <w:kern w:val="0"/>
                <w:sz w:val="20"/>
                <w:szCs w:val="20"/>
                <w:highlight w:val="none"/>
                <w:lang w:bidi="ar"/>
              </w:rPr>
              <w:t>合计</w:t>
            </w:r>
          </w:p>
        </w:tc>
        <w:tc>
          <w:tcPr>
            <w:tcW w:w="298"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b/>
                <w:bCs/>
                <w:color w:val="auto"/>
                <w:sz w:val="20"/>
                <w:szCs w:val="20"/>
                <w:highlight w:val="none"/>
              </w:rPr>
            </w:pPr>
            <w:r>
              <w:rPr>
                <w:rFonts w:eastAsia="宋体"/>
                <w:b/>
                <w:bCs/>
                <w:color w:val="auto"/>
                <w:sz w:val="20"/>
                <w:szCs w:val="20"/>
                <w:highlight w:val="none"/>
              </w:rPr>
              <w:t>8</w:t>
            </w:r>
            <w:r>
              <w:rPr>
                <w:rFonts w:hint="eastAsia" w:eastAsia="宋体"/>
                <w:b/>
                <w:bCs/>
                <w:color w:val="auto"/>
                <w:sz w:val="20"/>
                <w:szCs w:val="20"/>
                <w:highlight w:val="none"/>
                <w:lang w:val="en-US" w:eastAsia="zh-CN"/>
              </w:rPr>
              <w:t>8</w:t>
            </w:r>
            <w:r>
              <w:rPr>
                <w:rFonts w:eastAsia="宋体"/>
                <w:b/>
                <w:bCs/>
                <w:color w:val="auto"/>
                <w:sz w:val="20"/>
                <w:szCs w:val="20"/>
                <w:highlight w:val="none"/>
              </w:rPr>
              <w:t>.19</w:t>
            </w:r>
          </w:p>
        </w:tc>
        <w:tc>
          <w:tcPr>
            <w:tcW w:w="131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eastAsia="宋体"/>
                <w:b/>
                <w:bCs/>
                <w:color w:val="auto"/>
                <w:sz w:val="20"/>
                <w:szCs w:val="20"/>
                <w:highlight w:val="none"/>
              </w:rPr>
            </w:pPr>
            <w:r>
              <w:rPr>
                <w:rFonts w:eastAsia="宋体"/>
                <w:b/>
                <w:bCs/>
                <w:color w:val="auto"/>
                <w:sz w:val="20"/>
                <w:szCs w:val="20"/>
                <w:highlight w:val="none"/>
              </w:rPr>
              <w:t>良</w:t>
            </w:r>
          </w:p>
        </w:tc>
      </w:tr>
    </w:tbl>
    <w:p>
      <w:pPr>
        <w:pStyle w:val="2"/>
        <w:ind w:firstLine="600"/>
        <w:rPr>
          <w:color w:val="auto"/>
          <w:highlight w:val="none"/>
        </w:rPr>
      </w:pPr>
    </w:p>
    <w:p>
      <w:pPr>
        <w:pStyle w:val="3"/>
        <w:ind w:firstLine="0" w:firstLineChars="0"/>
        <w:rPr>
          <w:color w:val="auto"/>
          <w:highlight w:val="none"/>
        </w:rPr>
        <w:sectPr>
          <w:pgSz w:w="16838" w:h="11906" w:orient="landscape"/>
          <w:pgMar w:top="720" w:right="720" w:bottom="720" w:left="720" w:header="851" w:footer="992" w:gutter="0"/>
          <w:pgNumType w:fmt="numberInDash"/>
          <w:cols w:space="425" w:num="1"/>
          <w:docGrid w:type="lines" w:linePitch="312" w:charSpace="0"/>
        </w:sectPr>
      </w:pPr>
      <w:bookmarkStart w:id="138" w:name="_Toc30348"/>
      <w:bookmarkStart w:id="139" w:name="_Toc2961"/>
    </w:p>
    <w:p>
      <w:pPr>
        <w:pStyle w:val="3"/>
        <w:spacing w:line="240" w:lineRule="auto"/>
        <w:ind w:firstLine="0" w:firstLineChars="0"/>
        <w:rPr>
          <w:color w:val="auto"/>
          <w:highlight w:val="none"/>
        </w:rPr>
      </w:pPr>
      <w:bookmarkStart w:id="140" w:name="_Toc151997619"/>
      <w:bookmarkStart w:id="141" w:name="_Ref141287758"/>
      <w:bookmarkStart w:id="142" w:name="_Toc360"/>
      <w:bookmarkStart w:id="143" w:name="_Toc3480"/>
      <w:bookmarkStart w:id="144" w:name="_Toc18673"/>
      <w:bookmarkStart w:id="145" w:name="_Toc12547"/>
      <w:r>
        <w:rPr>
          <w:color w:val="auto"/>
          <w:highlight w:val="none"/>
        </w:rPr>
        <w:t>附件2</w:t>
      </w:r>
      <w:bookmarkEnd w:id="138"/>
      <w:bookmarkEnd w:id="139"/>
      <w:bookmarkEnd w:id="140"/>
      <w:r>
        <w:rPr>
          <w:color w:val="auto"/>
          <w:highlight w:val="none"/>
        </w:rPr>
        <w:t xml:space="preserve"> </w:t>
      </w:r>
      <w:bookmarkEnd w:id="141"/>
      <w:bookmarkEnd w:id="142"/>
      <w:bookmarkEnd w:id="143"/>
      <w:bookmarkEnd w:id="144"/>
      <w:bookmarkEnd w:id="145"/>
    </w:p>
    <w:p>
      <w:pPr>
        <w:spacing w:line="240" w:lineRule="auto"/>
        <w:ind w:firstLine="0" w:firstLineChars="0"/>
        <w:jc w:val="center"/>
        <w:rPr>
          <w:rFonts w:eastAsia="宋体"/>
          <w:b/>
          <w:bCs/>
          <w:color w:val="auto"/>
          <w:highlight w:val="none"/>
        </w:rPr>
      </w:pPr>
      <w:bookmarkStart w:id="146" w:name="_Toc18019"/>
      <w:r>
        <w:rPr>
          <w:rFonts w:eastAsia="宋体"/>
          <w:b/>
          <w:bCs/>
          <w:color w:val="auto"/>
          <w:highlight w:val="none"/>
        </w:rPr>
        <w:t>韶关市医疗保障局部门整体支出</w:t>
      </w:r>
      <w:bookmarkEnd w:id="146"/>
    </w:p>
    <w:p>
      <w:pPr>
        <w:spacing w:line="240" w:lineRule="auto"/>
        <w:ind w:firstLine="0" w:firstLineChars="0"/>
        <w:jc w:val="center"/>
        <w:rPr>
          <w:rFonts w:eastAsia="宋体"/>
          <w:b/>
          <w:bCs/>
          <w:color w:val="auto"/>
          <w:highlight w:val="none"/>
        </w:rPr>
      </w:pPr>
      <w:bookmarkStart w:id="147" w:name="_Toc18849"/>
      <w:bookmarkStart w:id="148" w:name="_Toc31342"/>
      <w:r>
        <w:rPr>
          <w:rFonts w:eastAsia="宋体"/>
          <w:b/>
          <w:bCs/>
          <w:color w:val="auto"/>
          <w:highlight w:val="none"/>
        </w:rPr>
        <w:t>绩效评价小组成员名单</w:t>
      </w:r>
      <w:bookmarkEnd w:id="147"/>
      <w:bookmarkEnd w:id="148"/>
    </w:p>
    <w:tbl>
      <w:tblPr>
        <w:tblStyle w:val="18"/>
        <w:tblW w:w="91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2"/>
        <w:gridCol w:w="1740"/>
        <w:gridCol w:w="1440"/>
        <w:gridCol w:w="50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2"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b/>
                <w:color w:val="auto"/>
                <w:sz w:val="28"/>
                <w:szCs w:val="28"/>
                <w:highlight w:val="none"/>
                <w:lang w:bidi="ar"/>
              </w:rPr>
            </w:pPr>
            <w:r>
              <w:rPr>
                <w:rFonts w:hint="eastAsia" w:ascii="宋体" w:hAnsi="宋体" w:eastAsia="宋体" w:cs="宋体"/>
                <w:b/>
                <w:color w:val="auto"/>
                <w:sz w:val="28"/>
                <w:szCs w:val="28"/>
                <w:highlight w:val="none"/>
                <w:lang w:bidi="ar"/>
              </w:rPr>
              <w:t>序号</w:t>
            </w:r>
          </w:p>
        </w:tc>
        <w:tc>
          <w:tcPr>
            <w:tcW w:w="17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lang w:bidi="ar"/>
              </w:rPr>
              <w:t>评价组分工</w:t>
            </w:r>
          </w:p>
        </w:tc>
        <w:tc>
          <w:tcPr>
            <w:tcW w:w="14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lang w:bidi="ar"/>
              </w:rPr>
              <w:t>姓名</w:t>
            </w:r>
          </w:p>
        </w:tc>
        <w:tc>
          <w:tcPr>
            <w:tcW w:w="5044"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lang w:bidi="ar"/>
              </w:rPr>
              <w:t>职称/工作内容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2" w:type="dxa"/>
            <w:tcMar>
              <w:top w:w="12" w:type="dxa"/>
              <w:left w:w="12" w:type="dxa"/>
              <w:bottom w:w="0" w:type="dxa"/>
              <w:right w:w="12" w:type="dxa"/>
            </w:tcMar>
            <w:vAlign w:val="center"/>
          </w:tcPr>
          <w:p>
            <w:pPr>
              <w:spacing w:line="240" w:lineRule="auto"/>
              <w:ind w:firstLine="0" w:firstLineChars="0"/>
              <w:jc w:val="center"/>
              <w:rPr>
                <w:rFonts w:eastAsia="宋体"/>
                <w:color w:val="auto"/>
                <w:sz w:val="28"/>
                <w:szCs w:val="28"/>
                <w:highlight w:val="none"/>
                <w:lang w:bidi="ar"/>
              </w:rPr>
            </w:pPr>
            <w:r>
              <w:rPr>
                <w:rFonts w:eastAsia="宋体"/>
                <w:color w:val="auto"/>
                <w:sz w:val="28"/>
                <w:szCs w:val="28"/>
                <w:highlight w:val="none"/>
                <w:lang w:bidi="ar"/>
              </w:rPr>
              <w:t>1</w:t>
            </w:r>
          </w:p>
        </w:tc>
        <w:tc>
          <w:tcPr>
            <w:tcW w:w="17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行业专家</w:t>
            </w:r>
          </w:p>
        </w:tc>
        <w:tc>
          <w:tcPr>
            <w:tcW w:w="14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张庆霖</w:t>
            </w:r>
          </w:p>
        </w:tc>
        <w:tc>
          <w:tcPr>
            <w:tcW w:w="5044"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广东财经大学 副教授/评价报告质量控制、评价项目涉及专业管理方面领域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2" w:type="dxa"/>
            <w:vAlign w:val="center"/>
          </w:tcPr>
          <w:p>
            <w:pPr>
              <w:widowControl/>
              <w:spacing w:line="240" w:lineRule="auto"/>
              <w:ind w:firstLine="0" w:firstLineChars="0"/>
              <w:jc w:val="center"/>
              <w:rPr>
                <w:rFonts w:eastAsia="宋体"/>
                <w:color w:val="auto"/>
                <w:sz w:val="28"/>
                <w:szCs w:val="28"/>
                <w:highlight w:val="none"/>
              </w:rPr>
            </w:pPr>
            <w:r>
              <w:rPr>
                <w:rFonts w:eastAsia="宋体"/>
                <w:color w:val="auto"/>
                <w:sz w:val="28"/>
                <w:szCs w:val="28"/>
                <w:highlight w:val="none"/>
              </w:rPr>
              <w:t>2</w:t>
            </w:r>
          </w:p>
        </w:tc>
        <w:tc>
          <w:tcPr>
            <w:tcW w:w="17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财务专家</w:t>
            </w:r>
          </w:p>
        </w:tc>
        <w:tc>
          <w:tcPr>
            <w:tcW w:w="14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杨素芬</w:t>
            </w:r>
          </w:p>
        </w:tc>
        <w:tc>
          <w:tcPr>
            <w:tcW w:w="5044"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会计师/评价项目涉及财务管理方面领域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2" w:type="dxa"/>
            <w:vAlign w:val="center"/>
          </w:tcPr>
          <w:p>
            <w:pPr>
              <w:widowControl/>
              <w:spacing w:line="240" w:lineRule="auto"/>
              <w:ind w:firstLine="0" w:firstLineChars="0"/>
              <w:jc w:val="center"/>
              <w:rPr>
                <w:rFonts w:eastAsia="宋体"/>
                <w:color w:val="auto"/>
                <w:sz w:val="28"/>
                <w:szCs w:val="28"/>
                <w:highlight w:val="none"/>
              </w:rPr>
            </w:pPr>
            <w:r>
              <w:rPr>
                <w:rFonts w:eastAsia="宋体"/>
                <w:color w:val="auto"/>
                <w:sz w:val="28"/>
                <w:szCs w:val="28"/>
                <w:highlight w:val="none"/>
              </w:rPr>
              <w:t>3</w:t>
            </w:r>
          </w:p>
        </w:tc>
        <w:tc>
          <w:tcPr>
            <w:tcW w:w="17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绩效专家</w:t>
            </w:r>
          </w:p>
        </w:tc>
        <w:tc>
          <w:tcPr>
            <w:tcW w:w="14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王晓东</w:t>
            </w:r>
          </w:p>
        </w:tc>
        <w:tc>
          <w:tcPr>
            <w:tcW w:w="5044"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广东金融学院 副教授/评价项目涉及绩效管理方面领域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2" w:type="dxa"/>
            <w:tcMar>
              <w:top w:w="12" w:type="dxa"/>
              <w:left w:w="12" w:type="dxa"/>
              <w:bottom w:w="0" w:type="dxa"/>
              <w:right w:w="12" w:type="dxa"/>
            </w:tcMar>
            <w:vAlign w:val="center"/>
          </w:tcPr>
          <w:p>
            <w:pPr>
              <w:spacing w:line="240" w:lineRule="auto"/>
              <w:ind w:firstLine="0" w:firstLineChars="0"/>
              <w:jc w:val="center"/>
              <w:rPr>
                <w:rFonts w:eastAsia="宋体"/>
                <w:color w:val="auto"/>
                <w:sz w:val="28"/>
                <w:szCs w:val="28"/>
                <w:highlight w:val="none"/>
                <w:lang w:bidi="ar"/>
              </w:rPr>
            </w:pPr>
            <w:r>
              <w:rPr>
                <w:rFonts w:eastAsia="宋体"/>
                <w:color w:val="auto"/>
                <w:sz w:val="28"/>
                <w:szCs w:val="28"/>
                <w:highlight w:val="none"/>
                <w:lang w:bidi="ar"/>
              </w:rPr>
              <w:t>4</w:t>
            </w:r>
          </w:p>
        </w:tc>
        <w:tc>
          <w:tcPr>
            <w:tcW w:w="17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项目经理</w:t>
            </w:r>
          </w:p>
        </w:tc>
        <w:tc>
          <w:tcPr>
            <w:tcW w:w="14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韦洁静</w:t>
            </w:r>
          </w:p>
        </w:tc>
        <w:tc>
          <w:tcPr>
            <w:tcW w:w="5044"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高级内控管理师、绩效评价师/项目统筹、报告初稿撰写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912" w:type="dxa"/>
            <w:vAlign w:val="center"/>
          </w:tcPr>
          <w:p>
            <w:pPr>
              <w:widowControl/>
              <w:spacing w:line="240" w:lineRule="auto"/>
              <w:ind w:firstLine="0" w:firstLineChars="0"/>
              <w:jc w:val="center"/>
              <w:rPr>
                <w:rFonts w:eastAsia="宋体"/>
                <w:color w:val="auto"/>
                <w:sz w:val="28"/>
                <w:szCs w:val="28"/>
                <w:highlight w:val="none"/>
              </w:rPr>
            </w:pPr>
            <w:r>
              <w:rPr>
                <w:rFonts w:eastAsia="宋体"/>
                <w:color w:val="auto"/>
                <w:sz w:val="28"/>
                <w:szCs w:val="28"/>
                <w:highlight w:val="none"/>
              </w:rPr>
              <w:t>5</w:t>
            </w:r>
          </w:p>
        </w:tc>
        <w:tc>
          <w:tcPr>
            <w:tcW w:w="17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项目助理</w:t>
            </w:r>
          </w:p>
        </w:tc>
        <w:tc>
          <w:tcPr>
            <w:tcW w:w="1440"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张小青</w:t>
            </w:r>
          </w:p>
        </w:tc>
        <w:tc>
          <w:tcPr>
            <w:tcW w:w="5044" w:type="dxa"/>
            <w:tcMar>
              <w:top w:w="12" w:type="dxa"/>
              <w:left w:w="12" w:type="dxa"/>
              <w:bottom w:w="0" w:type="dxa"/>
              <w:right w:w="12" w:type="dxa"/>
            </w:tcMar>
            <w:vAlign w:val="center"/>
          </w:tcPr>
          <w:p>
            <w:pPr>
              <w:spacing w:line="240" w:lineRule="auto"/>
              <w:ind w:firstLine="0" w:firstLineChars="0"/>
              <w:jc w:val="center"/>
              <w:rPr>
                <w:rFonts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项目对接、资料分析汇总</w:t>
            </w:r>
          </w:p>
        </w:tc>
      </w:tr>
    </w:tbl>
    <w:p>
      <w:pPr>
        <w:ind w:firstLine="0" w:firstLineChars="0"/>
        <w:rPr>
          <w:color w:val="auto"/>
          <w:highlight w:val="none"/>
        </w:rPr>
      </w:pPr>
    </w:p>
    <w:sectPr>
      <w:pgSz w:w="11906" w:h="16838"/>
      <w:pgMar w:top="1440" w:right="1417" w:bottom="1440" w:left="1531"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Unicode MS">
    <w:altName w:val="DejaVu Sans"/>
    <w:panose1 w:val="020B0604020202020204"/>
    <w:charset w:val="86"/>
    <w:family w:val="roman"/>
    <w:pitch w:val="default"/>
    <w:sig w:usb0="00000000" w:usb1="00000000" w:usb2="0000003F" w:usb3="00000000" w:csb0="603F01FF" w:csb1="FFFF0000"/>
  </w:font>
  <w:font w:name="Calibri Light">
    <w:altName w:val="DejaVu Sans"/>
    <w:panose1 w:val="020F0302020204030204"/>
    <w:charset w:val="00"/>
    <w:family w:val="swiss"/>
    <w:pitch w:val="default"/>
    <w:sig w:usb0="00000000" w:usb1="00000000" w:usb2="00000009" w:usb3="00000000" w:csb0="200001FF" w:csb1="0000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宋体" w:hAnsi="宋体" w:eastAsia="宋体"/>
        <w:sz w:val="28"/>
        <w:szCs w:val="28"/>
      </w:rPr>
    </w:pPr>
  </w:p>
  <w:p>
    <w:pPr>
      <w:pStyle w:val="11"/>
      <w:ind w:firstLine="560"/>
      <w:jc w:val="right"/>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宋体" w:hAnsi="宋体" w:eastAsia="宋体"/>
        <w:sz w:val="28"/>
        <w:szCs w:val="28"/>
      </w:rPr>
    </w:pPr>
  </w:p>
  <w:p>
    <w:pPr>
      <w:pStyle w:val="11"/>
      <w:ind w:firstLine="560"/>
      <w:jc w:val="right"/>
      <w:rPr>
        <w:rFonts w:ascii="宋体" w:hAnsi="宋体" w:eastAsia="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rPr>
        <w:rFonts w:ascii="宋体" w:hAnsi="宋体" w:eastAsia="宋体" w:cs="宋体"/>
        <w:sz w:val="28"/>
        <w:szCs w:val="28"/>
      </w:rPr>
    </w:pPr>
    <w:r>
      <w:rPr>
        <w:rFonts w:hint="eastAsia" w:ascii="宋体" w:hAnsi="宋体" w:eastAsia="宋体" w:cs="宋体"/>
        <w:sz w:val="28"/>
        <w:szCs w:val="2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312420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67856470"/>
                          </w:sdtPr>
                          <w:sdtEndPr>
                            <w:rPr>
                              <w:rFonts w:hint="eastAsia" w:ascii="宋体" w:hAnsi="宋体" w:eastAsia="宋体" w:cs="宋体"/>
                              <w:sz w:val="28"/>
                              <w:szCs w:val="28"/>
                            </w:rPr>
                          </w:sdtEndPr>
                          <w:sdtContent>
                            <w:p>
                              <w:pPr>
                                <w:pStyle w:val="11"/>
                                <w:ind w:firstLine="36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4 -</w:t>
                              </w:r>
                              <w:r>
                                <w:rPr>
                                  <w:rFonts w:hint="eastAsia" w:ascii="宋体" w:hAnsi="宋体" w:eastAsia="宋体" w:cs="宋体"/>
                                  <w:sz w:val="28"/>
                                  <w:szCs w:val="28"/>
                                </w:rPr>
                                <w:fldChar w:fldCharType="end"/>
                              </w:r>
                            </w:p>
                          </w:sdtContent>
                        </w:sdt>
                        <w:p>
                          <w:pPr>
                            <w:pStyle w:val="2"/>
                            <w:ind w:firstLine="600"/>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24.6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WAAAAZHJzL1BLAQIUABQAAAAIAIdO&#10;4kAjjTqp1QAAAAcBAAAPAAAAAAAAAAEAIAAAADgAAABkcnMvZG93bnJldi54bWxQSwECFAAUAAAA&#10;CACHTuJAsTILRhQCAAAZBAAADgAAAAAAAAABACAAAAA6AQAAZHJzL2Uyb0RvYy54bWxQSwUGAAAA&#10;AAYABgBZAQAAwAUAAAAA&#10;">
              <v:fill on="f" focussize="0,0"/>
              <v:stroke on="f" weight="0.5pt"/>
              <v:imagedata o:title=""/>
              <o:lock v:ext="edit" aspectratio="f"/>
              <v:textbox inset="0mm,0mm,0mm,0mm" style="mso-fit-shape-to-text:t;">
                <w:txbxContent>
                  <w:sdt>
                    <w:sdtPr>
                      <w:id w:val="-2067856470"/>
                    </w:sdtPr>
                    <w:sdtEndPr>
                      <w:rPr>
                        <w:rFonts w:hint="eastAsia" w:ascii="宋体" w:hAnsi="宋体" w:eastAsia="宋体" w:cs="宋体"/>
                        <w:sz w:val="28"/>
                        <w:szCs w:val="28"/>
                      </w:rPr>
                    </w:sdtEndPr>
                    <w:sdtContent>
                      <w:p>
                        <w:pPr>
                          <w:pStyle w:val="11"/>
                          <w:ind w:firstLine="360"/>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4 -</w:t>
                        </w:r>
                        <w:r>
                          <w:rPr>
                            <w:rFonts w:hint="eastAsia" w:ascii="宋体" w:hAnsi="宋体" w:eastAsia="宋体" w:cs="宋体"/>
                            <w:sz w:val="28"/>
                            <w:szCs w:val="28"/>
                          </w:rPr>
                          <w:fldChar w:fldCharType="end"/>
                        </w:r>
                      </w:p>
                    </w:sdtContent>
                  </w:sdt>
                  <w:p>
                    <w:pPr>
                      <w:pStyle w:val="2"/>
                      <w:ind w:firstLine="600"/>
                    </w:pPr>
                  </w:p>
                </w:txbxContent>
              </v:textbox>
            </v:shape>
          </w:pict>
        </mc:Fallback>
      </mc:AlternateContent>
    </w:r>
  </w:p>
  <w:p>
    <w:pPr>
      <w:pStyle w:val="11"/>
      <w:ind w:firstLine="560"/>
      <w:jc w:val="right"/>
      <w:rPr>
        <w:rFonts w:ascii="宋体" w:hAnsi="宋体" w:eastAsia="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36">
    <w:p>
      <w:pPr>
        <w:spacing w:line="240" w:lineRule="auto"/>
        <w:ind w:firstLine="640"/>
      </w:pPr>
      <w:r>
        <w:separator/>
      </w:r>
    </w:p>
  </w:footnote>
  <w:footnote w:type="continuationSeparator" w:id="37">
    <w:p>
      <w:pPr>
        <w:spacing w:line="240" w:lineRule="auto"/>
        <w:ind w:firstLine="640"/>
      </w:pPr>
      <w:r>
        <w:continuationSeparator/>
      </w:r>
    </w:p>
  </w:footnote>
  <w:footnote w:id="0">
    <w:p>
      <w:pPr>
        <w:pStyle w:val="14"/>
        <w:ind w:firstLine="360"/>
      </w:pPr>
      <w:r>
        <w:rPr>
          <w:rStyle w:val="23"/>
        </w:rPr>
        <w:footnoteRef/>
      </w:r>
      <w:r>
        <w:t xml:space="preserve"> 说明：根据《中共韶关市委机构编制委员会办公室关于市医疗保障局增设基金监管科等问题的批复》（韶机编办发〔2022〕19号），2022年1月12日，市委编办批复同意韶关市医疗保障局增设基金监管科。</w:t>
      </w:r>
    </w:p>
  </w:footnote>
  <w:footnote w:id="1">
    <w:p>
      <w:pPr>
        <w:pStyle w:val="14"/>
        <w:ind w:firstLine="360"/>
      </w:pPr>
      <w:r>
        <w:rPr>
          <w:rStyle w:val="23"/>
        </w:rPr>
        <w:footnoteRef/>
      </w:r>
      <w:r>
        <w:t xml:space="preserve"> 说明：全称为《中共韶关市委办公室 韶关市人民政府办公室关于印发&lt;韶关市医疗保障局职能配置内设机构和人员编制规定&gt;的通知》（韶办发〔2019〕36号）。</w:t>
      </w:r>
    </w:p>
  </w:footnote>
  <w:footnote w:id="2">
    <w:p>
      <w:pPr>
        <w:pStyle w:val="14"/>
        <w:ind w:firstLine="360"/>
      </w:pPr>
      <w:r>
        <w:rPr>
          <w:rStyle w:val="23"/>
        </w:rPr>
        <w:footnoteRef/>
      </w:r>
      <w:r>
        <w:t xml:space="preserve"> 说明：全称为《中共韶关市委机构编制委员会办公室关于市医疗保障局增设基金监管科等问题的批复》（韶机编办发〔2022〕19号）。</w:t>
      </w:r>
    </w:p>
  </w:footnote>
  <w:footnote w:id="3">
    <w:p>
      <w:pPr>
        <w:pStyle w:val="14"/>
        <w:ind w:firstLine="360"/>
      </w:pPr>
      <w:r>
        <w:rPr>
          <w:rStyle w:val="23"/>
        </w:rPr>
        <w:footnoteRef/>
      </w:r>
      <w:r>
        <w:t xml:space="preserve"> </w:t>
      </w:r>
      <w:r>
        <w:rPr>
          <w:rFonts w:hint="eastAsia"/>
        </w:rPr>
        <w:t>说明：办公室2022年实际办公人数共6人，其中4人为行政编制人员（1人驻村），2人为工勤人员（不纳入统计）。</w:t>
      </w:r>
    </w:p>
  </w:footnote>
  <w:footnote w:id="4">
    <w:p>
      <w:pPr>
        <w:pStyle w:val="14"/>
        <w:ind w:firstLine="360"/>
      </w:pPr>
      <w:r>
        <w:rPr>
          <w:rStyle w:val="23"/>
        </w:rPr>
        <w:footnoteRef/>
      </w:r>
      <w:r>
        <w:t xml:space="preserve"> </w:t>
      </w:r>
      <w:r>
        <w:rPr>
          <w:rFonts w:hint="eastAsia"/>
        </w:rPr>
        <w:t>说明：医药采购和价格管理科其中1名行政编制人员在2023年2月退休。</w:t>
      </w:r>
    </w:p>
  </w:footnote>
  <w:footnote w:id="5">
    <w:p>
      <w:pPr>
        <w:pStyle w:val="14"/>
        <w:ind w:firstLine="360"/>
      </w:pPr>
      <w:r>
        <w:rPr>
          <w:rStyle w:val="23"/>
        </w:rPr>
        <w:footnoteRef/>
      </w:r>
      <w:r>
        <w:t xml:space="preserve"> </w:t>
      </w:r>
      <w:r>
        <w:rPr>
          <w:rFonts w:hint="eastAsia"/>
        </w:rPr>
        <w:t>说明：全称为《中共韶关市委机构编制委员会办公室关于市医疗保障局增设基金监管科等问题的批复》（韶机编办发〔2022〕19号）。</w:t>
      </w:r>
    </w:p>
  </w:footnote>
  <w:footnote w:id="6">
    <w:p>
      <w:pPr>
        <w:pStyle w:val="14"/>
        <w:ind w:firstLine="360"/>
      </w:pPr>
      <w:r>
        <w:rPr>
          <w:rStyle w:val="23"/>
        </w:rPr>
        <w:footnoteRef/>
      </w:r>
      <w:r>
        <w:t xml:space="preserve"> </w:t>
      </w:r>
      <w:r>
        <w:rPr>
          <w:rFonts w:hint="eastAsia"/>
        </w:rPr>
        <w:t>说明：基本医疗保险参保率＝基本医疗保险参保人数÷应参保人数×100%＝2876842÷2860100×100%＝100.58%。</w:t>
      </w:r>
    </w:p>
  </w:footnote>
  <w:footnote w:id="7">
    <w:p>
      <w:pPr>
        <w:pStyle w:val="14"/>
        <w:ind w:firstLine="360"/>
      </w:pPr>
      <w:r>
        <w:rPr>
          <w:rStyle w:val="23"/>
        </w:rPr>
        <w:footnoteRef/>
      </w:r>
      <w:r>
        <w:t xml:space="preserve"> </w:t>
      </w:r>
      <w:r>
        <w:rPr>
          <w:rFonts w:hint="eastAsia"/>
        </w:rPr>
        <w:t>说明：基本医疗保险参保率＝基本医疗保险参保人数÷2021年度韶关市常住人口数×100%＝2876842÷2860100×100%＝100.58%。</w:t>
      </w:r>
    </w:p>
  </w:footnote>
  <w:footnote w:id="8">
    <w:p>
      <w:pPr>
        <w:pStyle w:val="14"/>
        <w:ind w:firstLine="360"/>
      </w:pPr>
      <w:r>
        <w:rPr>
          <w:rStyle w:val="23"/>
        </w:rPr>
        <w:footnoteRef/>
      </w:r>
      <w:r>
        <w:t xml:space="preserve"> </w:t>
      </w:r>
      <w:r>
        <w:rPr>
          <w:rFonts w:hint="eastAsia"/>
        </w:rPr>
        <w:t>说明：《国务院办公厅关于印发&lt;“十四五”全民医疗保障规划&gt;的通知》（国办发〔2021〕36号）明确提出：到2025年，医疗保障政务服务事项线上可办率和医疗保障政务服务事项窗口可办率分别达到80%、100%。</w:t>
      </w:r>
    </w:p>
  </w:footnote>
  <w:footnote w:id="9">
    <w:p>
      <w:pPr>
        <w:pStyle w:val="14"/>
        <w:ind w:firstLine="360"/>
      </w:pPr>
      <w:r>
        <w:rPr>
          <w:rStyle w:val="23"/>
        </w:rPr>
        <w:footnoteRef/>
      </w:r>
      <w:r>
        <w:t xml:space="preserve"> </w:t>
      </w:r>
      <w:r>
        <w:rPr>
          <w:rFonts w:hint="eastAsia"/>
        </w:rPr>
        <w:t>说明：该项按指标权重*50%计算。</w:t>
      </w:r>
    </w:p>
  </w:footnote>
  <w:footnote w:id="10">
    <w:p>
      <w:pPr>
        <w:pStyle w:val="14"/>
        <w:ind w:firstLine="360"/>
      </w:pPr>
      <w:r>
        <w:rPr>
          <w:rStyle w:val="23"/>
        </w:rPr>
        <w:footnoteRef/>
      </w:r>
      <w:r>
        <w:t xml:space="preserve"> </w:t>
      </w:r>
      <w:r>
        <w:rPr>
          <w:rFonts w:hint="eastAsia"/>
        </w:rPr>
        <w:t>说明：该专项转移支付至10个县（市、区），考虑到个别县（市、区）达到年度预期目标，该项按指标权重*50%计算。</w:t>
      </w:r>
    </w:p>
  </w:footnote>
  <w:footnote w:id="11">
    <w:p>
      <w:pPr>
        <w:pStyle w:val="14"/>
        <w:ind w:firstLine="360"/>
      </w:pPr>
      <w:r>
        <w:rPr>
          <w:rStyle w:val="23"/>
        </w:rPr>
        <w:footnoteRef/>
      </w:r>
      <w:r>
        <w:t xml:space="preserve"> </w:t>
      </w:r>
      <w:r>
        <w:rPr>
          <w:rFonts w:hint="eastAsia"/>
        </w:rPr>
        <w:t>说明：各专项资金预算执行率*各专项资金比重*指标分值。</w:t>
      </w:r>
    </w:p>
  </w:footnote>
  <w:footnote w:id="12">
    <w:p>
      <w:pPr>
        <w:pStyle w:val="14"/>
        <w:ind w:firstLine="360"/>
      </w:pPr>
      <w:r>
        <w:rPr>
          <w:rStyle w:val="23"/>
        </w:rPr>
        <w:footnoteRef/>
      </w:r>
      <w:r>
        <w:t xml:space="preserve"> </w:t>
      </w:r>
      <w:r>
        <w:rPr>
          <w:rFonts w:hint="eastAsia"/>
        </w:rPr>
        <w:t>说明：经与单位沟通确定，将2021年中央财政医疗服务与保障能力提升补助资金和2022年中央财政医疗服务与保障能力提升补助资金合并为同一个项目。</w:t>
      </w:r>
    </w:p>
  </w:footnote>
  <w:footnote w:id="13">
    <w:p>
      <w:pPr>
        <w:pStyle w:val="14"/>
        <w:ind w:firstLine="360"/>
      </w:pPr>
      <w:r>
        <w:rPr>
          <w:rStyle w:val="23"/>
        </w:rPr>
        <w:footnoteRef/>
      </w:r>
      <w:r>
        <w:t xml:space="preserve"> </w:t>
      </w:r>
      <w:r>
        <w:rPr>
          <w:rFonts w:hint="eastAsia"/>
        </w:rPr>
        <w:t>说明：指标综合得分=（1-预算调剂发生率）×分值×60%+（1-年中追加资金占比率）×分值×40%。</w:t>
      </w:r>
    </w:p>
  </w:footnote>
  <w:footnote w:id="14">
    <w:p>
      <w:pPr>
        <w:pStyle w:val="14"/>
        <w:ind w:firstLine="360"/>
      </w:pPr>
      <w:r>
        <w:rPr>
          <w:rStyle w:val="23"/>
        </w:rPr>
        <w:footnoteRef/>
      </w:r>
      <w:r>
        <w:t xml:space="preserve"> </w:t>
      </w:r>
      <w:r>
        <w:rPr>
          <w:rFonts w:hint="eastAsia"/>
        </w:rPr>
        <w:t>说明：韶关市医疗保障局官方网站。</w:t>
      </w:r>
    </w:p>
  </w:footnote>
  <w:footnote w:id="15">
    <w:p>
      <w:pPr>
        <w:pStyle w:val="14"/>
        <w:ind w:firstLine="360"/>
      </w:pPr>
      <w:r>
        <w:rPr>
          <w:rStyle w:val="23"/>
        </w:rPr>
        <w:footnoteRef/>
      </w:r>
      <w:r>
        <w:t xml:space="preserve"> </w:t>
      </w:r>
      <w:r>
        <w:rPr>
          <w:rFonts w:hint="eastAsia"/>
        </w:rPr>
        <w:t>说明：韶关市医疗保障局官方网站。</w:t>
      </w:r>
    </w:p>
  </w:footnote>
  <w:footnote w:id="16">
    <w:p>
      <w:pPr>
        <w:pStyle w:val="14"/>
        <w:ind w:firstLine="360"/>
      </w:pPr>
      <w:r>
        <w:rPr>
          <w:rStyle w:val="23"/>
        </w:rPr>
        <w:footnoteRef/>
      </w:r>
      <w:r>
        <w:t xml:space="preserve"> </w:t>
      </w:r>
      <w:r>
        <w:rPr>
          <w:rFonts w:hint="eastAsia"/>
        </w:rPr>
        <w:t>说明：《财政部关于开展政府采购意向公开工作的通知》（财库〔2020〕10号）于2020年3月2日印发，明确提出“省级以下各级预算单位2022年1月1日起实施的采购项目，应当按规定公开采购意向”“按项目实施的集中采购目录以内或者采购限额标准以上的货物、工程、服务采购均应当公开采购意向”“采购意向公开的内容应当包括采购项目名称、采购需求概况、预算金额、预计采购时间等”等规定。</w:t>
      </w:r>
    </w:p>
  </w:footnote>
  <w:footnote w:id="17">
    <w:p>
      <w:pPr>
        <w:pStyle w:val="14"/>
        <w:ind w:firstLine="360"/>
      </w:pPr>
      <w:r>
        <w:rPr>
          <w:rStyle w:val="23"/>
        </w:rPr>
        <w:footnoteRef/>
      </w:r>
      <w:r>
        <w:t xml:space="preserve"> </w:t>
      </w:r>
      <w:r>
        <w:rPr>
          <w:rFonts w:hint="eastAsia"/>
        </w:rPr>
        <w:t>说明：《财政部关于开展政府采购意向公开工作的通知》（财库〔2020〕10号）于2020年3月2日印发，明确提出“省级以下各级预算单位2022年1月1日起实施的采购项目，应当按规定公开采购意向”“按项目实施的集中采购目录以内或者采购限额标准以上的货物、工程、服务采购均应当公开采购意向”“采购意向公开的内容应当包括采购项目名称、采购需求概况、预算金额、预计采购时间等”等规定。</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DE840"/>
    <w:multiLevelType w:val="singleLevel"/>
    <w:tmpl w:val="64EDE84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hideSpellingErrors/>
  <w:documentProtection w:enforcement="0"/>
  <w:defaultTabStop w:val="420"/>
  <w:drawingGridHorizontalSpacing w:val="160"/>
  <w:drawingGridVerticalSpacing w:val="435"/>
  <w:noPunctuationKerning w:val="true"/>
  <w:characterSpacingControl w:val="compressPunctuation"/>
  <w:footnotePr>
    <w:footnote w:id="36"/>
    <w:footnote w:id="37"/>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NTQwZWY1YjI4MTg5NzFjZWJkMzM1ODUyNzBkNDYifQ=="/>
  </w:docVars>
  <w:rsids>
    <w:rsidRoot w:val="00FF19B0"/>
    <w:rsid w:val="000118A6"/>
    <w:rsid w:val="00017F30"/>
    <w:rsid w:val="000319F9"/>
    <w:rsid w:val="000371C3"/>
    <w:rsid w:val="00047F02"/>
    <w:rsid w:val="0005450C"/>
    <w:rsid w:val="00060C6A"/>
    <w:rsid w:val="0009075B"/>
    <w:rsid w:val="000A1A07"/>
    <w:rsid w:val="001113BD"/>
    <w:rsid w:val="00113D6D"/>
    <w:rsid w:val="00164C26"/>
    <w:rsid w:val="001704E2"/>
    <w:rsid w:val="00186578"/>
    <w:rsid w:val="00186E3B"/>
    <w:rsid w:val="001B11F9"/>
    <w:rsid w:val="001C5F73"/>
    <w:rsid w:val="001D4206"/>
    <w:rsid w:val="0022181C"/>
    <w:rsid w:val="00236949"/>
    <w:rsid w:val="00247343"/>
    <w:rsid w:val="002E48C5"/>
    <w:rsid w:val="002F58EC"/>
    <w:rsid w:val="00331E64"/>
    <w:rsid w:val="00385F98"/>
    <w:rsid w:val="003860A3"/>
    <w:rsid w:val="00391A34"/>
    <w:rsid w:val="00426630"/>
    <w:rsid w:val="004651B6"/>
    <w:rsid w:val="0046550B"/>
    <w:rsid w:val="00473DB3"/>
    <w:rsid w:val="00492803"/>
    <w:rsid w:val="004931B2"/>
    <w:rsid w:val="004C6046"/>
    <w:rsid w:val="004E57CE"/>
    <w:rsid w:val="00501EE6"/>
    <w:rsid w:val="00522A7A"/>
    <w:rsid w:val="00524896"/>
    <w:rsid w:val="00537C28"/>
    <w:rsid w:val="0055574E"/>
    <w:rsid w:val="0056773E"/>
    <w:rsid w:val="005714C6"/>
    <w:rsid w:val="005C4B4F"/>
    <w:rsid w:val="005C4D2E"/>
    <w:rsid w:val="005D3D0A"/>
    <w:rsid w:val="00626C51"/>
    <w:rsid w:val="00645991"/>
    <w:rsid w:val="0064713F"/>
    <w:rsid w:val="00651B20"/>
    <w:rsid w:val="00655B82"/>
    <w:rsid w:val="006D42C3"/>
    <w:rsid w:val="007459AB"/>
    <w:rsid w:val="0075194C"/>
    <w:rsid w:val="00771B68"/>
    <w:rsid w:val="00792044"/>
    <w:rsid w:val="007A4C46"/>
    <w:rsid w:val="007A51B4"/>
    <w:rsid w:val="007C717F"/>
    <w:rsid w:val="007D7F1B"/>
    <w:rsid w:val="00801E79"/>
    <w:rsid w:val="0080290C"/>
    <w:rsid w:val="00817F6F"/>
    <w:rsid w:val="0083056F"/>
    <w:rsid w:val="00832473"/>
    <w:rsid w:val="008441C1"/>
    <w:rsid w:val="00846976"/>
    <w:rsid w:val="008520E9"/>
    <w:rsid w:val="00877B59"/>
    <w:rsid w:val="009137B5"/>
    <w:rsid w:val="0092778F"/>
    <w:rsid w:val="009444C8"/>
    <w:rsid w:val="009E0C93"/>
    <w:rsid w:val="00A16BE5"/>
    <w:rsid w:val="00A2323B"/>
    <w:rsid w:val="00A376AC"/>
    <w:rsid w:val="00A45456"/>
    <w:rsid w:val="00A55B92"/>
    <w:rsid w:val="00A73E5B"/>
    <w:rsid w:val="00AA4547"/>
    <w:rsid w:val="00B06E28"/>
    <w:rsid w:val="00B2052D"/>
    <w:rsid w:val="00B23C47"/>
    <w:rsid w:val="00B2504B"/>
    <w:rsid w:val="00B441A4"/>
    <w:rsid w:val="00B95CDD"/>
    <w:rsid w:val="00C67EF5"/>
    <w:rsid w:val="00C9112E"/>
    <w:rsid w:val="00C91C98"/>
    <w:rsid w:val="00CE4FEC"/>
    <w:rsid w:val="00D00BB4"/>
    <w:rsid w:val="00D01211"/>
    <w:rsid w:val="00D03026"/>
    <w:rsid w:val="00D0596F"/>
    <w:rsid w:val="00D43CD4"/>
    <w:rsid w:val="00D70859"/>
    <w:rsid w:val="00D7431E"/>
    <w:rsid w:val="00D9012D"/>
    <w:rsid w:val="00DA2F4D"/>
    <w:rsid w:val="00E02A6A"/>
    <w:rsid w:val="00E04E03"/>
    <w:rsid w:val="00E313F1"/>
    <w:rsid w:val="00E54D24"/>
    <w:rsid w:val="00E5587B"/>
    <w:rsid w:val="00E75B6A"/>
    <w:rsid w:val="00E865C2"/>
    <w:rsid w:val="00EB60B2"/>
    <w:rsid w:val="00EC043D"/>
    <w:rsid w:val="00EC0948"/>
    <w:rsid w:val="00EF5BA2"/>
    <w:rsid w:val="00F50CDF"/>
    <w:rsid w:val="00F66ACC"/>
    <w:rsid w:val="00F72C81"/>
    <w:rsid w:val="00F73E53"/>
    <w:rsid w:val="00F9129A"/>
    <w:rsid w:val="00FB1669"/>
    <w:rsid w:val="00FE1942"/>
    <w:rsid w:val="00FF19B0"/>
    <w:rsid w:val="00FF4F72"/>
    <w:rsid w:val="00FF5D63"/>
    <w:rsid w:val="010827C0"/>
    <w:rsid w:val="010A478A"/>
    <w:rsid w:val="01102460"/>
    <w:rsid w:val="01192C1F"/>
    <w:rsid w:val="013869D1"/>
    <w:rsid w:val="014C4DA3"/>
    <w:rsid w:val="01543C57"/>
    <w:rsid w:val="01595F6F"/>
    <w:rsid w:val="015E4AD6"/>
    <w:rsid w:val="01714809"/>
    <w:rsid w:val="017240DE"/>
    <w:rsid w:val="017C6D0A"/>
    <w:rsid w:val="017E6F26"/>
    <w:rsid w:val="01883901"/>
    <w:rsid w:val="018C6D09"/>
    <w:rsid w:val="018E1B27"/>
    <w:rsid w:val="01B446F6"/>
    <w:rsid w:val="01BA61B0"/>
    <w:rsid w:val="01C04E49"/>
    <w:rsid w:val="01C34939"/>
    <w:rsid w:val="01C54B55"/>
    <w:rsid w:val="01CC5AD4"/>
    <w:rsid w:val="01CE3A0A"/>
    <w:rsid w:val="01CF0D89"/>
    <w:rsid w:val="01D32DCE"/>
    <w:rsid w:val="01D34B7C"/>
    <w:rsid w:val="01E274B5"/>
    <w:rsid w:val="01E90844"/>
    <w:rsid w:val="01F36A43"/>
    <w:rsid w:val="020531A4"/>
    <w:rsid w:val="02076F1C"/>
    <w:rsid w:val="02092C94"/>
    <w:rsid w:val="020B07BA"/>
    <w:rsid w:val="020E2058"/>
    <w:rsid w:val="020E5D76"/>
    <w:rsid w:val="021A27AB"/>
    <w:rsid w:val="02203B3A"/>
    <w:rsid w:val="02222DB6"/>
    <w:rsid w:val="022E44A8"/>
    <w:rsid w:val="02331ABF"/>
    <w:rsid w:val="02336172"/>
    <w:rsid w:val="02405F8A"/>
    <w:rsid w:val="025D6B3C"/>
    <w:rsid w:val="02672F7C"/>
    <w:rsid w:val="02691984"/>
    <w:rsid w:val="026C4FD1"/>
    <w:rsid w:val="026D5026"/>
    <w:rsid w:val="027A149C"/>
    <w:rsid w:val="027D687D"/>
    <w:rsid w:val="02900CBF"/>
    <w:rsid w:val="02985DC6"/>
    <w:rsid w:val="02994018"/>
    <w:rsid w:val="02A227A1"/>
    <w:rsid w:val="02A418D7"/>
    <w:rsid w:val="02B20A25"/>
    <w:rsid w:val="02CA029B"/>
    <w:rsid w:val="02D2752A"/>
    <w:rsid w:val="02DC2156"/>
    <w:rsid w:val="02DC3F04"/>
    <w:rsid w:val="02E66B31"/>
    <w:rsid w:val="02EA4F91"/>
    <w:rsid w:val="02F456F2"/>
    <w:rsid w:val="02F96864"/>
    <w:rsid w:val="02FA082F"/>
    <w:rsid w:val="02FB6131"/>
    <w:rsid w:val="02FF7BF3"/>
    <w:rsid w:val="03031491"/>
    <w:rsid w:val="030331ED"/>
    <w:rsid w:val="0305156B"/>
    <w:rsid w:val="03070680"/>
    <w:rsid w:val="03195159"/>
    <w:rsid w:val="033816DC"/>
    <w:rsid w:val="033B50CF"/>
    <w:rsid w:val="033D0C5F"/>
    <w:rsid w:val="034877EC"/>
    <w:rsid w:val="034B4BE6"/>
    <w:rsid w:val="03510833"/>
    <w:rsid w:val="03590DEA"/>
    <w:rsid w:val="035937A7"/>
    <w:rsid w:val="035B751F"/>
    <w:rsid w:val="03604B36"/>
    <w:rsid w:val="03653EFA"/>
    <w:rsid w:val="036C34DA"/>
    <w:rsid w:val="03783724"/>
    <w:rsid w:val="037E6BB8"/>
    <w:rsid w:val="0385459C"/>
    <w:rsid w:val="03904543"/>
    <w:rsid w:val="03A26EFC"/>
    <w:rsid w:val="03A34A22"/>
    <w:rsid w:val="03A72764"/>
    <w:rsid w:val="03B2272A"/>
    <w:rsid w:val="03B409DD"/>
    <w:rsid w:val="03B66504"/>
    <w:rsid w:val="03B7227C"/>
    <w:rsid w:val="03B83858"/>
    <w:rsid w:val="03BE0A83"/>
    <w:rsid w:val="03BE360A"/>
    <w:rsid w:val="03C12D10"/>
    <w:rsid w:val="03C84489"/>
    <w:rsid w:val="03C9092D"/>
    <w:rsid w:val="03D177E1"/>
    <w:rsid w:val="03D8291E"/>
    <w:rsid w:val="03E82B68"/>
    <w:rsid w:val="03F1578E"/>
    <w:rsid w:val="03F31506"/>
    <w:rsid w:val="040E6340"/>
    <w:rsid w:val="0414147C"/>
    <w:rsid w:val="041455DD"/>
    <w:rsid w:val="04155920"/>
    <w:rsid w:val="041651F4"/>
    <w:rsid w:val="04293179"/>
    <w:rsid w:val="04310280"/>
    <w:rsid w:val="043D09D3"/>
    <w:rsid w:val="04406715"/>
    <w:rsid w:val="0442248D"/>
    <w:rsid w:val="04463D2B"/>
    <w:rsid w:val="0449381C"/>
    <w:rsid w:val="044942BF"/>
    <w:rsid w:val="044C50BA"/>
    <w:rsid w:val="04500854"/>
    <w:rsid w:val="04545D1C"/>
    <w:rsid w:val="045E40EB"/>
    <w:rsid w:val="045F7662"/>
    <w:rsid w:val="0462668B"/>
    <w:rsid w:val="047012BB"/>
    <w:rsid w:val="04730898"/>
    <w:rsid w:val="0475016D"/>
    <w:rsid w:val="04797EB0"/>
    <w:rsid w:val="0481195C"/>
    <w:rsid w:val="04820ADC"/>
    <w:rsid w:val="04857EA2"/>
    <w:rsid w:val="048605CC"/>
    <w:rsid w:val="04975458"/>
    <w:rsid w:val="04A230A0"/>
    <w:rsid w:val="04A42800"/>
    <w:rsid w:val="04A54114"/>
    <w:rsid w:val="04A66578"/>
    <w:rsid w:val="04A841FE"/>
    <w:rsid w:val="04B35139"/>
    <w:rsid w:val="04BD1B14"/>
    <w:rsid w:val="04C42304"/>
    <w:rsid w:val="04C9670A"/>
    <w:rsid w:val="04D22D03"/>
    <w:rsid w:val="04DC7FF9"/>
    <w:rsid w:val="04DF1A8A"/>
    <w:rsid w:val="04E17ADE"/>
    <w:rsid w:val="04F33787"/>
    <w:rsid w:val="04F96FF0"/>
    <w:rsid w:val="04FA68C4"/>
    <w:rsid w:val="05027B01"/>
    <w:rsid w:val="05123C0E"/>
    <w:rsid w:val="052530D6"/>
    <w:rsid w:val="052A53FB"/>
    <w:rsid w:val="05347EF2"/>
    <w:rsid w:val="053A13B6"/>
    <w:rsid w:val="053A4F12"/>
    <w:rsid w:val="053E5AFA"/>
    <w:rsid w:val="05432019"/>
    <w:rsid w:val="05465FAD"/>
    <w:rsid w:val="054D6FB9"/>
    <w:rsid w:val="054E09BE"/>
    <w:rsid w:val="054F6C10"/>
    <w:rsid w:val="05542478"/>
    <w:rsid w:val="055D1E4F"/>
    <w:rsid w:val="05634469"/>
    <w:rsid w:val="056C21C8"/>
    <w:rsid w:val="057B7A05"/>
    <w:rsid w:val="0585028E"/>
    <w:rsid w:val="0590740D"/>
    <w:rsid w:val="059B038E"/>
    <w:rsid w:val="059C5BCD"/>
    <w:rsid w:val="059D58E5"/>
    <w:rsid w:val="05A0746B"/>
    <w:rsid w:val="05B14334"/>
    <w:rsid w:val="05B20F4D"/>
    <w:rsid w:val="05B21478"/>
    <w:rsid w:val="05BB42A5"/>
    <w:rsid w:val="05C375FE"/>
    <w:rsid w:val="05C869C2"/>
    <w:rsid w:val="05CD3FD8"/>
    <w:rsid w:val="05D709B3"/>
    <w:rsid w:val="05DB4947"/>
    <w:rsid w:val="05DE4E38"/>
    <w:rsid w:val="05ED287B"/>
    <w:rsid w:val="05EF21A1"/>
    <w:rsid w:val="05F17CC7"/>
    <w:rsid w:val="05F257ED"/>
    <w:rsid w:val="05F41565"/>
    <w:rsid w:val="05F872A7"/>
    <w:rsid w:val="060A0D89"/>
    <w:rsid w:val="060E0879"/>
    <w:rsid w:val="060F639F"/>
    <w:rsid w:val="06110369"/>
    <w:rsid w:val="06135E8F"/>
    <w:rsid w:val="061A5470"/>
    <w:rsid w:val="06204F50"/>
    <w:rsid w:val="06224324"/>
    <w:rsid w:val="06255BC2"/>
    <w:rsid w:val="062C318E"/>
    <w:rsid w:val="063D2F0C"/>
    <w:rsid w:val="06436049"/>
    <w:rsid w:val="065564A8"/>
    <w:rsid w:val="06565D7C"/>
    <w:rsid w:val="0656788B"/>
    <w:rsid w:val="065D46D3"/>
    <w:rsid w:val="065F7326"/>
    <w:rsid w:val="066761DB"/>
    <w:rsid w:val="066B5CCB"/>
    <w:rsid w:val="06710E08"/>
    <w:rsid w:val="067508F8"/>
    <w:rsid w:val="06764670"/>
    <w:rsid w:val="0676641E"/>
    <w:rsid w:val="06846D8D"/>
    <w:rsid w:val="06874187"/>
    <w:rsid w:val="068943A3"/>
    <w:rsid w:val="069845E6"/>
    <w:rsid w:val="069A65B0"/>
    <w:rsid w:val="069D7E4F"/>
    <w:rsid w:val="069E132B"/>
    <w:rsid w:val="06AC1E40"/>
    <w:rsid w:val="06AD62E4"/>
    <w:rsid w:val="06B31420"/>
    <w:rsid w:val="06B64A6C"/>
    <w:rsid w:val="06B86A37"/>
    <w:rsid w:val="06C62F02"/>
    <w:rsid w:val="06C70A28"/>
    <w:rsid w:val="06C76C7A"/>
    <w:rsid w:val="06D118A6"/>
    <w:rsid w:val="06D575E9"/>
    <w:rsid w:val="06DA075B"/>
    <w:rsid w:val="06DF1DD2"/>
    <w:rsid w:val="06E635A4"/>
    <w:rsid w:val="06ED4932"/>
    <w:rsid w:val="06EE2458"/>
    <w:rsid w:val="06F07F7E"/>
    <w:rsid w:val="06F35CC1"/>
    <w:rsid w:val="06FA2BAB"/>
    <w:rsid w:val="06FC0970"/>
    <w:rsid w:val="07061550"/>
    <w:rsid w:val="0708176C"/>
    <w:rsid w:val="07100621"/>
    <w:rsid w:val="07117EF5"/>
    <w:rsid w:val="07126147"/>
    <w:rsid w:val="071D4AEC"/>
    <w:rsid w:val="07287718"/>
    <w:rsid w:val="072F7F6F"/>
    <w:rsid w:val="073018EA"/>
    <w:rsid w:val="0733158D"/>
    <w:rsid w:val="0733430F"/>
    <w:rsid w:val="07380483"/>
    <w:rsid w:val="074107DA"/>
    <w:rsid w:val="07491CD5"/>
    <w:rsid w:val="074B1659"/>
    <w:rsid w:val="074F739B"/>
    <w:rsid w:val="07591FC8"/>
    <w:rsid w:val="075A189C"/>
    <w:rsid w:val="075C73C2"/>
    <w:rsid w:val="075E75DE"/>
    <w:rsid w:val="07697D31"/>
    <w:rsid w:val="076C2CCE"/>
    <w:rsid w:val="07707311"/>
    <w:rsid w:val="07711BC9"/>
    <w:rsid w:val="0774295E"/>
    <w:rsid w:val="077C2596"/>
    <w:rsid w:val="077C3131"/>
    <w:rsid w:val="078D3A1F"/>
    <w:rsid w:val="078D7EC3"/>
    <w:rsid w:val="078F7797"/>
    <w:rsid w:val="079052BE"/>
    <w:rsid w:val="079254DA"/>
    <w:rsid w:val="079364BB"/>
    <w:rsid w:val="07990616"/>
    <w:rsid w:val="07A11279"/>
    <w:rsid w:val="07A33CD7"/>
    <w:rsid w:val="07A5678F"/>
    <w:rsid w:val="07AB20F7"/>
    <w:rsid w:val="07B76CEE"/>
    <w:rsid w:val="07B90CB8"/>
    <w:rsid w:val="07BB242A"/>
    <w:rsid w:val="07BB67DE"/>
    <w:rsid w:val="07C02047"/>
    <w:rsid w:val="07C03DF5"/>
    <w:rsid w:val="07C1191B"/>
    <w:rsid w:val="07C5140B"/>
    <w:rsid w:val="07CB4548"/>
    <w:rsid w:val="07CD6512"/>
    <w:rsid w:val="07D96C64"/>
    <w:rsid w:val="07DD49A7"/>
    <w:rsid w:val="07DE7496"/>
    <w:rsid w:val="07DF7E70"/>
    <w:rsid w:val="07E04497"/>
    <w:rsid w:val="07E57C0A"/>
    <w:rsid w:val="07E607C5"/>
    <w:rsid w:val="07E775D3"/>
    <w:rsid w:val="07F33AAD"/>
    <w:rsid w:val="07F67816"/>
    <w:rsid w:val="08004497"/>
    <w:rsid w:val="08030185"/>
    <w:rsid w:val="08053EFD"/>
    <w:rsid w:val="080D4B60"/>
    <w:rsid w:val="08114650"/>
    <w:rsid w:val="081303C8"/>
    <w:rsid w:val="08147C9D"/>
    <w:rsid w:val="081B72F6"/>
    <w:rsid w:val="082223BA"/>
    <w:rsid w:val="08227CB8"/>
    <w:rsid w:val="08253C58"/>
    <w:rsid w:val="082A2250"/>
    <w:rsid w:val="083E2F6B"/>
    <w:rsid w:val="08400A92"/>
    <w:rsid w:val="08471E20"/>
    <w:rsid w:val="08566507"/>
    <w:rsid w:val="0857565A"/>
    <w:rsid w:val="085834FB"/>
    <w:rsid w:val="08635A8D"/>
    <w:rsid w:val="086E1AA3"/>
    <w:rsid w:val="08732486"/>
    <w:rsid w:val="087B7D1C"/>
    <w:rsid w:val="08843074"/>
    <w:rsid w:val="088778CA"/>
    <w:rsid w:val="088A4403"/>
    <w:rsid w:val="08915791"/>
    <w:rsid w:val="089179D6"/>
    <w:rsid w:val="089336AE"/>
    <w:rsid w:val="08AC4379"/>
    <w:rsid w:val="08B1198F"/>
    <w:rsid w:val="08C5394F"/>
    <w:rsid w:val="08CF1E16"/>
    <w:rsid w:val="08DD2784"/>
    <w:rsid w:val="08DF474E"/>
    <w:rsid w:val="08EC29C7"/>
    <w:rsid w:val="09067F2D"/>
    <w:rsid w:val="090715AF"/>
    <w:rsid w:val="090E0B90"/>
    <w:rsid w:val="091512BC"/>
    <w:rsid w:val="091837BC"/>
    <w:rsid w:val="091D1CF4"/>
    <w:rsid w:val="091D58CF"/>
    <w:rsid w:val="091E5277"/>
    <w:rsid w:val="09212671"/>
    <w:rsid w:val="092403B3"/>
    <w:rsid w:val="09247DCC"/>
    <w:rsid w:val="092959CA"/>
    <w:rsid w:val="092A393D"/>
    <w:rsid w:val="092B34F0"/>
    <w:rsid w:val="092D32E5"/>
    <w:rsid w:val="0935611C"/>
    <w:rsid w:val="09364775"/>
    <w:rsid w:val="093B02AA"/>
    <w:rsid w:val="093D1475"/>
    <w:rsid w:val="093E76C7"/>
    <w:rsid w:val="0946032A"/>
    <w:rsid w:val="09475E50"/>
    <w:rsid w:val="0949606C"/>
    <w:rsid w:val="09532A47"/>
    <w:rsid w:val="09545798"/>
    <w:rsid w:val="096B5FE2"/>
    <w:rsid w:val="0970184A"/>
    <w:rsid w:val="09736C45"/>
    <w:rsid w:val="098552F6"/>
    <w:rsid w:val="09856227"/>
    <w:rsid w:val="099217C1"/>
    <w:rsid w:val="0992356F"/>
    <w:rsid w:val="099472E7"/>
    <w:rsid w:val="099B597A"/>
    <w:rsid w:val="099E3CC2"/>
    <w:rsid w:val="09A137B2"/>
    <w:rsid w:val="09A17C56"/>
    <w:rsid w:val="09A40E44"/>
    <w:rsid w:val="09AD03A9"/>
    <w:rsid w:val="09B93488"/>
    <w:rsid w:val="09BA2AC6"/>
    <w:rsid w:val="09C676BC"/>
    <w:rsid w:val="09D5345C"/>
    <w:rsid w:val="09E33DCA"/>
    <w:rsid w:val="09E92566"/>
    <w:rsid w:val="09FB55B8"/>
    <w:rsid w:val="09FE29B2"/>
    <w:rsid w:val="0A053D41"/>
    <w:rsid w:val="0A067AB9"/>
    <w:rsid w:val="0A0C3321"/>
    <w:rsid w:val="0A0D52EB"/>
    <w:rsid w:val="0A100D7D"/>
    <w:rsid w:val="0A1026E6"/>
    <w:rsid w:val="0A110938"/>
    <w:rsid w:val="0A18089F"/>
    <w:rsid w:val="0A20501F"/>
    <w:rsid w:val="0A2763AD"/>
    <w:rsid w:val="0A2C5771"/>
    <w:rsid w:val="0A2E773B"/>
    <w:rsid w:val="0A3208AE"/>
    <w:rsid w:val="0A36039E"/>
    <w:rsid w:val="0A466107"/>
    <w:rsid w:val="0A5371A2"/>
    <w:rsid w:val="0A6505B6"/>
    <w:rsid w:val="0A693D18"/>
    <w:rsid w:val="0A843E9B"/>
    <w:rsid w:val="0A854E82"/>
    <w:rsid w:val="0A856C30"/>
    <w:rsid w:val="0A877790"/>
    <w:rsid w:val="0A8941B2"/>
    <w:rsid w:val="0A896B49"/>
    <w:rsid w:val="0A921606"/>
    <w:rsid w:val="0A9357F1"/>
    <w:rsid w:val="0A99092D"/>
    <w:rsid w:val="0AAC0660"/>
    <w:rsid w:val="0AB54730"/>
    <w:rsid w:val="0ABB4734"/>
    <w:rsid w:val="0ABD0ABF"/>
    <w:rsid w:val="0AC37758"/>
    <w:rsid w:val="0ACC2AB1"/>
    <w:rsid w:val="0AD025A1"/>
    <w:rsid w:val="0AD656DD"/>
    <w:rsid w:val="0ADB7197"/>
    <w:rsid w:val="0ADD081A"/>
    <w:rsid w:val="0ADD2F10"/>
    <w:rsid w:val="0ADD4CBE"/>
    <w:rsid w:val="0AE24082"/>
    <w:rsid w:val="0AF54ADE"/>
    <w:rsid w:val="0AF73FD1"/>
    <w:rsid w:val="0B057D70"/>
    <w:rsid w:val="0B065FC2"/>
    <w:rsid w:val="0B083A0D"/>
    <w:rsid w:val="0B0B45B7"/>
    <w:rsid w:val="0B0E131B"/>
    <w:rsid w:val="0B185CF6"/>
    <w:rsid w:val="0B275F39"/>
    <w:rsid w:val="0B2B3C7B"/>
    <w:rsid w:val="0B330D82"/>
    <w:rsid w:val="0B380146"/>
    <w:rsid w:val="0B3A3EBE"/>
    <w:rsid w:val="0B3B4488"/>
    <w:rsid w:val="0B3B7760"/>
    <w:rsid w:val="0B3D7A20"/>
    <w:rsid w:val="0B440899"/>
    <w:rsid w:val="0B4E34C6"/>
    <w:rsid w:val="0B4E5BBB"/>
    <w:rsid w:val="0B550CF8"/>
    <w:rsid w:val="0B61769D"/>
    <w:rsid w:val="0B64718D"/>
    <w:rsid w:val="0B6D4294"/>
    <w:rsid w:val="0B73117E"/>
    <w:rsid w:val="0B776EC0"/>
    <w:rsid w:val="0B792C38"/>
    <w:rsid w:val="0B7A42BB"/>
    <w:rsid w:val="0B884C29"/>
    <w:rsid w:val="0B892750"/>
    <w:rsid w:val="0B995089"/>
    <w:rsid w:val="0B996E37"/>
    <w:rsid w:val="0B9A47FA"/>
    <w:rsid w:val="0BA63302"/>
    <w:rsid w:val="0BA852CC"/>
    <w:rsid w:val="0BA93819"/>
    <w:rsid w:val="0BB377CC"/>
    <w:rsid w:val="0BB572F8"/>
    <w:rsid w:val="0BB7550F"/>
    <w:rsid w:val="0BB91287"/>
    <w:rsid w:val="0BBE689D"/>
    <w:rsid w:val="0BC11EE9"/>
    <w:rsid w:val="0BCF0293"/>
    <w:rsid w:val="0BD065D0"/>
    <w:rsid w:val="0BD762D6"/>
    <w:rsid w:val="0BE36304"/>
    <w:rsid w:val="0BEE7C84"/>
    <w:rsid w:val="0BF21DA7"/>
    <w:rsid w:val="0C004584"/>
    <w:rsid w:val="0C126BE9"/>
    <w:rsid w:val="0C175FAD"/>
    <w:rsid w:val="0C3C3C66"/>
    <w:rsid w:val="0C430B50"/>
    <w:rsid w:val="0C43416C"/>
    <w:rsid w:val="0C4B5C57"/>
    <w:rsid w:val="0C5A2267"/>
    <w:rsid w:val="0C605BA6"/>
    <w:rsid w:val="0C670CE3"/>
    <w:rsid w:val="0C6B00A2"/>
    <w:rsid w:val="0C795AB7"/>
    <w:rsid w:val="0C803B53"/>
    <w:rsid w:val="0C923886"/>
    <w:rsid w:val="0C943AA2"/>
    <w:rsid w:val="0C9B6BDE"/>
    <w:rsid w:val="0CB41A4E"/>
    <w:rsid w:val="0CB6138C"/>
    <w:rsid w:val="0CBB102F"/>
    <w:rsid w:val="0CC954FA"/>
    <w:rsid w:val="0CD67C16"/>
    <w:rsid w:val="0CD8573D"/>
    <w:rsid w:val="0CDF4D1D"/>
    <w:rsid w:val="0CE2144A"/>
    <w:rsid w:val="0CE2480D"/>
    <w:rsid w:val="0CE57E5A"/>
    <w:rsid w:val="0CE73BD2"/>
    <w:rsid w:val="0CE9794A"/>
    <w:rsid w:val="0CEC11E8"/>
    <w:rsid w:val="0CEE31B2"/>
    <w:rsid w:val="0CF06F2A"/>
    <w:rsid w:val="0CF12CA2"/>
    <w:rsid w:val="0CF32576"/>
    <w:rsid w:val="0CF54541"/>
    <w:rsid w:val="0CFB142B"/>
    <w:rsid w:val="0CFB58CF"/>
    <w:rsid w:val="0D091D9A"/>
    <w:rsid w:val="0D0F0BBE"/>
    <w:rsid w:val="0D1644B7"/>
    <w:rsid w:val="0D16466C"/>
    <w:rsid w:val="0D2070E4"/>
    <w:rsid w:val="0D226E4E"/>
    <w:rsid w:val="0D267F41"/>
    <w:rsid w:val="0D2E1801"/>
    <w:rsid w:val="0D531267"/>
    <w:rsid w:val="0D556D8D"/>
    <w:rsid w:val="0D5648B3"/>
    <w:rsid w:val="0D5A372A"/>
    <w:rsid w:val="0D5D20E6"/>
    <w:rsid w:val="0D696CDD"/>
    <w:rsid w:val="0D786F20"/>
    <w:rsid w:val="0D7A2C98"/>
    <w:rsid w:val="0D82748E"/>
    <w:rsid w:val="0D957AD2"/>
    <w:rsid w:val="0DA43871"/>
    <w:rsid w:val="0DA63A8D"/>
    <w:rsid w:val="0DA6583B"/>
    <w:rsid w:val="0DA9532B"/>
    <w:rsid w:val="0DAD4E1B"/>
    <w:rsid w:val="0DAF0B93"/>
    <w:rsid w:val="0DB02216"/>
    <w:rsid w:val="0DC84B0D"/>
    <w:rsid w:val="0DC9777B"/>
    <w:rsid w:val="0DD17103"/>
    <w:rsid w:val="0DD17CC7"/>
    <w:rsid w:val="0DD216AC"/>
    <w:rsid w:val="0DD73C46"/>
    <w:rsid w:val="0DD95C10"/>
    <w:rsid w:val="0DDA062B"/>
    <w:rsid w:val="0DE3083D"/>
    <w:rsid w:val="0DEF3493"/>
    <w:rsid w:val="0DF447F8"/>
    <w:rsid w:val="0E010CC3"/>
    <w:rsid w:val="0E016F15"/>
    <w:rsid w:val="0E0367E9"/>
    <w:rsid w:val="0E0802A4"/>
    <w:rsid w:val="0E0B1B42"/>
    <w:rsid w:val="0E121122"/>
    <w:rsid w:val="0E202C5A"/>
    <w:rsid w:val="0E236B1B"/>
    <w:rsid w:val="0E285461"/>
    <w:rsid w:val="0E3015A8"/>
    <w:rsid w:val="0E303356"/>
    <w:rsid w:val="0E3270CE"/>
    <w:rsid w:val="0E35096D"/>
    <w:rsid w:val="0E407A3D"/>
    <w:rsid w:val="0E4868F2"/>
    <w:rsid w:val="0E4A5EBD"/>
    <w:rsid w:val="0E5434E9"/>
    <w:rsid w:val="0E5448E3"/>
    <w:rsid w:val="0E547045"/>
    <w:rsid w:val="0E574D87"/>
    <w:rsid w:val="0E590AFF"/>
    <w:rsid w:val="0E63372C"/>
    <w:rsid w:val="0E71409B"/>
    <w:rsid w:val="0E72571D"/>
    <w:rsid w:val="0E7476E7"/>
    <w:rsid w:val="0E76520D"/>
    <w:rsid w:val="0E7E40C2"/>
    <w:rsid w:val="0E8518F4"/>
    <w:rsid w:val="0E8A2A67"/>
    <w:rsid w:val="0E8F62CF"/>
    <w:rsid w:val="0E9733D5"/>
    <w:rsid w:val="0E9D4E90"/>
    <w:rsid w:val="0E9E2D8F"/>
    <w:rsid w:val="0EA2211B"/>
    <w:rsid w:val="0EA31D7A"/>
    <w:rsid w:val="0EA6254F"/>
    <w:rsid w:val="0EAC6E81"/>
    <w:rsid w:val="0EB14497"/>
    <w:rsid w:val="0EB21FBD"/>
    <w:rsid w:val="0EB67D00"/>
    <w:rsid w:val="0EBF0F75"/>
    <w:rsid w:val="0EC266A4"/>
    <w:rsid w:val="0EC817E1"/>
    <w:rsid w:val="0ECF31AD"/>
    <w:rsid w:val="0ED21969"/>
    <w:rsid w:val="0ED2440E"/>
    <w:rsid w:val="0EDC703A"/>
    <w:rsid w:val="0EE94FAC"/>
    <w:rsid w:val="0EEC3721"/>
    <w:rsid w:val="0EF1398E"/>
    <w:rsid w:val="0EFE3455"/>
    <w:rsid w:val="0F0F5662"/>
    <w:rsid w:val="0F1F58A5"/>
    <w:rsid w:val="0F2B3F79"/>
    <w:rsid w:val="0F3414EC"/>
    <w:rsid w:val="0F3F7CF5"/>
    <w:rsid w:val="0F410916"/>
    <w:rsid w:val="0F4356B3"/>
    <w:rsid w:val="0F44530B"/>
    <w:rsid w:val="0F4470B9"/>
    <w:rsid w:val="0F49731D"/>
    <w:rsid w:val="0F581364"/>
    <w:rsid w:val="0F6239E3"/>
    <w:rsid w:val="0F694D72"/>
    <w:rsid w:val="0F6B0AEA"/>
    <w:rsid w:val="0F73174D"/>
    <w:rsid w:val="0F792C22"/>
    <w:rsid w:val="0F803E6A"/>
    <w:rsid w:val="0F825E34"/>
    <w:rsid w:val="0F84401F"/>
    <w:rsid w:val="0F8751F8"/>
    <w:rsid w:val="0F9C0A28"/>
    <w:rsid w:val="0F9C6EF5"/>
    <w:rsid w:val="0F9F581E"/>
    <w:rsid w:val="0FAB538A"/>
    <w:rsid w:val="0FBC1346"/>
    <w:rsid w:val="0FBC30F4"/>
    <w:rsid w:val="0FBF126E"/>
    <w:rsid w:val="0FC14BAE"/>
    <w:rsid w:val="0FD3043D"/>
    <w:rsid w:val="0FD541B5"/>
    <w:rsid w:val="0FE17649"/>
    <w:rsid w:val="0FEA6542"/>
    <w:rsid w:val="0FF578B7"/>
    <w:rsid w:val="10050268"/>
    <w:rsid w:val="10060813"/>
    <w:rsid w:val="100625C1"/>
    <w:rsid w:val="100827DD"/>
    <w:rsid w:val="100F5919"/>
    <w:rsid w:val="1014195C"/>
    <w:rsid w:val="10190546"/>
    <w:rsid w:val="10196798"/>
    <w:rsid w:val="101E2ED2"/>
    <w:rsid w:val="101F18D4"/>
    <w:rsid w:val="102B0279"/>
    <w:rsid w:val="102D2243"/>
    <w:rsid w:val="10320456"/>
    <w:rsid w:val="103510F8"/>
    <w:rsid w:val="10356218"/>
    <w:rsid w:val="103E7FAD"/>
    <w:rsid w:val="10466E61"/>
    <w:rsid w:val="104D01F0"/>
    <w:rsid w:val="104D64CE"/>
    <w:rsid w:val="104F21BA"/>
    <w:rsid w:val="105114E3"/>
    <w:rsid w:val="10563548"/>
    <w:rsid w:val="10596B94"/>
    <w:rsid w:val="1064329E"/>
    <w:rsid w:val="106F63B8"/>
    <w:rsid w:val="10725EA8"/>
    <w:rsid w:val="107438F1"/>
    <w:rsid w:val="107C085B"/>
    <w:rsid w:val="107C0AD5"/>
    <w:rsid w:val="107C1ED1"/>
    <w:rsid w:val="107E2A9F"/>
    <w:rsid w:val="107E65FB"/>
    <w:rsid w:val="10855BDB"/>
    <w:rsid w:val="10857989"/>
    <w:rsid w:val="10945E1E"/>
    <w:rsid w:val="10957F85"/>
    <w:rsid w:val="109B71AD"/>
    <w:rsid w:val="109F460D"/>
    <w:rsid w:val="109F6D6A"/>
    <w:rsid w:val="10A015F3"/>
    <w:rsid w:val="10B63FE7"/>
    <w:rsid w:val="10B65D95"/>
    <w:rsid w:val="10B95885"/>
    <w:rsid w:val="10C04426"/>
    <w:rsid w:val="10C36704"/>
    <w:rsid w:val="10C761F4"/>
    <w:rsid w:val="10CC55B8"/>
    <w:rsid w:val="10D12BCF"/>
    <w:rsid w:val="10D1683E"/>
    <w:rsid w:val="10D206F5"/>
    <w:rsid w:val="10D91A83"/>
    <w:rsid w:val="10DD77C5"/>
    <w:rsid w:val="10DE709A"/>
    <w:rsid w:val="10E072B6"/>
    <w:rsid w:val="10E36DA6"/>
    <w:rsid w:val="10F25B74"/>
    <w:rsid w:val="10F36FE9"/>
    <w:rsid w:val="10F863AD"/>
    <w:rsid w:val="10F93ED3"/>
    <w:rsid w:val="10FE14EA"/>
    <w:rsid w:val="11072A94"/>
    <w:rsid w:val="110765F0"/>
    <w:rsid w:val="110C1E59"/>
    <w:rsid w:val="11166833"/>
    <w:rsid w:val="11196324"/>
    <w:rsid w:val="112A0531"/>
    <w:rsid w:val="112A22DF"/>
    <w:rsid w:val="11314E2E"/>
    <w:rsid w:val="11401B02"/>
    <w:rsid w:val="1142587A"/>
    <w:rsid w:val="11494E5B"/>
    <w:rsid w:val="1150771C"/>
    <w:rsid w:val="115B4B8E"/>
    <w:rsid w:val="115E5B69"/>
    <w:rsid w:val="115F467E"/>
    <w:rsid w:val="117515D7"/>
    <w:rsid w:val="11763776"/>
    <w:rsid w:val="117D4B05"/>
    <w:rsid w:val="117E017D"/>
    <w:rsid w:val="11902A8A"/>
    <w:rsid w:val="1198193E"/>
    <w:rsid w:val="119D65E9"/>
    <w:rsid w:val="11A007F3"/>
    <w:rsid w:val="11A26319"/>
    <w:rsid w:val="11A42091"/>
    <w:rsid w:val="11A958FA"/>
    <w:rsid w:val="11B06C88"/>
    <w:rsid w:val="11C269BB"/>
    <w:rsid w:val="11C93240"/>
    <w:rsid w:val="11CA0B93"/>
    <w:rsid w:val="11CC783A"/>
    <w:rsid w:val="11F03528"/>
    <w:rsid w:val="11F07EDB"/>
    <w:rsid w:val="11F34DC7"/>
    <w:rsid w:val="11FC011F"/>
    <w:rsid w:val="12064AFA"/>
    <w:rsid w:val="120668A8"/>
    <w:rsid w:val="121C60CC"/>
    <w:rsid w:val="121F796A"/>
    <w:rsid w:val="122B630F"/>
    <w:rsid w:val="12374CB3"/>
    <w:rsid w:val="124949E7"/>
    <w:rsid w:val="1258002E"/>
    <w:rsid w:val="12631F4C"/>
    <w:rsid w:val="126857B5"/>
    <w:rsid w:val="126C05D1"/>
    <w:rsid w:val="126D4B79"/>
    <w:rsid w:val="1272218F"/>
    <w:rsid w:val="127631F4"/>
    <w:rsid w:val="127928CC"/>
    <w:rsid w:val="128F2D41"/>
    <w:rsid w:val="129D6008"/>
    <w:rsid w:val="129F0AAB"/>
    <w:rsid w:val="12A52565"/>
    <w:rsid w:val="12A54313"/>
    <w:rsid w:val="12A6450E"/>
    <w:rsid w:val="12B207DE"/>
    <w:rsid w:val="12B427A8"/>
    <w:rsid w:val="12B65A3D"/>
    <w:rsid w:val="12BA7692"/>
    <w:rsid w:val="12BE53D5"/>
    <w:rsid w:val="12C15EE2"/>
    <w:rsid w:val="12C81DAF"/>
    <w:rsid w:val="12CC5D44"/>
    <w:rsid w:val="12CD386A"/>
    <w:rsid w:val="12D55D1B"/>
    <w:rsid w:val="12DE7825"/>
    <w:rsid w:val="12E60488"/>
    <w:rsid w:val="12EA2F3A"/>
    <w:rsid w:val="12EB3CF0"/>
    <w:rsid w:val="12EC0194"/>
    <w:rsid w:val="12F3171E"/>
    <w:rsid w:val="12F62DC0"/>
    <w:rsid w:val="12F901BB"/>
    <w:rsid w:val="12FB307F"/>
    <w:rsid w:val="130354DD"/>
    <w:rsid w:val="13070B2A"/>
    <w:rsid w:val="130A499C"/>
    <w:rsid w:val="130C25E4"/>
    <w:rsid w:val="131B53CF"/>
    <w:rsid w:val="13203999"/>
    <w:rsid w:val="132C233E"/>
    <w:rsid w:val="133438E9"/>
    <w:rsid w:val="133D279D"/>
    <w:rsid w:val="133E2072"/>
    <w:rsid w:val="1340228E"/>
    <w:rsid w:val="13405DEA"/>
    <w:rsid w:val="134106B5"/>
    <w:rsid w:val="13451652"/>
    <w:rsid w:val="13482EF0"/>
    <w:rsid w:val="135E0B59"/>
    <w:rsid w:val="13675A6C"/>
    <w:rsid w:val="136E0BA9"/>
    <w:rsid w:val="13710699"/>
    <w:rsid w:val="1380268A"/>
    <w:rsid w:val="138A3509"/>
    <w:rsid w:val="138C2C7A"/>
    <w:rsid w:val="13940DAE"/>
    <w:rsid w:val="13A520F1"/>
    <w:rsid w:val="13AA7707"/>
    <w:rsid w:val="13AB3687"/>
    <w:rsid w:val="13AE369B"/>
    <w:rsid w:val="13BB1914"/>
    <w:rsid w:val="13C01039"/>
    <w:rsid w:val="13C44C6D"/>
    <w:rsid w:val="13DA4490"/>
    <w:rsid w:val="13DD5D2E"/>
    <w:rsid w:val="13E0137B"/>
    <w:rsid w:val="13E76BAD"/>
    <w:rsid w:val="13E96481"/>
    <w:rsid w:val="13F024E5"/>
    <w:rsid w:val="13F56BD4"/>
    <w:rsid w:val="140137CB"/>
    <w:rsid w:val="14092680"/>
    <w:rsid w:val="141A0F54"/>
    <w:rsid w:val="141B23B3"/>
    <w:rsid w:val="141F6AEF"/>
    <w:rsid w:val="14223741"/>
    <w:rsid w:val="142E4C16"/>
    <w:rsid w:val="143811B7"/>
    <w:rsid w:val="143A4F2F"/>
    <w:rsid w:val="143C0CA7"/>
    <w:rsid w:val="143C4803"/>
    <w:rsid w:val="14465682"/>
    <w:rsid w:val="144B2C98"/>
    <w:rsid w:val="14504752"/>
    <w:rsid w:val="145A2EDB"/>
    <w:rsid w:val="145E6E6F"/>
    <w:rsid w:val="146855F8"/>
    <w:rsid w:val="146B333A"/>
    <w:rsid w:val="14720225"/>
    <w:rsid w:val="14795A57"/>
    <w:rsid w:val="14812B5E"/>
    <w:rsid w:val="148242EF"/>
    <w:rsid w:val="148443FC"/>
    <w:rsid w:val="148742AB"/>
    <w:rsid w:val="14887A48"/>
    <w:rsid w:val="148B7538"/>
    <w:rsid w:val="14952165"/>
    <w:rsid w:val="149A59CD"/>
    <w:rsid w:val="14A504F1"/>
    <w:rsid w:val="14A800EA"/>
    <w:rsid w:val="14B01E61"/>
    <w:rsid w:val="14B06F9F"/>
    <w:rsid w:val="14B922F8"/>
    <w:rsid w:val="14D902A4"/>
    <w:rsid w:val="14DD612A"/>
    <w:rsid w:val="14E07884"/>
    <w:rsid w:val="14EA24B1"/>
    <w:rsid w:val="14EA5CE4"/>
    <w:rsid w:val="14ED1241"/>
    <w:rsid w:val="14EF498C"/>
    <w:rsid w:val="14F144A1"/>
    <w:rsid w:val="14F50E56"/>
    <w:rsid w:val="150A66AF"/>
    <w:rsid w:val="150F3CC6"/>
    <w:rsid w:val="15134827"/>
    <w:rsid w:val="15143B9B"/>
    <w:rsid w:val="151E03AD"/>
    <w:rsid w:val="151E65FF"/>
    <w:rsid w:val="15286A14"/>
    <w:rsid w:val="152F25BA"/>
    <w:rsid w:val="15393438"/>
    <w:rsid w:val="153B2D0D"/>
    <w:rsid w:val="154A73F4"/>
    <w:rsid w:val="15595889"/>
    <w:rsid w:val="155B6F0B"/>
    <w:rsid w:val="155E69FB"/>
    <w:rsid w:val="15610299"/>
    <w:rsid w:val="156A37C1"/>
    <w:rsid w:val="157306F8"/>
    <w:rsid w:val="15891CCA"/>
    <w:rsid w:val="158A3C94"/>
    <w:rsid w:val="15983C14"/>
    <w:rsid w:val="15A563D8"/>
    <w:rsid w:val="15B17473"/>
    <w:rsid w:val="15B64A89"/>
    <w:rsid w:val="15B91E83"/>
    <w:rsid w:val="15C659ED"/>
    <w:rsid w:val="15D1541F"/>
    <w:rsid w:val="15E05662"/>
    <w:rsid w:val="15E765B7"/>
    <w:rsid w:val="15EC2259"/>
    <w:rsid w:val="160475A2"/>
    <w:rsid w:val="160752E5"/>
    <w:rsid w:val="160C46A9"/>
    <w:rsid w:val="160D07D9"/>
    <w:rsid w:val="160E0421"/>
    <w:rsid w:val="16135A37"/>
    <w:rsid w:val="16175528"/>
    <w:rsid w:val="162B4B2F"/>
    <w:rsid w:val="162C76C0"/>
    <w:rsid w:val="162D4D4B"/>
    <w:rsid w:val="163D0D06"/>
    <w:rsid w:val="16461969"/>
    <w:rsid w:val="164C2CF7"/>
    <w:rsid w:val="16503A7A"/>
    <w:rsid w:val="16536716"/>
    <w:rsid w:val="16570560"/>
    <w:rsid w:val="166167A3"/>
    <w:rsid w:val="16663DB9"/>
    <w:rsid w:val="16687C89"/>
    <w:rsid w:val="166D15EC"/>
    <w:rsid w:val="16753FFC"/>
    <w:rsid w:val="16970417"/>
    <w:rsid w:val="169F551D"/>
    <w:rsid w:val="16BC7E7D"/>
    <w:rsid w:val="16BE3BF5"/>
    <w:rsid w:val="16BF171B"/>
    <w:rsid w:val="16C15493"/>
    <w:rsid w:val="16C3120C"/>
    <w:rsid w:val="16CF5E02"/>
    <w:rsid w:val="16D13B4B"/>
    <w:rsid w:val="16D451C7"/>
    <w:rsid w:val="16D50F3F"/>
    <w:rsid w:val="16DE40E4"/>
    <w:rsid w:val="16DF591A"/>
    <w:rsid w:val="16E650F8"/>
    <w:rsid w:val="16EA49EA"/>
    <w:rsid w:val="16F07B27"/>
    <w:rsid w:val="16FE3FF2"/>
    <w:rsid w:val="16FF7D6A"/>
    <w:rsid w:val="17011D34"/>
    <w:rsid w:val="1703785A"/>
    <w:rsid w:val="170512F9"/>
    <w:rsid w:val="17084E70"/>
    <w:rsid w:val="170C2765"/>
    <w:rsid w:val="17101F77"/>
    <w:rsid w:val="172123D6"/>
    <w:rsid w:val="17233A58"/>
    <w:rsid w:val="17250A3C"/>
    <w:rsid w:val="17255A22"/>
    <w:rsid w:val="172872C1"/>
    <w:rsid w:val="173043C7"/>
    <w:rsid w:val="17323584"/>
    <w:rsid w:val="174340FA"/>
    <w:rsid w:val="174560C4"/>
    <w:rsid w:val="17463BEB"/>
    <w:rsid w:val="174D6D27"/>
    <w:rsid w:val="175056A4"/>
    <w:rsid w:val="175C51BC"/>
    <w:rsid w:val="175C6F6A"/>
    <w:rsid w:val="17622036"/>
    <w:rsid w:val="17654071"/>
    <w:rsid w:val="176A5B2B"/>
    <w:rsid w:val="177E1EB6"/>
    <w:rsid w:val="17832749"/>
    <w:rsid w:val="17887D5F"/>
    <w:rsid w:val="178C784F"/>
    <w:rsid w:val="17A10E21"/>
    <w:rsid w:val="17A252C5"/>
    <w:rsid w:val="17A80401"/>
    <w:rsid w:val="17A96653"/>
    <w:rsid w:val="17B01E78"/>
    <w:rsid w:val="17B62B1E"/>
    <w:rsid w:val="17B80644"/>
    <w:rsid w:val="17B9260F"/>
    <w:rsid w:val="17CA1B33"/>
    <w:rsid w:val="17CE60BA"/>
    <w:rsid w:val="17CF3BE0"/>
    <w:rsid w:val="17D11B87"/>
    <w:rsid w:val="17D11C15"/>
    <w:rsid w:val="17DE3E23"/>
    <w:rsid w:val="17ED3062"/>
    <w:rsid w:val="17ED4E83"/>
    <w:rsid w:val="17EE22B8"/>
    <w:rsid w:val="1807337A"/>
    <w:rsid w:val="180E295A"/>
    <w:rsid w:val="180E52B9"/>
    <w:rsid w:val="181B6E25"/>
    <w:rsid w:val="181D494B"/>
    <w:rsid w:val="182932F0"/>
    <w:rsid w:val="182E4DAB"/>
    <w:rsid w:val="18371A34"/>
    <w:rsid w:val="183B7D55"/>
    <w:rsid w:val="183D3240"/>
    <w:rsid w:val="183D6D9C"/>
    <w:rsid w:val="183F0D66"/>
    <w:rsid w:val="1840063A"/>
    <w:rsid w:val="18422604"/>
    <w:rsid w:val="185A5BA0"/>
    <w:rsid w:val="185D743E"/>
    <w:rsid w:val="18616F2E"/>
    <w:rsid w:val="18626802"/>
    <w:rsid w:val="186B56B7"/>
    <w:rsid w:val="18786026"/>
    <w:rsid w:val="187A1D9E"/>
    <w:rsid w:val="189270E7"/>
    <w:rsid w:val="18945E62"/>
    <w:rsid w:val="189A2440"/>
    <w:rsid w:val="18A24E51"/>
    <w:rsid w:val="18A312F5"/>
    <w:rsid w:val="18A8690B"/>
    <w:rsid w:val="18B90B18"/>
    <w:rsid w:val="18BD61F7"/>
    <w:rsid w:val="18BF3C55"/>
    <w:rsid w:val="18C64FE3"/>
    <w:rsid w:val="18C70119"/>
    <w:rsid w:val="18D1274D"/>
    <w:rsid w:val="18D86AC4"/>
    <w:rsid w:val="18DB1D89"/>
    <w:rsid w:val="18E13BCB"/>
    <w:rsid w:val="18EB2C9C"/>
    <w:rsid w:val="18EE62E8"/>
    <w:rsid w:val="18F41ADC"/>
    <w:rsid w:val="18F733EE"/>
    <w:rsid w:val="18FC6C57"/>
    <w:rsid w:val="18FE477D"/>
    <w:rsid w:val="19081158"/>
    <w:rsid w:val="190855FC"/>
    <w:rsid w:val="19202945"/>
    <w:rsid w:val="19212219"/>
    <w:rsid w:val="19232435"/>
    <w:rsid w:val="193059E0"/>
    <w:rsid w:val="193208CA"/>
    <w:rsid w:val="193C5059"/>
    <w:rsid w:val="1941466A"/>
    <w:rsid w:val="194B5557"/>
    <w:rsid w:val="194F4FD8"/>
    <w:rsid w:val="19556768"/>
    <w:rsid w:val="195645B9"/>
    <w:rsid w:val="195A3E20"/>
    <w:rsid w:val="195C14A3"/>
    <w:rsid w:val="19600F94"/>
    <w:rsid w:val="196D1903"/>
    <w:rsid w:val="196D36B1"/>
    <w:rsid w:val="19720F6E"/>
    <w:rsid w:val="197A7537"/>
    <w:rsid w:val="198A4263"/>
    <w:rsid w:val="198C7FDB"/>
    <w:rsid w:val="19924EC5"/>
    <w:rsid w:val="19946E8F"/>
    <w:rsid w:val="19AB70F1"/>
    <w:rsid w:val="19AF7825"/>
    <w:rsid w:val="19BB266E"/>
    <w:rsid w:val="19C31523"/>
    <w:rsid w:val="19C5025D"/>
    <w:rsid w:val="19C853EB"/>
    <w:rsid w:val="19CC6629"/>
    <w:rsid w:val="19CE23A1"/>
    <w:rsid w:val="19D07AE4"/>
    <w:rsid w:val="19D21766"/>
    <w:rsid w:val="19D90D46"/>
    <w:rsid w:val="19DB686C"/>
    <w:rsid w:val="19EC0A79"/>
    <w:rsid w:val="19F811CC"/>
    <w:rsid w:val="19FD7E6D"/>
    <w:rsid w:val="1A063983"/>
    <w:rsid w:val="1A073B05"/>
    <w:rsid w:val="1A0758B3"/>
    <w:rsid w:val="1A0A3F4F"/>
    <w:rsid w:val="1A0A608C"/>
    <w:rsid w:val="1A11228E"/>
    <w:rsid w:val="1A2024D1"/>
    <w:rsid w:val="1A214A18"/>
    <w:rsid w:val="1A2226ED"/>
    <w:rsid w:val="1A271AB1"/>
    <w:rsid w:val="1A277D03"/>
    <w:rsid w:val="1A2C0504"/>
    <w:rsid w:val="1A2C531A"/>
    <w:rsid w:val="1A4268EB"/>
    <w:rsid w:val="1A4C1518"/>
    <w:rsid w:val="1A4E703E"/>
    <w:rsid w:val="1A5B5BFF"/>
    <w:rsid w:val="1A5D1524"/>
    <w:rsid w:val="1A5F55BD"/>
    <w:rsid w:val="1A622AE9"/>
    <w:rsid w:val="1A642CFE"/>
    <w:rsid w:val="1A642D06"/>
    <w:rsid w:val="1A6525DA"/>
    <w:rsid w:val="1A705206"/>
    <w:rsid w:val="1A750A6F"/>
    <w:rsid w:val="1A766595"/>
    <w:rsid w:val="1A772A39"/>
    <w:rsid w:val="1A7A6085"/>
    <w:rsid w:val="1A862C7C"/>
    <w:rsid w:val="1A8B08AA"/>
    <w:rsid w:val="1A8E38DF"/>
    <w:rsid w:val="1AA018E9"/>
    <w:rsid w:val="1AA66E7A"/>
    <w:rsid w:val="1AB05F4B"/>
    <w:rsid w:val="1AB4702C"/>
    <w:rsid w:val="1AB570BD"/>
    <w:rsid w:val="1AB62E35"/>
    <w:rsid w:val="1AC35C7E"/>
    <w:rsid w:val="1AC3717B"/>
    <w:rsid w:val="1AC83294"/>
    <w:rsid w:val="1AD339E7"/>
    <w:rsid w:val="1ADC289C"/>
    <w:rsid w:val="1ADF35D3"/>
    <w:rsid w:val="1AE07290"/>
    <w:rsid w:val="1AE654C9"/>
    <w:rsid w:val="1AF31119"/>
    <w:rsid w:val="1AF8344E"/>
    <w:rsid w:val="1AFF658A"/>
    <w:rsid w:val="1B09565B"/>
    <w:rsid w:val="1B0B42F7"/>
    <w:rsid w:val="1B0D514B"/>
    <w:rsid w:val="1B140288"/>
    <w:rsid w:val="1B1E2EB4"/>
    <w:rsid w:val="1B4D5548"/>
    <w:rsid w:val="1B50328A"/>
    <w:rsid w:val="1B5255CA"/>
    <w:rsid w:val="1B583D8E"/>
    <w:rsid w:val="1B59213E"/>
    <w:rsid w:val="1B5C2FF6"/>
    <w:rsid w:val="1B5E0E02"/>
    <w:rsid w:val="1B634D6B"/>
    <w:rsid w:val="1B693EE0"/>
    <w:rsid w:val="1B6B1E72"/>
    <w:rsid w:val="1B6D1746"/>
    <w:rsid w:val="1B7437F9"/>
    <w:rsid w:val="1B7A3E63"/>
    <w:rsid w:val="1B7F0679"/>
    <w:rsid w:val="1B813443"/>
    <w:rsid w:val="1B835F00"/>
    <w:rsid w:val="1B8B42C2"/>
    <w:rsid w:val="1B9273FE"/>
    <w:rsid w:val="1B9A62B3"/>
    <w:rsid w:val="1B9B0F97"/>
    <w:rsid w:val="1BA23AE5"/>
    <w:rsid w:val="1BA55384"/>
    <w:rsid w:val="1BAB04C0"/>
    <w:rsid w:val="1BAF6202"/>
    <w:rsid w:val="1BB90E2F"/>
    <w:rsid w:val="1BC05D1A"/>
    <w:rsid w:val="1BC53330"/>
    <w:rsid w:val="1BCF41AF"/>
    <w:rsid w:val="1BD378B6"/>
    <w:rsid w:val="1BDD2D6F"/>
    <w:rsid w:val="1BE4452B"/>
    <w:rsid w:val="1BE51C24"/>
    <w:rsid w:val="1BE7774A"/>
    <w:rsid w:val="1BEC4D61"/>
    <w:rsid w:val="1BEE6D2B"/>
    <w:rsid w:val="1BF43C15"/>
    <w:rsid w:val="1BFE6842"/>
    <w:rsid w:val="1C03400A"/>
    <w:rsid w:val="1C131164"/>
    <w:rsid w:val="1C224C26"/>
    <w:rsid w:val="1C406E5A"/>
    <w:rsid w:val="1C47468D"/>
    <w:rsid w:val="1C512E16"/>
    <w:rsid w:val="1C580FD9"/>
    <w:rsid w:val="1C5E2666"/>
    <w:rsid w:val="1C623275"/>
    <w:rsid w:val="1C632B49"/>
    <w:rsid w:val="1C6C7C4F"/>
    <w:rsid w:val="1C755544"/>
    <w:rsid w:val="1C782604"/>
    <w:rsid w:val="1C7D1E5D"/>
    <w:rsid w:val="1C80194D"/>
    <w:rsid w:val="1C874A89"/>
    <w:rsid w:val="1C9431DC"/>
    <w:rsid w:val="1C975016"/>
    <w:rsid w:val="1C9911BF"/>
    <w:rsid w:val="1C9C6787"/>
    <w:rsid w:val="1C9D24FF"/>
    <w:rsid w:val="1CA57A7E"/>
    <w:rsid w:val="1CA613B3"/>
    <w:rsid w:val="1CB03FE0"/>
    <w:rsid w:val="1CB82E95"/>
    <w:rsid w:val="1CCC06EE"/>
    <w:rsid w:val="1CE43C8A"/>
    <w:rsid w:val="1CE617B0"/>
    <w:rsid w:val="1CF57C45"/>
    <w:rsid w:val="1D01483C"/>
    <w:rsid w:val="1D1030C0"/>
    <w:rsid w:val="1D1A5483"/>
    <w:rsid w:val="1D2624F4"/>
    <w:rsid w:val="1D295BFD"/>
    <w:rsid w:val="1D303373"/>
    <w:rsid w:val="1D320E99"/>
    <w:rsid w:val="1D3249F5"/>
    <w:rsid w:val="1D33076D"/>
    <w:rsid w:val="1D3C3AC6"/>
    <w:rsid w:val="1D4209B0"/>
    <w:rsid w:val="1D4B5AB7"/>
    <w:rsid w:val="1D4E37F9"/>
    <w:rsid w:val="1D547061"/>
    <w:rsid w:val="1D596426"/>
    <w:rsid w:val="1D5B1BF4"/>
    <w:rsid w:val="1D5C5F16"/>
    <w:rsid w:val="1D5C7CC4"/>
    <w:rsid w:val="1D660B43"/>
    <w:rsid w:val="1D6B6159"/>
    <w:rsid w:val="1D7414B2"/>
    <w:rsid w:val="1D790876"/>
    <w:rsid w:val="1D7F39B2"/>
    <w:rsid w:val="1D801C31"/>
    <w:rsid w:val="1D85546D"/>
    <w:rsid w:val="1D880DE9"/>
    <w:rsid w:val="1D8D2573"/>
    <w:rsid w:val="1D943902"/>
    <w:rsid w:val="1D954F84"/>
    <w:rsid w:val="1D9B6558"/>
    <w:rsid w:val="1DA63635"/>
    <w:rsid w:val="1DAF4298"/>
    <w:rsid w:val="1DB90B0A"/>
    <w:rsid w:val="1DBD533F"/>
    <w:rsid w:val="1DC37D43"/>
    <w:rsid w:val="1DCB6BF8"/>
    <w:rsid w:val="1DCC36C4"/>
    <w:rsid w:val="1DCD0BC2"/>
    <w:rsid w:val="1DCF493A"/>
    <w:rsid w:val="1DD261D8"/>
    <w:rsid w:val="1DD31158"/>
    <w:rsid w:val="1DD7559C"/>
    <w:rsid w:val="1DE2475C"/>
    <w:rsid w:val="1DF07AB2"/>
    <w:rsid w:val="1E085B8F"/>
    <w:rsid w:val="1E0C3498"/>
    <w:rsid w:val="1E116D00"/>
    <w:rsid w:val="1E122A78"/>
    <w:rsid w:val="1E2A6014"/>
    <w:rsid w:val="1E3048AA"/>
    <w:rsid w:val="1E3649B9"/>
    <w:rsid w:val="1E3F4B15"/>
    <w:rsid w:val="1E416BB4"/>
    <w:rsid w:val="1E437AC0"/>
    <w:rsid w:val="1E45512F"/>
    <w:rsid w:val="1E470974"/>
    <w:rsid w:val="1E515FBA"/>
    <w:rsid w:val="1E543091"/>
    <w:rsid w:val="1E546BED"/>
    <w:rsid w:val="1E5E181A"/>
    <w:rsid w:val="1E650DFA"/>
    <w:rsid w:val="1E674B72"/>
    <w:rsid w:val="1E6A7D3E"/>
    <w:rsid w:val="1E716C8A"/>
    <w:rsid w:val="1E7D7EF2"/>
    <w:rsid w:val="1E805C34"/>
    <w:rsid w:val="1E827C5E"/>
    <w:rsid w:val="1E935967"/>
    <w:rsid w:val="1E937715"/>
    <w:rsid w:val="1E9600DB"/>
    <w:rsid w:val="1EA2204E"/>
    <w:rsid w:val="1EA336D1"/>
    <w:rsid w:val="1EA731C1"/>
    <w:rsid w:val="1EA9518B"/>
    <w:rsid w:val="1EAC4D31"/>
    <w:rsid w:val="1EB53B30"/>
    <w:rsid w:val="1EBA2EF4"/>
    <w:rsid w:val="1EC04283"/>
    <w:rsid w:val="1EC7737F"/>
    <w:rsid w:val="1ED16490"/>
    <w:rsid w:val="1ED63AA6"/>
    <w:rsid w:val="1EF0566B"/>
    <w:rsid w:val="1EF5217E"/>
    <w:rsid w:val="1EF53F2C"/>
    <w:rsid w:val="1EFB0FDF"/>
    <w:rsid w:val="1F016D75"/>
    <w:rsid w:val="1F0C1276"/>
    <w:rsid w:val="1F0E3240"/>
    <w:rsid w:val="1F1D7927"/>
    <w:rsid w:val="1F2111C5"/>
    <w:rsid w:val="1F2D7B6A"/>
    <w:rsid w:val="1F316F2E"/>
    <w:rsid w:val="1F3C7DAD"/>
    <w:rsid w:val="1F4B4494"/>
    <w:rsid w:val="1F4E3CA7"/>
    <w:rsid w:val="1F5222B5"/>
    <w:rsid w:val="1F533349"/>
    <w:rsid w:val="1F5B0159"/>
    <w:rsid w:val="1F61776F"/>
    <w:rsid w:val="1F625134"/>
    <w:rsid w:val="1F6410B2"/>
    <w:rsid w:val="1F66307C"/>
    <w:rsid w:val="1F6A2B6C"/>
    <w:rsid w:val="1F751511"/>
    <w:rsid w:val="1F7F1AED"/>
    <w:rsid w:val="1F861028"/>
    <w:rsid w:val="1F881244"/>
    <w:rsid w:val="1F9279CD"/>
    <w:rsid w:val="1F971487"/>
    <w:rsid w:val="1F98668E"/>
    <w:rsid w:val="1F9C1498"/>
    <w:rsid w:val="1FA53BA4"/>
    <w:rsid w:val="1FA808F8"/>
    <w:rsid w:val="1FAE057F"/>
    <w:rsid w:val="1FAF4A23"/>
    <w:rsid w:val="1FBC7140"/>
    <w:rsid w:val="1FC05E77"/>
    <w:rsid w:val="1FC3227C"/>
    <w:rsid w:val="1FCD4EA9"/>
    <w:rsid w:val="1FD16DFB"/>
    <w:rsid w:val="1FD62287"/>
    <w:rsid w:val="1FD91AA0"/>
    <w:rsid w:val="1FDD6FEB"/>
    <w:rsid w:val="1FDF7ED1"/>
    <w:rsid w:val="1FEA5A5B"/>
    <w:rsid w:val="1FF57F5C"/>
    <w:rsid w:val="1FF95C9E"/>
    <w:rsid w:val="20000F5F"/>
    <w:rsid w:val="20032679"/>
    <w:rsid w:val="20036B1D"/>
    <w:rsid w:val="20097E44"/>
    <w:rsid w:val="200C3C23"/>
    <w:rsid w:val="201B5C14"/>
    <w:rsid w:val="2027280B"/>
    <w:rsid w:val="202A40A9"/>
    <w:rsid w:val="20302982"/>
    <w:rsid w:val="20370574"/>
    <w:rsid w:val="203B4EE7"/>
    <w:rsid w:val="203C5DBA"/>
    <w:rsid w:val="203E5DA7"/>
    <w:rsid w:val="20407429"/>
    <w:rsid w:val="204333BD"/>
    <w:rsid w:val="205B24B5"/>
    <w:rsid w:val="205B3162"/>
    <w:rsid w:val="205E1FA5"/>
    <w:rsid w:val="205E3D53"/>
    <w:rsid w:val="206415BC"/>
    <w:rsid w:val="206F3728"/>
    <w:rsid w:val="20713F99"/>
    <w:rsid w:val="207812B9"/>
    <w:rsid w:val="20796DDF"/>
    <w:rsid w:val="207A3016"/>
    <w:rsid w:val="20823EE5"/>
    <w:rsid w:val="20857532"/>
    <w:rsid w:val="208F16C3"/>
    <w:rsid w:val="209437E1"/>
    <w:rsid w:val="20956EDA"/>
    <w:rsid w:val="209B6D55"/>
    <w:rsid w:val="20B41BC5"/>
    <w:rsid w:val="20B514C0"/>
    <w:rsid w:val="20B6593D"/>
    <w:rsid w:val="20BE1BAC"/>
    <w:rsid w:val="20C31E08"/>
    <w:rsid w:val="20C444FE"/>
    <w:rsid w:val="20CE0ED9"/>
    <w:rsid w:val="20D2518F"/>
    <w:rsid w:val="20D3029D"/>
    <w:rsid w:val="20DA787E"/>
    <w:rsid w:val="20DF30E6"/>
    <w:rsid w:val="20E26732"/>
    <w:rsid w:val="20E3645C"/>
    <w:rsid w:val="20EB1A8B"/>
    <w:rsid w:val="21032E75"/>
    <w:rsid w:val="21056F8B"/>
    <w:rsid w:val="211678A5"/>
    <w:rsid w:val="211C233A"/>
    <w:rsid w:val="211D59BC"/>
    <w:rsid w:val="2120725A"/>
    <w:rsid w:val="212251A4"/>
    <w:rsid w:val="21274A8D"/>
    <w:rsid w:val="21336F8E"/>
    <w:rsid w:val="213827F6"/>
    <w:rsid w:val="213F1DD6"/>
    <w:rsid w:val="214271D1"/>
    <w:rsid w:val="214967B1"/>
    <w:rsid w:val="214E0DAB"/>
    <w:rsid w:val="215238B8"/>
    <w:rsid w:val="215869F4"/>
    <w:rsid w:val="215A451A"/>
    <w:rsid w:val="215F4227"/>
    <w:rsid w:val="21677702"/>
    <w:rsid w:val="2169094A"/>
    <w:rsid w:val="21712816"/>
    <w:rsid w:val="217952E8"/>
    <w:rsid w:val="217D645B"/>
    <w:rsid w:val="218617B3"/>
    <w:rsid w:val="21867BCC"/>
    <w:rsid w:val="218B501C"/>
    <w:rsid w:val="218B6DCA"/>
    <w:rsid w:val="219922FB"/>
    <w:rsid w:val="21A67760"/>
    <w:rsid w:val="21A954A2"/>
    <w:rsid w:val="21B04F38"/>
    <w:rsid w:val="21B26104"/>
    <w:rsid w:val="21B319B6"/>
    <w:rsid w:val="21BF4CC5"/>
    <w:rsid w:val="21C127EB"/>
    <w:rsid w:val="21C347B6"/>
    <w:rsid w:val="21C916A0"/>
    <w:rsid w:val="21D61A27"/>
    <w:rsid w:val="21E12E8E"/>
    <w:rsid w:val="21E40288"/>
    <w:rsid w:val="21E8421C"/>
    <w:rsid w:val="21EA09A9"/>
    <w:rsid w:val="21EA1D42"/>
    <w:rsid w:val="21EC0618"/>
    <w:rsid w:val="21F7620D"/>
    <w:rsid w:val="21FF50C2"/>
    <w:rsid w:val="220152DE"/>
    <w:rsid w:val="2201708C"/>
    <w:rsid w:val="2205092A"/>
    <w:rsid w:val="22146DBF"/>
    <w:rsid w:val="221548E5"/>
    <w:rsid w:val="22205764"/>
    <w:rsid w:val="222B4109"/>
    <w:rsid w:val="222D1C2F"/>
    <w:rsid w:val="223034CD"/>
    <w:rsid w:val="22356D36"/>
    <w:rsid w:val="2237485C"/>
    <w:rsid w:val="223E3E3C"/>
    <w:rsid w:val="22421B7E"/>
    <w:rsid w:val="22511DC1"/>
    <w:rsid w:val="22625D7D"/>
    <w:rsid w:val="226338A3"/>
    <w:rsid w:val="226521F6"/>
    <w:rsid w:val="22682C67"/>
    <w:rsid w:val="226A4C31"/>
    <w:rsid w:val="22761B6E"/>
    <w:rsid w:val="2277734E"/>
    <w:rsid w:val="227B5090"/>
    <w:rsid w:val="22821F7B"/>
    <w:rsid w:val="22873A35"/>
    <w:rsid w:val="22891278"/>
    <w:rsid w:val="22943A5C"/>
    <w:rsid w:val="229677D4"/>
    <w:rsid w:val="22A26855"/>
    <w:rsid w:val="22AF4D3A"/>
    <w:rsid w:val="22AF7C79"/>
    <w:rsid w:val="22B032B8"/>
    <w:rsid w:val="22B42350"/>
    <w:rsid w:val="22B608C9"/>
    <w:rsid w:val="22B67E76"/>
    <w:rsid w:val="22BB35F2"/>
    <w:rsid w:val="22C35F04"/>
    <w:rsid w:val="22C474AF"/>
    <w:rsid w:val="22C81119"/>
    <w:rsid w:val="22C81FA0"/>
    <w:rsid w:val="22DF561F"/>
    <w:rsid w:val="22E212BD"/>
    <w:rsid w:val="22E569AE"/>
    <w:rsid w:val="22EA7B20"/>
    <w:rsid w:val="22EC1AEA"/>
    <w:rsid w:val="22FD7853"/>
    <w:rsid w:val="22FF06C6"/>
    <w:rsid w:val="22FF35CB"/>
    <w:rsid w:val="23027EA3"/>
    <w:rsid w:val="23052BAC"/>
    <w:rsid w:val="231132FF"/>
    <w:rsid w:val="231B417D"/>
    <w:rsid w:val="23294AEC"/>
    <w:rsid w:val="233715CA"/>
    <w:rsid w:val="23447230"/>
    <w:rsid w:val="23484E2E"/>
    <w:rsid w:val="234D65E4"/>
    <w:rsid w:val="235040EC"/>
    <w:rsid w:val="23511E39"/>
    <w:rsid w:val="235356C5"/>
    <w:rsid w:val="235D02F2"/>
    <w:rsid w:val="235F050E"/>
    <w:rsid w:val="236B2A0F"/>
    <w:rsid w:val="23712760"/>
    <w:rsid w:val="23720241"/>
    <w:rsid w:val="237F336C"/>
    <w:rsid w:val="23847F75"/>
    <w:rsid w:val="23865A9B"/>
    <w:rsid w:val="238C6E29"/>
    <w:rsid w:val="2393640A"/>
    <w:rsid w:val="239E0EA8"/>
    <w:rsid w:val="23A128D5"/>
    <w:rsid w:val="23A36435"/>
    <w:rsid w:val="23AA0F01"/>
    <w:rsid w:val="23AD0186"/>
    <w:rsid w:val="23AD08E7"/>
    <w:rsid w:val="23AD74CB"/>
    <w:rsid w:val="23BA3996"/>
    <w:rsid w:val="23C27CB0"/>
    <w:rsid w:val="23C71C0F"/>
    <w:rsid w:val="23C860B3"/>
    <w:rsid w:val="23CB5BA3"/>
    <w:rsid w:val="23DE7685"/>
    <w:rsid w:val="23DF164F"/>
    <w:rsid w:val="23DF51AB"/>
    <w:rsid w:val="23EB3B50"/>
    <w:rsid w:val="23FC5D5D"/>
    <w:rsid w:val="240510B5"/>
    <w:rsid w:val="24071402"/>
    <w:rsid w:val="24107A5A"/>
    <w:rsid w:val="24125580"/>
    <w:rsid w:val="24156E1F"/>
    <w:rsid w:val="24194B61"/>
    <w:rsid w:val="24286B52"/>
    <w:rsid w:val="24294678"/>
    <w:rsid w:val="242E1C8E"/>
    <w:rsid w:val="24343749"/>
    <w:rsid w:val="243B4AD7"/>
    <w:rsid w:val="244D7A75"/>
    <w:rsid w:val="245060A9"/>
    <w:rsid w:val="24521E21"/>
    <w:rsid w:val="2452597D"/>
    <w:rsid w:val="245416F5"/>
    <w:rsid w:val="24547947"/>
    <w:rsid w:val="245539C3"/>
    <w:rsid w:val="24572F93"/>
    <w:rsid w:val="24613E12"/>
    <w:rsid w:val="246A716A"/>
    <w:rsid w:val="247E49C4"/>
    <w:rsid w:val="24831FDA"/>
    <w:rsid w:val="24861ACA"/>
    <w:rsid w:val="24897AF0"/>
    <w:rsid w:val="248D2E59"/>
    <w:rsid w:val="249935AC"/>
    <w:rsid w:val="249D7540"/>
    <w:rsid w:val="24A0493A"/>
    <w:rsid w:val="24A501A2"/>
    <w:rsid w:val="24A65CC9"/>
    <w:rsid w:val="24A87006"/>
    <w:rsid w:val="24B228BF"/>
    <w:rsid w:val="24B77ED6"/>
    <w:rsid w:val="24BA11B9"/>
    <w:rsid w:val="24C24B6D"/>
    <w:rsid w:val="24C2639F"/>
    <w:rsid w:val="24CC572F"/>
    <w:rsid w:val="24CE76B4"/>
    <w:rsid w:val="24D12D46"/>
    <w:rsid w:val="24E862E1"/>
    <w:rsid w:val="250C0222"/>
    <w:rsid w:val="250E6455"/>
    <w:rsid w:val="251610A0"/>
    <w:rsid w:val="251E1D03"/>
    <w:rsid w:val="25203CCD"/>
    <w:rsid w:val="25292B82"/>
    <w:rsid w:val="252A68FA"/>
    <w:rsid w:val="25302162"/>
    <w:rsid w:val="2536529E"/>
    <w:rsid w:val="2536704D"/>
    <w:rsid w:val="25382DC5"/>
    <w:rsid w:val="25396B3D"/>
    <w:rsid w:val="253D0FCB"/>
    <w:rsid w:val="253D487F"/>
    <w:rsid w:val="253E4937"/>
    <w:rsid w:val="254774AC"/>
    <w:rsid w:val="254A5282"/>
    <w:rsid w:val="255120D8"/>
    <w:rsid w:val="25565941"/>
    <w:rsid w:val="2560231B"/>
    <w:rsid w:val="256347C5"/>
    <w:rsid w:val="2564005E"/>
    <w:rsid w:val="25697422"/>
    <w:rsid w:val="256C2A6E"/>
    <w:rsid w:val="25792A3A"/>
    <w:rsid w:val="257D4C7B"/>
    <w:rsid w:val="258174BD"/>
    <w:rsid w:val="25861D82"/>
    <w:rsid w:val="25893620"/>
    <w:rsid w:val="258E50DA"/>
    <w:rsid w:val="25916979"/>
    <w:rsid w:val="259D52A8"/>
    <w:rsid w:val="25A246E2"/>
    <w:rsid w:val="25A42208"/>
    <w:rsid w:val="25B12B77"/>
    <w:rsid w:val="25B619EE"/>
    <w:rsid w:val="25B82157"/>
    <w:rsid w:val="25BA7C7E"/>
    <w:rsid w:val="25BD776E"/>
    <w:rsid w:val="25C32FD6"/>
    <w:rsid w:val="25CE197B"/>
    <w:rsid w:val="25D221ED"/>
    <w:rsid w:val="25D24FC7"/>
    <w:rsid w:val="25D6438C"/>
    <w:rsid w:val="25D86356"/>
    <w:rsid w:val="25DA3E7C"/>
    <w:rsid w:val="25E21973"/>
    <w:rsid w:val="25E42F4C"/>
    <w:rsid w:val="25E940BF"/>
    <w:rsid w:val="26013AFE"/>
    <w:rsid w:val="260729D7"/>
    <w:rsid w:val="2609650F"/>
    <w:rsid w:val="261A4BC0"/>
    <w:rsid w:val="261F157C"/>
    <w:rsid w:val="26217CFD"/>
    <w:rsid w:val="262670C1"/>
    <w:rsid w:val="262C1233"/>
    <w:rsid w:val="26347509"/>
    <w:rsid w:val="263F0183"/>
    <w:rsid w:val="26404627"/>
    <w:rsid w:val="26431A21"/>
    <w:rsid w:val="264E5509"/>
    <w:rsid w:val="2652435A"/>
    <w:rsid w:val="265579A6"/>
    <w:rsid w:val="265F0A89"/>
    <w:rsid w:val="26601A73"/>
    <w:rsid w:val="266100F9"/>
    <w:rsid w:val="26712A32"/>
    <w:rsid w:val="26797B39"/>
    <w:rsid w:val="267C13D7"/>
    <w:rsid w:val="267E514F"/>
    <w:rsid w:val="26834513"/>
    <w:rsid w:val="268D2973"/>
    <w:rsid w:val="268F2EB8"/>
    <w:rsid w:val="26914E82"/>
    <w:rsid w:val="26940053"/>
    <w:rsid w:val="269E7C09"/>
    <w:rsid w:val="26A050C5"/>
    <w:rsid w:val="26A36F7F"/>
    <w:rsid w:val="26AA3AA7"/>
    <w:rsid w:val="26AF355A"/>
    <w:rsid w:val="26B02E2F"/>
    <w:rsid w:val="26B20955"/>
    <w:rsid w:val="26B75F6B"/>
    <w:rsid w:val="26BB5A5B"/>
    <w:rsid w:val="26BE379D"/>
    <w:rsid w:val="26C012C4"/>
    <w:rsid w:val="26C32B62"/>
    <w:rsid w:val="26CA0394"/>
    <w:rsid w:val="26D0702D"/>
    <w:rsid w:val="26D703BB"/>
    <w:rsid w:val="26D7660D"/>
    <w:rsid w:val="26E86A6C"/>
    <w:rsid w:val="26F757C5"/>
    <w:rsid w:val="26FE1DEC"/>
    <w:rsid w:val="27035D1A"/>
    <w:rsid w:val="270513CC"/>
    <w:rsid w:val="270A69E3"/>
    <w:rsid w:val="270D202F"/>
    <w:rsid w:val="270E64D3"/>
    <w:rsid w:val="270F3FF9"/>
    <w:rsid w:val="270F48A9"/>
    <w:rsid w:val="270F4DF3"/>
    <w:rsid w:val="271635D9"/>
    <w:rsid w:val="27167136"/>
    <w:rsid w:val="271B0BF0"/>
    <w:rsid w:val="271C2B76"/>
    <w:rsid w:val="271F097F"/>
    <w:rsid w:val="27247AA4"/>
    <w:rsid w:val="272A2BE1"/>
    <w:rsid w:val="273D46C2"/>
    <w:rsid w:val="274C65B8"/>
    <w:rsid w:val="274E2D73"/>
    <w:rsid w:val="27595274"/>
    <w:rsid w:val="275A5612"/>
    <w:rsid w:val="27653C19"/>
    <w:rsid w:val="277F2F2D"/>
    <w:rsid w:val="277F4CDB"/>
    <w:rsid w:val="27814EF7"/>
    <w:rsid w:val="27822A1D"/>
    <w:rsid w:val="278B5528"/>
    <w:rsid w:val="278E13C2"/>
    <w:rsid w:val="27962024"/>
    <w:rsid w:val="27B67892"/>
    <w:rsid w:val="27C20D51"/>
    <w:rsid w:val="27C70430"/>
    <w:rsid w:val="27D72D69"/>
    <w:rsid w:val="27E47234"/>
    <w:rsid w:val="27F154AD"/>
    <w:rsid w:val="27FE6547"/>
    <w:rsid w:val="28027F4E"/>
    <w:rsid w:val="281D62A2"/>
    <w:rsid w:val="281F201A"/>
    <w:rsid w:val="2820139C"/>
    <w:rsid w:val="28213FE4"/>
    <w:rsid w:val="282E04AF"/>
    <w:rsid w:val="28481809"/>
    <w:rsid w:val="284B2E0F"/>
    <w:rsid w:val="285162F7"/>
    <w:rsid w:val="28576B8D"/>
    <w:rsid w:val="28610884"/>
    <w:rsid w:val="28642123"/>
    <w:rsid w:val="28667C49"/>
    <w:rsid w:val="286914E7"/>
    <w:rsid w:val="286B525F"/>
    <w:rsid w:val="286D0FD7"/>
    <w:rsid w:val="28732366"/>
    <w:rsid w:val="287700A8"/>
    <w:rsid w:val="28793E20"/>
    <w:rsid w:val="287C746C"/>
    <w:rsid w:val="28851E2B"/>
    <w:rsid w:val="288A7DDB"/>
    <w:rsid w:val="28A349F9"/>
    <w:rsid w:val="28A357C5"/>
    <w:rsid w:val="28AB1AFF"/>
    <w:rsid w:val="28AB7D51"/>
    <w:rsid w:val="28B46C06"/>
    <w:rsid w:val="28B51282"/>
    <w:rsid w:val="28B60BD0"/>
    <w:rsid w:val="28BD08F4"/>
    <w:rsid w:val="28C36E49"/>
    <w:rsid w:val="28CD5F1A"/>
    <w:rsid w:val="28D21782"/>
    <w:rsid w:val="28D42E04"/>
    <w:rsid w:val="28E53263"/>
    <w:rsid w:val="28F60FCD"/>
    <w:rsid w:val="28F811E9"/>
    <w:rsid w:val="29051210"/>
    <w:rsid w:val="29064F88"/>
    <w:rsid w:val="2907142C"/>
    <w:rsid w:val="290A4A78"/>
    <w:rsid w:val="291678C1"/>
    <w:rsid w:val="2919115F"/>
    <w:rsid w:val="291D3936"/>
    <w:rsid w:val="29233D8C"/>
    <w:rsid w:val="29256367"/>
    <w:rsid w:val="292A6EC8"/>
    <w:rsid w:val="292F44DF"/>
    <w:rsid w:val="29310C14"/>
    <w:rsid w:val="2936586D"/>
    <w:rsid w:val="293A7E18"/>
    <w:rsid w:val="29422464"/>
    <w:rsid w:val="2943583A"/>
    <w:rsid w:val="294A57BC"/>
    <w:rsid w:val="29584B90"/>
    <w:rsid w:val="295B52D4"/>
    <w:rsid w:val="29657F00"/>
    <w:rsid w:val="296A19BB"/>
    <w:rsid w:val="29712D49"/>
    <w:rsid w:val="29752839"/>
    <w:rsid w:val="2976210D"/>
    <w:rsid w:val="298578A9"/>
    <w:rsid w:val="298F31CF"/>
    <w:rsid w:val="29995DFC"/>
    <w:rsid w:val="299A1A87"/>
    <w:rsid w:val="299D3B3E"/>
    <w:rsid w:val="299D769A"/>
    <w:rsid w:val="299F1664"/>
    <w:rsid w:val="29A4427A"/>
    <w:rsid w:val="29A66B4A"/>
    <w:rsid w:val="29A72BFB"/>
    <w:rsid w:val="29A749BD"/>
    <w:rsid w:val="29AB417D"/>
    <w:rsid w:val="29B13146"/>
    <w:rsid w:val="29B82726"/>
    <w:rsid w:val="29BB3FC4"/>
    <w:rsid w:val="29BD7D3C"/>
    <w:rsid w:val="29D81B8C"/>
    <w:rsid w:val="29DF7CB3"/>
    <w:rsid w:val="29EE439A"/>
    <w:rsid w:val="29FB2613"/>
    <w:rsid w:val="2A102562"/>
    <w:rsid w:val="2A104310"/>
    <w:rsid w:val="2A111E36"/>
    <w:rsid w:val="2A222295"/>
    <w:rsid w:val="2A261D85"/>
    <w:rsid w:val="2A264090"/>
    <w:rsid w:val="2A2953D2"/>
    <w:rsid w:val="2A2B114A"/>
    <w:rsid w:val="2A2E29E8"/>
    <w:rsid w:val="2A3224D8"/>
    <w:rsid w:val="2A377AEF"/>
    <w:rsid w:val="2A3A313B"/>
    <w:rsid w:val="2A4936BC"/>
    <w:rsid w:val="2A5550B6"/>
    <w:rsid w:val="2A5E32CD"/>
    <w:rsid w:val="2A6401B8"/>
    <w:rsid w:val="2A691C72"/>
    <w:rsid w:val="2A693A20"/>
    <w:rsid w:val="2A6E1037"/>
    <w:rsid w:val="2A7C7BF7"/>
    <w:rsid w:val="2A842608"/>
    <w:rsid w:val="2A88034A"/>
    <w:rsid w:val="2A886255"/>
    <w:rsid w:val="2A8D4D62"/>
    <w:rsid w:val="2A97058D"/>
    <w:rsid w:val="2A994305"/>
    <w:rsid w:val="2AA607D0"/>
    <w:rsid w:val="2AAB228B"/>
    <w:rsid w:val="2ABC7FF4"/>
    <w:rsid w:val="2AC375D4"/>
    <w:rsid w:val="2ACB0237"/>
    <w:rsid w:val="2ACF41CB"/>
    <w:rsid w:val="2AD90BA6"/>
    <w:rsid w:val="2AD96DF8"/>
    <w:rsid w:val="2ADF61AC"/>
    <w:rsid w:val="2AE50F08"/>
    <w:rsid w:val="2AF21C68"/>
    <w:rsid w:val="2AF7102C"/>
    <w:rsid w:val="2AFF768E"/>
    <w:rsid w:val="2B02634F"/>
    <w:rsid w:val="2B18427A"/>
    <w:rsid w:val="2B1948B6"/>
    <w:rsid w:val="2B1B2F6C"/>
    <w:rsid w:val="2B296888"/>
    <w:rsid w:val="2B2A1401"/>
    <w:rsid w:val="2B2F07C6"/>
    <w:rsid w:val="2B33475A"/>
    <w:rsid w:val="2B3E30FF"/>
    <w:rsid w:val="2B400C25"/>
    <w:rsid w:val="2B45623B"/>
    <w:rsid w:val="2B4D50F0"/>
    <w:rsid w:val="2B5156B1"/>
    <w:rsid w:val="2B591CE7"/>
    <w:rsid w:val="2B5B534A"/>
    <w:rsid w:val="2B5B5A5F"/>
    <w:rsid w:val="2B612949"/>
    <w:rsid w:val="2B6C37C8"/>
    <w:rsid w:val="2B6F32B8"/>
    <w:rsid w:val="2B77216D"/>
    <w:rsid w:val="2B797443"/>
    <w:rsid w:val="2B7D59D5"/>
    <w:rsid w:val="2B7D7783"/>
    <w:rsid w:val="2B91322F"/>
    <w:rsid w:val="2B960845"/>
    <w:rsid w:val="2B9D7E25"/>
    <w:rsid w:val="2B9E594C"/>
    <w:rsid w:val="2BA47406"/>
    <w:rsid w:val="2BA8108B"/>
    <w:rsid w:val="2BB86A0D"/>
    <w:rsid w:val="2BC929C8"/>
    <w:rsid w:val="2BCD04ED"/>
    <w:rsid w:val="2BCE7FDF"/>
    <w:rsid w:val="2BDB26FC"/>
    <w:rsid w:val="2BDD46C6"/>
    <w:rsid w:val="2BDF21EC"/>
    <w:rsid w:val="2BE05F64"/>
    <w:rsid w:val="2BE772F2"/>
    <w:rsid w:val="2BE86CBF"/>
    <w:rsid w:val="2BEC66B7"/>
    <w:rsid w:val="2BFC7F66"/>
    <w:rsid w:val="2BFF6C95"/>
    <w:rsid w:val="2C0E2AFE"/>
    <w:rsid w:val="2C107262"/>
    <w:rsid w:val="2C1520B2"/>
    <w:rsid w:val="2C167BD8"/>
    <w:rsid w:val="2C234505"/>
    <w:rsid w:val="2C324A12"/>
    <w:rsid w:val="2C3C763E"/>
    <w:rsid w:val="2C3F2C8B"/>
    <w:rsid w:val="2C3F5A1C"/>
    <w:rsid w:val="2C4604BD"/>
    <w:rsid w:val="2C5A3F68"/>
    <w:rsid w:val="2C5C1A8E"/>
    <w:rsid w:val="2C5D75B5"/>
    <w:rsid w:val="2C5F157F"/>
    <w:rsid w:val="2C5F31FE"/>
    <w:rsid w:val="2C5F50DB"/>
    <w:rsid w:val="2C6646BB"/>
    <w:rsid w:val="2C723060"/>
    <w:rsid w:val="2C864D5D"/>
    <w:rsid w:val="2C972AC7"/>
    <w:rsid w:val="2C974875"/>
    <w:rsid w:val="2CA11882"/>
    <w:rsid w:val="2CA64AB8"/>
    <w:rsid w:val="2CAB6572"/>
    <w:rsid w:val="2CB05936"/>
    <w:rsid w:val="2CB2514F"/>
    <w:rsid w:val="2CBB00B4"/>
    <w:rsid w:val="2CBF3DCB"/>
    <w:rsid w:val="2CC67DA4"/>
    <w:rsid w:val="2CC82E8F"/>
    <w:rsid w:val="2CCB2770"/>
    <w:rsid w:val="2CCF04B2"/>
    <w:rsid w:val="2CD51841"/>
    <w:rsid w:val="2CD53018"/>
    <w:rsid w:val="2CE54F10"/>
    <w:rsid w:val="2CF27CFD"/>
    <w:rsid w:val="2CFC5020"/>
    <w:rsid w:val="2D0068BE"/>
    <w:rsid w:val="2D095047"/>
    <w:rsid w:val="2D1934DC"/>
    <w:rsid w:val="2D1E6D44"/>
    <w:rsid w:val="2D276A64"/>
    <w:rsid w:val="2D281971"/>
    <w:rsid w:val="2D293210"/>
    <w:rsid w:val="2D35523B"/>
    <w:rsid w:val="2D3E1194"/>
    <w:rsid w:val="2D3F7B01"/>
    <w:rsid w:val="2D4A7B39"/>
    <w:rsid w:val="2D4D7629"/>
    <w:rsid w:val="2D502C75"/>
    <w:rsid w:val="2D512181"/>
    <w:rsid w:val="2D524C40"/>
    <w:rsid w:val="2D5661E7"/>
    <w:rsid w:val="2D572346"/>
    <w:rsid w:val="2D720E3E"/>
    <w:rsid w:val="2D850B71"/>
    <w:rsid w:val="2D940DB4"/>
    <w:rsid w:val="2D973BEA"/>
    <w:rsid w:val="2D990AC0"/>
    <w:rsid w:val="2D9A3018"/>
    <w:rsid w:val="2D9B0395"/>
    <w:rsid w:val="2D9D235F"/>
    <w:rsid w:val="2DAF3E40"/>
    <w:rsid w:val="2DB01A8B"/>
    <w:rsid w:val="2DB63420"/>
    <w:rsid w:val="2DC0604D"/>
    <w:rsid w:val="2DC342DF"/>
    <w:rsid w:val="2DC86CB0"/>
    <w:rsid w:val="2DCA6ECC"/>
    <w:rsid w:val="2DD12AED"/>
    <w:rsid w:val="2DD35D80"/>
    <w:rsid w:val="2DDD6BFF"/>
    <w:rsid w:val="2DEC0BF0"/>
    <w:rsid w:val="2DF31F7F"/>
    <w:rsid w:val="2DF4782B"/>
    <w:rsid w:val="2DF6413D"/>
    <w:rsid w:val="2E0376D5"/>
    <w:rsid w:val="2E045F3A"/>
    <w:rsid w:val="2E0D711A"/>
    <w:rsid w:val="2E0E0B66"/>
    <w:rsid w:val="2E163EBF"/>
    <w:rsid w:val="2E1F2D74"/>
    <w:rsid w:val="2E267F14"/>
    <w:rsid w:val="2E271C28"/>
    <w:rsid w:val="2E277E7A"/>
    <w:rsid w:val="2E3031D3"/>
    <w:rsid w:val="2E310CF9"/>
    <w:rsid w:val="2E314855"/>
    <w:rsid w:val="2E3C1B78"/>
    <w:rsid w:val="2E3D144C"/>
    <w:rsid w:val="2E3D15DF"/>
    <w:rsid w:val="2E3D39C6"/>
    <w:rsid w:val="2E440655"/>
    <w:rsid w:val="2E493EAA"/>
    <w:rsid w:val="2E4C5B33"/>
    <w:rsid w:val="2E514009"/>
    <w:rsid w:val="2E5642BC"/>
    <w:rsid w:val="2E580034"/>
    <w:rsid w:val="2E5C3FC8"/>
    <w:rsid w:val="2E5D38F8"/>
    <w:rsid w:val="2E8A2558"/>
    <w:rsid w:val="2E8C4181"/>
    <w:rsid w:val="2E9E272D"/>
    <w:rsid w:val="2E9F70FE"/>
    <w:rsid w:val="2EA1315F"/>
    <w:rsid w:val="2EA74B17"/>
    <w:rsid w:val="2EB3170E"/>
    <w:rsid w:val="2EC851B9"/>
    <w:rsid w:val="2ED578D6"/>
    <w:rsid w:val="2EE67D35"/>
    <w:rsid w:val="2EF04AD9"/>
    <w:rsid w:val="2EFF4953"/>
    <w:rsid w:val="2F0361F1"/>
    <w:rsid w:val="2F041F69"/>
    <w:rsid w:val="2F063F34"/>
    <w:rsid w:val="2F070E72"/>
    <w:rsid w:val="2F0B32F8"/>
    <w:rsid w:val="2F1060B3"/>
    <w:rsid w:val="2F1A353B"/>
    <w:rsid w:val="2F1D4E8B"/>
    <w:rsid w:val="2F1F6DA3"/>
    <w:rsid w:val="2F2919D0"/>
    <w:rsid w:val="2F2A7C22"/>
    <w:rsid w:val="2F302D5E"/>
    <w:rsid w:val="2F326AD7"/>
    <w:rsid w:val="2F350375"/>
    <w:rsid w:val="2F3740ED"/>
    <w:rsid w:val="2F391C13"/>
    <w:rsid w:val="2F397E65"/>
    <w:rsid w:val="2F3A3BDD"/>
    <w:rsid w:val="2F4800A8"/>
    <w:rsid w:val="2F4F7689"/>
    <w:rsid w:val="2F5C1CD1"/>
    <w:rsid w:val="2F5C31B9"/>
    <w:rsid w:val="2F5D6E05"/>
    <w:rsid w:val="2F603644"/>
    <w:rsid w:val="2F73487B"/>
    <w:rsid w:val="2F7470EF"/>
    <w:rsid w:val="2F754C15"/>
    <w:rsid w:val="2F762E67"/>
    <w:rsid w:val="2F825CD1"/>
    <w:rsid w:val="2F8310E0"/>
    <w:rsid w:val="2F875C16"/>
    <w:rsid w:val="2F884982"/>
    <w:rsid w:val="2F947791"/>
    <w:rsid w:val="2F955899"/>
    <w:rsid w:val="2F9E22FA"/>
    <w:rsid w:val="2F9E23BE"/>
    <w:rsid w:val="2FA07EE4"/>
    <w:rsid w:val="2FA36F52"/>
    <w:rsid w:val="2FA86D99"/>
    <w:rsid w:val="2FAA48BF"/>
    <w:rsid w:val="2FBC2844"/>
    <w:rsid w:val="2FC13CB3"/>
    <w:rsid w:val="2FC75471"/>
    <w:rsid w:val="2FCC6F2B"/>
    <w:rsid w:val="2FCD67FF"/>
    <w:rsid w:val="2FCF07C9"/>
    <w:rsid w:val="2FD1009E"/>
    <w:rsid w:val="2FD22068"/>
    <w:rsid w:val="2FD758A9"/>
    <w:rsid w:val="2FE029D7"/>
    <w:rsid w:val="2FE14059"/>
    <w:rsid w:val="2FEF49C8"/>
    <w:rsid w:val="2FF65D56"/>
    <w:rsid w:val="2FFA1F7A"/>
    <w:rsid w:val="30030473"/>
    <w:rsid w:val="300A69FB"/>
    <w:rsid w:val="300C7BD4"/>
    <w:rsid w:val="300E30A0"/>
    <w:rsid w:val="300F0BC6"/>
    <w:rsid w:val="303074BA"/>
    <w:rsid w:val="303348B4"/>
    <w:rsid w:val="303643A5"/>
    <w:rsid w:val="303F594F"/>
    <w:rsid w:val="30442F65"/>
    <w:rsid w:val="30474804"/>
    <w:rsid w:val="30620903"/>
    <w:rsid w:val="306E7FE2"/>
    <w:rsid w:val="30713946"/>
    <w:rsid w:val="30874C00"/>
    <w:rsid w:val="30890978"/>
    <w:rsid w:val="308E41E1"/>
    <w:rsid w:val="30967D3C"/>
    <w:rsid w:val="30977539"/>
    <w:rsid w:val="309D2676"/>
    <w:rsid w:val="309F019C"/>
    <w:rsid w:val="30A43A04"/>
    <w:rsid w:val="30AD0B0B"/>
    <w:rsid w:val="30B31E99"/>
    <w:rsid w:val="30B874AF"/>
    <w:rsid w:val="30C16364"/>
    <w:rsid w:val="30C6397A"/>
    <w:rsid w:val="30C714A1"/>
    <w:rsid w:val="30CB71E3"/>
    <w:rsid w:val="30E43E01"/>
    <w:rsid w:val="30E75537"/>
    <w:rsid w:val="30EB1633"/>
    <w:rsid w:val="30F8452C"/>
    <w:rsid w:val="30FF6E8C"/>
    <w:rsid w:val="310417C9"/>
    <w:rsid w:val="310B5831"/>
    <w:rsid w:val="310E0E7D"/>
    <w:rsid w:val="3115220C"/>
    <w:rsid w:val="31181CFC"/>
    <w:rsid w:val="311B340A"/>
    <w:rsid w:val="311B7D98"/>
    <w:rsid w:val="311D6609"/>
    <w:rsid w:val="31307046"/>
    <w:rsid w:val="313257C4"/>
    <w:rsid w:val="31350B00"/>
    <w:rsid w:val="313E5C07"/>
    <w:rsid w:val="31556AAC"/>
    <w:rsid w:val="315C42DF"/>
    <w:rsid w:val="316118F5"/>
    <w:rsid w:val="3163741B"/>
    <w:rsid w:val="31717D8A"/>
    <w:rsid w:val="31752926"/>
    <w:rsid w:val="31853836"/>
    <w:rsid w:val="318555E4"/>
    <w:rsid w:val="31864EB8"/>
    <w:rsid w:val="318A0E4C"/>
    <w:rsid w:val="319475D5"/>
    <w:rsid w:val="319776A0"/>
    <w:rsid w:val="31A17F44"/>
    <w:rsid w:val="31A35A6A"/>
    <w:rsid w:val="31A422DF"/>
    <w:rsid w:val="31B41A25"/>
    <w:rsid w:val="31B5579D"/>
    <w:rsid w:val="31C3610C"/>
    <w:rsid w:val="31CD6F8B"/>
    <w:rsid w:val="31D766C2"/>
    <w:rsid w:val="31DB3455"/>
    <w:rsid w:val="31DE0499"/>
    <w:rsid w:val="31DE548E"/>
    <w:rsid w:val="31E72B18"/>
    <w:rsid w:val="31EB11BF"/>
    <w:rsid w:val="31EC0AD5"/>
    <w:rsid w:val="31F44517"/>
    <w:rsid w:val="31FE5396"/>
    <w:rsid w:val="320209E2"/>
    <w:rsid w:val="320B7BD7"/>
    <w:rsid w:val="32116FB3"/>
    <w:rsid w:val="32125567"/>
    <w:rsid w:val="32144BB9"/>
    <w:rsid w:val="321B7CF6"/>
    <w:rsid w:val="322070BA"/>
    <w:rsid w:val="32216FFF"/>
    <w:rsid w:val="32270449"/>
    <w:rsid w:val="32275299"/>
    <w:rsid w:val="32285F6F"/>
    <w:rsid w:val="323D7C6C"/>
    <w:rsid w:val="323E39E4"/>
    <w:rsid w:val="3241747F"/>
    <w:rsid w:val="32421947"/>
    <w:rsid w:val="32452FC5"/>
    <w:rsid w:val="32487EFD"/>
    <w:rsid w:val="324F65C3"/>
    <w:rsid w:val="32560D2E"/>
    <w:rsid w:val="325D4BAB"/>
    <w:rsid w:val="326351F9"/>
    <w:rsid w:val="326F64C4"/>
    <w:rsid w:val="32711762"/>
    <w:rsid w:val="32713DBA"/>
    <w:rsid w:val="32737B32"/>
    <w:rsid w:val="327613D0"/>
    <w:rsid w:val="32764F2C"/>
    <w:rsid w:val="32787B12"/>
    <w:rsid w:val="327B0795"/>
    <w:rsid w:val="327E41AE"/>
    <w:rsid w:val="327F2033"/>
    <w:rsid w:val="328238D1"/>
    <w:rsid w:val="32843AED"/>
    <w:rsid w:val="328508C1"/>
    <w:rsid w:val="328624A5"/>
    <w:rsid w:val="32867865"/>
    <w:rsid w:val="328A22B3"/>
    <w:rsid w:val="32943604"/>
    <w:rsid w:val="32990C1B"/>
    <w:rsid w:val="32AD5BF3"/>
    <w:rsid w:val="32B37F2E"/>
    <w:rsid w:val="32C91B1C"/>
    <w:rsid w:val="32CB0931"/>
    <w:rsid w:val="32D062A3"/>
    <w:rsid w:val="32D556DA"/>
    <w:rsid w:val="32DC56D7"/>
    <w:rsid w:val="32DD31FD"/>
    <w:rsid w:val="32DF2AD1"/>
    <w:rsid w:val="32E4458C"/>
    <w:rsid w:val="32E4633A"/>
    <w:rsid w:val="32EB76C8"/>
    <w:rsid w:val="32F26CA9"/>
    <w:rsid w:val="32F83B93"/>
    <w:rsid w:val="3304078A"/>
    <w:rsid w:val="33047451"/>
    <w:rsid w:val="330864CC"/>
    <w:rsid w:val="331035D3"/>
    <w:rsid w:val="3316226B"/>
    <w:rsid w:val="331C3D26"/>
    <w:rsid w:val="331D7A9E"/>
    <w:rsid w:val="3321758E"/>
    <w:rsid w:val="33233306"/>
    <w:rsid w:val="33291F9F"/>
    <w:rsid w:val="332B3F69"/>
    <w:rsid w:val="332E5807"/>
    <w:rsid w:val="333077D1"/>
    <w:rsid w:val="33332E1D"/>
    <w:rsid w:val="33541711"/>
    <w:rsid w:val="33572FB0"/>
    <w:rsid w:val="335928E5"/>
    <w:rsid w:val="3364747B"/>
    <w:rsid w:val="33791178"/>
    <w:rsid w:val="33833DA5"/>
    <w:rsid w:val="33883169"/>
    <w:rsid w:val="33890C8F"/>
    <w:rsid w:val="339E5EA4"/>
    <w:rsid w:val="33A1247D"/>
    <w:rsid w:val="33A361F5"/>
    <w:rsid w:val="33A45AC9"/>
    <w:rsid w:val="33AB7303"/>
    <w:rsid w:val="33AC39F7"/>
    <w:rsid w:val="33AF6948"/>
    <w:rsid w:val="33B02D19"/>
    <w:rsid w:val="33B22088"/>
    <w:rsid w:val="33B43F5E"/>
    <w:rsid w:val="33BA3F4B"/>
    <w:rsid w:val="33BC1E73"/>
    <w:rsid w:val="33C817B8"/>
    <w:rsid w:val="33CB27FD"/>
    <w:rsid w:val="33CF6FEA"/>
    <w:rsid w:val="33D068BE"/>
    <w:rsid w:val="33D64A34"/>
    <w:rsid w:val="33E52369"/>
    <w:rsid w:val="33EB36F8"/>
    <w:rsid w:val="33EF143A"/>
    <w:rsid w:val="33F05CCA"/>
    <w:rsid w:val="33F22CD8"/>
    <w:rsid w:val="33F425AD"/>
    <w:rsid w:val="33F627C9"/>
    <w:rsid w:val="33F702EF"/>
    <w:rsid w:val="33FB393B"/>
    <w:rsid w:val="33FE342B"/>
    <w:rsid w:val="340D366E"/>
    <w:rsid w:val="341449FD"/>
    <w:rsid w:val="341D209D"/>
    <w:rsid w:val="341E0F99"/>
    <w:rsid w:val="341E587B"/>
    <w:rsid w:val="34311A53"/>
    <w:rsid w:val="34360E17"/>
    <w:rsid w:val="343B642D"/>
    <w:rsid w:val="343C5323"/>
    <w:rsid w:val="343D21A6"/>
    <w:rsid w:val="343F751D"/>
    <w:rsid w:val="344057F2"/>
    <w:rsid w:val="3443410E"/>
    <w:rsid w:val="34452E08"/>
    <w:rsid w:val="345E036E"/>
    <w:rsid w:val="34665FD3"/>
    <w:rsid w:val="346A0AC1"/>
    <w:rsid w:val="346D68C6"/>
    <w:rsid w:val="34873421"/>
    <w:rsid w:val="34887447"/>
    <w:rsid w:val="34897199"/>
    <w:rsid w:val="348F22D5"/>
    <w:rsid w:val="34A22009"/>
    <w:rsid w:val="34A55F9D"/>
    <w:rsid w:val="34AA5361"/>
    <w:rsid w:val="34BF78B8"/>
    <w:rsid w:val="34C957E7"/>
    <w:rsid w:val="34CC52D7"/>
    <w:rsid w:val="34D10B40"/>
    <w:rsid w:val="34D16D92"/>
    <w:rsid w:val="34D32B0A"/>
    <w:rsid w:val="34D348B8"/>
    <w:rsid w:val="34DA5C46"/>
    <w:rsid w:val="34E70363"/>
    <w:rsid w:val="34F0546A"/>
    <w:rsid w:val="34F36D08"/>
    <w:rsid w:val="34F605A6"/>
    <w:rsid w:val="34FF56AD"/>
    <w:rsid w:val="34FF745B"/>
    <w:rsid w:val="350C1B78"/>
    <w:rsid w:val="351849C1"/>
    <w:rsid w:val="351B59D6"/>
    <w:rsid w:val="35417A73"/>
    <w:rsid w:val="354D18E5"/>
    <w:rsid w:val="354E3F3E"/>
    <w:rsid w:val="35551771"/>
    <w:rsid w:val="356A2C20"/>
    <w:rsid w:val="356D67CB"/>
    <w:rsid w:val="3575596F"/>
    <w:rsid w:val="358129EF"/>
    <w:rsid w:val="35883BBA"/>
    <w:rsid w:val="358D2CB9"/>
    <w:rsid w:val="359009FB"/>
    <w:rsid w:val="359C2EFC"/>
    <w:rsid w:val="359F0C3E"/>
    <w:rsid w:val="35A2629D"/>
    <w:rsid w:val="35A46254"/>
    <w:rsid w:val="35B30245"/>
    <w:rsid w:val="35BD5ADE"/>
    <w:rsid w:val="35BF3E4F"/>
    <w:rsid w:val="35C73708"/>
    <w:rsid w:val="35C81F43"/>
    <w:rsid w:val="35D111E5"/>
    <w:rsid w:val="35D24B6F"/>
    <w:rsid w:val="35E825E5"/>
    <w:rsid w:val="35F50D12"/>
    <w:rsid w:val="35FA1FB3"/>
    <w:rsid w:val="35FA7D81"/>
    <w:rsid w:val="35FD1E07"/>
    <w:rsid w:val="35FE3505"/>
    <w:rsid w:val="3608233F"/>
    <w:rsid w:val="360A1AA8"/>
    <w:rsid w:val="360D1B6A"/>
    <w:rsid w:val="36135942"/>
    <w:rsid w:val="36156A40"/>
    <w:rsid w:val="36162CAE"/>
    <w:rsid w:val="3619387F"/>
    <w:rsid w:val="36255383"/>
    <w:rsid w:val="362A675A"/>
    <w:rsid w:val="36304F04"/>
    <w:rsid w:val="36376685"/>
    <w:rsid w:val="36405F7D"/>
    <w:rsid w:val="36435A6D"/>
    <w:rsid w:val="36513CE6"/>
    <w:rsid w:val="365D10DE"/>
    <w:rsid w:val="366003CD"/>
    <w:rsid w:val="366D22D5"/>
    <w:rsid w:val="366E2AEA"/>
    <w:rsid w:val="36703718"/>
    <w:rsid w:val="3679323D"/>
    <w:rsid w:val="36853990"/>
    <w:rsid w:val="36965B9D"/>
    <w:rsid w:val="369938DF"/>
    <w:rsid w:val="3699743B"/>
    <w:rsid w:val="369B1405"/>
    <w:rsid w:val="369D33CF"/>
    <w:rsid w:val="369E2844"/>
    <w:rsid w:val="36AF6C5F"/>
    <w:rsid w:val="36B00376"/>
    <w:rsid w:val="36B129D7"/>
    <w:rsid w:val="36B83D65"/>
    <w:rsid w:val="36B9188B"/>
    <w:rsid w:val="36CF10AF"/>
    <w:rsid w:val="36D44917"/>
    <w:rsid w:val="36D6243D"/>
    <w:rsid w:val="36D861B6"/>
    <w:rsid w:val="36E42DAC"/>
    <w:rsid w:val="36E44B5A"/>
    <w:rsid w:val="36E52680"/>
    <w:rsid w:val="36F11025"/>
    <w:rsid w:val="36F7183E"/>
    <w:rsid w:val="36F77B6C"/>
    <w:rsid w:val="36F80606"/>
    <w:rsid w:val="36F86E95"/>
    <w:rsid w:val="36FB00F6"/>
    <w:rsid w:val="37070849"/>
    <w:rsid w:val="370A20E7"/>
    <w:rsid w:val="37102EBF"/>
    <w:rsid w:val="37113475"/>
    <w:rsid w:val="37133692"/>
    <w:rsid w:val="37135440"/>
    <w:rsid w:val="37182A56"/>
    <w:rsid w:val="37195D31"/>
    <w:rsid w:val="371B2546"/>
    <w:rsid w:val="371F2036"/>
    <w:rsid w:val="3720190B"/>
    <w:rsid w:val="372E5DD5"/>
    <w:rsid w:val="3747108E"/>
    <w:rsid w:val="37495DEC"/>
    <w:rsid w:val="374970B3"/>
    <w:rsid w:val="374E46CA"/>
    <w:rsid w:val="375021F0"/>
    <w:rsid w:val="37531CE0"/>
    <w:rsid w:val="375515B4"/>
    <w:rsid w:val="37557806"/>
    <w:rsid w:val="375A6BCB"/>
    <w:rsid w:val="37623CD1"/>
    <w:rsid w:val="37645C9B"/>
    <w:rsid w:val="376D2DA2"/>
    <w:rsid w:val="377C2FE5"/>
    <w:rsid w:val="379A346B"/>
    <w:rsid w:val="379F4F25"/>
    <w:rsid w:val="37A8202C"/>
    <w:rsid w:val="37BA58BB"/>
    <w:rsid w:val="37BF2ED1"/>
    <w:rsid w:val="37C128CB"/>
    <w:rsid w:val="37C93D50"/>
    <w:rsid w:val="37CE60F0"/>
    <w:rsid w:val="37D3697D"/>
    <w:rsid w:val="37D42E21"/>
    <w:rsid w:val="37D83F93"/>
    <w:rsid w:val="37E34E12"/>
    <w:rsid w:val="37E42938"/>
    <w:rsid w:val="37F16F7F"/>
    <w:rsid w:val="37FE39FA"/>
    <w:rsid w:val="380134EA"/>
    <w:rsid w:val="38097EDE"/>
    <w:rsid w:val="38327B47"/>
    <w:rsid w:val="383733B0"/>
    <w:rsid w:val="38397128"/>
    <w:rsid w:val="383B2EA0"/>
    <w:rsid w:val="38402264"/>
    <w:rsid w:val="384A30E3"/>
    <w:rsid w:val="384D4981"/>
    <w:rsid w:val="38514471"/>
    <w:rsid w:val="38521F98"/>
    <w:rsid w:val="38584E03"/>
    <w:rsid w:val="38602906"/>
    <w:rsid w:val="38635F53"/>
    <w:rsid w:val="3866119D"/>
    <w:rsid w:val="386F66A6"/>
    <w:rsid w:val="38741F0E"/>
    <w:rsid w:val="387719FE"/>
    <w:rsid w:val="3878382F"/>
    <w:rsid w:val="387939C8"/>
    <w:rsid w:val="387A419F"/>
    <w:rsid w:val="387B14EE"/>
    <w:rsid w:val="387C0DC3"/>
    <w:rsid w:val="387C4D8E"/>
    <w:rsid w:val="38806B05"/>
    <w:rsid w:val="38877717"/>
    <w:rsid w:val="38881374"/>
    <w:rsid w:val="388D1222"/>
    <w:rsid w:val="38997BC6"/>
    <w:rsid w:val="389C3213"/>
    <w:rsid w:val="389C3C95"/>
    <w:rsid w:val="389E51DD"/>
    <w:rsid w:val="38AA3B82"/>
    <w:rsid w:val="38BD38B5"/>
    <w:rsid w:val="38BF587F"/>
    <w:rsid w:val="38C20ECB"/>
    <w:rsid w:val="38C34C43"/>
    <w:rsid w:val="38CD7870"/>
    <w:rsid w:val="38D75D21"/>
    <w:rsid w:val="38E01351"/>
    <w:rsid w:val="38E2331B"/>
    <w:rsid w:val="38EF5A38"/>
    <w:rsid w:val="39096AFA"/>
    <w:rsid w:val="390E2362"/>
    <w:rsid w:val="390F1C37"/>
    <w:rsid w:val="3915748D"/>
    <w:rsid w:val="391B682D"/>
    <w:rsid w:val="391C2CC2"/>
    <w:rsid w:val="391D359F"/>
    <w:rsid w:val="39205BF2"/>
    <w:rsid w:val="392456E2"/>
    <w:rsid w:val="39277222"/>
    <w:rsid w:val="39331DC9"/>
    <w:rsid w:val="39382F3B"/>
    <w:rsid w:val="393B0C7E"/>
    <w:rsid w:val="394418E0"/>
    <w:rsid w:val="394A0EC1"/>
    <w:rsid w:val="394B7113"/>
    <w:rsid w:val="395A55A8"/>
    <w:rsid w:val="39602492"/>
    <w:rsid w:val="3962445C"/>
    <w:rsid w:val="39641F82"/>
    <w:rsid w:val="39671A73"/>
    <w:rsid w:val="397D4DF2"/>
    <w:rsid w:val="39A44A75"/>
    <w:rsid w:val="39A61DDF"/>
    <w:rsid w:val="39B27192"/>
    <w:rsid w:val="39B76556"/>
    <w:rsid w:val="39BC3B6C"/>
    <w:rsid w:val="39D129C8"/>
    <w:rsid w:val="39D4535A"/>
    <w:rsid w:val="39DC420F"/>
    <w:rsid w:val="39DC4B85"/>
    <w:rsid w:val="39DD4579"/>
    <w:rsid w:val="39E62997"/>
    <w:rsid w:val="39E84962"/>
    <w:rsid w:val="39EF3F42"/>
    <w:rsid w:val="3A0379ED"/>
    <w:rsid w:val="3A0472C2"/>
    <w:rsid w:val="3A08021D"/>
    <w:rsid w:val="3A086DB2"/>
    <w:rsid w:val="3A0F6133"/>
    <w:rsid w:val="3A103EB8"/>
    <w:rsid w:val="3A192D6D"/>
    <w:rsid w:val="3A1C285D"/>
    <w:rsid w:val="3A1F40FB"/>
    <w:rsid w:val="3A251F2D"/>
    <w:rsid w:val="3A3E27D3"/>
    <w:rsid w:val="3A466B4D"/>
    <w:rsid w:val="3A5244D1"/>
    <w:rsid w:val="3A563FC1"/>
    <w:rsid w:val="3A5E7CF6"/>
    <w:rsid w:val="3A68164F"/>
    <w:rsid w:val="3A6905C2"/>
    <w:rsid w:val="3A6A181A"/>
    <w:rsid w:val="3A6B26F1"/>
    <w:rsid w:val="3A6D30B9"/>
    <w:rsid w:val="3A7206CF"/>
    <w:rsid w:val="3A7B57D6"/>
    <w:rsid w:val="3A802DEC"/>
    <w:rsid w:val="3A804B9A"/>
    <w:rsid w:val="3A8328DC"/>
    <w:rsid w:val="3A83468A"/>
    <w:rsid w:val="3A8723CC"/>
    <w:rsid w:val="3A8970F2"/>
    <w:rsid w:val="3A8A02B4"/>
    <w:rsid w:val="3A8A3C6B"/>
    <w:rsid w:val="3AB74334"/>
    <w:rsid w:val="3ABA05DC"/>
    <w:rsid w:val="3ABC7B9C"/>
    <w:rsid w:val="3AC3717D"/>
    <w:rsid w:val="3AC84793"/>
    <w:rsid w:val="3AD66EB0"/>
    <w:rsid w:val="3ADA23A2"/>
    <w:rsid w:val="3ADC656C"/>
    <w:rsid w:val="3AE07D2F"/>
    <w:rsid w:val="3AEA64B7"/>
    <w:rsid w:val="3AED1748"/>
    <w:rsid w:val="3AF4330E"/>
    <w:rsid w:val="3B001EDC"/>
    <w:rsid w:val="3B037579"/>
    <w:rsid w:val="3B052B77"/>
    <w:rsid w:val="3B082DE1"/>
    <w:rsid w:val="3B115CAE"/>
    <w:rsid w:val="3B1479D8"/>
    <w:rsid w:val="3B337E5E"/>
    <w:rsid w:val="3B3616FD"/>
    <w:rsid w:val="3B36794F"/>
    <w:rsid w:val="3B4E2EEA"/>
    <w:rsid w:val="3B4F27BE"/>
    <w:rsid w:val="3B5B5607"/>
    <w:rsid w:val="3B620744"/>
    <w:rsid w:val="3B677B08"/>
    <w:rsid w:val="3B716BD9"/>
    <w:rsid w:val="3B7F1F51"/>
    <w:rsid w:val="3B811C55"/>
    <w:rsid w:val="3B8C3A12"/>
    <w:rsid w:val="3B8D2A59"/>
    <w:rsid w:val="3B9823B7"/>
    <w:rsid w:val="3B9A1C8B"/>
    <w:rsid w:val="3B9C3C56"/>
    <w:rsid w:val="3BAB3E99"/>
    <w:rsid w:val="3BBA232E"/>
    <w:rsid w:val="3BBD1E1E"/>
    <w:rsid w:val="3BC01FB5"/>
    <w:rsid w:val="3BC1546A"/>
    <w:rsid w:val="3BCB62E9"/>
    <w:rsid w:val="3BCC3E0F"/>
    <w:rsid w:val="3BCD02B3"/>
    <w:rsid w:val="3BCE402B"/>
    <w:rsid w:val="3BD157CB"/>
    <w:rsid w:val="3BD54F24"/>
    <w:rsid w:val="3BD72EE0"/>
    <w:rsid w:val="3BE55332"/>
    <w:rsid w:val="3BE70C49"/>
    <w:rsid w:val="3BE850ED"/>
    <w:rsid w:val="3BF07AFD"/>
    <w:rsid w:val="3BF21AC7"/>
    <w:rsid w:val="3BF770DE"/>
    <w:rsid w:val="3BFD046C"/>
    <w:rsid w:val="3C047A4D"/>
    <w:rsid w:val="3C1728E8"/>
    <w:rsid w:val="3C21415B"/>
    <w:rsid w:val="3C215F09"/>
    <w:rsid w:val="3C261771"/>
    <w:rsid w:val="3C2B032C"/>
    <w:rsid w:val="3C2B6D87"/>
    <w:rsid w:val="3C320116"/>
    <w:rsid w:val="3C3814A4"/>
    <w:rsid w:val="3C383341"/>
    <w:rsid w:val="3C3F6122"/>
    <w:rsid w:val="3C463BC1"/>
    <w:rsid w:val="3C481DED"/>
    <w:rsid w:val="3C4E2A76"/>
    <w:rsid w:val="3C5A141B"/>
    <w:rsid w:val="3C5F2ED5"/>
    <w:rsid w:val="3C6452A1"/>
    <w:rsid w:val="3C6743CD"/>
    <w:rsid w:val="3C6827D6"/>
    <w:rsid w:val="3C687FDC"/>
    <w:rsid w:val="3C6B187A"/>
    <w:rsid w:val="3C6E4EC6"/>
    <w:rsid w:val="3C7E6BC6"/>
    <w:rsid w:val="3C7F70D3"/>
    <w:rsid w:val="3C83078F"/>
    <w:rsid w:val="3C88242C"/>
    <w:rsid w:val="3C8F0536"/>
    <w:rsid w:val="3C97441D"/>
    <w:rsid w:val="3CA37751"/>
    <w:rsid w:val="3CA63DB3"/>
    <w:rsid w:val="3CA803D8"/>
    <w:rsid w:val="3CAD1E92"/>
    <w:rsid w:val="3CB61B58"/>
    <w:rsid w:val="3CB7686D"/>
    <w:rsid w:val="3CB94393"/>
    <w:rsid w:val="3CBD7CBA"/>
    <w:rsid w:val="3CC35212"/>
    <w:rsid w:val="3CC45CCC"/>
    <w:rsid w:val="3CCC056A"/>
    <w:rsid w:val="3CD0053F"/>
    <w:rsid w:val="3CD25455"/>
    <w:rsid w:val="3CD93F86"/>
    <w:rsid w:val="3CD94A35"/>
    <w:rsid w:val="3CDC4526"/>
    <w:rsid w:val="3CE60F00"/>
    <w:rsid w:val="3CEA279F"/>
    <w:rsid w:val="3CEF24AB"/>
    <w:rsid w:val="3CFE1826"/>
    <w:rsid w:val="3CFE449C"/>
    <w:rsid w:val="3D0134EC"/>
    <w:rsid w:val="3D091B6C"/>
    <w:rsid w:val="3D0E0B83"/>
    <w:rsid w:val="3D0F66A9"/>
    <w:rsid w:val="3D18555E"/>
    <w:rsid w:val="3D1C4922"/>
    <w:rsid w:val="3D2139CC"/>
    <w:rsid w:val="3D235CB1"/>
    <w:rsid w:val="3D251A29"/>
    <w:rsid w:val="3D2B4729"/>
    <w:rsid w:val="3D31661F"/>
    <w:rsid w:val="3D332398"/>
    <w:rsid w:val="3D346110"/>
    <w:rsid w:val="3D453E79"/>
    <w:rsid w:val="3D5642D8"/>
    <w:rsid w:val="3D566086"/>
    <w:rsid w:val="3D5D65F8"/>
    <w:rsid w:val="3D7B3D3F"/>
    <w:rsid w:val="3D7B6D86"/>
    <w:rsid w:val="3D8A3F82"/>
    <w:rsid w:val="3D911534"/>
    <w:rsid w:val="3D915310"/>
    <w:rsid w:val="3D9848F1"/>
    <w:rsid w:val="3DBA6615"/>
    <w:rsid w:val="3DBB413B"/>
    <w:rsid w:val="3DC6528F"/>
    <w:rsid w:val="3DC73A4E"/>
    <w:rsid w:val="3DCB6A74"/>
    <w:rsid w:val="3DD5344F"/>
    <w:rsid w:val="3DDF42CD"/>
    <w:rsid w:val="3DEB2C72"/>
    <w:rsid w:val="3DF24001"/>
    <w:rsid w:val="3DFA1107"/>
    <w:rsid w:val="3DFF227A"/>
    <w:rsid w:val="3E021D6A"/>
    <w:rsid w:val="3E0D2F0E"/>
    <w:rsid w:val="3E173A67"/>
    <w:rsid w:val="3E216694"/>
    <w:rsid w:val="3E263CAA"/>
    <w:rsid w:val="3E3143FA"/>
    <w:rsid w:val="3E330175"/>
    <w:rsid w:val="3E495BEB"/>
    <w:rsid w:val="3E4D1237"/>
    <w:rsid w:val="3E546A69"/>
    <w:rsid w:val="3E556021"/>
    <w:rsid w:val="3E5F71BC"/>
    <w:rsid w:val="3E612F34"/>
    <w:rsid w:val="3E642A25"/>
    <w:rsid w:val="3E6F38A3"/>
    <w:rsid w:val="3E6F5651"/>
    <w:rsid w:val="3E703177"/>
    <w:rsid w:val="3E734A16"/>
    <w:rsid w:val="3E7C7D6E"/>
    <w:rsid w:val="3E846D97"/>
    <w:rsid w:val="3E8D1F7B"/>
    <w:rsid w:val="3E90381A"/>
    <w:rsid w:val="3E907376"/>
    <w:rsid w:val="3E92283C"/>
    <w:rsid w:val="3E9230EE"/>
    <w:rsid w:val="3E9364AC"/>
    <w:rsid w:val="3E9C5D1B"/>
    <w:rsid w:val="3E9E1A93"/>
    <w:rsid w:val="3E9F580B"/>
    <w:rsid w:val="3EA82911"/>
    <w:rsid w:val="3EAA6689"/>
    <w:rsid w:val="3EB45A5D"/>
    <w:rsid w:val="3EBC7034"/>
    <w:rsid w:val="3EC1663D"/>
    <w:rsid w:val="3EC6723B"/>
    <w:rsid w:val="3EC7548D"/>
    <w:rsid w:val="3ECA2888"/>
    <w:rsid w:val="3ECB0200"/>
    <w:rsid w:val="3ED656D0"/>
    <w:rsid w:val="3ED92ACB"/>
    <w:rsid w:val="3ED96B31"/>
    <w:rsid w:val="3EDC6A5F"/>
    <w:rsid w:val="3EDF7BD5"/>
    <w:rsid w:val="3EE53B65"/>
    <w:rsid w:val="3EE576C2"/>
    <w:rsid w:val="3EEB27FE"/>
    <w:rsid w:val="3EF1250A"/>
    <w:rsid w:val="3EF26282"/>
    <w:rsid w:val="3EF43DA9"/>
    <w:rsid w:val="3EF45B57"/>
    <w:rsid w:val="3EFD0EAF"/>
    <w:rsid w:val="3F003B4B"/>
    <w:rsid w:val="3F073ADC"/>
    <w:rsid w:val="3F0D09C6"/>
    <w:rsid w:val="3F125FDD"/>
    <w:rsid w:val="3F171845"/>
    <w:rsid w:val="3F247041"/>
    <w:rsid w:val="3F27452A"/>
    <w:rsid w:val="3F284395"/>
    <w:rsid w:val="3F395C5F"/>
    <w:rsid w:val="3F397A0D"/>
    <w:rsid w:val="3F47037C"/>
    <w:rsid w:val="3F47212A"/>
    <w:rsid w:val="3F4950AE"/>
    <w:rsid w:val="3F4A7DCA"/>
    <w:rsid w:val="3F4C14EF"/>
    <w:rsid w:val="3F544847"/>
    <w:rsid w:val="3F5716F1"/>
    <w:rsid w:val="3F5900B0"/>
    <w:rsid w:val="3F5D36FC"/>
    <w:rsid w:val="3F604F9A"/>
    <w:rsid w:val="3F6A5E19"/>
    <w:rsid w:val="3F6B06B4"/>
    <w:rsid w:val="3F6F1A8C"/>
    <w:rsid w:val="3F7B1DD4"/>
    <w:rsid w:val="3F7B2E16"/>
    <w:rsid w:val="3F7D67BC"/>
    <w:rsid w:val="3F836EDA"/>
    <w:rsid w:val="3F88629F"/>
    <w:rsid w:val="3F8E1B07"/>
    <w:rsid w:val="3F8E7D59"/>
    <w:rsid w:val="3F8F3E58"/>
    <w:rsid w:val="3F9410E8"/>
    <w:rsid w:val="3FB157F6"/>
    <w:rsid w:val="3FB3156E"/>
    <w:rsid w:val="3FB53538"/>
    <w:rsid w:val="3FB6105E"/>
    <w:rsid w:val="3FBA51AF"/>
    <w:rsid w:val="3FBD23EC"/>
    <w:rsid w:val="3FC13FE6"/>
    <w:rsid w:val="3FC619D0"/>
    <w:rsid w:val="3FCB0E37"/>
    <w:rsid w:val="3FCD7349"/>
    <w:rsid w:val="3FCE45FA"/>
    <w:rsid w:val="3FDB2873"/>
    <w:rsid w:val="3FDD2A8F"/>
    <w:rsid w:val="3FEB6F5A"/>
    <w:rsid w:val="3FEE25A6"/>
    <w:rsid w:val="3FF027C2"/>
    <w:rsid w:val="3FFA53EF"/>
    <w:rsid w:val="3FFD6C8D"/>
    <w:rsid w:val="40095632"/>
    <w:rsid w:val="400B3158"/>
    <w:rsid w:val="40104C12"/>
    <w:rsid w:val="40112738"/>
    <w:rsid w:val="40155C28"/>
    <w:rsid w:val="401C5365"/>
    <w:rsid w:val="401F4E55"/>
    <w:rsid w:val="40210BCD"/>
    <w:rsid w:val="403501D5"/>
    <w:rsid w:val="40356427"/>
    <w:rsid w:val="403A22D9"/>
    <w:rsid w:val="403D3399"/>
    <w:rsid w:val="404854BD"/>
    <w:rsid w:val="40493C80"/>
    <w:rsid w:val="40520D87"/>
    <w:rsid w:val="40550877"/>
    <w:rsid w:val="40556AC9"/>
    <w:rsid w:val="4056381D"/>
    <w:rsid w:val="40610FCA"/>
    <w:rsid w:val="4061165D"/>
    <w:rsid w:val="40694322"/>
    <w:rsid w:val="40723D23"/>
    <w:rsid w:val="40730CFD"/>
    <w:rsid w:val="4081166C"/>
    <w:rsid w:val="40833636"/>
    <w:rsid w:val="40860A30"/>
    <w:rsid w:val="408A49C4"/>
    <w:rsid w:val="4090365D"/>
    <w:rsid w:val="4093314D"/>
    <w:rsid w:val="409A44DC"/>
    <w:rsid w:val="409F1AF2"/>
    <w:rsid w:val="40A23390"/>
    <w:rsid w:val="40A27699"/>
    <w:rsid w:val="40AA0BC3"/>
    <w:rsid w:val="40B21825"/>
    <w:rsid w:val="40B25CC9"/>
    <w:rsid w:val="40B31D28"/>
    <w:rsid w:val="40B62A90"/>
    <w:rsid w:val="40B97058"/>
    <w:rsid w:val="40BA692C"/>
    <w:rsid w:val="40BC26A4"/>
    <w:rsid w:val="40BC6B48"/>
    <w:rsid w:val="40C652D1"/>
    <w:rsid w:val="40C83028"/>
    <w:rsid w:val="40C8614B"/>
    <w:rsid w:val="40C91210"/>
    <w:rsid w:val="40D43E92"/>
    <w:rsid w:val="40D54007"/>
    <w:rsid w:val="40DD358C"/>
    <w:rsid w:val="40E67721"/>
    <w:rsid w:val="40E82E91"/>
    <w:rsid w:val="40ED6D01"/>
    <w:rsid w:val="40F005A0"/>
    <w:rsid w:val="40FC0CF2"/>
    <w:rsid w:val="41004C87"/>
    <w:rsid w:val="410127AD"/>
    <w:rsid w:val="410D73A4"/>
    <w:rsid w:val="410E628D"/>
    <w:rsid w:val="411029F0"/>
    <w:rsid w:val="41147451"/>
    <w:rsid w:val="41195D48"/>
    <w:rsid w:val="411D2CB1"/>
    <w:rsid w:val="41285F8B"/>
    <w:rsid w:val="412B0EDF"/>
    <w:rsid w:val="412C5A7C"/>
    <w:rsid w:val="41320BB8"/>
    <w:rsid w:val="41366BDA"/>
    <w:rsid w:val="413B7A6D"/>
    <w:rsid w:val="413E57AF"/>
    <w:rsid w:val="41401527"/>
    <w:rsid w:val="414F176A"/>
    <w:rsid w:val="415769B0"/>
    <w:rsid w:val="41594397"/>
    <w:rsid w:val="415B3C6B"/>
    <w:rsid w:val="4162324B"/>
    <w:rsid w:val="41636FC4"/>
    <w:rsid w:val="416B795B"/>
    <w:rsid w:val="416C231C"/>
    <w:rsid w:val="417116E0"/>
    <w:rsid w:val="41766CF7"/>
    <w:rsid w:val="417E7959"/>
    <w:rsid w:val="4182744A"/>
    <w:rsid w:val="41894C7C"/>
    <w:rsid w:val="418F1B67"/>
    <w:rsid w:val="418F7DB9"/>
    <w:rsid w:val="41911D83"/>
    <w:rsid w:val="41962EF5"/>
    <w:rsid w:val="41984EBF"/>
    <w:rsid w:val="419868A7"/>
    <w:rsid w:val="41A27AEC"/>
    <w:rsid w:val="41B17D2F"/>
    <w:rsid w:val="41C061C4"/>
    <w:rsid w:val="41C23CEA"/>
    <w:rsid w:val="41C55774"/>
    <w:rsid w:val="41CC6917"/>
    <w:rsid w:val="41CE268F"/>
    <w:rsid w:val="41DD0B24"/>
    <w:rsid w:val="41E76960"/>
    <w:rsid w:val="41EA1493"/>
    <w:rsid w:val="420B38E3"/>
    <w:rsid w:val="42284163"/>
    <w:rsid w:val="423050F8"/>
    <w:rsid w:val="423B3A9C"/>
    <w:rsid w:val="423D5A66"/>
    <w:rsid w:val="423F533B"/>
    <w:rsid w:val="42491141"/>
    <w:rsid w:val="424B1F31"/>
    <w:rsid w:val="424E37D0"/>
    <w:rsid w:val="42512946"/>
    <w:rsid w:val="4253528A"/>
    <w:rsid w:val="42625422"/>
    <w:rsid w:val="42642FF3"/>
    <w:rsid w:val="42772D26"/>
    <w:rsid w:val="42813BA5"/>
    <w:rsid w:val="428C42F8"/>
    <w:rsid w:val="428C60A6"/>
    <w:rsid w:val="42A57127"/>
    <w:rsid w:val="42A65C95"/>
    <w:rsid w:val="42A94D50"/>
    <w:rsid w:val="42B51AA1"/>
    <w:rsid w:val="42B71375"/>
    <w:rsid w:val="42BA6F5D"/>
    <w:rsid w:val="42BC2E2F"/>
    <w:rsid w:val="42BE0955"/>
    <w:rsid w:val="42BF46CD"/>
    <w:rsid w:val="42BF647C"/>
    <w:rsid w:val="42C13FA2"/>
    <w:rsid w:val="42C35B8E"/>
    <w:rsid w:val="42C817D4"/>
    <w:rsid w:val="42D068DB"/>
    <w:rsid w:val="42D40179"/>
    <w:rsid w:val="42D5073B"/>
    <w:rsid w:val="42DE4B54"/>
    <w:rsid w:val="42E47D09"/>
    <w:rsid w:val="42F062E1"/>
    <w:rsid w:val="42FB6B14"/>
    <w:rsid w:val="42FD4085"/>
    <w:rsid w:val="42FF2D1C"/>
    <w:rsid w:val="43081BD1"/>
    <w:rsid w:val="430B7913"/>
    <w:rsid w:val="43170066"/>
    <w:rsid w:val="431E3928"/>
    <w:rsid w:val="43201866"/>
    <w:rsid w:val="433B01F8"/>
    <w:rsid w:val="433B1FA6"/>
    <w:rsid w:val="433B2AB7"/>
    <w:rsid w:val="433E1194"/>
    <w:rsid w:val="433E1A96"/>
    <w:rsid w:val="43456981"/>
    <w:rsid w:val="434809F9"/>
    <w:rsid w:val="434D1CD9"/>
    <w:rsid w:val="434D7F2B"/>
    <w:rsid w:val="435A7F52"/>
    <w:rsid w:val="435B2648"/>
    <w:rsid w:val="435C016E"/>
    <w:rsid w:val="43635F53"/>
    <w:rsid w:val="436C6603"/>
    <w:rsid w:val="4379487C"/>
    <w:rsid w:val="438576C5"/>
    <w:rsid w:val="438D657A"/>
    <w:rsid w:val="43911BC6"/>
    <w:rsid w:val="43A74D3A"/>
    <w:rsid w:val="43AD0D2E"/>
    <w:rsid w:val="43B12268"/>
    <w:rsid w:val="43CA157C"/>
    <w:rsid w:val="43CA50D8"/>
    <w:rsid w:val="43CC52F4"/>
    <w:rsid w:val="43CD43E0"/>
    <w:rsid w:val="43D30430"/>
    <w:rsid w:val="43D441A9"/>
    <w:rsid w:val="43DB5537"/>
    <w:rsid w:val="43DE0538"/>
    <w:rsid w:val="43DE2FB2"/>
    <w:rsid w:val="43E02B4D"/>
    <w:rsid w:val="43E934BD"/>
    <w:rsid w:val="43F616E6"/>
    <w:rsid w:val="43F63E47"/>
    <w:rsid w:val="43F66EF3"/>
    <w:rsid w:val="43FD54AD"/>
    <w:rsid w:val="43FD725B"/>
    <w:rsid w:val="44030CA3"/>
    <w:rsid w:val="440A05FC"/>
    <w:rsid w:val="440A7BCA"/>
    <w:rsid w:val="440B48F8"/>
    <w:rsid w:val="440F51E1"/>
    <w:rsid w:val="4416031D"/>
    <w:rsid w:val="441A47CF"/>
    <w:rsid w:val="442B201A"/>
    <w:rsid w:val="442E2120"/>
    <w:rsid w:val="442E366F"/>
    <w:rsid w:val="44330ECF"/>
    <w:rsid w:val="44354C47"/>
    <w:rsid w:val="44380293"/>
    <w:rsid w:val="443D1D4E"/>
    <w:rsid w:val="444C1F91"/>
    <w:rsid w:val="44507CD3"/>
    <w:rsid w:val="44511355"/>
    <w:rsid w:val="44526BE4"/>
    <w:rsid w:val="44562E10"/>
    <w:rsid w:val="445826E4"/>
    <w:rsid w:val="445D0D85"/>
    <w:rsid w:val="44627A6B"/>
    <w:rsid w:val="446948F1"/>
    <w:rsid w:val="44722837"/>
    <w:rsid w:val="44727C49"/>
    <w:rsid w:val="44753296"/>
    <w:rsid w:val="4476700E"/>
    <w:rsid w:val="447F4114"/>
    <w:rsid w:val="44886C30"/>
    <w:rsid w:val="4499132E"/>
    <w:rsid w:val="44AB6CB7"/>
    <w:rsid w:val="44AE0583"/>
    <w:rsid w:val="44B244EA"/>
    <w:rsid w:val="44C25E85"/>
    <w:rsid w:val="44D22496"/>
    <w:rsid w:val="44D53D34"/>
    <w:rsid w:val="44D77AAC"/>
    <w:rsid w:val="44E4666D"/>
    <w:rsid w:val="44E64193"/>
    <w:rsid w:val="44EB79FC"/>
    <w:rsid w:val="450A60D4"/>
    <w:rsid w:val="45124F88"/>
    <w:rsid w:val="4517259F"/>
    <w:rsid w:val="45252F0E"/>
    <w:rsid w:val="452776E5"/>
    <w:rsid w:val="4528655A"/>
    <w:rsid w:val="452B4C34"/>
    <w:rsid w:val="4541586E"/>
    <w:rsid w:val="4545710C"/>
    <w:rsid w:val="45486BFC"/>
    <w:rsid w:val="454B2248"/>
    <w:rsid w:val="454D7D6F"/>
    <w:rsid w:val="45521829"/>
    <w:rsid w:val="4553791E"/>
    <w:rsid w:val="45563F54"/>
    <w:rsid w:val="45564F33"/>
    <w:rsid w:val="45592BB7"/>
    <w:rsid w:val="455E1F7C"/>
    <w:rsid w:val="455E3D2A"/>
    <w:rsid w:val="45650B75"/>
    <w:rsid w:val="456F23DB"/>
    <w:rsid w:val="45732544"/>
    <w:rsid w:val="4574354D"/>
    <w:rsid w:val="4585575A"/>
    <w:rsid w:val="45863281"/>
    <w:rsid w:val="45886FF9"/>
    <w:rsid w:val="4597723C"/>
    <w:rsid w:val="45992FB4"/>
    <w:rsid w:val="459B6D2C"/>
    <w:rsid w:val="459E681C"/>
    <w:rsid w:val="45A33E32"/>
    <w:rsid w:val="45A35BE1"/>
    <w:rsid w:val="45A656D1"/>
    <w:rsid w:val="45B1654F"/>
    <w:rsid w:val="45B46040"/>
    <w:rsid w:val="45BB7BE1"/>
    <w:rsid w:val="45BD781E"/>
    <w:rsid w:val="45C02C36"/>
    <w:rsid w:val="45C2075D"/>
    <w:rsid w:val="45C51FFB"/>
    <w:rsid w:val="45D24718"/>
    <w:rsid w:val="45D73ADC"/>
    <w:rsid w:val="45E83F3B"/>
    <w:rsid w:val="45E87A97"/>
    <w:rsid w:val="45EC7588"/>
    <w:rsid w:val="45EE2BCC"/>
    <w:rsid w:val="45EF7D02"/>
    <w:rsid w:val="45F72580"/>
    <w:rsid w:val="45F96148"/>
    <w:rsid w:val="45F97EF6"/>
    <w:rsid w:val="45FB77CB"/>
    <w:rsid w:val="46081EE8"/>
    <w:rsid w:val="46115240"/>
    <w:rsid w:val="46130FB8"/>
    <w:rsid w:val="46160AA8"/>
    <w:rsid w:val="46184820"/>
    <w:rsid w:val="461D7E97"/>
    <w:rsid w:val="462431C5"/>
    <w:rsid w:val="46257639"/>
    <w:rsid w:val="46333408"/>
    <w:rsid w:val="465A5EC8"/>
    <w:rsid w:val="466943F9"/>
    <w:rsid w:val="467557CF"/>
    <w:rsid w:val="467B090B"/>
    <w:rsid w:val="467D28D5"/>
    <w:rsid w:val="468A074A"/>
    <w:rsid w:val="469A5235"/>
    <w:rsid w:val="46AB11F1"/>
    <w:rsid w:val="46B207D1"/>
    <w:rsid w:val="46B53E1D"/>
    <w:rsid w:val="46B856BC"/>
    <w:rsid w:val="46B96DF1"/>
    <w:rsid w:val="46C01222"/>
    <w:rsid w:val="46C557BD"/>
    <w:rsid w:val="46C93D6D"/>
    <w:rsid w:val="46D149CF"/>
    <w:rsid w:val="46D77C4C"/>
    <w:rsid w:val="46E12E64"/>
    <w:rsid w:val="46E464B1"/>
    <w:rsid w:val="46E8640E"/>
    <w:rsid w:val="46ED1809"/>
    <w:rsid w:val="46F16C02"/>
    <w:rsid w:val="46F26E20"/>
    <w:rsid w:val="46F30DEA"/>
    <w:rsid w:val="46F30DEC"/>
    <w:rsid w:val="46F801AE"/>
    <w:rsid w:val="46FA2178"/>
    <w:rsid w:val="46FF2A7C"/>
    <w:rsid w:val="4705265A"/>
    <w:rsid w:val="470703F1"/>
    <w:rsid w:val="47084895"/>
    <w:rsid w:val="47095F17"/>
    <w:rsid w:val="471041C7"/>
    <w:rsid w:val="47121270"/>
    <w:rsid w:val="47172742"/>
    <w:rsid w:val="471A2B65"/>
    <w:rsid w:val="471E7C15"/>
    <w:rsid w:val="471F1414"/>
    <w:rsid w:val="472114B3"/>
    <w:rsid w:val="47332F94"/>
    <w:rsid w:val="473A2575"/>
    <w:rsid w:val="473B1E9E"/>
    <w:rsid w:val="473C453F"/>
    <w:rsid w:val="47451645"/>
    <w:rsid w:val="474710AD"/>
    <w:rsid w:val="4755115C"/>
    <w:rsid w:val="4760647F"/>
    <w:rsid w:val="47653A95"/>
    <w:rsid w:val="47694C08"/>
    <w:rsid w:val="476D64A6"/>
    <w:rsid w:val="477737C9"/>
    <w:rsid w:val="4783216D"/>
    <w:rsid w:val="4792415F"/>
    <w:rsid w:val="47925F0D"/>
    <w:rsid w:val="47A45C40"/>
    <w:rsid w:val="47A95A3C"/>
    <w:rsid w:val="47B90762"/>
    <w:rsid w:val="47C00CCC"/>
    <w:rsid w:val="47D05559"/>
    <w:rsid w:val="47D74267"/>
    <w:rsid w:val="47DB53E3"/>
    <w:rsid w:val="47DF5E3C"/>
    <w:rsid w:val="47E0136E"/>
    <w:rsid w:val="47E32C0C"/>
    <w:rsid w:val="47E66258"/>
    <w:rsid w:val="47ED3A8B"/>
    <w:rsid w:val="47EF335F"/>
    <w:rsid w:val="47F22E4F"/>
    <w:rsid w:val="47FB1D04"/>
    <w:rsid w:val="47FE35A2"/>
    <w:rsid w:val="47FF3F1D"/>
    <w:rsid w:val="4800731A"/>
    <w:rsid w:val="48014FD4"/>
    <w:rsid w:val="48112569"/>
    <w:rsid w:val="481903DC"/>
    <w:rsid w:val="4827459C"/>
    <w:rsid w:val="482C274C"/>
    <w:rsid w:val="482D3E87"/>
    <w:rsid w:val="48313978"/>
    <w:rsid w:val="48376AB4"/>
    <w:rsid w:val="48384D06"/>
    <w:rsid w:val="483D40CA"/>
    <w:rsid w:val="483E6094"/>
    <w:rsid w:val="48435459"/>
    <w:rsid w:val="484F3DFE"/>
    <w:rsid w:val="485458B8"/>
    <w:rsid w:val="485A1120"/>
    <w:rsid w:val="48691363"/>
    <w:rsid w:val="48711FC6"/>
    <w:rsid w:val="4873333B"/>
    <w:rsid w:val="48847F4B"/>
    <w:rsid w:val="48874E3F"/>
    <w:rsid w:val="489363E0"/>
    <w:rsid w:val="48961A2D"/>
    <w:rsid w:val="48B1482F"/>
    <w:rsid w:val="48B14AB8"/>
    <w:rsid w:val="48C12F4D"/>
    <w:rsid w:val="48CE566A"/>
    <w:rsid w:val="48D32C81"/>
    <w:rsid w:val="48DD765B"/>
    <w:rsid w:val="48EA3B26"/>
    <w:rsid w:val="48ED6219"/>
    <w:rsid w:val="48F50E49"/>
    <w:rsid w:val="48FA1FBB"/>
    <w:rsid w:val="48FA7056"/>
    <w:rsid w:val="4904108C"/>
    <w:rsid w:val="49064E04"/>
    <w:rsid w:val="49107A23"/>
    <w:rsid w:val="49180694"/>
    <w:rsid w:val="491C0184"/>
    <w:rsid w:val="491C11D0"/>
    <w:rsid w:val="491F7C74"/>
    <w:rsid w:val="49276B29"/>
    <w:rsid w:val="49287F12"/>
    <w:rsid w:val="492E0BA6"/>
    <w:rsid w:val="49423962"/>
    <w:rsid w:val="49523BA5"/>
    <w:rsid w:val="4957740E"/>
    <w:rsid w:val="495A0CAC"/>
    <w:rsid w:val="495E69EE"/>
    <w:rsid w:val="49757894"/>
    <w:rsid w:val="49792435"/>
    <w:rsid w:val="49864D29"/>
    <w:rsid w:val="499917D4"/>
    <w:rsid w:val="499C7517"/>
    <w:rsid w:val="49A563CB"/>
    <w:rsid w:val="49A85EBB"/>
    <w:rsid w:val="49AE2DA6"/>
    <w:rsid w:val="49B02FC2"/>
    <w:rsid w:val="49BC1967"/>
    <w:rsid w:val="49BF4FB3"/>
    <w:rsid w:val="49C600F0"/>
    <w:rsid w:val="49D547D7"/>
    <w:rsid w:val="49D80C9F"/>
    <w:rsid w:val="49F228E1"/>
    <w:rsid w:val="49F24FE9"/>
    <w:rsid w:val="49F355B8"/>
    <w:rsid w:val="49FC4C91"/>
    <w:rsid w:val="4A0155CC"/>
    <w:rsid w:val="4A07325C"/>
    <w:rsid w:val="4A1452FF"/>
    <w:rsid w:val="4A1C7E3D"/>
    <w:rsid w:val="4A247AC5"/>
    <w:rsid w:val="4A2A68D0"/>
    <w:rsid w:val="4A2F038B"/>
    <w:rsid w:val="4A34774F"/>
    <w:rsid w:val="4A38127F"/>
    <w:rsid w:val="4A392FB7"/>
    <w:rsid w:val="4A396B13"/>
    <w:rsid w:val="4A3D2AA8"/>
    <w:rsid w:val="4A4A7727"/>
    <w:rsid w:val="4A4C6847"/>
    <w:rsid w:val="4A54394D"/>
    <w:rsid w:val="4A58196F"/>
    <w:rsid w:val="4A5B0308"/>
    <w:rsid w:val="4A5B2F2E"/>
    <w:rsid w:val="4A5D6CA6"/>
    <w:rsid w:val="4A686E5C"/>
    <w:rsid w:val="4A69389D"/>
    <w:rsid w:val="4A6C02A3"/>
    <w:rsid w:val="4A6F0787"/>
    <w:rsid w:val="4A7144FF"/>
    <w:rsid w:val="4A7F51DF"/>
    <w:rsid w:val="4A857FAB"/>
    <w:rsid w:val="4A954692"/>
    <w:rsid w:val="4A9D3546"/>
    <w:rsid w:val="4AA46683"/>
    <w:rsid w:val="4AA5064D"/>
    <w:rsid w:val="4AC00FE3"/>
    <w:rsid w:val="4AC07235"/>
    <w:rsid w:val="4AC90CFF"/>
    <w:rsid w:val="4AC960E9"/>
    <w:rsid w:val="4ACA07A0"/>
    <w:rsid w:val="4AD36F68"/>
    <w:rsid w:val="4AD625B4"/>
    <w:rsid w:val="4ADA0FDC"/>
    <w:rsid w:val="4ADF3B5F"/>
    <w:rsid w:val="4AE01685"/>
    <w:rsid w:val="4AE41175"/>
    <w:rsid w:val="4AE42F23"/>
    <w:rsid w:val="4AE84D33"/>
    <w:rsid w:val="4AEC1DD8"/>
    <w:rsid w:val="4AEE5B50"/>
    <w:rsid w:val="4AF313B8"/>
    <w:rsid w:val="4AF806BD"/>
    <w:rsid w:val="4AF866A5"/>
    <w:rsid w:val="4AFE062C"/>
    <w:rsid w:val="4B0215FB"/>
    <w:rsid w:val="4B0C247A"/>
    <w:rsid w:val="4B26353C"/>
    <w:rsid w:val="4B3317B5"/>
    <w:rsid w:val="4B3551B7"/>
    <w:rsid w:val="4B356FB7"/>
    <w:rsid w:val="4B410375"/>
    <w:rsid w:val="4B425E9C"/>
    <w:rsid w:val="4B46598C"/>
    <w:rsid w:val="4B62209A"/>
    <w:rsid w:val="4B6B0F4E"/>
    <w:rsid w:val="4B6B53F2"/>
    <w:rsid w:val="4B83273C"/>
    <w:rsid w:val="4B941ED0"/>
    <w:rsid w:val="4B975294"/>
    <w:rsid w:val="4B9761E7"/>
    <w:rsid w:val="4B983D0E"/>
    <w:rsid w:val="4B9A5CD8"/>
    <w:rsid w:val="4B9C37FE"/>
    <w:rsid w:val="4B9E7576"/>
    <w:rsid w:val="4BA6467C"/>
    <w:rsid w:val="4BAF1783"/>
    <w:rsid w:val="4BB8645E"/>
    <w:rsid w:val="4BBE030F"/>
    <w:rsid w:val="4BC114B6"/>
    <w:rsid w:val="4BC6087B"/>
    <w:rsid w:val="4BCD1C09"/>
    <w:rsid w:val="4BCE772F"/>
    <w:rsid w:val="4BD05255"/>
    <w:rsid w:val="4BD15B75"/>
    <w:rsid w:val="4BDA0368"/>
    <w:rsid w:val="4BDA60D4"/>
    <w:rsid w:val="4BE73B3C"/>
    <w:rsid w:val="4BF465E0"/>
    <w:rsid w:val="4BF51144"/>
    <w:rsid w:val="4BFA1F86"/>
    <w:rsid w:val="4BFC429C"/>
    <w:rsid w:val="4C0647B3"/>
    <w:rsid w:val="4C0673B0"/>
    <w:rsid w:val="4C0A0767"/>
    <w:rsid w:val="4C121D12"/>
    <w:rsid w:val="4C2537F3"/>
    <w:rsid w:val="4C2555A1"/>
    <w:rsid w:val="4C2B6930"/>
    <w:rsid w:val="4C2F41A4"/>
    <w:rsid w:val="4C2F744A"/>
    <w:rsid w:val="4C312198"/>
    <w:rsid w:val="4C325550"/>
    <w:rsid w:val="4C35155C"/>
    <w:rsid w:val="4C35478C"/>
    <w:rsid w:val="4C382EC4"/>
    <w:rsid w:val="4C3C0B3D"/>
    <w:rsid w:val="4C3E2B07"/>
    <w:rsid w:val="4C4243A5"/>
    <w:rsid w:val="4C481290"/>
    <w:rsid w:val="4C483795"/>
    <w:rsid w:val="4C4C5224"/>
    <w:rsid w:val="4C51283A"/>
    <w:rsid w:val="4C5440D8"/>
    <w:rsid w:val="4C545E87"/>
    <w:rsid w:val="4C577725"/>
    <w:rsid w:val="4C5C2F8D"/>
    <w:rsid w:val="4C63256E"/>
    <w:rsid w:val="4C6836E0"/>
    <w:rsid w:val="4C6A7458"/>
    <w:rsid w:val="4C7C718B"/>
    <w:rsid w:val="4C7C7F92"/>
    <w:rsid w:val="4C7D53DD"/>
    <w:rsid w:val="4C820C46"/>
    <w:rsid w:val="4C83712B"/>
    <w:rsid w:val="4C8449BE"/>
    <w:rsid w:val="4C87625C"/>
    <w:rsid w:val="4C8C73CE"/>
    <w:rsid w:val="4C8D3147"/>
    <w:rsid w:val="4C9444D5"/>
    <w:rsid w:val="4C9E7102"/>
    <w:rsid w:val="4CA7245A"/>
    <w:rsid w:val="4CAC181F"/>
    <w:rsid w:val="4CB86415"/>
    <w:rsid w:val="4CB86920"/>
    <w:rsid w:val="4CC748AA"/>
    <w:rsid w:val="4CCA7EF7"/>
    <w:rsid w:val="4CCE79E7"/>
    <w:rsid w:val="4CDB7644"/>
    <w:rsid w:val="4CE0596C"/>
    <w:rsid w:val="4CE27936"/>
    <w:rsid w:val="4CEE0089"/>
    <w:rsid w:val="4CEF5BAF"/>
    <w:rsid w:val="4CF907DC"/>
    <w:rsid w:val="4D0B0C3B"/>
    <w:rsid w:val="4D1178F0"/>
    <w:rsid w:val="4D153868"/>
    <w:rsid w:val="4D155616"/>
    <w:rsid w:val="4D16313C"/>
    <w:rsid w:val="4D1A0E7E"/>
    <w:rsid w:val="4D1D271C"/>
    <w:rsid w:val="4D21045F"/>
    <w:rsid w:val="4D233369"/>
    <w:rsid w:val="4D2B7FCD"/>
    <w:rsid w:val="4D2E492A"/>
    <w:rsid w:val="4D3D2DBF"/>
    <w:rsid w:val="4D4001B9"/>
    <w:rsid w:val="4D40640B"/>
    <w:rsid w:val="4D41311B"/>
    <w:rsid w:val="4D447CA9"/>
    <w:rsid w:val="4D450975"/>
    <w:rsid w:val="4D493511"/>
    <w:rsid w:val="4D4A2C9B"/>
    <w:rsid w:val="4D5819A6"/>
    <w:rsid w:val="4D587BF8"/>
    <w:rsid w:val="4D6363BA"/>
    <w:rsid w:val="4D665E71"/>
    <w:rsid w:val="4D677E3B"/>
    <w:rsid w:val="4D6E4D26"/>
    <w:rsid w:val="4D754306"/>
    <w:rsid w:val="4D7560B4"/>
    <w:rsid w:val="4D862070"/>
    <w:rsid w:val="4D9F3131"/>
    <w:rsid w:val="4DAC584E"/>
    <w:rsid w:val="4DAD3AA0"/>
    <w:rsid w:val="4DB27309"/>
    <w:rsid w:val="4DBC3CE3"/>
    <w:rsid w:val="4DC64B62"/>
    <w:rsid w:val="4DCA28A4"/>
    <w:rsid w:val="4DD52FF7"/>
    <w:rsid w:val="4DD700C3"/>
    <w:rsid w:val="4DD728CB"/>
    <w:rsid w:val="4DD76D6F"/>
    <w:rsid w:val="4DDC6134"/>
    <w:rsid w:val="4DE1199C"/>
    <w:rsid w:val="4DFA0CB0"/>
    <w:rsid w:val="4E01203E"/>
    <w:rsid w:val="4E143B1F"/>
    <w:rsid w:val="4E1D0AA4"/>
    <w:rsid w:val="4E1D2DDF"/>
    <w:rsid w:val="4E1F24C4"/>
    <w:rsid w:val="4E2875CB"/>
    <w:rsid w:val="4E2A3343"/>
    <w:rsid w:val="4E451F2B"/>
    <w:rsid w:val="4E4769A2"/>
    <w:rsid w:val="4E5B79A0"/>
    <w:rsid w:val="4E5C037C"/>
    <w:rsid w:val="4E5F0C98"/>
    <w:rsid w:val="4E600B13"/>
    <w:rsid w:val="4E630603"/>
    <w:rsid w:val="4E6525CD"/>
    <w:rsid w:val="4E6A5842"/>
    <w:rsid w:val="4E807407"/>
    <w:rsid w:val="4E8F31A6"/>
    <w:rsid w:val="4E946A0E"/>
    <w:rsid w:val="4E9B1B4B"/>
    <w:rsid w:val="4EA54AF9"/>
    <w:rsid w:val="4EA569DE"/>
    <w:rsid w:val="4EBE3A8B"/>
    <w:rsid w:val="4EC70B92"/>
    <w:rsid w:val="4ED82D9F"/>
    <w:rsid w:val="4ED908C5"/>
    <w:rsid w:val="4EDE412D"/>
    <w:rsid w:val="4EE45607"/>
    <w:rsid w:val="4EE84A34"/>
    <w:rsid w:val="4EEB03E5"/>
    <w:rsid w:val="4EEC684A"/>
    <w:rsid w:val="4EEE4370"/>
    <w:rsid w:val="4EF307B1"/>
    <w:rsid w:val="4EF61477"/>
    <w:rsid w:val="4F0C0C9A"/>
    <w:rsid w:val="4F101F4B"/>
    <w:rsid w:val="4F133DD7"/>
    <w:rsid w:val="4F231729"/>
    <w:rsid w:val="4F253B0A"/>
    <w:rsid w:val="4F276AF0"/>
    <w:rsid w:val="4F500C99"/>
    <w:rsid w:val="4F512B51"/>
    <w:rsid w:val="4F5506C1"/>
    <w:rsid w:val="4F561F16"/>
    <w:rsid w:val="4F672375"/>
    <w:rsid w:val="4F6A776F"/>
    <w:rsid w:val="4F711184"/>
    <w:rsid w:val="4F886774"/>
    <w:rsid w:val="4F8E7901"/>
    <w:rsid w:val="4F9111A0"/>
    <w:rsid w:val="4F950C90"/>
    <w:rsid w:val="4FA17635"/>
    <w:rsid w:val="4FAE3B00"/>
    <w:rsid w:val="4FB21842"/>
    <w:rsid w:val="4FB235F0"/>
    <w:rsid w:val="4FB50050"/>
    <w:rsid w:val="4FB629B4"/>
    <w:rsid w:val="4FB648FD"/>
    <w:rsid w:val="4FB91420"/>
    <w:rsid w:val="4FBD3D43"/>
    <w:rsid w:val="4FDA66A3"/>
    <w:rsid w:val="4FDC7F49"/>
    <w:rsid w:val="4FDD5DBB"/>
    <w:rsid w:val="4FDF015D"/>
    <w:rsid w:val="4FE92D8A"/>
    <w:rsid w:val="4FEB4D54"/>
    <w:rsid w:val="4FEC63D6"/>
    <w:rsid w:val="4FF04118"/>
    <w:rsid w:val="4FF260E2"/>
    <w:rsid w:val="4FF467CE"/>
    <w:rsid w:val="4FF549AC"/>
    <w:rsid w:val="50047BC4"/>
    <w:rsid w:val="500C26BE"/>
    <w:rsid w:val="500E050C"/>
    <w:rsid w:val="500F3219"/>
    <w:rsid w:val="5019541D"/>
    <w:rsid w:val="501C315F"/>
    <w:rsid w:val="502677CC"/>
    <w:rsid w:val="50355FCF"/>
    <w:rsid w:val="50461F8A"/>
    <w:rsid w:val="50465971"/>
    <w:rsid w:val="504A7CCC"/>
    <w:rsid w:val="50597F0F"/>
    <w:rsid w:val="505C355C"/>
    <w:rsid w:val="505E1082"/>
    <w:rsid w:val="50650DE3"/>
    <w:rsid w:val="506F3DB4"/>
    <w:rsid w:val="5080549C"/>
    <w:rsid w:val="508771FA"/>
    <w:rsid w:val="5099030C"/>
    <w:rsid w:val="50A53155"/>
    <w:rsid w:val="50AA42C7"/>
    <w:rsid w:val="50AB003F"/>
    <w:rsid w:val="50AF5D81"/>
    <w:rsid w:val="50B71807"/>
    <w:rsid w:val="50B77C63"/>
    <w:rsid w:val="50B82E88"/>
    <w:rsid w:val="50BB0282"/>
    <w:rsid w:val="50C25AB5"/>
    <w:rsid w:val="50C34857"/>
    <w:rsid w:val="50D15CF8"/>
    <w:rsid w:val="50D3473C"/>
    <w:rsid w:val="50D92DFE"/>
    <w:rsid w:val="50DB6B76"/>
    <w:rsid w:val="50DE21C3"/>
    <w:rsid w:val="50EE68AA"/>
    <w:rsid w:val="50F47C38"/>
    <w:rsid w:val="50F6575E"/>
    <w:rsid w:val="50F87728"/>
    <w:rsid w:val="510F77EF"/>
    <w:rsid w:val="51230102"/>
    <w:rsid w:val="513149E8"/>
    <w:rsid w:val="513D282F"/>
    <w:rsid w:val="51450494"/>
    <w:rsid w:val="515626A1"/>
    <w:rsid w:val="515D3A2F"/>
    <w:rsid w:val="515F1555"/>
    <w:rsid w:val="516052CE"/>
    <w:rsid w:val="51634668"/>
    <w:rsid w:val="51656440"/>
    <w:rsid w:val="516B478F"/>
    <w:rsid w:val="5176689F"/>
    <w:rsid w:val="51786173"/>
    <w:rsid w:val="51825244"/>
    <w:rsid w:val="51855CFC"/>
    <w:rsid w:val="51874608"/>
    <w:rsid w:val="519128A7"/>
    <w:rsid w:val="51965F94"/>
    <w:rsid w:val="51A21442"/>
    <w:rsid w:val="51A90A23"/>
    <w:rsid w:val="51AC22C1"/>
    <w:rsid w:val="51B17E6B"/>
    <w:rsid w:val="51B51175"/>
    <w:rsid w:val="51B66C9C"/>
    <w:rsid w:val="51B86EB8"/>
    <w:rsid w:val="51C13FBE"/>
    <w:rsid w:val="51C23892"/>
    <w:rsid w:val="51C4585C"/>
    <w:rsid w:val="51CD39F5"/>
    <w:rsid w:val="51DA5080"/>
    <w:rsid w:val="51DA6E2E"/>
    <w:rsid w:val="51E41A5B"/>
    <w:rsid w:val="51E657D3"/>
    <w:rsid w:val="51EB103B"/>
    <w:rsid w:val="51F31C9E"/>
    <w:rsid w:val="51FA127E"/>
    <w:rsid w:val="51FF6894"/>
    <w:rsid w:val="520420FD"/>
    <w:rsid w:val="52065E75"/>
    <w:rsid w:val="520B6FE7"/>
    <w:rsid w:val="52100AA2"/>
    <w:rsid w:val="521340EE"/>
    <w:rsid w:val="5217598C"/>
    <w:rsid w:val="52184D92"/>
    <w:rsid w:val="521F2A93"/>
    <w:rsid w:val="52271947"/>
    <w:rsid w:val="52350508"/>
    <w:rsid w:val="523522B6"/>
    <w:rsid w:val="52391DA6"/>
    <w:rsid w:val="523B00DB"/>
    <w:rsid w:val="52462715"/>
    <w:rsid w:val="524B1ADA"/>
    <w:rsid w:val="526112FD"/>
    <w:rsid w:val="52650DED"/>
    <w:rsid w:val="526A43C9"/>
    <w:rsid w:val="526A6404"/>
    <w:rsid w:val="526B3F2A"/>
    <w:rsid w:val="527032EE"/>
    <w:rsid w:val="52707792"/>
    <w:rsid w:val="527372E5"/>
    <w:rsid w:val="52750905"/>
    <w:rsid w:val="528943B0"/>
    <w:rsid w:val="529369ED"/>
    <w:rsid w:val="52AB2578"/>
    <w:rsid w:val="52AF4D01"/>
    <w:rsid w:val="52B7631F"/>
    <w:rsid w:val="52BC24BF"/>
    <w:rsid w:val="52DE64AA"/>
    <w:rsid w:val="52DF00CB"/>
    <w:rsid w:val="52E15F9A"/>
    <w:rsid w:val="52E31D12"/>
    <w:rsid w:val="52E635B0"/>
    <w:rsid w:val="52FB705C"/>
    <w:rsid w:val="53034162"/>
    <w:rsid w:val="53035F10"/>
    <w:rsid w:val="53065A01"/>
    <w:rsid w:val="53073C53"/>
    <w:rsid w:val="53095C1D"/>
    <w:rsid w:val="530C1269"/>
    <w:rsid w:val="5311062D"/>
    <w:rsid w:val="53163E96"/>
    <w:rsid w:val="53174FCC"/>
    <w:rsid w:val="53177C0E"/>
    <w:rsid w:val="531B5950"/>
    <w:rsid w:val="531E0F9C"/>
    <w:rsid w:val="53206AC2"/>
    <w:rsid w:val="532B759A"/>
    <w:rsid w:val="53316F22"/>
    <w:rsid w:val="533B1B4E"/>
    <w:rsid w:val="533E519B"/>
    <w:rsid w:val="53424C8B"/>
    <w:rsid w:val="53426A39"/>
    <w:rsid w:val="534326A2"/>
    <w:rsid w:val="534F55FA"/>
    <w:rsid w:val="53536E98"/>
    <w:rsid w:val="535449BE"/>
    <w:rsid w:val="53582700"/>
    <w:rsid w:val="535B5BC9"/>
    <w:rsid w:val="535B5D4C"/>
    <w:rsid w:val="53642E53"/>
    <w:rsid w:val="536746F1"/>
    <w:rsid w:val="536D0121"/>
    <w:rsid w:val="536F17F8"/>
    <w:rsid w:val="53794425"/>
    <w:rsid w:val="53852DC9"/>
    <w:rsid w:val="538E7ED0"/>
    <w:rsid w:val="53901E9A"/>
    <w:rsid w:val="53937294"/>
    <w:rsid w:val="53AC0356"/>
    <w:rsid w:val="53B429FD"/>
    <w:rsid w:val="53B65679"/>
    <w:rsid w:val="53B70462"/>
    <w:rsid w:val="53B95FB2"/>
    <w:rsid w:val="53BC2C8F"/>
    <w:rsid w:val="53BD2563"/>
    <w:rsid w:val="53BD570A"/>
    <w:rsid w:val="53BF452D"/>
    <w:rsid w:val="53C41B44"/>
    <w:rsid w:val="53C66AC7"/>
    <w:rsid w:val="53CC27A6"/>
    <w:rsid w:val="53CF5879"/>
    <w:rsid w:val="53D8739D"/>
    <w:rsid w:val="53E47AF0"/>
    <w:rsid w:val="53E55E8D"/>
    <w:rsid w:val="53E92CA0"/>
    <w:rsid w:val="53E94A32"/>
    <w:rsid w:val="53E969A8"/>
    <w:rsid w:val="53EC4BF7"/>
    <w:rsid w:val="53F65A75"/>
    <w:rsid w:val="54040753"/>
    <w:rsid w:val="54065CB8"/>
    <w:rsid w:val="54104D89"/>
    <w:rsid w:val="5411465D"/>
    <w:rsid w:val="54136627"/>
    <w:rsid w:val="54152739"/>
    <w:rsid w:val="54181A82"/>
    <w:rsid w:val="541D1254"/>
    <w:rsid w:val="541F1A10"/>
    <w:rsid w:val="542076D2"/>
    <w:rsid w:val="542425E2"/>
    <w:rsid w:val="542720D3"/>
    <w:rsid w:val="543071D9"/>
    <w:rsid w:val="54354E4F"/>
    <w:rsid w:val="5436608B"/>
    <w:rsid w:val="543D5452"/>
    <w:rsid w:val="54414F42"/>
    <w:rsid w:val="544947B1"/>
    <w:rsid w:val="544A0374"/>
    <w:rsid w:val="545033D7"/>
    <w:rsid w:val="545309D2"/>
    <w:rsid w:val="54560E95"/>
    <w:rsid w:val="545A29B2"/>
    <w:rsid w:val="54773820"/>
    <w:rsid w:val="54793139"/>
    <w:rsid w:val="547A66A6"/>
    <w:rsid w:val="547E7F44"/>
    <w:rsid w:val="547F5A6B"/>
    <w:rsid w:val="5486504B"/>
    <w:rsid w:val="54880DC3"/>
    <w:rsid w:val="549A4653"/>
    <w:rsid w:val="549C17BE"/>
    <w:rsid w:val="54A43723"/>
    <w:rsid w:val="54AC76BA"/>
    <w:rsid w:val="54B03E76"/>
    <w:rsid w:val="54B16D35"/>
    <w:rsid w:val="54BB2F47"/>
    <w:rsid w:val="54CB0CB0"/>
    <w:rsid w:val="54CC6443"/>
    <w:rsid w:val="54CD01F1"/>
    <w:rsid w:val="54D47B64"/>
    <w:rsid w:val="54D933CD"/>
    <w:rsid w:val="54EF2BF0"/>
    <w:rsid w:val="54F16968"/>
    <w:rsid w:val="54FB5435"/>
    <w:rsid w:val="550A17D8"/>
    <w:rsid w:val="55202DAA"/>
    <w:rsid w:val="552A59D6"/>
    <w:rsid w:val="552C5BF2"/>
    <w:rsid w:val="552F123F"/>
    <w:rsid w:val="552F3100"/>
    <w:rsid w:val="55344AA7"/>
    <w:rsid w:val="553722FE"/>
    <w:rsid w:val="553E5926"/>
    <w:rsid w:val="554051FA"/>
    <w:rsid w:val="55410AAD"/>
    <w:rsid w:val="5542018F"/>
    <w:rsid w:val="554279FC"/>
    <w:rsid w:val="5543118E"/>
    <w:rsid w:val="554A6079"/>
    <w:rsid w:val="554C0043"/>
    <w:rsid w:val="554C3B9F"/>
    <w:rsid w:val="55560EC1"/>
    <w:rsid w:val="555B0286"/>
    <w:rsid w:val="555B2034"/>
    <w:rsid w:val="555D2250"/>
    <w:rsid w:val="5564351B"/>
    <w:rsid w:val="556E7FB9"/>
    <w:rsid w:val="5587107B"/>
    <w:rsid w:val="558F1CDD"/>
    <w:rsid w:val="55A35D43"/>
    <w:rsid w:val="55A82D9F"/>
    <w:rsid w:val="55AB531B"/>
    <w:rsid w:val="55AE4859"/>
    <w:rsid w:val="55AF2380"/>
    <w:rsid w:val="55BA31FE"/>
    <w:rsid w:val="55C54EFD"/>
    <w:rsid w:val="55C71477"/>
    <w:rsid w:val="55C93441"/>
    <w:rsid w:val="55CA71B9"/>
    <w:rsid w:val="55CB1EE8"/>
    <w:rsid w:val="55CB7871"/>
    <w:rsid w:val="55CC666F"/>
    <w:rsid w:val="55D65B5E"/>
    <w:rsid w:val="55DA38A0"/>
    <w:rsid w:val="55DD6EED"/>
    <w:rsid w:val="55DF2C65"/>
    <w:rsid w:val="55DF4A13"/>
    <w:rsid w:val="55EB5A20"/>
    <w:rsid w:val="55EE10FA"/>
    <w:rsid w:val="55F304BE"/>
    <w:rsid w:val="55F33D67"/>
    <w:rsid w:val="56024A84"/>
    <w:rsid w:val="56024BA5"/>
    <w:rsid w:val="56064695"/>
    <w:rsid w:val="560A5808"/>
    <w:rsid w:val="561346BC"/>
    <w:rsid w:val="561623FF"/>
    <w:rsid w:val="561C5C67"/>
    <w:rsid w:val="561D553B"/>
    <w:rsid w:val="562468CA"/>
    <w:rsid w:val="562E14F6"/>
    <w:rsid w:val="563034C0"/>
    <w:rsid w:val="563F1955"/>
    <w:rsid w:val="563F3703"/>
    <w:rsid w:val="564B7E98"/>
    <w:rsid w:val="564C707D"/>
    <w:rsid w:val="56574EF1"/>
    <w:rsid w:val="56587384"/>
    <w:rsid w:val="565C42B5"/>
    <w:rsid w:val="565F3DA6"/>
    <w:rsid w:val="566413BC"/>
    <w:rsid w:val="56680EAC"/>
    <w:rsid w:val="56694C24"/>
    <w:rsid w:val="566B44F9"/>
    <w:rsid w:val="56701B0F"/>
    <w:rsid w:val="56717635"/>
    <w:rsid w:val="56725887"/>
    <w:rsid w:val="567C6706"/>
    <w:rsid w:val="567D2A14"/>
    <w:rsid w:val="56803504"/>
    <w:rsid w:val="56815ACA"/>
    <w:rsid w:val="56861332"/>
    <w:rsid w:val="568D26C1"/>
    <w:rsid w:val="569A28EC"/>
    <w:rsid w:val="569F23F4"/>
    <w:rsid w:val="56A812A9"/>
    <w:rsid w:val="56A8574D"/>
    <w:rsid w:val="56B37999"/>
    <w:rsid w:val="56B714EC"/>
    <w:rsid w:val="56C105BC"/>
    <w:rsid w:val="56C87B9D"/>
    <w:rsid w:val="56CE4A87"/>
    <w:rsid w:val="56D8293D"/>
    <w:rsid w:val="56E15063"/>
    <w:rsid w:val="56E16569"/>
    <w:rsid w:val="56E46059"/>
    <w:rsid w:val="56E61DD1"/>
    <w:rsid w:val="56ED13B1"/>
    <w:rsid w:val="56F24C1A"/>
    <w:rsid w:val="57016C0B"/>
    <w:rsid w:val="57032983"/>
    <w:rsid w:val="570B7A8A"/>
    <w:rsid w:val="570F1328"/>
    <w:rsid w:val="5714677F"/>
    <w:rsid w:val="571D6C09"/>
    <w:rsid w:val="572B1EDA"/>
    <w:rsid w:val="572B5BEB"/>
    <w:rsid w:val="572C012C"/>
    <w:rsid w:val="572D7A00"/>
    <w:rsid w:val="573174F0"/>
    <w:rsid w:val="573B211D"/>
    <w:rsid w:val="573C006A"/>
    <w:rsid w:val="573E7E5F"/>
    <w:rsid w:val="57407733"/>
    <w:rsid w:val="57482A8C"/>
    <w:rsid w:val="574B4890"/>
    <w:rsid w:val="574D3BFE"/>
    <w:rsid w:val="57572CCF"/>
    <w:rsid w:val="575F028A"/>
    <w:rsid w:val="576A47B0"/>
    <w:rsid w:val="576D24F2"/>
    <w:rsid w:val="57715FE1"/>
    <w:rsid w:val="57783371"/>
    <w:rsid w:val="577B4C0F"/>
    <w:rsid w:val="577E200A"/>
    <w:rsid w:val="578D049F"/>
    <w:rsid w:val="579429AE"/>
    <w:rsid w:val="57995095"/>
    <w:rsid w:val="579D2DD8"/>
    <w:rsid w:val="579D6934"/>
    <w:rsid w:val="57A71560"/>
    <w:rsid w:val="57AA72A2"/>
    <w:rsid w:val="57AB782F"/>
    <w:rsid w:val="57AF48B9"/>
    <w:rsid w:val="57B65C47"/>
    <w:rsid w:val="57B91294"/>
    <w:rsid w:val="57BD0D84"/>
    <w:rsid w:val="57C763A0"/>
    <w:rsid w:val="57C93BCD"/>
    <w:rsid w:val="57CA3932"/>
    <w:rsid w:val="57CF0E9E"/>
    <w:rsid w:val="57D122F5"/>
    <w:rsid w:val="57D4431F"/>
    <w:rsid w:val="57D8796C"/>
    <w:rsid w:val="57E02CC4"/>
    <w:rsid w:val="57EF4CB5"/>
    <w:rsid w:val="57F0636D"/>
    <w:rsid w:val="57F4051E"/>
    <w:rsid w:val="57F549C2"/>
    <w:rsid w:val="57F65472"/>
    <w:rsid w:val="57FE314A"/>
    <w:rsid w:val="57FF139C"/>
    <w:rsid w:val="5813309A"/>
    <w:rsid w:val="58346B6C"/>
    <w:rsid w:val="58535244"/>
    <w:rsid w:val="58580AAD"/>
    <w:rsid w:val="586456A3"/>
    <w:rsid w:val="58675193"/>
    <w:rsid w:val="58767185"/>
    <w:rsid w:val="587A0A23"/>
    <w:rsid w:val="587F072F"/>
    <w:rsid w:val="58877D67"/>
    <w:rsid w:val="58921208"/>
    <w:rsid w:val="58974CD2"/>
    <w:rsid w:val="589B5060"/>
    <w:rsid w:val="589C308F"/>
    <w:rsid w:val="58A6671D"/>
    <w:rsid w:val="58A837E2"/>
    <w:rsid w:val="58B939CC"/>
    <w:rsid w:val="58BC54DF"/>
    <w:rsid w:val="58BE1257"/>
    <w:rsid w:val="58C44394"/>
    <w:rsid w:val="58C76FEE"/>
    <w:rsid w:val="58C779E0"/>
    <w:rsid w:val="58C919AA"/>
    <w:rsid w:val="58CC05D0"/>
    <w:rsid w:val="58CE6FC1"/>
    <w:rsid w:val="58D26AB1"/>
    <w:rsid w:val="58D8399B"/>
    <w:rsid w:val="58DC7930"/>
    <w:rsid w:val="58DE0E74"/>
    <w:rsid w:val="58DE7204"/>
    <w:rsid w:val="58E81E30"/>
    <w:rsid w:val="58E95BA9"/>
    <w:rsid w:val="58F20F01"/>
    <w:rsid w:val="58F46A27"/>
    <w:rsid w:val="58FC6B2B"/>
    <w:rsid w:val="590D5D3B"/>
    <w:rsid w:val="59126EAD"/>
    <w:rsid w:val="59170968"/>
    <w:rsid w:val="591946E0"/>
    <w:rsid w:val="591C7D2C"/>
    <w:rsid w:val="592941F7"/>
    <w:rsid w:val="592E180D"/>
    <w:rsid w:val="593257A1"/>
    <w:rsid w:val="59352B9C"/>
    <w:rsid w:val="593C03CE"/>
    <w:rsid w:val="593E2D84"/>
    <w:rsid w:val="593F3A1A"/>
    <w:rsid w:val="5943175D"/>
    <w:rsid w:val="59457283"/>
    <w:rsid w:val="59486D73"/>
    <w:rsid w:val="594A7146"/>
    <w:rsid w:val="594D25DB"/>
    <w:rsid w:val="594F0101"/>
    <w:rsid w:val="595219A0"/>
    <w:rsid w:val="595351ED"/>
    <w:rsid w:val="59575208"/>
    <w:rsid w:val="59594ADC"/>
    <w:rsid w:val="595E20F3"/>
    <w:rsid w:val="596516D3"/>
    <w:rsid w:val="596671F9"/>
    <w:rsid w:val="596F60AE"/>
    <w:rsid w:val="59723DF0"/>
    <w:rsid w:val="597931D9"/>
    <w:rsid w:val="59934492"/>
    <w:rsid w:val="599B3347"/>
    <w:rsid w:val="59AA5338"/>
    <w:rsid w:val="59B83EF9"/>
    <w:rsid w:val="59BB7545"/>
    <w:rsid w:val="59BF4AEE"/>
    <w:rsid w:val="59C83A10"/>
    <w:rsid w:val="59CA3C2C"/>
    <w:rsid w:val="59CE54CA"/>
    <w:rsid w:val="59CF2FF0"/>
    <w:rsid w:val="59D6437F"/>
    <w:rsid w:val="59E30AA1"/>
    <w:rsid w:val="59E52814"/>
    <w:rsid w:val="59EA7E2A"/>
    <w:rsid w:val="59EF5441"/>
    <w:rsid w:val="59F20A8D"/>
    <w:rsid w:val="59FC1CAF"/>
    <w:rsid w:val="59FD190B"/>
    <w:rsid w:val="5A054C64"/>
    <w:rsid w:val="5A0802B0"/>
    <w:rsid w:val="5A0C7DA1"/>
    <w:rsid w:val="5A13112F"/>
    <w:rsid w:val="5A186745"/>
    <w:rsid w:val="5A236E98"/>
    <w:rsid w:val="5A2E5F69"/>
    <w:rsid w:val="5A4A2677"/>
    <w:rsid w:val="5A4E03B9"/>
    <w:rsid w:val="5A64198B"/>
    <w:rsid w:val="5A643739"/>
    <w:rsid w:val="5A67147B"/>
    <w:rsid w:val="5A6C083F"/>
    <w:rsid w:val="5A6E2809"/>
    <w:rsid w:val="5A6E45B7"/>
    <w:rsid w:val="5A730AC9"/>
    <w:rsid w:val="5A753B98"/>
    <w:rsid w:val="5A767910"/>
    <w:rsid w:val="5A7A2F5C"/>
    <w:rsid w:val="5A7D47FA"/>
    <w:rsid w:val="5A8262B5"/>
    <w:rsid w:val="5A830143"/>
    <w:rsid w:val="5A845B89"/>
    <w:rsid w:val="5A8B215E"/>
    <w:rsid w:val="5A8B6F17"/>
    <w:rsid w:val="5A93401E"/>
    <w:rsid w:val="5A9A53AC"/>
    <w:rsid w:val="5A9B74F7"/>
    <w:rsid w:val="5A9D4E9D"/>
    <w:rsid w:val="5AA24261"/>
    <w:rsid w:val="5AA91A93"/>
    <w:rsid w:val="5AAB75B9"/>
    <w:rsid w:val="5AB3625C"/>
    <w:rsid w:val="5AB75F5E"/>
    <w:rsid w:val="5AC10B8B"/>
    <w:rsid w:val="5AD20FEA"/>
    <w:rsid w:val="5AD7215D"/>
    <w:rsid w:val="5ADD173D"/>
    <w:rsid w:val="5ADD34EB"/>
    <w:rsid w:val="5AE20B01"/>
    <w:rsid w:val="5AE44879"/>
    <w:rsid w:val="5AEB185A"/>
    <w:rsid w:val="5AF423EC"/>
    <w:rsid w:val="5AF50835"/>
    <w:rsid w:val="5B0171D9"/>
    <w:rsid w:val="5B046CCA"/>
    <w:rsid w:val="5B070568"/>
    <w:rsid w:val="5B073454"/>
    <w:rsid w:val="5B0D5B7E"/>
    <w:rsid w:val="5B150ED7"/>
    <w:rsid w:val="5B180234"/>
    <w:rsid w:val="5B184523"/>
    <w:rsid w:val="5B1909C7"/>
    <w:rsid w:val="5B1A029B"/>
    <w:rsid w:val="5B1E11F1"/>
    <w:rsid w:val="5B212D92"/>
    <w:rsid w:val="5B24111A"/>
    <w:rsid w:val="5B242EC8"/>
    <w:rsid w:val="5B25193A"/>
    <w:rsid w:val="5B277277"/>
    <w:rsid w:val="5B307ABC"/>
    <w:rsid w:val="5B403595"/>
    <w:rsid w:val="5B523ED9"/>
    <w:rsid w:val="5B5437AD"/>
    <w:rsid w:val="5B5E63DA"/>
    <w:rsid w:val="5B6360E6"/>
    <w:rsid w:val="5B667984"/>
    <w:rsid w:val="5B773940"/>
    <w:rsid w:val="5B9067AF"/>
    <w:rsid w:val="5B914A01"/>
    <w:rsid w:val="5B995664"/>
    <w:rsid w:val="5B9B5880"/>
    <w:rsid w:val="5BA364E3"/>
    <w:rsid w:val="5BAD7361"/>
    <w:rsid w:val="5BB406F0"/>
    <w:rsid w:val="5BC00E43"/>
    <w:rsid w:val="5BC30933"/>
    <w:rsid w:val="5BC8419B"/>
    <w:rsid w:val="5BCA3A6F"/>
    <w:rsid w:val="5BD7618C"/>
    <w:rsid w:val="5BDB5C7C"/>
    <w:rsid w:val="5BDE576D"/>
    <w:rsid w:val="5BF1323D"/>
    <w:rsid w:val="5BF136F2"/>
    <w:rsid w:val="5BFE5E0F"/>
    <w:rsid w:val="5BFE7BBD"/>
    <w:rsid w:val="5C036F81"/>
    <w:rsid w:val="5C04180F"/>
    <w:rsid w:val="5C0F1DCA"/>
    <w:rsid w:val="5C1A0C5E"/>
    <w:rsid w:val="5C1B42CB"/>
    <w:rsid w:val="5C2615A9"/>
    <w:rsid w:val="5C320225"/>
    <w:rsid w:val="5C321615"/>
    <w:rsid w:val="5C337866"/>
    <w:rsid w:val="5C3727C0"/>
    <w:rsid w:val="5C3B671B"/>
    <w:rsid w:val="5C49708A"/>
    <w:rsid w:val="5C4C0928"/>
    <w:rsid w:val="5C4C32C4"/>
    <w:rsid w:val="5C58551F"/>
    <w:rsid w:val="5C5A1297"/>
    <w:rsid w:val="5C656F75"/>
    <w:rsid w:val="5C6739B4"/>
    <w:rsid w:val="5C6E51CE"/>
    <w:rsid w:val="5C701852"/>
    <w:rsid w:val="5C71038F"/>
    <w:rsid w:val="5C7560D1"/>
    <w:rsid w:val="5C79253A"/>
    <w:rsid w:val="5C8207EE"/>
    <w:rsid w:val="5C891B7C"/>
    <w:rsid w:val="5C8A46F6"/>
    <w:rsid w:val="5C8D3DD5"/>
    <w:rsid w:val="5C9C18B0"/>
    <w:rsid w:val="5CA3560F"/>
    <w:rsid w:val="5CB564CD"/>
    <w:rsid w:val="5CBD5382"/>
    <w:rsid w:val="5CDC23DB"/>
    <w:rsid w:val="5CE648D9"/>
    <w:rsid w:val="5CE67C21"/>
    <w:rsid w:val="5CE768A3"/>
    <w:rsid w:val="5CE84AF5"/>
    <w:rsid w:val="5CE943C9"/>
    <w:rsid w:val="5CF27722"/>
    <w:rsid w:val="5CF42DF5"/>
    <w:rsid w:val="5CFB713E"/>
    <w:rsid w:val="5D094A6B"/>
    <w:rsid w:val="5D137698"/>
    <w:rsid w:val="5D192F00"/>
    <w:rsid w:val="5D296EBB"/>
    <w:rsid w:val="5D2B6790"/>
    <w:rsid w:val="5D2E002E"/>
    <w:rsid w:val="5D2F5560"/>
    <w:rsid w:val="5D333896"/>
    <w:rsid w:val="5D334CFF"/>
    <w:rsid w:val="5D3A69D3"/>
    <w:rsid w:val="5D415FB3"/>
    <w:rsid w:val="5D46181B"/>
    <w:rsid w:val="5D4930BA"/>
    <w:rsid w:val="5D4B5084"/>
    <w:rsid w:val="5D4D6706"/>
    <w:rsid w:val="5D4F7C58"/>
    <w:rsid w:val="5D5757D7"/>
    <w:rsid w:val="5D580C4E"/>
    <w:rsid w:val="5D5C2DED"/>
    <w:rsid w:val="5D616655"/>
    <w:rsid w:val="5D700646"/>
    <w:rsid w:val="5D775B0E"/>
    <w:rsid w:val="5D79399F"/>
    <w:rsid w:val="5D79574D"/>
    <w:rsid w:val="5D7E2D63"/>
    <w:rsid w:val="5D812854"/>
    <w:rsid w:val="5D850596"/>
    <w:rsid w:val="5D861C18"/>
    <w:rsid w:val="5D8B5480"/>
    <w:rsid w:val="5D8D11F8"/>
    <w:rsid w:val="5D8D36EA"/>
    <w:rsid w:val="5D9C15FF"/>
    <w:rsid w:val="5DA56542"/>
    <w:rsid w:val="5DB856C9"/>
    <w:rsid w:val="5DB9023F"/>
    <w:rsid w:val="5DC42740"/>
    <w:rsid w:val="5DC664B8"/>
    <w:rsid w:val="5DC866D4"/>
    <w:rsid w:val="5DD75377"/>
    <w:rsid w:val="5DDC5CDC"/>
    <w:rsid w:val="5DE132F2"/>
    <w:rsid w:val="5DE335B9"/>
    <w:rsid w:val="5DE60909"/>
    <w:rsid w:val="5DE66B5A"/>
    <w:rsid w:val="5DE74DAC"/>
    <w:rsid w:val="5DE84681"/>
    <w:rsid w:val="5DF43025"/>
    <w:rsid w:val="5E043465"/>
    <w:rsid w:val="5E072522"/>
    <w:rsid w:val="5E08087F"/>
    <w:rsid w:val="5E090B7A"/>
    <w:rsid w:val="5E0A0A9B"/>
    <w:rsid w:val="5E111E29"/>
    <w:rsid w:val="5E115985"/>
    <w:rsid w:val="5E167440"/>
    <w:rsid w:val="5E174F66"/>
    <w:rsid w:val="5E1E4546"/>
    <w:rsid w:val="5E1E62F4"/>
    <w:rsid w:val="5E204496"/>
    <w:rsid w:val="5E2507EE"/>
    <w:rsid w:val="5E251431"/>
    <w:rsid w:val="5E2F0501"/>
    <w:rsid w:val="5E3C677A"/>
    <w:rsid w:val="5E40626B"/>
    <w:rsid w:val="5E5166CA"/>
    <w:rsid w:val="5E6C7060"/>
    <w:rsid w:val="5E7128C8"/>
    <w:rsid w:val="5E7B3747"/>
    <w:rsid w:val="5E873E9A"/>
    <w:rsid w:val="5E894718"/>
    <w:rsid w:val="5E9071F2"/>
    <w:rsid w:val="5EA204F5"/>
    <w:rsid w:val="5EA42C9D"/>
    <w:rsid w:val="5EA81B9B"/>
    <w:rsid w:val="5EB629D1"/>
    <w:rsid w:val="5EB9022B"/>
    <w:rsid w:val="5EBA3FCF"/>
    <w:rsid w:val="5EBF3633"/>
    <w:rsid w:val="5ECB022A"/>
    <w:rsid w:val="5ED03A93"/>
    <w:rsid w:val="5ED41A35"/>
    <w:rsid w:val="5EDD1D0C"/>
    <w:rsid w:val="5EE27322"/>
    <w:rsid w:val="5EE412EC"/>
    <w:rsid w:val="5EE4753E"/>
    <w:rsid w:val="5EE9219D"/>
    <w:rsid w:val="5EE96581"/>
    <w:rsid w:val="5EF332DD"/>
    <w:rsid w:val="5EFD5F0A"/>
    <w:rsid w:val="5F011BBE"/>
    <w:rsid w:val="5F042A70"/>
    <w:rsid w:val="5F04373C"/>
    <w:rsid w:val="5F0454EA"/>
    <w:rsid w:val="5F07066B"/>
    <w:rsid w:val="5F0A45B6"/>
    <w:rsid w:val="5F0F74DD"/>
    <w:rsid w:val="5F1C6CD8"/>
    <w:rsid w:val="5F225970"/>
    <w:rsid w:val="5F230066"/>
    <w:rsid w:val="5F2643A0"/>
    <w:rsid w:val="5F2D12DB"/>
    <w:rsid w:val="5F3131CD"/>
    <w:rsid w:val="5F3820BC"/>
    <w:rsid w:val="5F3833E6"/>
    <w:rsid w:val="5F511061"/>
    <w:rsid w:val="5F546472"/>
    <w:rsid w:val="5F5A6ED0"/>
    <w:rsid w:val="5F630513"/>
    <w:rsid w:val="5F6B6735"/>
    <w:rsid w:val="5F6B7317"/>
    <w:rsid w:val="5F6E0BB6"/>
    <w:rsid w:val="5F816B3B"/>
    <w:rsid w:val="5F941111"/>
    <w:rsid w:val="5F942D12"/>
    <w:rsid w:val="5FA6034F"/>
    <w:rsid w:val="5FA94790"/>
    <w:rsid w:val="5FB011CE"/>
    <w:rsid w:val="5FB962D5"/>
    <w:rsid w:val="5FC4192D"/>
    <w:rsid w:val="5FCB6008"/>
    <w:rsid w:val="5FD01870"/>
    <w:rsid w:val="5FD33846"/>
    <w:rsid w:val="5FD41360"/>
    <w:rsid w:val="5FD44EBD"/>
    <w:rsid w:val="5FD650D9"/>
    <w:rsid w:val="5FDC0DA5"/>
    <w:rsid w:val="5FE0557D"/>
    <w:rsid w:val="5FE86BBA"/>
    <w:rsid w:val="5FEA46E0"/>
    <w:rsid w:val="5FF05A6E"/>
    <w:rsid w:val="5FF22CD5"/>
    <w:rsid w:val="5FF76DFD"/>
    <w:rsid w:val="60031C46"/>
    <w:rsid w:val="6008100A"/>
    <w:rsid w:val="60082DB8"/>
    <w:rsid w:val="60196D73"/>
    <w:rsid w:val="60264FF8"/>
    <w:rsid w:val="602C4CF9"/>
    <w:rsid w:val="60343BAD"/>
    <w:rsid w:val="60433958"/>
    <w:rsid w:val="604858AA"/>
    <w:rsid w:val="604A517F"/>
    <w:rsid w:val="604E1113"/>
    <w:rsid w:val="604F6C39"/>
    <w:rsid w:val="605B55DE"/>
    <w:rsid w:val="605D1356"/>
    <w:rsid w:val="60600E46"/>
    <w:rsid w:val="60714E01"/>
    <w:rsid w:val="6076075B"/>
    <w:rsid w:val="607E12CC"/>
    <w:rsid w:val="608368E3"/>
    <w:rsid w:val="609A4358"/>
    <w:rsid w:val="60AC6547"/>
    <w:rsid w:val="60B13450"/>
    <w:rsid w:val="60B60A66"/>
    <w:rsid w:val="60B92304"/>
    <w:rsid w:val="60C90799"/>
    <w:rsid w:val="60CD1526"/>
    <w:rsid w:val="60CE4002"/>
    <w:rsid w:val="60CF036A"/>
    <w:rsid w:val="60DB671F"/>
    <w:rsid w:val="60E07891"/>
    <w:rsid w:val="60E11714"/>
    <w:rsid w:val="60E455D3"/>
    <w:rsid w:val="60E530F9"/>
    <w:rsid w:val="60F03F78"/>
    <w:rsid w:val="61001CE1"/>
    <w:rsid w:val="61021EFD"/>
    <w:rsid w:val="610712C2"/>
    <w:rsid w:val="6109503A"/>
    <w:rsid w:val="611008D8"/>
    <w:rsid w:val="61137C66"/>
    <w:rsid w:val="61151C31"/>
    <w:rsid w:val="612C6F7A"/>
    <w:rsid w:val="61330309"/>
    <w:rsid w:val="61377DF9"/>
    <w:rsid w:val="613D0F5D"/>
    <w:rsid w:val="613D1187"/>
    <w:rsid w:val="613F6CAD"/>
    <w:rsid w:val="61413887"/>
    <w:rsid w:val="614C5323"/>
    <w:rsid w:val="6151253D"/>
    <w:rsid w:val="6155027F"/>
    <w:rsid w:val="6156331E"/>
    <w:rsid w:val="615A7643"/>
    <w:rsid w:val="615B3B77"/>
    <w:rsid w:val="615C33BC"/>
    <w:rsid w:val="616D55C9"/>
    <w:rsid w:val="616E30EF"/>
    <w:rsid w:val="6171576E"/>
    <w:rsid w:val="61730795"/>
    <w:rsid w:val="61735843"/>
    <w:rsid w:val="61761FA3"/>
    <w:rsid w:val="61824FF8"/>
    <w:rsid w:val="618648DC"/>
    <w:rsid w:val="618943CD"/>
    <w:rsid w:val="618B5E05"/>
    <w:rsid w:val="618F19E3"/>
    <w:rsid w:val="619743F4"/>
    <w:rsid w:val="619C4100"/>
    <w:rsid w:val="61A11716"/>
    <w:rsid w:val="61A30FEA"/>
    <w:rsid w:val="61A36BF5"/>
    <w:rsid w:val="61A42FB4"/>
    <w:rsid w:val="61A46B11"/>
    <w:rsid w:val="61B431F8"/>
    <w:rsid w:val="61B72CE8"/>
    <w:rsid w:val="61B828FB"/>
    <w:rsid w:val="61C13B66"/>
    <w:rsid w:val="61C251E9"/>
    <w:rsid w:val="61C3168D"/>
    <w:rsid w:val="61C55405"/>
    <w:rsid w:val="61D415F5"/>
    <w:rsid w:val="61DA15F1"/>
    <w:rsid w:val="61E138C1"/>
    <w:rsid w:val="61E30F53"/>
    <w:rsid w:val="61EF2482"/>
    <w:rsid w:val="61F53810"/>
    <w:rsid w:val="61F77588"/>
    <w:rsid w:val="61FE0917"/>
    <w:rsid w:val="61FE26C5"/>
    <w:rsid w:val="62060032"/>
    <w:rsid w:val="62066DC0"/>
    <w:rsid w:val="62074A71"/>
    <w:rsid w:val="62092E18"/>
    <w:rsid w:val="620F042E"/>
    <w:rsid w:val="621023F8"/>
    <w:rsid w:val="62127A2F"/>
    <w:rsid w:val="62141EE8"/>
    <w:rsid w:val="62157A0E"/>
    <w:rsid w:val="62175534"/>
    <w:rsid w:val="621974FF"/>
    <w:rsid w:val="621A5025"/>
    <w:rsid w:val="621C2B4B"/>
    <w:rsid w:val="622163B3"/>
    <w:rsid w:val="62265778"/>
    <w:rsid w:val="6257798F"/>
    <w:rsid w:val="626562A0"/>
    <w:rsid w:val="626764BC"/>
    <w:rsid w:val="62724E61"/>
    <w:rsid w:val="627B1F67"/>
    <w:rsid w:val="627E55B4"/>
    <w:rsid w:val="62823BE4"/>
    <w:rsid w:val="62854B94"/>
    <w:rsid w:val="628C1A7E"/>
    <w:rsid w:val="62A74B0A"/>
    <w:rsid w:val="62AA588E"/>
    <w:rsid w:val="62AC3994"/>
    <w:rsid w:val="62B2525D"/>
    <w:rsid w:val="62BF00A6"/>
    <w:rsid w:val="62C31218"/>
    <w:rsid w:val="62C7476E"/>
    <w:rsid w:val="62CC631F"/>
    <w:rsid w:val="62D41677"/>
    <w:rsid w:val="62D43425"/>
    <w:rsid w:val="62D7433C"/>
    <w:rsid w:val="62D966D6"/>
    <w:rsid w:val="62D96C8E"/>
    <w:rsid w:val="62E03C85"/>
    <w:rsid w:val="62EC4C13"/>
    <w:rsid w:val="62EF025F"/>
    <w:rsid w:val="62FA7330"/>
    <w:rsid w:val="62FF4946"/>
    <w:rsid w:val="630755A9"/>
    <w:rsid w:val="630D3FEF"/>
    <w:rsid w:val="630E2DDB"/>
    <w:rsid w:val="63141A74"/>
    <w:rsid w:val="631877B6"/>
    <w:rsid w:val="632048BD"/>
    <w:rsid w:val="63251ED3"/>
    <w:rsid w:val="63312626"/>
    <w:rsid w:val="633D546F"/>
    <w:rsid w:val="6349268D"/>
    <w:rsid w:val="63493E13"/>
    <w:rsid w:val="63495BC1"/>
    <w:rsid w:val="634B4DD3"/>
    <w:rsid w:val="634C7460"/>
    <w:rsid w:val="634E4F86"/>
    <w:rsid w:val="635307EE"/>
    <w:rsid w:val="63554566"/>
    <w:rsid w:val="6356208C"/>
    <w:rsid w:val="635C3B47"/>
    <w:rsid w:val="636255DD"/>
    <w:rsid w:val="63626C83"/>
    <w:rsid w:val="636507F6"/>
    <w:rsid w:val="6365538D"/>
    <w:rsid w:val="636E73D6"/>
    <w:rsid w:val="637614AA"/>
    <w:rsid w:val="637D1D0F"/>
    <w:rsid w:val="63870498"/>
    <w:rsid w:val="638C5AAE"/>
    <w:rsid w:val="639E415F"/>
    <w:rsid w:val="63A252D2"/>
    <w:rsid w:val="63A4104A"/>
    <w:rsid w:val="63B35731"/>
    <w:rsid w:val="63B53257"/>
    <w:rsid w:val="63B82D47"/>
    <w:rsid w:val="63D231EE"/>
    <w:rsid w:val="63D6386E"/>
    <w:rsid w:val="63D95197"/>
    <w:rsid w:val="63EB4ECB"/>
    <w:rsid w:val="63EB6C79"/>
    <w:rsid w:val="63F05DFF"/>
    <w:rsid w:val="63FB433E"/>
    <w:rsid w:val="63FC0E86"/>
    <w:rsid w:val="6406472C"/>
    <w:rsid w:val="640D4E41"/>
    <w:rsid w:val="64137F7D"/>
    <w:rsid w:val="642301C1"/>
    <w:rsid w:val="64243F39"/>
    <w:rsid w:val="64264155"/>
    <w:rsid w:val="642F4DB7"/>
    <w:rsid w:val="64322AF9"/>
    <w:rsid w:val="64340620"/>
    <w:rsid w:val="64491CD0"/>
    <w:rsid w:val="64711BB5"/>
    <w:rsid w:val="6477675E"/>
    <w:rsid w:val="647A2F1A"/>
    <w:rsid w:val="647C5B23"/>
    <w:rsid w:val="647E4E3D"/>
    <w:rsid w:val="648F5856"/>
    <w:rsid w:val="64962152"/>
    <w:rsid w:val="64994927"/>
    <w:rsid w:val="64A70DF2"/>
    <w:rsid w:val="64AD2180"/>
    <w:rsid w:val="64AF5EF8"/>
    <w:rsid w:val="64B4350F"/>
    <w:rsid w:val="64BD5EB2"/>
    <w:rsid w:val="64C00105"/>
    <w:rsid w:val="64C179D9"/>
    <w:rsid w:val="64C23E7D"/>
    <w:rsid w:val="64C333A9"/>
    <w:rsid w:val="64C37BF6"/>
    <w:rsid w:val="64C57C2E"/>
    <w:rsid w:val="64C64FF0"/>
    <w:rsid w:val="64C80D68"/>
    <w:rsid w:val="64D21BE7"/>
    <w:rsid w:val="64DE058B"/>
    <w:rsid w:val="64DE67DD"/>
    <w:rsid w:val="64DF4A2F"/>
    <w:rsid w:val="64E04304"/>
    <w:rsid w:val="64E2007C"/>
    <w:rsid w:val="64E35BA2"/>
    <w:rsid w:val="64E77440"/>
    <w:rsid w:val="64EE4C72"/>
    <w:rsid w:val="64F46001"/>
    <w:rsid w:val="64FE29DC"/>
    <w:rsid w:val="65051FBC"/>
    <w:rsid w:val="650A312E"/>
    <w:rsid w:val="650C50F9"/>
    <w:rsid w:val="65102E3B"/>
    <w:rsid w:val="65181CEF"/>
    <w:rsid w:val="651A4EDD"/>
    <w:rsid w:val="65293EFC"/>
    <w:rsid w:val="652D59E4"/>
    <w:rsid w:val="65302A1D"/>
    <w:rsid w:val="65324762"/>
    <w:rsid w:val="653572E3"/>
    <w:rsid w:val="653E102A"/>
    <w:rsid w:val="654900FB"/>
    <w:rsid w:val="65501489"/>
    <w:rsid w:val="655F16CC"/>
    <w:rsid w:val="656071F2"/>
    <w:rsid w:val="65625B9F"/>
    <w:rsid w:val="65652A5B"/>
    <w:rsid w:val="65674A25"/>
    <w:rsid w:val="656942F9"/>
    <w:rsid w:val="656C4713"/>
    <w:rsid w:val="65711400"/>
    <w:rsid w:val="65843FDC"/>
    <w:rsid w:val="659B022A"/>
    <w:rsid w:val="659C46CE"/>
    <w:rsid w:val="659F41BF"/>
    <w:rsid w:val="65A25A5D"/>
    <w:rsid w:val="65C854C3"/>
    <w:rsid w:val="65C94D98"/>
    <w:rsid w:val="65CF27D8"/>
    <w:rsid w:val="65D50ABD"/>
    <w:rsid w:val="65D678C8"/>
    <w:rsid w:val="65D976D1"/>
    <w:rsid w:val="65E01A30"/>
    <w:rsid w:val="65E16585"/>
    <w:rsid w:val="65EB7404"/>
    <w:rsid w:val="65EC0A86"/>
    <w:rsid w:val="65F04A1A"/>
    <w:rsid w:val="65F067C8"/>
    <w:rsid w:val="65F20792"/>
    <w:rsid w:val="65F22540"/>
    <w:rsid w:val="65F32C3F"/>
    <w:rsid w:val="65FA31A3"/>
    <w:rsid w:val="65FD21BF"/>
    <w:rsid w:val="66071ACA"/>
    <w:rsid w:val="66091638"/>
    <w:rsid w:val="660E4EA0"/>
    <w:rsid w:val="66106E6A"/>
    <w:rsid w:val="661204ED"/>
    <w:rsid w:val="661209C2"/>
    <w:rsid w:val="66124991"/>
    <w:rsid w:val="661E50E3"/>
    <w:rsid w:val="661F33AD"/>
    <w:rsid w:val="66216982"/>
    <w:rsid w:val="6626043C"/>
    <w:rsid w:val="66285F62"/>
    <w:rsid w:val="662B5A52"/>
    <w:rsid w:val="66391F1D"/>
    <w:rsid w:val="663C7C5F"/>
    <w:rsid w:val="66410DD2"/>
    <w:rsid w:val="6646288C"/>
    <w:rsid w:val="664663E8"/>
    <w:rsid w:val="6653631D"/>
    <w:rsid w:val="6659436D"/>
    <w:rsid w:val="66613222"/>
    <w:rsid w:val="66650F64"/>
    <w:rsid w:val="66652D12"/>
    <w:rsid w:val="66712BBB"/>
    <w:rsid w:val="667D1A80"/>
    <w:rsid w:val="66833198"/>
    <w:rsid w:val="668B029F"/>
    <w:rsid w:val="6692787F"/>
    <w:rsid w:val="66952ECC"/>
    <w:rsid w:val="669A4AAF"/>
    <w:rsid w:val="669B6734"/>
    <w:rsid w:val="669E4476"/>
    <w:rsid w:val="66A355E9"/>
    <w:rsid w:val="66AA28E8"/>
    <w:rsid w:val="66AD46B9"/>
    <w:rsid w:val="66BA2932"/>
    <w:rsid w:val="66BE0674"/>
    <w:rsid w:val="66BE68C6"/>
    <w:rsid w:val="66C0619B"/>
    <w:rsid w:val="66CA526B"/>
    <w:rsid w:val="66CF4DC4"/>
    <w:rsid w:val="66DB4D83"/>
    <w:rsid w:val="66E3632D"/>
    <w:rsid w:val="66E53E53"/>
    <w:rsid w:val="66E856F1"/>
    <w:rsid w:val="66EF082E"/>
    <w:rsid w:val="66F9345B"/>
    <w:rsid w:val="670D6F06"/>
    <w:rsid w:val="67112E9A"/>
    <w:rsid w:val="671309C0"/>
    <w:rsid w:val="67206CC6"/>
    <w:rsid w:val="67236729"/>
    <w:rsid w:val="672D1356"/>
    <w:rsid w:val="672E75A8"/>
    <w:rsid w:val="6731269C"/>
    <w:rsid w:val="673B3A73"/>
    <w:rsid w:val="673E5F7C"/>
    <w:rsid w:val="67430B7A"/>
    <w:rsid w:val="674B49AB"/>
    <w:rsid w:val="675608AD"/>
    <w:rsid w:val="675A65EF"/>
    <w:rsid w:val="675E59B4"/>
    <w:rsid w:val="676236F6"/>
    <w:rsid w:val="676672B0"/>
    <w:rsid w:val="67674908"/>
    <w:rsid w:val="676905E0"/>
    <w:rsid w:val="676E209B"/>
    <w:rsid w:val="6773719D"/>
    <w:rsid w:val="67742476"/>
    <w:rsid w:val="6777710B"/>
    <w:rsid w:val="67790995"/>
    <w:rsid w:val="67915D89"/>
    <w:rsid w:val="67973093"/>
    <w:rsid w:val="679A2E90"/>
    <w:rsid w:val="679B09B6"/>
    <w:rsid w:val="679D64DC"/>
    <w:rsid w:val="679F04A6"/>
    <w:rsid w:val="67A05FCC"/>
    <w:rsid w:val="67B0620F"/>
    <w:rsid w:val="67D16185"/>
    <w:rsid w:val="67D31EFE"/>
    <w:rsid w:val="67DD2D7C"/>
    <w:rsid w:val="67E20393"/>
    <w:rsid w:val="67E61C31"/>
    <w:rsid w:val="67E67E83"/>
    <w:rsid w:val="67F105D6"/>
    <w:rsid w:val="67FA392E"/>
    <w:rsid w:val="67FF2CF3"/>
    <w:rsid w:val="67FF35A1"/>
    <w:rsid w:val="68024591"/>
    <w:rsid w:val="680D3662"/>
    <w:rsid w:val="68102C8F"/>
    <w:rsid w:val="68120C78"/>
    <w:rsid w:val="681231FF"/>
    <w:rsid w:val="6817003C"/>
    <w:rsid w:val="68182006"/>
    <w:rsid w:val="681C1AF7"/>
    <w:rsid w:val="681F3395"/>
    <w:rsid w:val="68275C75"/>
    <w:rsid w:val="682B1E84"/>
    <w:rsid w:val="682D3D04"/>
    <w:rsid w:val="683F0A86"/>
    <w:rsid w:val="6841155D"/>
    <w:rsid w:val="68424A89"/>
    <w:rsid w:val="684352D5"/>
    <w:rsid w:val="684D7F02"/>
    <w:rsid w:val="684F3C7A"/>
    <w:rsid w:val="68556DB7"/>
    <w:rsid w:val="68582403"/>
    <w:rsid w:val="6864524C"/>
    <w:rsid w:val="68662D72"/>
    <w:rsid w:val="686D2D36"/>
    <w:rsid w:val="68722F6D"/>
    <w:rsid w:val="687339B2"/>
    <w:rsid w:val="687B6875"/>
    <w:rsid w:val="6885769C"/>
    <w:rsid w:val="688E03E0"/>
    <w:rsid w:val="688F164C"/>
    <w:rsid w:val="68921DB9"/>
    <w:rsid w:val="68A31D65"/>
    <w:rsid w:val="68B63CF9"/>
    <w:rsid w:val="68B65AA7"/>
    <w:rsid w:val="68B7181F"/>
    <w:rsid w:val="68BA4E6C"/>
    <w:rsid w:val="68C46A67"/>
    <w:rsid w:val="68C77CB4"/>
    <w:rsid w:val="68CF4DBB"/>
    <w:rsid w:val="68D75A1D"/>
    <w:rsid w:val="68D777CC"/>
    <w:rsid w:val="68E32614"/>
    <w:rsid w:val="68E72104"/>
    <w:rsid w:val="68F24605"/>
    <w:rsid w:val="68F465CF"/>
    <w:rsid w:val="68F91E38"/>
    <w:rsid w:val="6903064C"/>
    <w:rsid w:val="69034A64"/>
    <w:rsid w:val="690D143F"/>
    <w:rsid w:val="692549DB"/>
    <w:rsid w:val="692C3FBB"/>
    <w:rsid w:val="692D388F"/>
    <w:rsid w:val="69390486"/>
    <w:rsid w:val="6942558D"/>
    <w:rsid w:val="69472BA3"/>
    <w:rsid w:val="69482477"/>
    <w:rsid w:val="694944C9"/>
    <w:rsid w:val="694B09ED"/>
    <w:rsid w:val="69562DE6"/>
    <w:rsid w:val="69594684"/>
    <w:rsid w:val="69666C6D"/>
    <w:rsid w:val="697B0A9F"/>
    <w:rsid w:val="697E6706"/>
    <w:rsid w:val="69847953"/>
    <w:rsid w:val="69967687"/>
    <w:rsid w:val="699E02E9"/>
    <w:rsid w:val="699F1009"/>
    <w:rsid w:val="69A43B52"/>
    <w:rsid w:val="69B63885"/>
    <w:rsid w:val="69B95123"/>
    <w:rsid w:val="69D02B99"/>
    <w:rsid w:val="69D17500"/>
    <w:rsid w:val="69DB32EB"/>
    <w:rsid w:val="69DC2A3E"/>
    <w:rsid w:val="69E46644"/>
    <w:rsid w:val="69E71C90"/>
    <w:rsid w:val="69E77EE2"/>
    <w:rsid w:val="69EC374B"/>
    <w:rsid w:val="69F12B0F"/>
    <w:rsid w:val="69F36887"/>
    <w:rsid w:val="69F62BDD"/>
    <w:rsid w:val="69FF347E"/>
    <w:rsid w:val="6A06480C"/>
    <w:rsid w:val="6A0960AB"/>
    <w:rsid w:val="6A0C7948"/>
    <w:rsid w:val="6A107439"/>
    <w:rsid w:val="6A1862EE"/>
    <w:rsid w:val="6A1A2066"/>
    <w:rsid w:val="6A1C5DDE"/>
    <w:rsid w:val="6A205BD3"/>
    <w:rsid w:val="6A222CC8"/>
    <w:rsid w:val="6A251E05"/>
    <w:rsid w:val="6A2603DE"/>
    <w:rsid w:val="6A274783"/>
    <w:rsid w:val="6A2920EC"/>
    <w:rsid w:val="6A3D70B5"/>
    <w:rsid w:val="6A3F726A"/>
    <w:rsid w:val="6A4B0471"/>
    <w:rsid w:val="6A4D41E9"/>
    <w:rsid w:val="6A537326"/>
    <w:rsid w:val="6A562C86"/>
    <w:rsid w:val="6A5D1F52"/>
    <w:rsid w:val="6A5D2224"/>
    <w:rsid w:val="6A5F216E"/>
    <w:rsid w:val="6A5F3F1C"/>
    <w:rsid w:val="6A656349"/>
    <w:rsid w:val="6A6652AB"/>
    <w:rsid w:val="6A68106C"/>
    <w:rsid w:val="6A6908F7"/>
    <w:rsid w:val="6A6E4160"/>
    <w:rsid w:val="6A721EA2"/>
    <w:rsid w:val="6A8219B9"/>
    <w:rsid w:val="6A843983"/>
    <w:rsid w:val="6A8614A9"/>
    <w:rsid w:val="6A885221"/>
    <w:rsid w:val="6A9516EC"/>
    <w:rsid w:val="6A9811DC"/>
    <w:rsid w:val="6A9C6F1F"/>
    <w:rsid w:val="6AA21CE2"/>
    <w:rsid w:val="6AA34C19"/>
    <w:rsid w:val="6AA47B81"/>
    <w:rsid w:val="6ABC136F"/>
    <w:rsid w:val="6AC12D5D"/>
    <w:rsid w:val="6AC93F55"/>
    <w:rsid w:val="6ACD0E86"/>
    <w:rsid w:val="6AD42215"/>
    <w:rsid w:val="6ADF0BB9"/>
    <w:rsid w:val="6AE67C43"/>
    <w:rsid w:val="6AEB7D40"/>
    <w:rsid w:val="6AED777A"/>
    <w:rsid w:val="6AEF34F2"/>
    <w:rsid w:val="6AF705F9"/>
    <w:rsid w:val="6AFF300A"/>
    <w:rsid w:val="6B0845B4"/>
    <w:rsid w:val="6B0B7C00"/>
    <w:rsid w:val="6B1838EB"/>
    <w:rsid w:val="6B2313EE"/>
    <w:rsid w:val="6B2D5DC9"/>
    <w:rsid w:val="6B321631"/>
    <w:rsid w:val="6B3B6738"/>
    <w:rsid w:val="6B4355EC"/>
    <w:rsid w:val="6B43739A"/>
    <w:rsid w:val="6B4450F3"/>
    <w:rsid w:val="6B476E8A"/>
    <w:rsid w:val="6B480E55"/>
    <w:rsid w:val="6B4849B1"/>
    <w:rsid w:val="6B544BE8"/>
    <w:rsid w:val="6B712159"/>
    <w:rsid w:val="6B713F07"/>
    <w:rsid w:val="6B78643D"/>
    <w:rsid w:val="6B786A34"/>
    <w:rsid w:val="6B7D28AC"/>
    <w:rsid w:val="6B8960A3"/>
    <w:rsid w:val="6B8C2AEF"/>
    <w:rsid w:val="6B8F25DF"/>
    <w:rsid w:val="6B8F438D"/>
    <w:rsid w:val="6B96461B"/>
    <w:rsid w:val="6B9B0F84"/>
    <w:rsid w:val="6B9D4A45"/>
    <w:rsid w:val="6B9D4CFC"/>
    <w:rsid w:val="6BA3608B"/>
    <w:rsid w:val="6BAF4A30"/>
    <w:rsid w:val="6BBB2C58"/>
    <w:rsid w:val="6BC26511"/>
    <w:rsid w:val="6BC95AF1"/>
    <w:rsid w:val="6BDA5F51"/>
    <w:rsid w:val="6BDD159D"/>
    <w:rsid w:val="6BDD334B"/>
    <w:rsid w:val="6BF84629"/>
    <w:rsid w:val="6C0457E5"/>
    <w:rsid w:val="6C0E1756"/>
    <w:rsid w:val="6C0F54CE"/>
    <w:rsid w:val="6C172D01"/>
    <w:rsid w:val="6C2471CC"/>
    <w:rsid w:val="6C256AA0"/>
    <w:rsid w:val="6C272818"/>
    <w:rsid w:val="6C335661"/>
    <w:rsid w:val="6C3F4006"/>
    <w:rsid w:val="6C4258A4"/>
    <w:rsid w:val="6C4663A0"/>
    <w:rsid w:val="6C467142"/>
    <w:rsid w:val="6C5C05C5"/>
    <w:rsid w:val="6C6357DD"/>
    <w:rsid w:val="6C64581A"/>
    <w:rsid w:val="6C6513C3"/>
    <w:rsid w:val="6C767A02"/>
    <w:rsid w:val="6C7A503E"/>
    <w:rsid w:val="6C8004BB"/>
    <w:rsid w:val="6C845EBC"/>
    <w:rsid w:val="6C8B4AD3"/>
    <w:rsid w:val="6C9003BD"/>
    <w:rsid w:val="6C960047"/>
    <w:rsid w:val="6CA16A6E"/>
    <w:rsid w:val="6CA36342"/>
    <w:rsid w:val="6CA95923"/>
    <w:rsid w:val="6CAD5413"/>
    <w:rsid w:val="6CB06CB1"/>
    <w:rsid w:val="6CB97314"/>
    <w:rsid w:val="6CBE6221"/>
    <w:rsid w:val="6CC45353"/>
    <w:rsid w:val="6CC83FFB"/>
    <w:rsid w:val="6CCD1611"/>
    <w:rsid w:val="6CCD33BF"/>
    <w:rsid w:val="6CD429A0"/>
    <w:rsid w:val="6CD52274"/>
    <w:rsid w:val="6CD97FB6"/>
    <w:rsid w:val="6CDE737B"/>
    <w:rsid w:val="6CE07597"/>
    <w:rsid w:val="6CEC129F"/>
    <w:rsid w:val="6CED2F08"/>
    <w:rsid w:val="6CF07E59"/>
    <w:rsid w:val="6D1014FE"/>
    <w:rsid w:val="6D102B09"/>
    <w:rsid w:val="6D170ADE"/>
    <w:rsid w:val="6D1B6BD4"/>
    <w:rsid w:val="6D2F5E28"/>
    <w:rsid w:val="6D2F7BD6"/>
    <w:rsid w:val="6D372F2F"/>
    <w:rsid w:val="6D3B2A1F"/>
    <w:rsid w:val="6D3C22F3"/>
    <w:rsid w:val="6D3E42BD"/>
    <w:rsid w:val="6D513FF0"/>
    <w:rsid w:val="6D530376"/>
    <w:rsid w:val="6D57537F"/>
    <w:rsid w:val="6D602485"/>
    <w:rsid w:val="6D605FE2"/>
    <w:rsid w:val="6D65184A"/>
    <w:rsid w:val="6D6535F8"/>
    <w:rsid w:val="6D673814"/>
    <w:rsid w:val="6D6A3304"/>
    <w:rsid w:val="6D6F26C8"/>
    <w:rsid w:val="6D7221B9"/>
    <w:rsid w:val="6D761CA9"/>
    <w:rsid w:val="6D8B6DD7"/>
    <w:rsid w:val="6D965EA7"/>
    <w:rsid w:val="6D967C55"/>
    <w:rsid w:val="6D997745"/>
    <w:rsid w:val="6D9E2FAE"/>
    <w:rsid w:val="6DAA3701"/>
    <w:rsid w:val="6DAE1443"/>
    <w:rsid w:val="6DB4632D"/>
    <w:rsid w:val="6DBC5F7C"/>
    <w:rsid w:val="6DBE0F5A"/>
    <w:rsid w:val="6DC24EEE"/>
    <w:rsid w:val="6DC522E8"/>
    <w:rsid w:val="6DC742B3"/>
    <w:rsid w:val="6DCA2192"/>
    <w:rsid w:val="6DCA3DA3"/>
    <w:rsid w:val="6DCC3677"/>
    <w:rsid w:val="6DCF4F15"/>
    <w:rsid w:val="6DD32C57"/>
    <w:rsid w:val="6DD4077E"/>
    <w:rsid w:val="6DD864C0"/>
    <w:rsid w:val="6DDA3899"/>
    <w:rsid w:val="6DE309C1"/>
    <w:rsid w:val="6DE722FE"/>
    <w:rsid w:val="6DF777CB"/>
    <w:rsid w:val="6DFA6436"/>
    <w:rsid w:val="6E065FE9"/>
    <w:rsid w:val="6E13574A"/>
    <w:rsid w:val="6E184B0E"/>
    <w:rsid w:val="6E1F7C4B"/>
    <w:rsid w:val="6E23118A"/>
    <w:rsid w:val="6E2D7A1A"/>
    <w:rsid w:val="6E331948"/>
    <w:rsid w:val="6E357F56"/>
    <w:rsid w:val="6E380D0C"/>
    <w:rsid w:val="6E3F209B"/>
    <w:rsid w:val="6E4F6056"/>
    <w:rsid w:val="6E533D98"/>
    <w:rsid w:val="6E565636"/>
    <w:rsid w:val="6E5813AF"/>
    <w:rsid w:val="6E5A5127"/>
    <w:rsid w:val="6E5B49FB"/>
    <w:rsid w:val="6E6013F6"/>
    <w:rsid w:val="6E647D53"/>
    <w:rsid w:val="6E6B10E2"/>
    <w:rsid w:val="6E6B2E90"/>
    <w:rsid w:val="6E6C6C08"/>
    <w:rsid w:val="6E753D0F"/>
    <w:rsid w:val="6E7D2BC3"/>
    <w:rsid w:val="6E810905"/>
    <w:rsid w:val="6E8201DA"/>
    <w:rsid w:val="6E867CCA"/>
    <w:rsid w:val="6E9435E6"/>
    <w:rsid w:val="6E963C85"/>
    <w:rsid w:val="6E9C74ED"/>
    <w:rsid w:val="6E9F2B3A"/>
    <w:rsid w:val="6EA208F2"/>
    <w:rsid w:val="6EA840E4"/>
    <w:rsid w:val="6EAE7221"/>
    <w:rsid w:val="6EB20ABF"/>
    <w:rsid w:val="6EBF142E"/>
    <w:rsid w:val="6EBF59EC"/>
    <w:rsid w:val="6EC24A7A"/>
    <w:rsid w:val="6ECD3B4B"/>
    <w:rsid w:val="6ECE1671"/>
    <w:rsid w:val="6ED31C54"/>
    <w:rsid w:val="6EDA6267"/>
    <w:rsid w:val="6EE012F1"/>
    <w:rsid w:val="6EEB2223"/>
    <w:rsid w:val="6EF410D7"/>
    <w:rsid w:val="6EFD5AB2"/>
    <w:rsid w:val="6EFE1F56"/>
    <w:rsid w:val="6EFF7A7C"/>
    <w:rsid w:val="6F0230C8"/>
    <w:rsid w:val="6F0357BE"/>
    <w:rsid w:val="6F046E40"/>
    <w:rsid w:val="6F062BB9"/>
    <w:rsid w:val="6F094457"/>
    <w:rsid w:val="6F1C062E"/>
    <w:rsid w:val="6F2F34E9"/>
    <w:rsid w:val="6F343BCA"/>
    <w:rsid w:val="6F3911E0"/>
    <w:rsid w:val="6F541B76"/>
    <w:rsid w:val="6F54601A"/>
    <w:rsid w:val="6F5C0A2B"/>
    <w:rsid w:val="6F63000B"/>
    <w:rsid w:val="6F743FC6"/>
    <w:rsid w:val="6F751AEC"/>
    <w:rsid w:val="6F775864"/>
    <w:rsid w:val="6F7A4321"/>
    <w:rsid w:val="6F7E4878"/>
    <w:rsid w:val="6F815BB6"/>
    <w:rsid w:val="6F8561D3"/>
    <w:rsid w:val="6F8D5088"/>
    <w:rsid w:val="6F977CB5"/>
    <w:rsid w:val="6FAD572A"/>
    <w:rsid w:val="6FB865A9"/>
    <w:rsid w:val="6FCA62DC"/>
    <w:rsid w:val="6FCD3F7D"/>
    <w:rsid w:val="6FD74555"/>
    <w:rsid w:val="6FDE58E3"/>
    <w:rsid w:val="6FE27182"/>
    <w:rsid w:val="6FE532F1"/>
    <w:rsid w:val="6FF670D1"/>
    <w:rsid w:val="6FFE1AE2"/>
    <w:rsid w:val="6FFF3D56"/>
    <w:rsid w:val="70025A76"/>
    <w:rsid w:val="70141305"/>
    <w:rsid w:val="70207CAA"/>
    <w:rsid w:val="70227EC6"/>
    <w:rsid w:val="702F613F"/>
    <w:rsid w:val="70313054"/>
    <w:rsid w:val="703134FA"/>
    <w:rsid w:val="70313C65"/>
    <w:rsid w:val="703D65B2"/>
    <w:rsid w:val="70425E72"/>
    <w:rsid w:val="70451219"/>
    <w:rsid w:val="70512559"/>
    <w:rsid w:val="7060279C"/>
    <w:rsid w:val="706C1141"/>
    <w:rsid w:val="7073427E"/>
    <w:rsid w:val="7089006C"/>
    <w:rsid w:val="708C17E3"/>
    <w:rsid w:val="708C3591"/>
    <w:rsid w:val="70932B72"/>
    <w:rsid w:val="709402E7"/>
    <w:rsid w:val="70963C86"/>
    <w:rsid w:val="70A00DEB"/>
    <w:rsid w:val="70A72179"/>
    <w:rsid w:val="70AB7EBB"/>
    <w:rsid w:val="70B236AD"/>
    <w:rsid w:val="70BD7BEF"/>
    <w:rsid w:val="70C90342"/>
    <w:rsid w:val="70CE3BAA"/>
    <w:rsid w:val="70D25448"/>
    <w:rsid w:val="70DE7335"/>
    <w:rsid w:val="70E4517B"/>
    <w:rsid w:val="70E62CA2"/>
    <w:rsid w:val="70ED4030"/>
    <w:rsid w:val="70FE448F"/>
    <w:rsid w:val="711315BD"/>
    <w:rsid w:val="711710AD"/>
    <w:rsid w:val="71184E25"/>
    <w:rsid w:val="711A6DEF"/>
    <w:rsid w:val="711D243B"/>
    <w:rsid w:val="71213CDA"/>
    <w:rsid w:val="71257C6E"/>
    <w:rsid w:val="71297032"/>
    <w:rsid w:val="714125CE"/>
    <w:rsid w:val="7141437C"/>
    <w:rsid w:val="71445C1A"/>
    <w:rsid w:val="71461992"/>
    <w:rsid w:val="71493231"/>
    <w:rsid w:val="7155778A"/>
    <w:rsid w:val="716254FF"/>
    <w:rsid w:val="716D33C3"/>
    <w:rsid w:val="71783346"/>
    <w:rsid w:val="717C53B4"/>
    <w:rsid w:val="717E2EDA"/>
    <w:rsid w:val="718030F6"/>
    <w:rsid w:val="718A7AD1"/>
    <w:rsid w:val="71922E29"/>
    <w:rsid w:val="719646C8"/>
    <w:rsid w:val="719C7804"/>
    <w:rsid w:val="719D4ACA"/>
    <w:rsid w:val="71A36DE5"/>
    <w:rsid w:val="71A87F57"/>
    <w:rsid w:val="71AA3CCF"/>
    <w:rsid w:val="71AB5C99"/>
    <w:rsid w:val="71AB7A47"/>
    <w:rsid w:val="71AD37BF"/>
    <w:rsid w:val="71AF5789"/>
    <w:rsid w:val="71B2697A"/>
    <w:rsid w:val="71B608C6"/>
    <w:rsid w:val="71BB412E"/>
    <w:rsid w:val="71C07997"/>
    <w:rsid w:val="71DD4BFE"/>
    <w:rsid w:val="71DE7E1D"/>
    <w:rsid w:val="71FB1751"/>
    <w:rsid w:val="72071122"/>
    <w:rsid w:val="720F4EE1"/>
    <w:rsid w:val="72192C03"/>
    <w:rsid w:val="722331C9"/>
    <w:rsid w:val="722577FA"/>
    <w:rsid w:val="722E355B"/>
    <w:rsid w:val="72361A07"/>
    <w:rsid w:val="723D5D11"/>
    <w:rsid w:val="724063E2"/>
    <w:rsid w:val="72457E9C"/>
    <w:rsid w:val="724834E8"/>
    <w:rsid w:val="72493298"/>
    <w:rsid w:val="725105EF"/>
    <w:rsid w:val="72541F51"/>
    <w:rsid w:val="7258197D"/>
    <w:rsid w:val="725B321B"/>
    <w:rsid w:val="72607763"/>
    <w:rsid w:val="72677E12"/>
    <w:rsid w:val="726A7902"/>
    <w:rsid w:val="727226CC"/>
    <w:rsid w:val="727442DD"/>
    <w:rsid w:val="72787BF9"/>
    <w:rsid w:val="728409C4"/>
    <w:rsid w:val="728704B4"/>
    <w:rsid w:val="72897D89"/>
    <w:rsid w:val="72916C3D"/>
    <w:rsid w:val="729A01E8"/>
    <w:rsid w:val="72B303AB"/>
    <w:rsid w:val="72B3239A"/>
    <w:rsid w:val="72C55BA4"/>
    <w:rsid w:val="72D27981"/>
    <w:rsid w:val="72DC25AE"/>
    <w:rsid w:val="72E256EB"/>
    <w:rsid w:val="7303679A"/>
    <w:rsid w:val="730E3075"/>
    <w:rsid w:val="731358A4"/>
    <w:rsid w:val="73137F9A"/>
    <w:rsid w:val="73212368"/>
    <w:rsid w:val="73217FC1"/>
    <w:rsid w:val="73221F8B"/>
    <w:rsid w:val="732B52E4"/>
    <w:rsid w:val="732E0930"/>
    <w:rsid w:val="73375A36"/>
    <w:rsid w:val="73405510"/>
    <w:rsid w:val="73412411"/>
    <w:rsid w:val="7343262D"/>
    <w:rsid w:val="734939BC"/>
    <w:rsid w:val="734A3E91"/>
    <w:rsid w:val="734C0DB6"/>
    <w:rsid w:val="735F4F8D"/>
    <w:rsid w:val="73697BBA"/>
    <w:rsid w:val="73722F12"/>
    <w:rsid w:val="73774085"/>
    <w:rsid w:val="737E5413"/>
    <w:rsid w:val="738467A2"/>
    <w:rsid w:val="73886292"/>
    <w:rsid w:val="738B5D82"/>
    <w:rsid w:val="738D38A8"/>
    <w:rsid w:val="738D5656"/>
    <w:rsid w:val="738F5872"/>
    <w:rsid w:val="73974727"/>
    <w:rsid w:val="739C7F8F"/>
    <w:rsid w:val="73A909E7"/>
    <w:rsid w:val="73B54BAD"/>
    <w:rsid w:val="73B74BBB"/>
    <w:rsid w:val="73BA096B"/>
    <w:rsid w:val="73BB0416"/>
    <w:rsid w:val="73C66DBA"/>
    <w:rsid w:val="73D414D7"/>
    <w:rsid w:val="73D6524F"/>
    <w:rsid w:val="73E050CE"/>
    <w:rsid w:val="73EF1E6D"/>
    <w:rsid w:val="73FC0A2E"/>
    <w:rsid w:val="74031DBD"/>
    <w:rsid w:val="74065409"/>
    <w:rsid w:val="740A314B"/>
    <w:rsid w:val="74152696"/>
    <w:rsid w:val="74193BBC"/>
    <w:rsid w:val="7420296E"/>
    <w:rsid w:val="74207B19"/>
    <w:rsid w:val="74373E38"/>
    <w:rsid w:val="74406B6D"/>
    <w:rsid w:val="744C3764"/>
    <w:rsid w:val="745240A6"/>
    <w:rsid w:val="74534AF2"/>
    <w:rsid w:val="745443C6"/>
    <w:rsid w:val="745919DD"/>
    <w:rsid w:val="74746816"/>
    <w:rsid w:val="74781130"/>
    <w:rsid w:val="747E1443"/>
    <w:rsid w:val="748240FE"/>
    <w:rsid w:val="74836A59"/>
    <w:rsid w:val="74901FD3"/>
    <w:rsid w:val="749124DC"/>
    <w:rsid w:val="749649DF"/>
    <w:rsid w:val="74A07EDD"/>
    <w:rsid w:val="74A470FC"/>
    <w:rsid w:val="74A54C22"/>
    <w:rsid w:val="74A72748"/>
    <w:rsid w:val="74B11819"/>
    <w:rsid w:val="74B15375"/>
    <w:rsid w:val="74B44E65"/>
    <w:rsid w:val="74B51309"/>
    <w:rsid w:val="74B64665"/>
    <w:rsid w:val="74CA6436"/>
    <w:rsid w:val="74D23F18"/>
    <w:rsid w:val="74DD464C"/>
    <w:rsid w:val="74E27C24"/>
    <w:rsid w:val="74E4574A"/>
    <w:rsid w:val="74E514C2"/>
    <w:rsid w:val="74F636CF"/>
    <w:rsid w:val="74FC0CE6"/>
    <w:rsid w:val="750035E3"/>
    <w:rsid w:val="7501454E"/>
    <w:rsid w:val="75022074"/>
    <w:rsid w:val="750B288E"/>
    <w:rsid w:val="75137DDD"/>
    <w:rsid w:val="751A116C"/>
    <w:rsid w:val="751C1B42"/>
    <w:rsid w:val="751C3136"/>
    <w:rsid w:val="751D0C5C"/>
    <w:rsid w:val="75206410"/>
    <w:rsid w:val="752B3379"/>
    <w:rsid w:val="753164B5"/>
    <w:rsid w:val="75324707"/>
    <w:rsid w:val="753A35BC"/>
    <w:rsid w:val="754461E9"/>
    <w:rsid w:val="75530B22"/>
    <w:rsid w:val="755521A4"/>
    <w:rsid w:val="7555481C"/>
    <w:rsid w:val="75581C94"/>
    <w:rsid w:val="755A1EB0"/>
    <w:rsid w:val="75614FED"/>
    <w:rsid w:val="75616D9B"/>
    <w:rsid w:val="7564688B"/>
    <w:rsid w:val="75660855"/>
    <w:rsid w:val="75662603"/>
    <w:rsid w:val="75680129"/>
    <w:rsid w:val="756B53E2"/>
    <w:rsid w:val="756E14B8"/>
    <w:rsid w:val="75725854"/>
    <w:rsid w:val="757840E4"/>
    <w:rsid w:val="75790588"/>
    <w:rsid w:val="757B6B5D"/>
    <w:rsid w:val="757C3BD5"/>
    <w:rsid w:val="758B02BC"/>
    <w:rsid w:val="758D5DE2"/>
    <w:rsid w:val="75AB270C"/>
    <w:rsid w:val="75AE7B06"/>
    <w:rsid w:val="75BA3E91"/>
    <w:rsid w:val="75C335B1"/>
    <w:rsid w:val="75CC1BAA"/>
    <w:rsid w:val="75D21A46"/>
    <w:rsid w:val="75D73501"/>
    <w:rsid w:val="75D92DD5"/>
    <w:rsid w:val="75DF1F4C"/>
    <w:rsid w:val="75E1200D"/>
    <w:rsid w:val="75E33C54"/>
    <w:rsid w:val="75E35A02"/>
    <w:rsid w:val="75E63744"/>
    <w:rsid w:val="75EA4FE2"/>
    <w:rsid w:val="75ED6880"/>
    <w:rsid w:val="75F419BD"/>
    <w:rsid w:val="75F61EF0"/>
    <w:rsid w:val="75F96FD3"/>
    <w:rsid w:val="75FB71EF"/>
    <w:rsid w:val="75FD748A"/>
    <w:rsid w:val="7601057E"/>
    <w:rsid w:val="76065B94"/>
    <w:rsid w:val="760B4F58"/>
    <w:rsid w:val="760F453B"/>
    <w:rsid w:val="760F5FCE"/>
    <w:rsid w:val="760F67F7"/>
    <w:rsid w:val="76116A13"/>
    <w:rsid w:val="76171B4F"/>
    <w:rsid w:val="7621652A"/>
    <w:rsid w:val="7625143A"/>
    <w:rsid w:val="762A7AD4"/>
    <w:rsid w:val="762F0C47"/>
    <w:rsid w:val="762F6E99"/>
    <w:rsid w:val="7630676D"/>
    <w:rsid w:val="763C15B6"/>
    <w:rsid w:val="763C5112"/>
    <w:rsid w:val="764861AD"/>
    <w:rsid w:val="764A5A81"/>
    <w:rsid w:val="76530DD9"/>
    <w:rsid w:val="76641531"/>
    <w:rsid w:val="766C1E9B"/>
    <w:rsid w:val="766F3739"/>
    <w:rsid w:val="76742AFE"/>
    <w:rsid w:val="767945B8"/>
    <w:rsid w:val="767C48BF"/>
    <w:rsid w:val="769767EC"/>
    <w:rsid w:val="769907B6"/>
    <w:rsid w:val="769B7E77"/>
    <w:rsid w:val="76AA29C3"/>
    <w:rsid w:val="76AF7FDA"/>
    <w:rsid w:val="76B64EC4"/>
    <w:rsid w:val="76BA0E58"/>
    <w:rsid w:val="76BA45F8"/>
    <w:rsid w:val="76BB24DB"/>
    <w:rsid w:val="76C70E7F"/>
    <w:rsid w:val="76D02273"/>
    <w:rsid w:val="76D14B6E"/>
    <w:rsid w:val="76D35A76"/>
    <w:rsid w:val="76D8308D"/>
    <w:rsid w:val="76D87530"/>
    <w:rsid w:val="76EE28B0"/>
    <w:rsid w:val="76F53C3E"/>
    <w:rsid w:val="76F8372F"/>
    <w:rsid w:val="76FD0D45"/>
    <w:rsid w:val="770110A1"/>
    <w:rsid w:val="770D27B9"/>
    <w:rsid w:val="771F6F0D"/>
    <w:rsid w:val="77292B49"/>
    <w:rsid w:val="772E0EFE"/>
    <w:rsid w:val="773329B9"/>
    <w:rsid w:val="773A3D47"/>
    <w:rsid w:val="773C7ABF"/>
    <w:rsid w:val="7745561C"/>
    <w:rsid w:val="77592FE8"/>
    <w:rsid w:val="77660698"/>
    <w:rsid w:val="77664B3C"/>
    <w:rsid w:val="7771418C"/>
    <w:rsid w:val="7772528F"/>
    <w:rsid w:val="777803CC"/>
    <w:rsid w:val="777A05E8"/>
    <w:rsid w:val="77882D05"/>
    <w:rsid w:val="779A6594"/>
    <w:rsid w:val="77A17922"/>
    <w:rsid w:val="77B33C85"/>
    <w:rsid w:val="77B70362"/>
    <w:rsid w:val="77BC29AE"/>
    <w:rsid w:val="77BC650A"/>
    <w:rsid w:val="77C33D3D"/>
    <w:rsid w:val="77C55280"/>
    <w:rsid w:val="77C96E79"/>
    <w:rsid w:val="77D73344"/>
    <w:rsid w:val="77EC6A51"/>
    <w:rsid w:val="77ED0DBA"/>
    <w:rsid w:val="77EF68E0"/>
    <w:rsid w:val="77F42148"/>
    <w:rsid w:val="77FA34D6"/>
    <w:rsid w:val="77FA5285"/>
    <w:rsid w:val="780D320A"/>
    <w:rsid w:val="78104AA8"/>
    <w:rsid w:val="78191BAF"/>
    <w:rsid w:val="781D0B6C"/>
    <w:rsid w:val="782567A5"/>
    <w:rsid w:val="78283BA0"/>
    <w:rsid w:val="782E1D69"/>
    <w:rsid w:val="782F3180"/>
    <w:rsid w:val="78333445"/>
    <w:rsid w:val="783764D9"/>
    <w:rsid w:val="783F4B1F"/>
    <w:rsid w:val="78462278"/>
    <w:rsid w:val="7847671C"/>
    <w:rsid w:val="784D1858"/>
    <w:rsid w:val="7856695F"/>
    <w:rsid w:val="78591FAB"/>
    <w:rsid w:val="78661E84"/>
    <w:rsid w:val="78732C6A"/>
    <w:rsid w:val="78743289"/>
    <w:rsid w:val="78767001"/>
    <w:rsid w:val="78794F5D"/>
    <w:rsid w:val="787B63C5"/>
    <w:rsid w:val="7883527A"/>
    <w:rsid w:val="78872FBC"/>
    <w:rsid w:val="78925B44"/>
    <w:rsid w:val="789631FF"/>
    <w:rsid w:val="78964FAD"/>
    <w:rsid w:val="78A7540C"/>
    <w:rsid w:val="78AC657F"/>
    <w:rsid w:val="78AD0549"/>
    <w:rsid w:val="78AF606F"/>
    <w:rsid w:val="78B47B29"/>
    <w:rsid w:val="78BB4A14"/>
    <w:rsid w:val="78BD69DE"/>
    <w:rsid w:val="78C22246"/>
    <w:rsid w:val="78CC05E7"/>
    <w:rsid w:val="78CF04BF"/>
    <w:rsid w:val="78D41F79"/>
    <w:rsid w:val="78E201F2"/>
    <w:rsid w:val="78E719ED"/>
    <w:rsid w:val="78E81581"/>
    <w:rsid w:val="78EA52F9"/>
    <w:rsid w:val="78F21BEF"/>
    <w:rsid w:val="78F27C76"/>
    <w:rsid w:val="78F63C9E"/>
    <w:rsid w:val="79030169"/>
    <w:rsid w:val="790A14F7"/>
    <w:rsid w:val="79141095"/>
    <w:rsid w:val="791C3E2E"/>
    <w:rsid w:val="79200DB5"/>
    <w:rsid w:val="79246A5D"/>
    <w:rsid w:val="79304F8E"/>
    <w:rsid w:val="7931117A"/>
    <w:rsid w:val="79330A4E"/>
    <w:rsid w:val="79336CA0"/>
    <w:rsid w:val="79352A18"/>
    <w:rsid w:val="794E3ADA"/>
    <w:rsid w:val="79517126"/>
    <w:rsid w:val="79570BE0"/>
    <w:rsid w:val="795A247F"/>
    <w:rsid w:val="795D1F6F"/>
    <w:rsid w:val="7971185F"/>
    <w:rsid w:val="797352EE"/>
    <w:rsid w:val="79786DA9"/>
    <w:rsid w:val="79825532"/>
    <w:rsid w:val="79872B48"/>
    <w:rsid w:val="79894B12"/>
    <w:rsid w:val="79975481"/>
    <w:rsid w:val="799B65F3"/>
    <w:rsid w:val="799C2A97"/>
    <w:rsid w:val="79AA714E"/>
    <w:rsid w:val="79AB4A88"/>
    <w:rsid w:val="79AC25AE"/>
    <w:rsid w:val="79B7342D"/>
    <w:rsid w:val="79BE0C60"/>
    <w:rsid w:val="79C63670"/>
    <w:rsid w:val="79D00993"/>
    <w:rsid w:val="79D04091"/>
    <w:rsid w:val="79D815F5"/>
    <w:rsid w:val="79DC10E6"/>
    <w:rsid w:val="79DE0259"/>
    <w:rsid w:val="79FC7092"/>
    <w:rsid w:val="79FD47FB"/>
    <w:rsid w:val="7A0B3779"/>
    <w:rsid w:val="7A122D59"/>
    <w:rsid w:val="7A1B7E60"/>
    <w:rsid w:val="7A1E34AC"/>
    <w:rsid w:val="7A1F7224"/>
    <w:rsid w:val="7A2111EE"/>
    <w:rsid w:val="7A262361"/>
    <w:rsid w:val="7A2B5BC9"/>
    <w:rsid w:val="7A2D1941"/>
    <w:rsid w:val="7A3031E0"/>
    <w:rsid w:val="7A3727C0"/>
    <w:rsid w:val="7A376404"/>
    <w:rsid w:val="7A3802E2"/>
    <w:rsid w:val="7A480529"/>
    <w:rsid w:val="7A486646"/>
    <w:rsid w:val="7A4D7CEB"/>
    <w:rsid w:val="7A700792"/>
    <w:rsid w:val="7A7B26AD"/>
    <w:rsid w:val="7A8552D9"/>
    <w:rsid w:val="7A886B78"/>
    <w:rsid w:val="7A8D7A4C"/>
    <w:rsid w:val="7A913CBB"/>
    <w:rsid w:val="7AA5772A"/>
    <w:rsid w:val="7AA8721A"/>
    <w:rsid w:val="7AAD090C"/>
    <w:rsid w:val="7AAD1D53"/>
    <w:rsid w:val="7AAF2356"/>
    <w:rsid w:val="7AB636E5"/>
    <w:rsid w:val="7ABC4D2A"/>
    <w:rsid w:val="7AC202DC"/>
    <w:rsid w:val="7ACA53E2"/>
    <w:rsid w:val="7ACC115A"/>
    <w:rsid w:val="7ACD2702"/>
    <w:rsid w:val="7AD95625"/>
    <w:rsid w:val="7AE364A4"/>
    <w:rsid w:val="7AE75F94"/>
    <w:rsid w:val="7AE85868"/>
    <w:rsid w:val="7AF20495"/>
    <w:rsid w:val="7AF37024"/>
    <w:rsid w:val="7B0408F4"/>
    <w:rsid w:val="7B0C59FB"/>
    <w:rsid w:val="7B104A2C"/>
    <w:rsid w:val="7B1461A5"/>
    <w:rsid w:val="7B160FC2"/>
    <w:rsid w:val="7B1D19B6"/>
    <w:rsid w:val="7B1F56FE"/>
    <w:rsid w:val="7B2A40D3"/>
    <w:rsid w:val="7B2C1BF9"/>
    <w:rsid w:val="7B424E9D"/>
    <w:rsid w:val="7B445194"/>
    <w:rsid w:val="7B4A207F"/>
    <w:rsid w:val="7B4B7C30"/>
    <w:rsid w:val="7B4D3DC5"/>
    <w:rsid w:val="7B4F7695"/>
    <w:rsid w:val="7B5178B1"/>
    <w:rsid w:val="7B5573A2"/>
    <w:rsid w:val="7B564EC8"/>
    <w:rsid w:val="7B5D6256"/>
    <w:rsid w:val="7B6201A3"/>
    <w:rsid w:val="7B62386D"/>
    <w:rsid w:val="7B66335D"/>
    <w:rsid w:val="7B737828"/>
    <w:rsid w:val="7B762E74"/>
    <w:rsid w:val="7B86755B"/>
    <w:rsid w:val="7B875081"/>
    <w:rsid w:val="7B915F00"/>
    <w:rsid w:val="7B940C71"/>
    <w:rsid w:val="7B971768"/>
    <w:rsid w:val="7BA0597D"/>
    <w:rsid w:val="7BA23C69"/>
    <w:rsid w:val="7BA773B4"/>
    <w:rsid w:val="7BDA1655"/>
    <w:rsid w:val="7BE10C35"/>
    <w:rsid w:val="7BE81FC4"/>
    <w:rsid w:val="7BEC3136"/>
    <w:rsid w:val="7BF87D2D"/>
    <w:rsid w:val="7BFB1483"/>
    <w:rsid w:val="7BFE17E7"/>
    <w:rsid w:val="7C030BAC"/>
    <w:rsid w:val="7C093CE8"/>
    <w:rsid w:val="7C0D37D8"/>
    <w:rsid w:val="7C0D68ED"/>
    <w:rsid w:val="7C1C3A1B"/>
    <w:rsid w:val="7C285391"/>
    <w:rsid w:val="7C291AB3"/>
    <w:rsid w:val="7C2A0E57"/>
    <w:rsid w:val="7C2D79D7"/>
    <w:rsid w:val="7C330D65"/>
    <w:rsid w:val="7C3B688B"/>
    <w:rsid w:val="7C4116D4"/>
    <w:rsid w:val="7C43369E"/>
    <w:rsid w:val="7C464F3C"/>
    <w:rsid w:val="7C4A67DB"/>
    <w:rsid w:val="7C4D1E27"/>
    <w:rsid w:val="7C541407"/>
    <w:rsid w:val="7C5F7DAC"/>
    <w:rsid w:val="7C63789C"/>
    <w:rsid w:val="7C705B15"/>
    <w:rsid w:val="7C765821"/>
    <w:rsid w:val="7C773348"/>
    <w:rsid w:val="7C817D22"/>
    <w:rsid w:val="7C835849"/>
    <w:rsid w:val="7C9361DA"/>
    <w:rsid w:val="7C977546"/>
    <w:rsid w:val="7C9A0DE4"/>
    <w:rsid w:val="7C9B7036"/>
    <w:rsid w:val="7C9E2682"/>
    <w:rsid w:val="7CAA54CB"/>
    <w:rsid w:val="7CAC2D59"/>
    <w:rsid w:val="7CC0084B"/>
    <w:rsid w:val="7CE0713F"/>
    <w:rsid w:val="7CE34539"/>
    <w:rsid w:val="7CE74F73"/>
    <w:rsid w:val="7CF0131F"/>
    <w:rsid w:val="7CF130FA"/>
    <w:rsid w:val="7CF16C56"/>
    <w:rsid w:val="7CF20C20"/>
    <w:rsid w:val="7CF624BE"/>
    <w:rsid w:val="7CF6426C"/>
    <w:rsid w:val="7CF652BB"/>
    <w:rsid w:val="7D0270B5"/>
    <w:rsid w:val="7D05234C"/>
    <w:rsid w:val="7D0A7D18"/>
    <w:rsid w:val="7D0C1556"/>
    <w:rsid w:val="7D0C1CE2"/>
    <w:rsid w:val="7D1961AD"/>
    <w:rsid w:val="7D1F1D9A"/>
    <w:rsid w:val="7D2863F0"/>
    <w:rsid w:val="7D33726F"/>
    <w:rsid w:val="7D3D00ED"/>
    <w:rsid w:val="7D4A45B8"/>
    <w:rsid w:val="7D4F1BCF"/>
    <w:rsid w:val="7D545437"/>
    <w:rsid w:val="7D5F62B6"/>
    <w:rsid w:val="7D6910A4"/>
    <w:rsid w:val="7D741635"/>
    <w:rsid w:val="7D787377"/>
    <w:rsid w:val="7D7A4572"/>
    <w:rsid w:val="7D7D5879"/>
    <w:rsid w:val="7D847ACA"/>
    <w:rsid w:val="7D9341B1"/>
    <w:rsid w:val="7D99109C"/>
    <w:rsid w:val="7D9D0B8C"/>
    <w:rsid w:val="7DA0067C"/>
    <w:rsid w:val="7DB06B11"/>
    <w:rsid w:val="7DB52379"/>
    <w:rsid w:val="7DB87774"/>
    <w:rsid w:val="7DBD2FDC"/>
    <w:rsid w:val="7DC51E91"/>
    <w:rsid w:val="7DD14EE2"/>
    <w:rsid w:val="7DDC7906"/>
    <w:rsid w:val="7DE06CCB"/>
    <w:rsid w:val="7DE247F1"/>
    <w:rsid w:val="7DEE3196"/>
    <w:rsid w:val="7DF52776"/>
    <w:rsid w:val="7E1846B6"/>
    <w:rsid w:val="7E1942A5"/>
    <w:rsid w:val="7E1C6CCF"/>
    <w:rsid w:val="7E203CEB"/>
    <w:rsid w:val="7E235DDE"/>
    <w:rsid w:val="7E2412AD"/>
    <w:rsid w:val="7E311391"/>
    <w:rsid w:val="7E3239CA"/>
    <w:rsid w:val="7E3C2153"/>
    <w:rsid w:val="7E631DD5"/>
    <w:rsid w:val="7E635932"/>
    <w:rsid w:val="7E6A79E2"/>
    <w:rsid w:val="7E6D67B0"/>
    <w:rsid w:val="7E6E2528"/>
    <w:rsid w:val="7E834226"/>
    <w:rsid w:val="7E8671C3"/>
    <w:rsid w:val="7E8E6727"/>
    <w:rsid w:val="7E9C0E44"/>
    <w:rsid w:val="7EA36676"/>
    <w:rsid w:val="7EAB701C"/>
    <w:rsid w:val="7EAF0B77"/>
    <w:rsid w:val="7EB663A9"/>
    <w:rsid w:val="7EBA751C"/>
    <w:rsid w:val="7EBC14E6"/>
    <w:rsid w:val="7EBD0143"/>
    <w:rsid w:val="7EC30AC6"/>
    <w:rsid w:val="7ECB34D7"/>
    <w:rsid w:val="7ECF1219"/>
    <w:rsid w:val="7ED06E49"/>
    <w:rsid w:val="7ED14F91"/>
    <w:rsid w:val="7ED20D09"/>
    <w:rsid w:val="7ED71E7C"/>
    <w:rsid w:val="7EDE145C"/>
    <w:rsid w:val="7EE527EB"/>
    <w:rsid w:val="7EEA7E01"/>
    <w:rsid w:val="7EF23159"/>
    <w:rsid w:val="7EF26CB5"/>
    <w:rsid w:val="7EF27612"/>
    <w:rsid w:val="7EF7251E"/>
    <w:rsid w:val="7EF90044"/>
    <w:rsid w:val="7EF95693"/>
    <w:rsid w:val="7F017DD7"/>
    <w:rsid w:val="7F141322"/>
    <w:rsid w:val="7F1629A4"/>
    <w:rsid w:val="7F167C3E"/>
    <w:rsid w:val="7F1B7CAE"/>
    <w:rsid w:val="7F207CC7"/>
    <w:rsid w:val="7F21759B"/>
    <w:rsid w:val="7F2A28F3"/>
    <w:rsid w:val="7F2D2A71"/>
    <w:rsid w:val="7F2E23E3"/>
    <w:rsid w:val="7F313C82"/>
    <w:rsid w:val="7F3C0728"/>
    <w:rsid w:val="7F3D3DC6"/>
    <w:rsid w:val="7F3E7D5D"/>
    <w:rsid w:val="7F403EC5"/>
    <w:rsid w:val="7F4734A5"/>
    <w:rsid w:val="7F477001"/>
    <w:rsid w:val="7F482D79"/>
    <w:rsid w:val="7F4C4618"/>
    <w:rsid w:val="7F4D0390"/>
    <w:rsid w:val="7F4D213E"/>
    <w:rsid w:val="7F567244"/>
    <w:rsid w:val="7F5E434B"/>
    <w:rsid w:val="7F62208D"/>
    <w:rsid w:val="7F631961"/>
    <w:rsid w:val="7F653A30"/>
    <w:rsid w:val="7F721BA4"/>
    <w:rsid w:val="7F833DB1"/>
    <w:rsid w:val="7F8551FC"/>
    <w:rsid w:val="7F8672BD"/>
    <w:rsid w:val="7F89586C"/>
    <w:rsid w:val="7F8A3392"/>
    <w:rsid w:val="7F8A5140"/>
    <w:rsid w:val="7F932247"/>
    <w:rsid w:val="7F967F89"/>
    <w:rsid w:val="7F9B10FB"/>
    <w:rsid w:val="7F9F508F"/>
    <w:rsid w:val="7FA173D5"/>
    <w:rsid w:val="7FA2248A"/>
    <w:rsid w:val="7FA44454"/>
    <w:rsid w:val="7FAF4BA7"/>
    <w:rsid w:val="7FB77F0F"/>
    <w:rsid w:val="7FC23E1B"/>
    <w:rsid w:val="7FC248DA"/>
    <w:rsid w:val="7FD60385"/>
    <w:rsid w:val="7FD64829"/>
    <w:rsid w:val="7FD8234F"/>
    <w:rsid w:val="7FDB599C"/>
    <w:rsid w:val="7FE40CF4"/>
    <w:rsid w:val="7FE5681A"/>
    <w:rsid w:val="7FE74340"/>
    <w:rsid w:val="7FF60DB5"/>
    <w:rsid w:val="7FF802FC"/>
    <w:rsid w:val="7FFB11A0"/>
    <w:rsid w:val="7FFF2C4F"/>
    <w:rsid w:val="7FFF78DC"/>
    <w:rsid w:val="CBF27317"/>
    <w:rsid w:val="CFFBB883"/>
    <w:rsid w:val="D7FFDFA7"/>
    <w:rsid w:val="EFBB9E96"/>
    <w:rsid w:val="FF1C2D7C"/>
    <w:rsid w:val="FF1FE82C"/>
    <w:rsid w:val="FF625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qFormat="1" w:unhideWhenUsed="0" w:uiPriority="99"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9"/>
    <w:pPr>
      <w:keepNext/>
      <w:keepLines/>
      <w:outlineLvl w:val="0"/>
    </w:pPr>
    <w:rPr>
      <w:rFonts w:eastAsia="黑体"/>
      <w:bCs/>
      <w:szCs w:val="28"/>
    </w:rPr>
  </w:style>
  <w:style w:type="paragraph" w:styleId="4">
    <w:name w:val="heading 2"/>
    <w:basedOn w:val="1"/>
    <w:next w:val="1"/>
    <w:unhideWhenUsed/>
    <w:qFormat/>
    <w:uiPriority w:val="0"/>
    <w:pPr>
      <w:keepNext/>
      <w:keepLines/>
      <w:outlineLvl w:val="1"/>
    </w:pPr>
    <w:rPr>
      <w:rFonts w:eastAsia="楷体_GB2312" w:cstheme="majorBidi"/>
      <w:bCs/>
      <w:szCs w:val="32"/>
    </w:rPr>
  </w:style>
  <w:style w:type="paragraph" w:styleId="5">
    <w:name w:val="heading 3"/>
    <w:basedOn w:val="1"/>
    <w:next w:val="1"/>
    <w:unhideWhenUsed/>
    <w:qFormat/>
    <w:uiPriority w:val="0"/>
    <w:pPr>
      <w:keepNext/>
      <w:keepLines/>
      <w:outlineLvl w:val="2"/>
    </w:p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rPr>
      <w:sz w:val="30"/>
    </w:rPr>
  </w:style>
  <w:style w:type="paragraph" w:styleId="6">
    <w:name w:val="Normal Indent"/>
    <w:basedOn w:val="1"/>
    <w:qFormat/>
    <w:uiPriority w:val="0"/>
    <w:rPr>
      <w:rFonts w:eastAsia="宋体"/>
      <w:sz w:val="24"/>
    </w:rPr>
  </w:style>
  <w:style w:type="paragraph" w:styleId="7">
    <w:name w:val="annotation text"/>
    <w:basedOn w:val="1"/>
    <w:link w:val="38"/>
    <w:qFormat/>
    <w:uiPriority w:val="0"/>
    <w:pPr>
      <w:jc w:val="left"/>
    </w:pPr>
  </w:style>
  <w:style w:type="paragraph" w:styleId="8">
    <w:name w:val="Body Text"/>
    <w:basedOn w:val="1"/>
    <w:next w:val="9"/>
    <w:qFormat/>
    <w:uiPriority w:val="0"/>
    <w:rPr>
      <w:rFonts w:ascii="Arial Unicode MS" w:hAnsi="Arial Unicode MS" w:eastAsia="Arial Unicode MS" w:cs="Arial Unicode MS"/>
      <w:sz w:val="72"/>
      <w:szCs w:val="72"/>
    </w:rPr>
  </w:style>
  <w:style w:type="paragraph" w:styleId="9">
    <w:name w:val="toc 5"/>
    <w:basedOn w:val="1"/>
    <w:next w:val="1"/>
    <w:semiHidden/>
    <w:qFormat/>
    <w:uiPriority w:val="99"/>
    <w:pPr>
      <w:ind w:left="1680"/>
    </w:pPr>
  </w:style>
  <w:style w:type="paragraph" w:styleId="10">
    <w:name w:val="Balloon Text"/>
    <w:basedOn w:val="1"/>
    <w:link w:val="37"/>
    <w:qFormat/>
    <w:uiPriority w:val="0"/>
    <w:pPr>
      <w:spacing w:line="240" w:lineRule="auto"/>
    </w:pPr>
    <w:rPr>
      <w:sz w:val="18"/>
      <w:szCs w:val="18"/>
    </w:rPr>
  </w:style>
  <w:style w:type="paragraph" w:styleId="11">
    <w:name w:val="footer"/>
    <w:basedOn w:val="1"/>
    <w:link w:val="41"/>
    <w:qFormat/>
    <w:uiPriority w:val="99"/>
    <w:pPr>
      <w:tabs>
        <w:tab w:val="center" w:pos="4153"/>
        <w:tab w:val="right" w:pos="8306"/>
      </w:tabs>
      <w:snapToGrid w:val="0"/>
      <w:jc w:val="left"/>
    </w:pPr>
    <w:rPr>
      <w:sz w:val="18"/>
    </w:rPr>
  </w:style>
  <w:style w:type="paragraph" w:styleId="12">
    <w:name w:val="header"/>
    <w:basedOn w:val="1"/>
    <w:link w:val="4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3">
    <w:name w:val="toc 1"/>
    <w:basedOn w:val="1"/>
    <w:next w:val="1"/>
    <w:qFormat/>
    <w:uiPriority w:val="39"/>
    <w:pPr>
      <w:ind w:firstLine="0" w:firstLineChars="0"/>
    </w:pPr>
    <w:rPr>
      <w:rFonts w:eastAsia="黑体"/>
    </w:rPr>
  </w:style>
  <w:style w:type="paragraph" w:styleId="14">
    <w:name w:val="footnote text"/>
    <w:basedOn w:val="1"/>
    <w:qFormat/>
    <w:uiPriority w:val="0"/>
    <w:pPr>
      <w:snapToGrid w:val="0"/>
      <w:jc w:val="left"/>
    </w:pPr>
    <w:rPr>
      <w:sz w:val="18"/>
    </w:rPr>
  </w:style>
  <w:style w:type="paragraph" w:styleId="15">
    <w:name w:val="Normal (Web)"/>
    <w:basedOn w:val="1"/>
    <w:qFormat/>
    <w:uiPriority w:val="0"/>
    <w:pPr>
      <w:spacing w:before="100" w:beforeAutospacing="1" w:after="100" w:afterAutospacing="1"/>
      <w:jc w:val="left"/>
    </w:pPr>
    <w:rPr>
      <w:kern w:val="0"/>
      <w:sz w:val="24"/>
    </w:rPr>
  </w:style>
  <w:style w:type="paragraph" w:styleId="16">
    <w:name w:val="annotation subject"/>
    <w:basedOn w:val="7"/>
    <w:next w:val="7"/>
    <w:link w:val="39"/>
    <w:qFormat/>
    <w:uiPriority w:val="0"/>
    <w:rPr>
      <w:b/>
      <w:bCs/>
    </w:rPr>
  </w:style>
  <w:style w:type="paragraph" w:styleId="17">
    <w:name w:val="Body Text First Indent 2"/>
    <w:basedOn w:val="6"/>
    <w:qFormat/>
    <w:uiPriority w:val="0"/>
    <w:pPr>
      <w:ind w:firstLine="48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unhideWhenUsed/>
    <w:qFormat/>
    <w:uiPriority w:val="99"/>
    <w:rPr>
      <w:color w:val="0563C1"/>
      <w:u w:val="single"/>
    </w:rPr>
  </w:style>
  <w:style w:type="character" w:styleId="22">
    <w:name w:val="annotation reference"/>
    <w:basedOn w:val="20"/>
    <w:qFormat/>
    <w:uiPriority w:val="0"/>
    <w:rPr>
      <w:sz w:val="21"/>
      <w:szCs w:val="21"/>
    </w:rPr>
  </w:style>
  <w:style w:type="character" w:styleId="23">
    <w:name w:val="footnote reference"/>
    <w:qFormat/>
    <w:uiPriority w:val="0"/>
    <w:rPr>
      <w:vertAlign w:val="superscript"/>
    </w:rPr>
  </w:style>
  <w:style w:type="paragraph" w:customStyle="1" w:styleId="24">
    <w:name w:val="WPSOffice手动目录 1"/>
    <w:qFormat/>
    <w:uiPriority w:val="0"/>
    <w:rPr>
      <w:rFonts w:asciiTheme="minorHAnsi" w:hAnsiTheme="minorHAnsi" w:eastAsiaTheme="minorEastAsia" w:cstheme="minorBidi"/>
      <w:lang w:val="en-US" w:eastAsia="zh-CN" w:bidi="ar-SA"/>
    </w:rPr>
  </w:style>
  <w:style w:type="paragraph" w:customStyle="1" w:styleId="25">
    <w:name w:val="表题"/>
    <w:basedOn w:val="1"/>
    <w:qFormat/>
    <w:uiPriority w:val="0"/>
    <w:pPr>
      <w:keepNext/>
      <w:keepLines/>
      <w:spacing w:line="560" w:lineRule="exact"/>
      <w:ind w:firstLine="0" w:firstLineChars="0"/>
      <w:jc w:val="center"/>
    </w:pPr>
    <w:rPr>
      <w:rFonts w:eastAsia="宋体"/>
      <w:b/>
      <w:bCs/>
      <w:sz w:val="28"/>
      <w:szCs w:val="28"/>
    </w:rPr>
  </w:style>
  <w:style w:type="paragraph" w:customStyle="1" w:styleId="26">
    <w:name w:val="表格"/>
    <w:basedOn w:val="17"/>
    <w:qFormat/>
    <w:uiPriority w:val="0"/>
    <w:pPr>
      <w:snapToGrid w:val="0"/>
      <w:spacing w:line="360" w:lineRule="exact"/>
      <w:ind w:firstLine="0" w:firstLineChars="0"/>
      <w:jc w:val="center"/>
    </w:pPr>
    <w:rPr>
      <w:rFonts w:cs="仿宋_GB2312"/>
      <w:bCs/>
      <w:sz w:val="21"/>
    </w:rPr>
  </w:style>
  <w:style w:type="character" w:customStyle="1" w:styleId="27">
    <w:name w:val="_Style 13"/>
    <w:qFormat/>
    <w:uiPriority w:val="31"/>
    <w:rPr>
      <w:smallCaps/>
      <w:color w:val="5A5A5A"/>
    </w:rPr>
  </w:style>
  <w:style w:type="paragraph" w:customStyle="1" w:styleId="28">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29">
    <w:name w:val="font31"/>
    <w:qFormat/>
    <w:uiPriority w:val="0"/>
    <w:rPr>
      <w:rFonts w:hint="eastAsia" w:ascii="宋体" w:hAnsi="宋体" w:eastAsia="宋体" w:cs="宋体"/>
      <w:color w:val="000000"/>
      <w:sz w:val="22"/>
      <w:szCs w:val="22"/>
      <w:u w:val="none"/>
    </w:rPr>
  </w:style>
  <w:style w:type="character" w:customStyle="1" w:styleId="30">
    <w:name w:val="font01"/>
    <w:qFormat/>
    <w:uiPriority w:val="0"/>
    <w:rPr>
      <w:rFonts w:hint="eastAsia" w:ascii="宋体" w:hAnsi="宋体" w:eastAsia="宋体" w:cs="宋体"/>
      <w:color w:val="000000"/>
      <w:sz w:val="24"/>
      <w:szCs w:val="24"/>
      <w:u w:val="none"/>
    </w:rPr>
  </w:style>
  <w:style w:type="table" w:customStyle="1" w:styleId="31">
    <w:name w:val="Table Normal"/>
    <w:unhideWhenUsed/>
    <w:qFormat/>
    <w:uiPriority w:val="0"/>
    <w:tblPr>
      <w:tblCellMar>
        <w:top w:w="0" w:type="dxa"/>
        <w:left w:w="0" w:type="dxa"/>
        <w:bottom w:w="0" w:type="dxa"/>
        <w:right w:w="0" w:type="dxa"/>
      </w:tblCellMar>
    </w:tblPr>
  </w:style>
  <w:style w:type="character" w:customStyle="1" w:styleId="32">
    <w:name w:val="font11"/>
    <w:basedOn w:val="20"/>
    <w:qFormat/>
    <w:uiPriority w:val="0"/>
    <w:rPr>
      <w:rFonts w:hint="eastAsia" w:ascii="宋体" w:hAnsi="宋体" w:eastAsia="宋体" w:cs="宋体"/>
      <w:color w:val="000000"/>
      <w:sz w:val="20"/>
      <w:szCs w:val="20"/>
      <w:u w:val="none"/>
    </w:rPr>
  </w:style>
  <w:style w:type="character" w:customStyle="1" w:styleId="33">
    <w:name w:val="font51"/>
    <w:basedOn w:val="20"/>
    <w:qFormat/>
    <w:uiPriority w:val="0"/>
    <w:rPr>
      <w:rFonts w:hint="eastAsia" w:ascii="宋体" w:hAnsi="宋体" w:eastAsia="宋体" w:cs="宋体"/>
      <w:b/>
      <w:bCs/>
      <w:color w:val="000000"/>
      <w:sz w:val="20"/>
      <w:szCs w:val="20"/>
      <w:u w:val="none"/>
    </w:rPr>
  </w:style>
  <w:style w:type="character" w:customStyle="1" w:styleId="34">
    <w:name w:val="font61"/>
    <w:basedOn w:val="20"/>
    <w:qFormat/>
    <w:uiPriority w:val="0"/>
    <w:rPr>
      <w:rFonts w:ascii="Arial" w:hAnsi="Arial" w:cs="Arial"/>
      <w:color w:val="000000"/>
      <w:sz w:val="20"/>
      <w:szCs w:val="20"/>
      <w:u w:val="none"/>
    </w:rPr>
  </w:style>
  <w:style w:type="character" w:customStyle="1" w:styleId="35">
    <w:name w:val="font71"/>
    <w:basedOn w:val="20"/>
    <w:qFormat/>
    <w:uiPriority w:val="0"/>
    <w:rPr>
      <w:rFonts w:ascii="仿宋_GB2312" w:eastAsia="仿宋_GB2312" w:cs="仿宋_GB2312"/>
      <w:color w:val="000000"/>
      <w:sz w:val="20"/>
      <w:szCs w:val="20"/>
      <w:u w:val="none"/>
    </w:rPr>
  </w:style>
  <w:style w:type="character" w:customStyle="1" w:styleId="36">
    <w:name w:val="font21"/>
    <w:basedOn w:val="20"/>
    <w:qFormat/>
    <w:uiPriority w:val="0"/>
    <w:rPr>
      <w:rFonts w:hint="default" w:ascii="Times New Roman" w:hAnsi="Times New Roman" w:cs="Times New Roman"/>
      <w:color w:val="000000"/>
      <w:sz w:val="24"/>
      <w:szCs w:val="24"/>
      <w:u w:val="none"/>
    </w:rPr>
  </w:style>
  <w:style w:type="character" w:customStyle="1" w:styleId="37">
    <w:name w:val="批注框文本 字符"/>
    <w:basedOn w:val="20"/>
    <w:link w:val="10"/>
    <w:qFormat/>
    <w:uiPriority w:val="0"/>
    <w:rPr>
      <w:rFonts w:eastAsia="仿宋_GB2312"/>
      <w:kern w:val="2"/>
      <w:sz w:val="18"/>
      <w:szCs w:val="18"/>
    </w:rPr>
  </w:style>
  <w:style w:type="character" w:customStyle="1" w:styleId="38">
    <w:name w:val="批注文字 字符"/>
    <w:basedOn w:val="20"/>
    <w:link w:val="7"/>
    <w:qFormat/>
    <w:uiPriority w:val="0"/>
    <w:rPr>
      <w:rFonts w:eastAsia="仿宋_GB2312"/>
      <w:kern w:val="2"/>
      <w:sz w:val="32"/>
      <w:szCs w:val="24"/>
    </w:rPr>
  </w:style>
  <w:style w:type="character" w:customStyle="1" w:styleId="39">
    <w:name w:val="批注主题 字符"/>
    <w:basedOn w:val="38"/>
    <w:link w:val="16"/>
    <w:qFormat/>
    <w:uiPriority w:val="0"/>
    <w:rPr>
      <w:rFonts w:eastAsia="仿宋_GB2312"/>
      <w:b/>
      <w:bCs/>
      <w:kern w:val="2"/>
      <w:sz w:val="32"/>
      <w:szCs w:val="24"/>
    </w:rPr>
  </w:style>
  <w:style w:type="character" w:customStyle="1" w:styleId="40">
    <w:name w:val="页眉 字符"/>
    <w:basedOn w:val="20"/>
    <w:link w:val="12"/>
    <w:qFormat/>
    <w:uiPriority w:val="99"/>
    <w:rPr>
      <w:rFonts w:eastAsia="仿宋_GB2312"/>
      <w:kern w:val="2"/>
      <w:sz w:val="18"/>
      <w:szCs w:val="24"/>
    </w:rPr>
  </w:style>
  <w:style w:type="character" w:customStyle="1" w:styleId="41">
    <w:name w:val="页脚 字符"/>
    <w:basedOn w:val="20"/>
    <w:link w:val="11"/>
    <w:qFormat/>
    <w:uiPriority w:val="99"/>
    <w:rPr>
      <w:rFonts w:eastAsia="仿宋_GB2312"/>
      <w:kern w:val="2"/>
      <w:sz w:val="18"/>
      <w:szCs w:val="24"/>
    </w:rPr>
  </w:style>
  <w:style w:type="paragraph" w:customStyle="1" w:styleId="42">
    <w:name w:val="TOC 标题1"/>
    <w:basedOn w:val="3"/>
    <w:next w:val="1"/>
    <w:unhideWhenUsed/>
    <w:qFormat/>
    <w:uiPriority w:val="39"/>
    <w:pPr>
      <w:widowControl/>
      <w:spacing w:before="240" w:line="259" w:lineRule="auto"/>
      <w:ind w:firstLine="0" w:firstLineChars="0"/>
      <w:jc w:val="left"/>
      <w:outlineLvl w:val="9"/>
    </w:pPr>
    <w:rPr>
      <w:rFonts w:asciiTheme="majorHAnsi" w:hAnsiTheme="majorHAnsi" w:eastAsiaTheme="majorEastAsia" w:cstheme="majorBidi"/>
      <w:bCs w:val="0"/>
      <w:color w:val="2E75B6"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image" Target="media/image1.emf"/><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GT</Company>
  <Pages>1</Pages>
  <Words>5301</Words>
  <Characters>30218</Characters>
  <Lines>251</Lines>
  <Paragraphs>70</Paragraphs>
  <TotalTime>15</TotalTime>
  <ScaleCrop>false</ScaleCrop>
  <LinksUpToDate>false</LinksUpToDate>
  <CharactersWithSpaces>35449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2023-06-07T14:10:00Z</dcterms:created>
  <dc:creator>moose</dc:creator>
  <cp:lastModifiedBy>user</cp:lastModifiedBy>
  <cp:lastPrinted>2023-10-26T08:46:00Z</cp:lastPrinted>
  <dcterms:modified xsi:type="dcterms:W3CDTF">2023-11-28T11:33:34Z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0A869BCFB74F4C08969CA0DD2F0DA9CA_13</vt:lpwstr>
  </property>
</Properties>
</file>