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colors8.xml" ContentType="application/vnd.ms-office.chartcolorstyle+xml"/>
  <Override PartName="/word/charts/colors9.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charts/style8.xml" ContentType="application/vnd.ms-office.chartstyle+xml"/>
  <Override PartName="/word/charts/style9.xml" ContentType="application/vnd.ms-office.chart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640"/>
        <w:rPr>
          <w:rFonts w:cs="Times New Roman" w:eastAsiaTheme="minorEastAsia"/>
          <w:bCs/>
          <w:szCs w:val="32"/>
        </w:rPr>
      </w:pPr>
    </w:p>
    <w:p>
      <w:pPr>
        <w:snapToGrid w:val="0"/>
        <w:ind w:firstLine="640"/>
        <w:rPr>
          <w:rFonts w:cs="Times New Roman" w:eastAsiaTheme="minorEastAsia"/>
          <w:bCs/>
          <w:szCs w:val="32"/>
        </w:rPr>
      </w:pPr>
    </w:p>
    <w:p>
      <w:pPr>
        <w:snapToGrid w:val="0"/>
        <w:ind w:firstLine="640"/>
        <w:rPr>
          <w:rFonts w:cs="Times New Roman" w:eastAsiaTheme="minorEastAsia"/>
          <w:bCs/>
          <w:szCs w:val="32"/>
        </w:rPr>
      </w:pPr>
    </w:p>
    <w:p>
      <w:pPr>
        <w:pStyle w:val="25"/>
        <w:rPr>
          <w:rFonts w:ascii="Times New Roman" w:hAnsi="Times New Roman" w:eastAsiaTheme="minorEastAsia"/>
          <w:bCs/>
          <w:smallCaps w:val="0"/>
          <w:szCs w:val="32"/>
        </w:rPr>
      </w:pPr>
    </w:p>
    <w:p>
      <w:pPr>
        <w:ind w:firstLine="640"/>
        <w:rPr>
          <w:rFonts w:cs="Times New Roman"/>
        </w:rPr>
      </w:pPr>
    </w:p>
    <w:p>
      <w:pPr>
        <w:adjustRightInd w:val="0"/>
        <w:snapToGrid w:val="0"/>
        <w:ind w:firstLine="0" w:firstLineChars="0"/>
        <w:jc w:val="center"/>
        <w:rPr>
          <w:rFonts w:eastAsia="方正小标宋简体" w:cs="Times New Roman"/>
          <w:sz w:val="44"/>
          <w:szCs w:val="44"/>
        </w:rPr>
      </w:pPr>
      <w:r>
        <w:rPr>
          <w:rFonts w:hint="eastAsia" w:eastAsia="方正小标宋_GBK" w:cs="Times New Roman"/>
          <w:sz w:val="44"/>
          <w:szCs w:val="44"/>
        </w:rPr>
        <w:t>韶关市文化广电旅游体育局</w:t>
      </w:r>
      <w:r>
        <w:rPr>
          <w:rFonts w:hint="eastAsia" w:eastAsia="方正小标宋简体" w:cs="Times New Roman"/>
          <w:sz w:val="44"/>
          <w:szCs w:val="44"/>
        </w:rPr>
        <w:t>2022年度</w:t>
      </w:r>
    </w:p>
    <w:p>
      <w:pPr>
        <w:adjustRightInd w:val="0"/>
        <w:snapToGrid w:val="0"/>
        <w:ind w:firstLine="0" w:firstLineChars="0"/>
        <w:jc w:val="center"/>
        <w:rPr>
          <w:rFonts w:eastAsia="方正小标宋简体" w:cs="Times New Roman"/>
          <w:sz w:val="44"/>
          <w:szCs w:val="44"/>
        </w:rPr>
      </w:pPr>
      <w:r>
        <w:rPr>
          <w:rFonts w:hint="eastAsia" w:eastAsia="方正小标宋简体" w:cs="Times New Roman"/>
          <w:sz w:val="44"/>
          <w:szCs w:val="44"/>
        </w:rPr>
        <w:t>部门整体支出第三方绩效评价报告</w:t>
      </w:r>
    </w:p>
    <w:p>
      <w:pPr>
        <w:widowControl w:val="0"/>
        <w:ind w:firstLine="0" w:firstLineChars="0"/>
        <w:rPr>
          <w:rFonts w:cs="Times New Roman"/>
          <w:kern w:val="2"/>
          <w:szCs w:val="28"/>
        </w:rPr>
      </w:pPr>
    </w:p>
    <w:p>
      <w:pPr>
        <w:widowControl w:val="0"/>
        <w:ind w:firstLine="0" w:firstLineChars="0"/>
        <w:rPr>
          <w:rFonts w:cs="Times New Roman"/>
          <w:kern w:val="2"/>
          <w:szCs w:val="28"/>
        </w:rPr>
      </w:pPr>
    </w:p>
    <w:p>
      <w:pPr>
        <w:pStyle w:val="12"/>
        <w:ind w:firstLine="640"/>
        <w:rPr>
          <w:rFonts w:cs="Times New Roman"/>
          <w:kern w:val="2"/>
          <w:szCs w:val="28"/>
        </w:rPr>
      </w:pPr>
    </w:p>
    <w:p>
      <w:pPr>
        <w:pStyle w:val="12"/>
        <w:ind w:firstLine="640"/>
        <w:rPr>
          <w:rFonts w:cs="Times New Roman"/>
          <w:kern w:val="2"/>
          <w:szCs w:val="28"/>
        </w:rPr>
      </w:pPr>
    </w:p>
    <w:p>
      <w:pPr>
        <w:pStyle w:val="12"/>
        <w:ind w:firstLine="0" w:firstLineChars="0"/>
        <w:rPr>
          <w:rFonts w:cs="Times New Roman"/>
          <w:kern w:val="2"/>
          <w:szCs w:val="28"/>
        </w:rPr>
      </w:pPr>
    </w:p>
    <w:p>
      <w:pPr>
        <w:widowControl w:val="0"/>
        <w:ind w:firstLine="0" w:firstLineChars="0"/>
        <w:rPr>
          <w:rFonts w:cs="Times New Roman"/>
          <w:kern w:val="2"/>
          <w:szCs w:val="28"/>
        </w:rPr>
      </w:pPr>
    </w:p>
    <w:p>
      <w:pPr>
        <w:widowControl w:val="0"/>
        <w:ind w:firstLine="0" w:firstLineChars="0"/>
        <w:rPr>
          <w:rFonts w:cs="Times New Roman"/>
          <w:kern w:val="2"/>
          <w:szCs w:val="28"/>
        </w:rPr>
      </w:pPr>
    </w:p>
    <w:p>
      <w:pPr>
        <w:ind w:firstLine="0" w:firstLineChars="0"/>
        <w:jc w:val="center"/>
        <w:rPr>
          <w:rFonts w:eastAsia="宋体" w:cs="Times New Roman"/>
          <w:szCs w:val="32"/>
        </w:rPr>
      </w:pPr>
      <w:r>
        <w:rPr>
          <w:rFonts w:hint="eastAsia" w:eastAsia="宋体" w:cs="Times New Roman"/>
          <w:szCs w:val="32"/>
        </w:rPr>
        <w:t>委托单位：韶关市财政局</w:t>
      </w:r>
    </w:p>
    <w:p>
      <w:pPr>
        <w:ind w:firstLine="0" w:firstLineChars="0"/>
        <w:jc w:val="center"/>
        <w:rPr>
          <w:rFonts w:eastAsia="宋体" w:cs="Times New Roman"/>
          <w:szCs w:val="32"/>
        </w:rPr>
      </w:pPr>
      <w:r>
        <w:rPr>
          <w:rFonts w:eastAsia="宋体" w:cs="Times New Roman"/>
          <w:szCs w:val="32"/>
        </w:rPr>
        <w:t>评价机构：广东中大管理咨询集团股份有限公司</w:t>
      </w:r>
    </w:p>
    <w:p>
      <w:pPr>
        <w:ind w:firstLine="0" w:firstLineChars="0"/>
        <w:jc w:val="center"/>
        <w:rPr>
          <w:rFonts w:eastAsia="宋体" w:cs="Times New Roman"/>
          <w:spacing w:val="10"/>
          <w:szCs w:val="36"/>
        </w:rPr>
      </w:pPr>
      <w:r>
        <w:rPr>
          <w:rFonts w:eastAsia="宋体" w:cs="Times New Roman"/>
          <w:szCs w:val="32"/>
        </w:rPr>
        <w:t>二〇二</w:t>
      </w:r>
      <w:r>
        <w:rPr>
          <w:rFonts w:hint="eastAsia" w:eastAsia="宋体" w:cs="Times New Roman"/>
          <w:szCs w:val="32"/>
        </w:rPr>
        <w:t>三</w:t>
      </w:r>
      <w:r>
        <w:rPr>
          <w:rFonts w:eastAsia="宋体" w:cs="Times New Roman"/>
          <w:szCs w:val="32"/>
        </w:rPr>
        <w:t>年</w:t>
      </w:r>
      <w:r>
        <w:rPr>
          <w:rFonts w:hint="eastAsia" w:eastAsia="宋体" w:cs="Times New Roman"/>
          <w:szCs w:val="32"/>
          <w:lang w:eastAsia="zh-CN"/>
        </w:rPr>
        <w:t>十二</w:t>
      </w:r>
      <w:r>
        <w:rPr>
          <w:rFonts w:eastAsia="宋体" w:cs="Times New Roman"/>
          <w:szCs w:val="32"/>
        </w:rPr>
        <w:t>月</w:t>
      </w:r>
    </w:p>
    <w:p>
      <w:pPr>
        <w:ind w:firstLine="660"/>
        <w:jc w:val="center"/>
        <w:outlineLvl w:val="0"/>
        <w:rPr>
          <w:rFonts w:cs="Times New Roman"/>
          <w:spacing w:val="10"/>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numberInDash"/>
          <w:cols w:space="425" w:num="1"/>
          <w:docGrid w:type="lines" w:linePitch="312" w:charSpace="0"/>
        </w:sectPr>
      </w:pPr>
    </w:p>
    <w:p>
      <w:pPr>
        <w:pStyle w:val="25"/>
        <w:rPr>
          <w:rFonts w:ascii="Times New Roman" w:hAnsi="Times New Roman"/>
          <w:smallCaps w:val="0"/>
        </w:rPr>
      </w:pPr>
    </w:p>
    <w:p>
      <w:pPr>
        <w:pStyle w:val="28"/>
        <w:rPr>
          <w:rFonts w:cs="Times New Roman"/>
          <w:sz w:val="32"/>
          <w:szCs w:val="32"/>
          <w:shd w:val="clear" w:color="auto" w:fill="FFFFFF"/>
        </w:rPr>
        <w:sectPr>
          <w:headerReference r:id="rId11" w:type="default"/>
          <w:footerReference r:id="rId12" w:type="default"/>
          <w:pgSz w:w="11906" w:h="16838"/>
          <w:pgMar w:top="1440" w:right="1418" w:bottom="1440" w:left="1531" w:header="851" w:footer="992" w:gutter="0"/>
          <w:pgNumType w:fmt="numberInDash" w:start="1"/>
          <w:cols w:space="425" w:num="1"/>
          <w:docGrid w:type="lines" w:linePitch="435" w:charSpace="0"/>
        </w:sectPr>
      </w:pPr>
      <w:bookmarkStart w:id="0" w:name="_Toc78791021"/>
      <w:bookmarkStart w:id="1" w:name="_Toc106890094"/>
      <w:bookmarkStart w:id="2" w:name="_Toc80308174"/>
      <w:bookmarkStart w:id="3" w:name="_Toc77840582"/>
      <w:bookmarkStart w:id="4" w:name="_Toc79466291"/>
    </w:p>
    <w:p>
      <w:pPr>
        <w:pStyle w:val="28"/>
        <w:spacing w:before="0" w:after="0" w:line="560" w:lineRule="exact"/>
        <w:rPr>
          <w:rFonts w:cs="Times New Roman"/>
          <w:sz w:val="32"/>
          <w:szCs w:val="32"/>
          <w:shd w:val="clear" w:color="auto" w:fill="FFFFFF"/>
        </w:rPr>
      </w:pPr>
      <w:r>
        <w:rPr>
          <w:rFonts w:cs="Times New Roman"/>
          <w:sz w:val="32"/>
          <w:szCs w:val="32"/>
          <w:shd w:val="clear" w:color="auto" w:fill="FFFFFF"/>
        </w:rPr>
        <w:t>摘  要</w:t>
      </w:r>
      <w:bookmarkEnd w:id="0"/>
      <w:bookmarkEnd w:id="1"/>
      <w:bookmarkEnd w:id="2"/>
      <w:bookmarkEnd w:id="3"/>
      <w:bookmarkEnd w:id="4"/>
    </w:p>
    <w:p>
      <w:pPr>
        <w:spacing w:line="560" w:lineRule="exact"/>
        <w:ind w:firstLine="640"/>
        <w:jc w:val="both"/>
        <w:rPr>
          <w:rFonts w:cs="Times New Roman"/>
        </w:rPr>
      </w:pPr>
      <w:r>
        <w:rPr>
          <w:rFonts w:hint="eastAsia" w:cs="Times New Roman"/>
        </w:rPr>
        <w:t>为深入了解韶关市文化广电旅游体育局</w:t>
      </w:r>
      <w:r>
        <w:rPr>
          <w:rFonts w:cs="Times New Roman"/>
        </w:rPr>
        <w:t>2022年基本支出和项目支出的整体绩效，强化部门预算绩效管理意识，促进被评价部门提升整体预算绩效管理工作水平，提高财政资金使用效益，受韶关市财政局（下称“市财政局”）的委托，广东中大管理咨询集团股份有限公司（下称“中大咨询”）组建绩效评价工作组对韶关市</w:t>
      </w:r>
      <w:r>
        <w:rPr>
          <w:rFonts w:hint="eastAsia" w:cs="Times New Roman"/>
        </w:rPr>
        <w:t>文化广电旅游体育局（下称“市文广旅体局”）</w:t>
      </w:r>
      <w:r>
        <w:rPr>
          <w:rFonts w:cs="Times New Roman"/>
        </w:rPr>
        <w:t>2022年度部门整体支出开展绩效评价工作。</w:t>
      </w:r>
      <w:r>
        <w:rPr>
          <w:rFonts w:hint="eastAsia" w:cs="Times New Roman"/>
        </w:rPr>
        <w:t>根据现有评价材料，结合书面评价和现场调研情况，市文广旅体局</w:t>
      </w:r>
      <w:r>
        <w:rPr>
          <w:rFonts w:cs="Times New Roman"/>
        </w:rPr>
        <w:t>2022年部门整体绩效评价综合得分80</w:t>
      </w:r>
      <w:r>
        <w:rPr>
          <w:rFonts w:hint="eastAsia" w:cs="Times New Roman"/>
        </w:rPr>
        <w:t>.</w:t>
      </w:r>
      <w:r>
        <w:rPr>
          <w:rFonts w:cs="Times New Roman"/>
        </w:rPr>
        <w:t>48</w:t>
      </w:r>
      <w:r>
        <w:rPr>
          <w:rFonts w:hint="eastAsia" w:cs="Times New Roman"/>
        </w:rPr>
        <w:t>分，等级为“良”。</w:t>
      </w:r>
    </w:p>
    <w:p>
      <w:pPr>
        <w:spacing w:line="560" w:lineRule="exact"/>
        <w:ind w:firstLine="640"/>
        <w:jc w:val="both"/>
        <w:rPr>
          <w:rFonts w:cs="Times New Roman"/>
        </w:rPr>
      </w:pPr>
      <w:r>
        <w:rPr>
          <w:rFonts w:hint="eastAsia" w:cs="Times New Roman"/>
        </w:rPr>
        <w:t>本次评价范围包括市文广旅体局内设的</w:t>
      </w:r>
      <w:r>
        <w:rPr>
          <w:rFonts w:cs="Times New Roman"/>
        </w:rPr>
        <w:t>17个职能股室</w:t>
      </w:r>
      <w:r>
        <w:rPr>
          <w:rFonts w:hint="eastAsia" w:cs="Times New Roman"/>
        </w:rPr>
        <w:t>和下设9个事业单位所纳入编制范围的基本支出预算和项目支出预算，评价基准日为</w:t>
      </w:r>
      <w:r>
        <w:rPr>
          <w:rFonts w:cs="Times New Roman"/>
        </w:rPr>
        <w:t>2022年12月31日。</w:t>
      </w:r>
    </w:p>
    <w:p>
      <w:pPr>
        <w:ind w:firstLine="640"/>
        <w:jc w:val="both"/>
        <w:rPr>
          <w:rFonts w:cs="Times New Roman"/>
        </w:rPr>
      </w:pPr>
      <w:r>
        <w:rPr>
          <w:rFonts w:hint="eastAsia" w:cs="Times New Roman"/>
          <w:szCs w:val="32"/>
        </w:rPr>
        <w:t>市文广旅体局2022年度</w:t>
      </w:r>
      <w:r>
        <w:rPr>
          <w:rFonts w:cs="Times New Roman"/>
        </w:rPr>
        <w:t>部门年初预算为</w:t>
      </w:r>
      <w:r>
        <w:rPr>
          <w:rFonts w:hint="eastAsia" w:cs="Times New Roman"/>
          <w:szCs w:val="32"/>
        </w:rPr>
        <w:t>21,034.15万元</w:t>
      </w:r>
      <w:r>
        <w:rPr>
          <w:rFonts w:cs="Times New Roman"/>
        </w:rPr>
        <w:t>，经年中预算调整，该部门调整后预算数为</w:t>
      </w:r>
      <w:r>
        <w:rPr>
          <w:rFonts w:hint="eastAsia" w:cs="Times New Roman"/>
        </w:rPr>
        <w:t>27,806.99万元</w:t>
      </w:r>
      <w:r>
        <w:rPr>
          <w:rFonts w:cs="Times New Roman"/>
        </w:rPr>
        <w:t>，年终决算部门实际支出</w:t>
      </w:r>
      <w:r>
        <w:rPr>
          <w:rFonts w:hint="eastAsia" w:cs="Times New Roman"/>
        </w:rPr>
        <w:t>合计支出28,604.22</w:t>
      </w:r>
      <w:r>
        <w:rPr>
          <w:rFonts w:cs="Times New Roman"/>
        </w:rPr>
        <w:t>万元</w:t>
      </w:r>
      <w:r>
        <w:rPr>
          <w:rStyle w:val="38"/>
          <w:rFonts w:cs="Times New Roman"/>
        </w:rPr>
        <w:footnoteReference w:id="0"/>
      </w:r>
      <w:r>
        <w:rPr>
          <w:rFonts w:cs="Times New Roman"/>
        </w:rPr>
        <w:t>。</w:t>
      </w:r>
    </w:p>
    <w:p>
      <w:pPr>
        <w:spacing w:line="560" w:lineRule="exact"/>
        <w:ind w:firstLine="640"/>
        <w:jc w:val="both"/>
        <w:rPr>
          <w:rFonts w:cs="Times New Roman"/>
        </w:rPr>
      </w:pPr>
      <w:r>
        <w:rPr>
          <w:rFonts w:hint="eastAsia" w:cs="Times New Roman"/>
        </w:rPr>
        <w:t>2022年</w:t>
      </w:r>
      <w:r>
        <w:rPr>
          <w:rFonts w:cs="Times New Roman"/>
        </w:rPr>
        <w:t>度，</w:t>
      </w:r>
      <w:r>
        <w:rPr>
          <w:rFonts w:hint="eastAsia" w:cs="Times New Roman"/>
          <w:szCs w:val="32"/>
        </w:rPr>
        <w:t>市文广旅体局</w:t>
      </w:r>
      <w:r>
        <w:rPr>
          <w:rFonts w:cs="Times New Roman"/>
          <w:szCs w:val="32"/>
        </w:rPr>
        <w:t>围绕</w:t>
      </w:r>
      <w:r>
        <w:rPr>
          <w:rFonts w:hint="eastAsia" w:cs="Times New Roman"/>
          <w:szCs w:val="32"/>
        </w:rPr>
        <w:t>推进文化事业</w:t>
      </w:r>
      <w:r>
        <w:rPr>
          <w:rFonts w:cs="Times New Roman"/>
          <w:szCs w:val="32"/>
        </w:rPr>
        <w:t>、</w:t>
      </w:r>
      <w:r>
        <w:rPr>
          <w:rFonts w:hint="eastAsia" w:cs="Times New Roman"/>
          <w:szCs w:val="32"/>
        </w:rPr>
        <w:t>激发旅游行业活力</w:t>
      </w:r>
      <w:r>
        <w:rPr>
          <w:rFonts w:cs="Times New Roman"/>
          <w:szCs w:val="32"/>
        </w:rPr>
        <w:t>、</w:t>
      </w:r>
      <w:r>
        <w:rPr>
          <w:rFonts w:hint="eastAsia" w:cs="Times New Roman"/>
          <w:szCs w:val="32"/>
        </w:rPr>
        <w:t>提升公共体育服务水平</w:t>
      </w:r>
      <w:r>
        <w:rPr>
          <w:rFonts w:cs="Times New Roman"/>
        </w:rPr>
        <w:t>等发展目标部署部门工作，总体而言有</w:t>
      </w:r>
      <w:r>
        <w:rPr>
          <w:rFonts w:hint="eastAsia" w:cs="Times New Roman"/>
        </w:rPr>
        <w:t>8</w:t>
      </w:r>
      <w:r>
        <w:rPr>
          <w:rFonts w:cs="Times New Roman"/>
        </w:rPr>
        <w:t>项工作</w:t>
      </w:r>
      <w:r>
        <w:rPr>
          <w:rFonts w:hint="eastAsia" w:cs="Times New Roman"/>
        </w:rPr>
        <w:t>任务</w:t>
      </w:r>
      <w:r>
        <w:rPr>
          <w:rFonts w:cs="Times New Roman"/>
        </w:rPr>
        <w:t>和3</w:t>
      </w:r>
      <w:r>
        <w:rPr>
          <w:rFonts w:hint="eastAsia" w:cs="Times New Roman"/>
        </w:rPr>
        <w:t>0</w:t>
      </w:r>
      <w:r>
        <w:rPr>
          <w:rFonts w:cs="Times New Roman"/>
        </w:rPr>
        <w:t>项关键任务指标。经评价，部门年度绩效完成情况基本符合预期，</w:t>
      </w:r>
      <w:r>
        <w:rPr>
          <w:rFonts w:cs="Times New Roman"/>
          <w:szCs w:val="32"/>
        </w:rPr>
        <w:t>3</w:t>
      </w:r>
      <w:r>
        <w:rPr>
          <w:rFonts w:hint="eastAsia" w:cs="Times New Roman"/>
          <w:szCs w:val="32"/>
        </w:rPr>
        <w:t>0</w:t>
      </w:r>
      <w:r>
        <w:rPr>
          <w:rFonts w:cs="Times New Roman"/>
          <w:szCs w:val="32"/>
        </w:rPr>
        <w:t>项</w:t>
      </w:r>
      <w:r>
        <w:rPr>
          <w:rFonts w:hint="eastAsia" w:cs="Times New Roman"/>
          <w:szCs w:val="32"/>
        </w:rPr>
        <w:t>绩效</w:t>
      </w:r>
      <w:r>
        <w:rPr>
          <w:rFonts w:cs="Times New Roman"/>
          <w:szCs w:val="32"/>
        </w:rPr>
        <w:t>指标</w:t>
      </w:r>
      <w:r>
        <w:rPr>
          <w:rFonts w:hint="eastAsia" w:cs="Times New Roman"/>
          <w:szCs w:val="32"/>
        </w:rPr>
        <w:t>共完成2</w:t>
      </w:r>
      <w:r>
        <w:rPr>
          <w:rFonts w:cs="Times New Roman"/>
          <w:szCs w:val="32"/>
        </w:rPr>
        <w:t>7</w:t>
      </w:r>
      <w:r>
        <w:rPr>
          <w:rFonts w:hint="eastAsia" w:cs="Times New Roman"/>
          <w:szCs w:val="32"/>
        </w:rPr>
        <w:t>项</w:t>
      </w:r>
      <w:r>
        <w:rPr>
          <w:rFonts w:cs="Times New Roman"/>
          <w:szCs w:val="32"/>
        </w:rPr>
        <w:t>，</w:t>
      </w:r>
      <w:r>
        <w:rPr>
          <w:rFonts w:cs="Times New Roman"/>
        </w:rPr>
        <w:t>3</w:t>
      </w:r>
      <w:r>
        <w:rPr>
          <w:rFonts w:hint="eastAsia" w:cs="Times New Roman"/>
        </w:rPr>
        <w:t>项未达到预期。</w:t>
      </w:r>
      <w:r>
        <w:rPr>
          <w:rFonts w:cs="Times New Roman"/>
        </w:rPr>
        <w:t>部门履职在</w:t>
      </w:r>
      <w:r>
        <w:rPr>
          <w:rFonts w:hint="eastAsia" w:cs="Times New Roman"/>
        </w:rPr>
        <w:t>推进文化繁荣</w:t>
      </w:r>
      <w:r>
        <w:rPr>
          <w:rFonts w:cs="Times New Roman"/>
        </w:rPr>
        <w:t>、</w:t>
      </w:r>
      <w:r>
        <w:rPr>
          <w:rFonts w:hint="eastAsia" w:cs="Times New Roman"/>
        </w:rPr>
        <w:t>激发旅游行业活力</w:t>
      </w:r>
      <w:r>
        <w:rPr>
          <w:rFonts w:cs="Times New Roman"/>
        </w:rPr>
        <w:t>、</w:t>
      </w:r>
      <w:r>
        <w:rPr>
          <w:rFonts w:hint="eastAsia" w:cs="Times New Roman"/>
        </w:rPr>
        <w:t>提升公共体育服务</w:t>
      </w:r>
      <w:r>
        <w:rPr>
          <w:rFonts w:cs="Times New Roman"/>
        </w:rPr>
        <w:t>等方面取得了较好成效。</w:t>
      </w:r>
    </w:p>
    <w:p>
      <w:pPr>
        <w:spacing w:line="560" w:lineRule="exact"/>
        <w:ind w:firstLine="640"/>
        <w:jc w:val="both"/>
        <w:rPr>
          <w:rFonts w:cs="Times New Roman"/>
        </w:rPr>
      </w:pPr>
      <w:r>
        <w:rPr>
          <w:rFonts w:hint="eastAsia" w:cs="Times New Roman"/>
        </w:rPr>
        <w:t>但</w:t>
      </w:r>
      <w:r>
        <w:rPr>
          <w:rFonts w:cs="Times New Roman"/>
        </w:rPr>
        <w:t>部门在预算编制、</w:t>
      </w:r>
      <w:r>
        <w:rPr>
          <w:rFonts w:hint="eastAsia" w:cs="Times New Roman"/>
        </w:rPr>
        <w:t>采购</w:t>
      </w:r>
      <w:r>
        <w:rPr>
          <w:rFonts w:cs="Times New Roman"/>
        </w:rPr>
        <w:t>管理</w:t>
      </w:r>
      <w:r>
        <w:rPr>
          <w:rFonts w:hint="eastAsia" w:cs="Times New Roman"/>
        </w:rPr>
        <w:t>过程</w:t>
      </w:r>
      <w:r>
        <w:rPr>
          <w:rFonts w:cs="Times New Roman"/>
        </w:rPr>
        <w:t>、</w:t>
      </w:r>
      <w:r>
        <w:rPr>
          <w:rFonts w:hint="eastAsia" w:cs="Times New Roman"/>
        </w:rPr>
        <w:t>固定资产管理、项目工作方式及</w:t>
      </w:r>
      <w:r>
        <w:rPr>
          <w:rFonts w:cs="Times New Roman"/>
        </w:rPr>
        <w:t>绩效目标</w:t>
      </w:r>
      <w:r>
        <w:rPr>
          <w:rFonts w:hint="eastAsia" w:cs="Times New Roman"/>
        </w:rPr>
        <w:t>设置</w:t>
      </w:r>
      <w:r>
        <w:rPr>
          <w:rFonts w:cs="Times New Roman"/>
        </w:rPr>
        <w:t>等方面仍有待加强。</w:t>
      </w:r>
      <w:r>
        <w:rPr>
          <w:rFonts w:hint="eastAsia" w:cs="Times New Roman"/>
        </w:rPr>
        <w:t>一</w:t>
      </w:r>
      <w:r>
        <w:rPr>
          <w:rFonts w:cs="Times New Roman"/>
        </w:rPr>
        <w:t>是部门</w:t>
      </w:r>
      <w:r>
        <w:rPr>
          <w:rFonts w:hint="eastAsia" w:cs="Times New Roman"/>
        </w:rPr>
        <w:t>采购管理过程</w:t>
      </w:r>
      <w:r>
        <w:rPr>
          <w:rFonts w:cs="Times New Roman"/>
        </w:rPr>
        <w:t>有待</w:t>
      </w:r>
      <w:r>
        <w:rPr>
          <w:rFonts w:hint="eastAsia" w:cs="Times New Roman"/>
        </w:rPr>
        <w:t>优化</w:t>
      </w:r>
      <w:r>
        <w:rPr>
          <w:rFonts w:cs="Times New Roman"/>
        </w:rPr>
        <w:t>，</w:t>
      </w:r>
      <w:r>
        <w:rPr>
          <w:rFonts w:hint="eastAsia" w:cs="Times New Roman"/>
        </w:rPr>
        <w:t>采购合同签订及采购</w:t>
      </w:r>
      <w:r>
        <w:rPr>
          <w:rFonts w:cs="Times New Roman"/>
        </w:rPr>
        <w:t>备案不及时</w:t>
      </w:r>
      <w:r>
        <w:rPr>
          <w:rFonts w:hint="eastAsia" w:cs="Times New Roman"/>
        </w:rPr>
        <w:t>，采购管理规范性不足</w:t>
      </w:r>
      <w:r>
        <w:rPr>
          <w:rFonts w:cs="Times New Roman"/>
        </w:rPr>
        <w:t>。</w:t>
      </w:r>
      <w:r>
        <w:rPr>
          <w:rFonts w:hint="eastAsia" w:cs="Times New Roman"/>
        </w:rPr>
        <w:t>二</w:t>
      </w:r>
      <w:r>
        <w:rPr>
          <w:rFonts w:cs="Times New Roman"/>
        </w:rPr>
        <w:t>是</w:t>
      </w:r>
      <w:r>
        <w:rPr>
          <w:rFonts w:hint="eastAsia" w:cs="Times New Roman"/>
        </w:rPr>
        <w:t>财务管理过程不符合内部控制要求，固</w:t>
      </w:r>
      <w:r>
        <w:rPr>
          <w:rFonts w:cs="Times New Roman"/>
        </w:rPr>
        <w:t>定资产</w:t>
      </w:r>
      <w:r>
        <w:rPr>
          <w:rFonts w:hint="eastAsia" w:cs="Times New Roman"/>
        </w:rPr>
        <w:t>管理存在不规范现象。三</w:t>
      </w:r>
      <w:r>
        <w:rPr>
          <w:rFonts w:cs="Times New Roman"/>
        </w:rPr>
        <w:t>是</w:t>
      </w:r>
      <w:r>
        <w:rPr>
          <w:rFonts w:hint="eastAsia" w:cs="Times New Roman"/>
        </w:rPr>
        <w:t>项目前期准备不充分，部分项目推进进度较慢。四是部分项目效益发挥不充分，未充分体现善美韶关旅游特色。五是部门绩效目标设置全面性不足，绩效管理水平待提升。</w:t>
      </w:r>
    </w:p>
    <w:p>
      <w:pPr>
        <w:spacing w:line="560" w:lineRule="exact"/>
        <w:ind w:firstLine="640"/>
        <w:jc w:val="both"/>
        <w:rPr>
          <w:rFonts w:cs="Times New Roman"/>
          <w:kern w:val="2"/>
        </w:rPr>
        <w:sectPr>
          <w:footerReference r:id="rId13" w:type="default"/>
          <w:type w:val="continuous"/>
          <w:pgSz w:w="11906" w:h="16838"/>
          <w:pgMar w:top="1440" w:right="1800" w:bottom="1440" w:left="1800" w:header="851" w:footer="992" w:gutter="0"/>
          <w:pgNumType w:fmt="numberInDash"/>
          <w:cols w:space="425" w:num="1"/>
          <w:docGrid w:type="lines" w:linePitch="312" w:charSpace="0"/>
        </w:sectPr>
      </w:pPr>
      <w:r>
        <w:rPr>
          <w:rFonts w:hint="eastAsia" w:cs="Times New Roman"/>
          <w:kern w:val="2"/>
        </w:rPr>
        <w:t>针对以上不足，提出以下建议：一是在采购流程管理方面，通过建立采购台账及时监督采购项目进度并进行合同备案。二是盘活部门固定资产，及时报废无法使用的固定资产，加强资产管理规范化工作。三是加强项目前期论证和过程监管，提高部门整体资金支出率。四是在部门旅游品牌建设方面，积极打造精品平台，优化精品平台功能。五是提高绩效指标设置的全面性，提升绩效管理水平。</w:t>
      </w:r>
    </w:p>
    <w:sdt>
      <w:sdtPr>
        <w:rPr>
          <w:rFonts w:ascii="黑体" w:hAnsi="黑体" w:eastAsia="宋体" w:cs="Times New Roman"/>
          <w:b/>
          <w:bCs/>
          <w:smallCaps/>
          <w:sz w:val="44"/>
          <w:szCs w:val="44"/>
        </w:rPr>
        <w:id w:val="147480539"/>
        <w15:color w:val="DBDBDB"/>
        <w:docPartObj>
          <w:docPartGallery w:val="Table of Contents"/>
          <w:docPartUnique/>
        </w:docPartObj>
      </w:sdtPr>
      <w:sdtEndPr>
        <w:rPr>
          <w:rFonts w:ascii="黑体" w:hAnsi="黑体" w:eastAsia="宋体" w:cs="Times New Roman"/>
          <w:b/>
          <w:bCs/>
          <w:smallCaps/>
          <w:sz w:val="44"/>
          <w:szCs w:val="44"/>
        </w:rPr>
      </w:sdtEndPr>
      <w:sdtContent>
        <w:p>
          <w:pPr>
            <w:spacing w:line="240" w:lineRule="auto"/>
            <w:ind w:firstLine="0" w:firstLineChars="0"/>
            <w:jc w:val="center"/>
            <w:rPr>
              <w:rFonts w:ascii="黑体" w:hAnsi="黑体" w:eastAsia="黑体" w:cs="Times New Roman"/>
              <w:b/>
              <w:bCs/>
              <w:sz w:val="44"/>
              <w:szCs w:val="44"/>
            </w:rPr>
          </w:pPr>
          <w:r>
            <w:rPr>
              <w:rFonts w:ascii="黑体" w:hAnsi="黑体" w:eastAsia="黑体" w:cs="Times New Roman"/>
              <w:b/>
              <w:bCs/>
              <w:sz w:val="44"/>
              <w:szCs w:val="44"/>
            </w:rPr>
            <w:t>目  录</w:t>
          </w:r>
        </w:p>
        <w:p>
          <w:pPr>
            <w:pStyle w:val="21"/>
            <w:tabs>
              <w:tab w:val="right" w:leader="dot" w:pos="8958"/>
              <w:tab w:val="clear" w:pos="8297"/>
            </w:tabs>
            <w:spacing w:before="0" w:after="0"/>
            <w:ind w:left="119"/>
            <w:rPr>
              <w:rFonts w:ascii="宋体" w:hAnsi="宋体" w:eastAsia="宋体" w:cs="宋体"/>
              <w:sz w:val="28"/>
              <w:szCs w:val="28"/>
            </w:rPr>
          </w:pPr>
          <w:r>
            <w:rPr>
              <w:rFonts w:ascii="Times New Roman" w:hAnsi="Times New Roman" w:cs="Times New Roman"/>
              <w:caps w:val="0"/>
            </w:rPr>
            <w:fldChar w:fldCharType="begin"/>
          </w:r>
          <w:r>
            <w:rPr>
              <w:rFonts w:ascii="Times New Roman" w:hAnsi="Times New Roman" w:cs="Times New Roman"/>
              <w:caps w:val="0"/>
            </w:rPr>
            <w:instrText xml:space="preserve">TOC \o "1-2" \h \u </w:instrText>
          </w:r>
          <w:r>
            <w:rPr>
              <w:rFonts w:ascii="Times New Roman" w:hAnsi="Times New Roman" w:cs="Times New Roman"/>
              <w:caps w:val="0"/>
            </w:rPr>
            <w:fldChar w:fldCharType="separate"/>
          </w:r>
          <w:r>
            <w:fldChar w:fldCharType="begin"/>
          </w:r>
          <w:r>
            <w:instrText xml:space="preserve"> HYPERLINK \l "_Toc23982" </w:instrText>
          </w:r>
          <w:r>
            <w:fldChar w:fldCharType="separate"/>
          </w:r>
          <w:r>
            <w:rPr>
              <w:rFonts w:hint="eastAsia" w:ascii="宋体" w:hAnsi="宋体" w:eastAsia="宋体" w:cs="宋体"/>
              <w:kern w:val="44"/>
              <w:sz w:val="28"/>
              <w:szCs w:val="28"/>
            </w:rPr>
            <w:t>一、部门基本情况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_Toc23982 \h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8958"/>
              <w:tab w:val="clear" w:pos="8297"/>
            </w:tabs>
            <w:ind w:left="119"/>
            <w:rPr>
              <w:rFonts w:ascii="宋体" w:hAnsi="宋体" w:eastAsia="宋体" w:cs="宋体"/>
              <w:sz w:val="28"/>
              <w:szCs w:val="28"/>
            </w:rPr>
          </w:pPr>
          <w:r>
            <w:fldChar w:fldCharType="begin"/>
          </w:r>
          <w:r>
            <w:instrText xml:space="preserve"> HYPERLINK \l "_Toc29358" </w:instrText>
          </w:r>
          <w:r>
            <w:fldChar w:fldCharType="separate"/>
          </w:r>
          <w:r>
            <w:rPr>
              <w:rFonts w:hint="eastAsia" w:ascii="宋体" w:hAnsi="宋体" w:eastAsia="宋体" w:cs="宋体"/>
              <w:sz w:val="28"/>
              <w:szCs w:val="28"/>
            </w:rPr>
            <w:t>（一）部门概要</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_Toc29358 \h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8958"/>
              <w:tab w:val="clear" w:pos="8297"/>
            </w:tabs>
            <w:ind w:left="119"/>
            <w:rPr>
              <w:rFonts w:ascii="宋体" w:hAnsi="宋体" w:eastAsia="宋体" w:cs="宋体"/>
              <w:sz w:val="28"/>
              <w:szCs w:val="28"/>
            </w:rPr>
          </w:pPr>
          <w:r>
            <w:fldChar w:fldCharType="begin"/>
          </w:r>
          <w:r>
            <w:instrText xml:space="preserve"> HYPERLINK \l "_Toc31639" </w:instrText>
          </w:r>
          <w:r>
            <w:fldChar w:fldCharType="separate"/>
          </w:r>
          <w:r>
            <w:rPr>
              <w:rFonts w:hint="eastAsia" w:ascii="宋体" w:hAnsi="宋体" w:eastAsia="宋体" w:cs="宋体"/>
              <w:sz w:val="28"/>
              <w:szCs w:val="28"/>
            </w:rPr>
            <w:t>（二）年度总体工作及重点工作任务</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_Toc31639 \h </w:instrText>
          </w:r>
          <w:r>
            <w:rPr>
              <w:rFonts w:hint="eastAsia" w:ascii="宋体" w:hAnsi="宋体" w:eastAsia="宋体" w:cs="宋体"/>
              <w:sz w:val="28"/>
              <w:szCs w:val="28"/>
            </w:rPr>
            <w:fldChar w:fldCharType="separate"/>
          </w:r>
          <w:r>
            <w:rPr>
              <w:rFonts w:ascii="宋体" w:hAnsi="宋体" w:eastAsia="宋体" w:cs="宋体"/>
              <w:sz w:val="28"/>
              <w:szCs w:val="28"/>
            </w:rPr>
            <w:t>- 3 -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8958"/>
              <w:tab w:val="clear" w:pos="8297"/>
            </w:tabs>
            <w:ind w:left="119"/>
            <w:rPr>
              <w:rFonts w:ascii="宋体" w:hAnsi="宋体" w:eastAsia="宋体" w:cs="宋体"/>
              <w:sz w:val="28"/>
              <w:szCs w:val="28"/>
            </w:rPr>
          </w:pPr>
          <w:r>
            <w:fldChar w:fldCharType="begin"/>
          </w:r>
          <w:r>
            <w:instrText xml:space="preserve"> HYPERLINK \l "_Toc5200" </w:instrText>
          </w:r>
          <w:r>
            <w:fldChar w:fldCharType="separate"/>
          </w:r>
          <w:r>
            <w:rPr>
              <w:rFonts w:hint="eastAsia" w:ascii="宋体" w:hAnsi="宋体" w:eastAsia="宋体" w:cs="宋体"/>
              <w:sz w:val="28"/>
              <w:szCs w:val="28"/>
            </w:rPr>
            <w:t>（三）部门整体支出绩效目标</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_Toc5200 \h </w:instrText>
          </w:r>
          <w:r>
            <w:rPr>
              <w:rFonts w:hint="eastAsia" w:ascii="宋体" w:hAnsi="宋体" w:eastAsia="宋体" w:cs="宋体"/>
              <w:sz w:val="28"/>
              <w:szCs w:val="28"/>
            </w:rPr>
            <w:fldChar w:fldCharType="separate"/>
          </w:r>
          <w:r>
            <w:rPr>
              <w:rFonts w:ascii="宋体" w:hAnsi="宋体" w:eastAsia="宋体" w:cs="宋体"/>
              <w:sz w:val="28"/>
              <w:szCs w:val="28"/>
            </w:rPr>
            <w:t>- 4 -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8958"/>
              <w:tab w:val="clear" w:pos="8297"/>
            </w:tabs>
            <w:ind w:left="119"/>
            <w:rPr>
              <w:rFonts w:ascii="宋体" w:hAnsi="宋体" w:eastAsia="宋体" w:cs="宋体"/>
              <w:sz w:val="28"/>
              <w:szCs w:val="28"/>
            </w:rPr>
          </w:pPr>
          <w:r>
            <w:fldChar w:fldCharType="begin"/>
          </w:r>
          <w:r>
            <w:instrText xml:space="preserve"> HYPERLINK \l "_Toc20022" </w:instrText>
          </w:r>
          <w:r>
            <w:fldChar w:fldCharType="separate"/>
          </w:r>
          <w:r>
            <w:rPr>
              <w:rFonts w:hint="eastAsia" w:ascii="宋体" w:hAnsi="宋体" w:eastAsia="宋体" w:cs="宋体"/>
              <w:sz w:val="28"/>
              <w:szCs w:val="28"/>
            </w:rPr>
            <w:t>（四）部门整体收支情况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_Toc20022 \h </w:instrText>
          </w:r>
          <w:r>
            <w:rPr>
              <w:rFonts w:hint="eastAsia" w:ascii="宋体" w:hAnsi="宋体" w:eastAsia="宋体" w:cs="宋体"/>
              <w:sz w:val="28"/>
              <w:szCs w:val="28"/>
            </w:rPr>
            <w:fldChar w:fldCharType="separate"/>
          </w:r>
          <w:r>
            <w:rPr>
              <w:rFonts w:ascii="宋体" w:hAnsi="宋体" w:eastAsia="宋体" w:cs="宋体"/>
              <w:sz w:val="28"/>
              <w:szCs w:val="28"/>
            </w:rPr>
            <w:t>- 5 -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1"/>
            <w:tabs>
              <w:tab w:val="right" w:leader="dot" w:pos="8958"/>
              <w:tab w:val="clear" w:pos="8297"/>
            </w:tabs>
            <w:spacing w:before="0" w:after="0"/>
            <w:ind w:left="119"/>
            <w:rPr>
              <w:rFonts w:ascii="宋体" w:hAnsi="宋体" w:eastAsia="宋体" w:cs="宋体"/>
              <w:sz w:val="28"/>
              <w:szCs w:val="28"/>
            </w:rPr>
          </w:pPr>
          <w:r>
            <w:fldChar w:fldCharType="begin"/>
          </w:r>
          <w:r>
            <w:instrText xml:space="preserve"> HYPERLINK \l "_Toc30976" </w:instrText>
          </w:r>
          <w:r>
            <w:fldChar w:fldCharType="separate"/>
          </w:r>
          <w:r>
            <w:rPr>
              <w:rFonts w:hint="eastAsia" w:ascii="宋体" w:hAnsi="宋体" w:eastAsia="宋体" w:cs="宋体"/>
              <w:kern w:val="44"/>
              <w:sz w:val="28"/>
              <w:szCs w:val="28"/>
            </w:rPr>
            <w:t>二、绩效评价指标分析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_Toc30976 \h </w:instrText>
          </w:r>
          <w:r>
            <w:rPr>
              <w:rFonts w:hint="eastAsia" w:ascii="宋体" w:hAnsi="宋体" w:eastAsia="宋体" w:cs="宋体"/>
              <w:sz w:val="28"/>
              <w:szCs w:val="28"/>
            </w:rPr>
            <w:fldChar w:fldCharType="separate"/>
          </w:r>
          <w:r>
            <w:rPr>
              <w:rFonts w:ascii="宋体" w:hAnsi="宋体" w:eastAsia="宋体" w:cs="宋体"/>
              <w:sz w:val="28"/>
              <w:szCs w:val="28"/>
            </w:rPr>
            <w:t>- 8 -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8958"/>
              <w:tab w:val="clear" w:pos="8297"/>
            </w:tabs>
            <w:ind w:left="119"/>
            <w:rPr>
              <w:rFonts w:ascii="宋体" w:hAnsi="宋体" w:eastAsia="宋体" w:cs="宋体"/>
              <w:sz w:val="28"/>
              <w:szCs w:val="28"/>
            </w:rPr>
          </w:pPr>
          <w:r>
            <w:fldChar w:fldCharType="begin"/>
          </w:r>
          <w:r>
            <w:instrText xml:space="preserve"> HYPERLINK \l "_Toc288" </w:instrText>
          </w:r>
          <w:r>
            <w:fldChar w:fldCharType="separate"/>
          </w:r>
          <w:r>
            <w:rPr>
              <w:rFonts w:hint="eastAsia" w:ascii="宋体" w:hAnsi="宋体" w:eastAsia="宋体" w:cs="宋体"/>
              <w:sz w:val="28"/>
              <w:szCs w:val="28"/>
            </w:rPr>
            <w:t>（一）年度工作任务及绩效目标完成情况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_Toc288 \h </w:instrText>
          </w:r>
          <w:r>
            <w:rPr>
              <w:rFonts w:hint="eastAsia" w:ascii="宋体" w:hAnsi="宋体" w:eastAsia="宋体" w:cs="宋体"/>
              <w:sz w:val="28"/>
              <w:szCs w:val="28"/>
            </w:rPr>
            <w:fldChar w:fldCharType="separate"/>
          </w:r>
          <w:r>
            <w:rPr>
              <w:rFonts w:ascii="宋体" w:hAnsi="宋体" w:eastAsia="宋体" w:cs="宋体"/>
              <w:sz w:val="28"/>
              <w:szCs w:val="28"/>
            </w:rPr>
            <w:t>- 8 -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8958"/>
              <w:tab w:val="clear" w:pos="8297"/>
            </w:tabs>
            <w:ind w:left="119"/>
            <w:rPr>
              <w:rFonts w:ascii="宋体" w:hAnsi="宋体" w:eastAsia="宋体" w:cs="宋体"/>
              <w:sz w:val="28"/>
              <w:szCs w:val="28"/>
            </w:rPr>
          </w:pPr>
          <w:r>
            <w:fldChar w:fldCharType="begin"/>
          </w:r>
          <w:r>
            <w:instrText xml:space="preserve"> HYPERLINK \l "_Toc22905" </w:instrText>
          </w:r>
          <w:r>
            <w:fldChar w:fldCharType="separate"/>
          </w:r>
          <w:r>
            <w:rPr>
              <w:rFonts w:hint="eastAsia" w:ascii="宋体" w:hAnsi="宋体" w:eastAsia="宋体" w:cs="宋体"/>
              <w:sz w:val="28"/>
              <w:szCs w:val="28"/>
            </w:rPr>
            <w:t>（二）指标分析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_Toc22905 \h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1"/>
            <w:tabs>
              <w:tab w:val="right" w:leader="dot" w:pos="8958"/>
              <w:tab w:val="clear" w:pos="8297"/>
            </w:tabs>
            <w:spacing w:before="0" w:after="0"/>
            <w:ind w:left="119"/>
            <w:rPr>
              <w:rFonts w:ascii="宋体" w:hAnsi="宋体" w:eastAsia="宋体" w:cs="宋体"/>
              <w:sz w:val="28"/>
              <w:szCs w:val="28"/>
            </w:rPr>
          </w:pPr>
          <w:r>
            <w:fldChar w:fldCharType="begin"/>
          </w:r>
          <w:r>
            <w:instrText xml:space="preserve"> HYPERLINK \l "_Toc8114" </w:instrText>
          </w:r>
          <w:r>
            <w:fldChar w:fldCharType="separate"/>
          </w:r>
          <w:r>
            <w:rPr>
              <w:rFonts w:hint="eastAsia" w:ascii="宋体" w:hAnsi="宋体" w:eastAsia="宋体" w:cs="宋体"/>
              <w:kern w:val="44"/>
              <w:sz w:val="28"/>
              <w:szCs w:val="28"/>
            </w:rPr>
            <w:t>三、 评价结论</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_Toc8114 \h </w:instrText>
          </w:r>
          <w:r>
            <w:rPr>
              <w:rFonts w:hint="eastAsia" w:ascii="宋体" w:hAnsi="宋体" w:eastAsia="宋体" w:cs="宋体"/>
              <w:sz w:val="28"/>
              <w:szCs w:val="28"/>
            </w:rPr>
            <w:fldChar w:fldCharType="separate"/>
          </w:r>
          <w:r>
            <w:rPr>
              <w:rFonts w:ascii="宋体" w:hAnsi="宋体" w:eastAsia="宋体" w:cs="宋体"/>
              <w:sz w:val="28"/>
              <w:szCs w:val="28"/>
            </w:rPr>
            <w:t>- 20 -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1"/>
            <w:tabs>
              <w:tab w:val="right" w:leader="dot" w:pos="8958"/>
              <w:tab w:val="clear" w:pos="8297"/>
            </w:tabs>
            <w:spacing w:before="0" w:after="0"/>
            <w:ind w:left="119"/>
            <w:rPr>
              <w:rFonts w:ascii="宋体" w:hAnsi="宋体" w:eastAsia="宋体" w:cs="宋体"/>
              <w:sz w:val="28"/>
              <w:szCs w:val="28"/>
            </w:rPr>
          </w:pPr>
          <w:r>
            <w:fldChar w:fldCharType="begin"/>
          </w:r>
          <w:r>
            <w:instrText xml:space="preserve"> HYPERLINK \l "_Toc15085" </w:instrText>
          </w:r>
          <w:r>
            <w:fldChar w:fldCharType="separate"/>
          </w:r>
          <w:r>
            <w:rPr>
              <w:rFonts w:hint="eastAsia" w:ascii="宋体" w:hAnsi="宋体" w:eastAsia="宋体" w:cs="宋体"/>
              <w:kern w:val="44"/>
              <w:sz w:val="28"/>
              <w:szCs w:val="28"/>
            </w:rPr>
            <w:t>三、 主要绩效</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_Toc15085 \h </w:instrText>
          </w:r>
          <w:r>
            <w:rPr>
              <w:rFonts w:hint="eastAsia" w:ascii="宋体" w:hAnsi="宋体" w:eastAsia="宋体" w:cs="宋体"/>
              <w:sz w:val="28"/>
              <w:szCs w:val="28"/>
            </w:rPr>
            <w:fldChar w:fldCharType="separate"/>
          </w:r>
          <w:r>
            <w:rPr>
              <w:rFonts w:ascii="宋体" w:hAnsi="宋体" w:eastAsia="宋体" w:cs="宋体"/>
              <w:sz w:val="28"/>
              <w:szCs w:val="28"/>
            </w:rPr>
            <w:t>- 20 -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8958"/>
              <w:tab w:val="clear" w:pos="8297"/>
            </w:tabs>
            <w:ind w:left="119"/>
            <w:rPr>
              <w:rFonts w:ascii="宋体" w:hAnsi="宋体" w:eastAsia="宋体" w:cs="宋体"/>
              <w:sz w:val="28"/>
              <w:szCs w:val="28"/>
            </w:rPr>
          </w:pPr>
          <w:r>
            <w:fldChar w:fldCharType="begin"/>
          </w:r>
          <w:r>
            <w:instrText xml:space="preserve"> HYPERLINK \l "_Toc19575" </w:instrText>
          </w:r>
          <w:r>
            <w:fldChar w:fldCharType="separate"/>
          </w:r>
          <w:r>
            <w:rPr>
              <w:rFonts w:hint="eastAsia" w:ascii="宋体" w:hAnsi="宋体" w:eastAsia="宋体" w:cs="宋体"/>
              <w:sz w:val="28"/>
              <w:szCs w:val="28"/>
            </w:rPr>
            <w:t>（一）稳步推进文化繁荣发展，提高公共文化服务水平</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_Toc19575 \h </w:instrText>
          </w:r>
          <w:r>
            <w:rPr>
              <w:rFonts w:hint="eastAsia" w:ascii="宋体" w:hAnsi="宋体" w:eastAsia="宋体" w:cs="宋体"/>
              <w:sz w:val="28"/>
              <w:szCs w:val="28"/>
            </w:rPr>
            <w:fldChar w:fldCharType="separate"/>
          </w:r>
          <w:r>
            <w:rPr>
              <w:rFonts w:ascii="宋体" w:hAnsi="宋体" w:eastAsia="宋体" w:cs="宋体"/>
              <w:sz w:val="28"/>
              <w:szCs w:val="28"/>
            </w:rPr>
            <w:t>- 20 -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8958"/>
              <w:tab w:val="clear" w:pos="8297"/>
            </w:tabs>
            <w:ind w:left="119"/>
            <w:rPr>
              <w:rFonts w:ascii="宋体" w:hAnsi="宋体" w:eastAsia="宋体" w:cs="宋体"/>
              <w:sz w:val="28"/>
              <w:szCs w:val="28"/>
            </w:rPr>
          </w:pPr>
          <w:r>
            <w:fldChar w:fldCharType="begin"/>
          </w:r>
          <w:r>
            <w:instrText xml:space="preserve"> HYPERLINK \l "_Toc10069" </w:instrText>
          </w:r>
          <w:r>
            <w:fldChar w:fldCharType="separate"/>
          </w:r>
          <w:r>
            <w:rPr>
              <w:rFonts w:hint="eastAsia" w:ascii="宋体" w:hAnsi="宋体" w:eastAsia="宋体" w:cs="宋体"/>
              <w:sz w:val="28"/>
              <w:szCs w:val="28"/>
            </w:rPr>
            <w:t>（二）扎实开展旅游推介活动，激发旅游行业市场活力</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_Toc10069 \h </w:instrText>
          </w:r>
          <w:r>
            <w:rPr>
              <w:rFonts w:hint="eastAsia" w:ascii="宋体" w:hAnsi="宋体" w:eastAsia="宋体" w:cs="宋体"/>
              <w:sz w:val="28"/>
              <w:szCs w:val="28"/>
            </w:rPr>
            <w:fldChar w:fldCharType="separate"/>
          </w:r>
          <w:r>
            <w:rPr>
              <w:rFonts w:ascii="宋体" w:hAnsi="宋体" w:eastAsia="宋体" w:cs="宋体"/>
              <w:sz w:val="28"/>
              <w:szCs w:val="28"/>
            </w:rPr>
            <w:t>- 21 -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8958"/>
              <w:tab w:val="clear" w:pos="8297"/>
            </w:tabs>
            <w:ind w:left="119"/>
            <w:rPr>
              <w:rFonts w:ascii="宋体" w:hAnsi="宋体" w:eastAsia="宋体" w:cs="宋体"/>
              <w:sz w:val="28"/>
              <w:szCs w:val="28"/>
            </w:rPr>
          </w:pPr>
          <w:r>
            <w:fldChar w:fldCharType="begin"/>
          </w:r>
          <w:r>
            <w:instrText xml:space="preserve"> HYPERLINK \l "_Toc31932" </w:instrText>
          </w:r>
          <w:r>
            <w:fldChar w:fldCharType="separate"/>
          </w:r>
          <w:r>
            <w:rPr>
              <w:rFonts w:hint="eastAsia" w:ascii="宋体" w:hAnsi="宋体" w:eastAsia="宋体" w:cs="宋体"/>
              <w:sz w:val="28"/>
              <w:szCs w:val="28"/>
            </w:rPr>
            <w:t>（三）完成韶州体育中心建设，提升公共体育服务水平</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_Toc31932 \h </w:instrText>
          </w:r>
          <w:r>
            <w:rPr>
              <w:rFonts w:hint="eastAsia" w:ascii="宋体" w:hAnsi="宋体" w:eastAsia="宋体" w:cs="宋体"/>
              <w:sz w:val="28"/>
              <w:szCs w:val="28"/>
            </w:rPr>
            <w:fldChar w:fldCharType="separate"/>
          </w:r>
          <w:r>
            <w:rPr>
              <w:rFonts w:ascii="宋体" w:hAnsi="宋体" w:eastAsia="宋体" w:cs="宋体"/>
              <w:sz w:val="28"/>
              <w:szCs w:val="28"/>
            </w:rPr>
            <w:t>- 22 -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1"/>
            <w:tabs>
              <w:tab w:val="right" w:leader="dot" w:pos="8958"/>
              <w:tab w:val="clear" w:pos="8297"/>
            </w:tabs>
            <w:spacing w:before="0" w:after="0"/>
            <w:ind w:left="119"/>
            <w:rPr>
              <w:rFonts w:ascii="宋体" w:hAnsi="宋体" w:eastAsia="宋体" w:cs="宋体"/>
              <w:sz w:val="28"/>
              <w:szCs w:val="28"/>
            </w:rPr>
          </w:pPr>
          <w:r>
            <w:fldChar w:fldCharType="begin"/>
          </w:r>
          <w:r>
            <w:instrText xml:space="preserve"> HYPERLINK \l "_Toc19763" </w:instrText>
          </w:r>
          <w:r>
            <w:fldChar w:fldCharType="separate"/>
          </w:r>
          <w:r>
            <w:rPr>
              <w:rFonts w:hint="eastAsia" w:ascii="宋体" w:hAnsi="宋体" w:eastAsia="宋体" w:cs="宋体"/>
              <w:kern w:val="44"/>
              <w:sz w:val="28"/>
              <w:szCs w:val="28"/>
            </w:rPr>
            <w:t>五、问题</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_Toc19763 \h </w:instrText>
          </w:r>
          <w:r>
            <w:rPr>
              <w:rFonts w:hint="eastAsia" w:ascii="宋体" w:hAnsi="宋体" w:eastAsia="宋体" w:cs="宋体"/>
              <w:sz w:val="28"/>
              <w:szCs w:val="28"/>
            </w:rPr>
            <w:fldChar w:fldCharType="separate"/>
          </w:r>
          <w:r>
            <w:rPr>
              <w:rFonts w:ascii="宋体" w:hAnsi="宋体" w:eastAsia="宋体" w:cs="宋体"/>
              <w:sz w:val="28"/>
              <w:szCs w:val="28"/>
            </w:rPr>
            <w:t>- 23 -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8958"/>
              <w:tab w:val="clear" w:pos="8297"/>
            </w:tabs>
            <w:ind w:left="119"/>
            <w:rPr>
              <w:rFonts w:ascii="宋体" w:hAnsi="宋体" w:eastAsia="宋体" w:cs="宋体"/>
              <w:sz w:val="28"/>
              <w:szCs w:val="28"/>
            </w:rPr>
          </w:pPr>
          <w:r>
            <w:fldChar w:fldCharType="begin"/>
          </w:r>
          <w:r>
            <w:instrText xml:space="preserve"> HYPERLINK \l "_Toc8631" </w:instrText>
          </w:r>
          <w:r>
            <w:fldChar w:fldCharType="separate"/>
          </w:r>
          <w:r>
            <w:rPr>
              <w:rFonts w:hint="eastAsia" w:ascii="宋体" w:hAnsi="宋体" w:eastAsia="宋体" w:cs="宋体"/>
              <w:kern w:val="2"/>
              <w:sz w:val="28"/>
              <w:szCs w:val="28"/>
            </w:rPr>
            <w:t>（一）采购管理过程有待优化，采购合同备案不及时</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_Toc8631 \h </w:instrText>
          </w:r>
          <w:r>
            <w:rPr>
              <w:rFonts w:hint="eastAsia" w:ascii="宋体" w:hAnsi="宋体" w:eastAsia="宋体" w:cs="宋体"/>
              <w:sz w:val="28"/>
              <w:szCs w:val="28"/>
            </w:rPr>
            <w:fldChar w:fldCharType="separate"/>
          </w:r>
          <w:r>
            <w:rPr>
              <w:rFonts w:ascii="宋体" w:hAnsi="宋体" w:eastAsia="宋体" w:cs="宋体"/>
              <w:sz w:val="28"/>
              <w:szCs w:val="28"/>
            </w:rPr>
            <w:t>- 23 -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8958"/>
              <w:tab w:val="clear" w:pos="8297"/>
            </w:tabs>
            <w:ind w:left="119"/>
            <w:rPr>
              <w:rFonts w:ascii="宋体" w:hAnsi="宋体" w:eastAsia="宋体" w:cs="宋体"/>
              <w:sz w:val="28"/>
              <w:szCs w:val="28"/>
            </w:rPr>
          </w:pPr>
          <w:r>
            <w:fldChar w:fldCharType="begin"/>
          </w:r>
          <w:r>
            <w:instrText xml:space="preserve"> HYPERLINK \l "_Toc27299" </w:instrText>
          </w:r>
          <w:r>
            <w:fldChar w:fldCharType="separate"/>
          </w:r>
          <w:r>
            <w:rPr>
              <w:rFonts w:hint="eastAsia" w:ascii="宋体" w:hAnsi="宋体" w:eastAsia="宋体" w:cs="宋体"/>
              <w:kern w:val="2"/>
              <w:sz w:val="28"/>
              <w:szCs w:val="28"/>
            </w:rPr>
            <w:t>（二）财务管理过程不到位，固定资产管理不规范</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_Toc27299 \h </w:instrText>
          </w:r>
          <w:r>
            <w:rPr>
              <w:rFonts w:hint="eastAsia" w:ascii="宋体" w:hAnsi="宋体" w:eastAsia="宋体" w:cs="宋体"/>
              <w:sz w:val="28"/>
              <w:szCs w:val="28"/>
            </w:rPr>
            <w:fldChar w:fldCharType="separate"/>
          </w:r>
          <w:r>
            <w:rPr>
              <w:rFonts w:ascii="宋体" w:hAnsi="宋体" w:eastAsia="宋体" w:cs="宋体"/>
              <w:sz w:val="28"/>
              <w:szCs w:val="28"/>
            </w:rPr>
            <w:t>- 23 -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8958"/>
              <w:tab w:val="clear" w:pos="8297"/>
            </w:tabs>
            <w:ind w:left="119"/>
            <w:rPr>
              <w:rFonts w:ascii="宋体" w:hAnsi="宋体" w:eastAsia="宋体" w:cs="宋体"/>
              <w:sz w:val="28"/>
              <w:szCs w:val="28"/>
            </w:rPr>
          </w:pPr>
          <w:r>
            <w:fldChar w:fldCharType="begin"/>
          </w:r>
          <w:r>
            <w:instrText xml:space="preserve"> HYPERLINK \l "_Toc13289" </w:instrText>
          </w:r>
          <w:r>
            <w:fldChar w:fldCharType="separate"/>
          </w:r>
          <w:r>
            <w:rPr>
              <w:rFonts w:hint="eastAsia" w:ascii="宋体" w:hAnsi="宋体" w:eastAsia="宋体" w:cs="宋体"/>
              <w:kern w:val="2"/>
              <w:sz w:val="28"/>
              <w:szCs w:val="28"/>
            </w:rPr>
            <w:t>（三）项目前期准备不充分，部分项目推进进度较慢</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_Toc13289 \h </w:instrText>
          </w:r>
          <w:r>
            <w:rPr>
              <w:rFonts w:hint="eastAsia" w:ascii="宋体" w:hAnsi="宋体" w:eastAsia="宋体" w:cs="宋体"/>
              <w:sz w:val="28"/>
              <w:szCs w:val="28"/>
            </w:rPr>
            <w:fldChar w:fldCharType="separate"/>
          </w:r>
          <w:r>
            <w:rPr>
              <w:rFonts w:ascii="宋体" w:hAnsi="宋体" w:eastAsia="宋体" w:cs="宋体"/>
              <w:sz w:val="28"/>
              <w:szCs w:val="28"/>
            </w:rPr>
            <w:t>- 25 -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8958"/>
              <w:tab w:val="clear" w:pos="8297"/>
            </w:tabs>
            <w:ind w:left="119"/>
            <w:rPr>
              <w:rFonts w:ascii="宋体" w:hAnsi="宋体" w:eastAsia="宋体" w:cs="宋体"/>
              <w:sz w:val="28"/>
              <w:szCs w:val="28"/>
            </w:rPr>
          </w:pPr>
          <w:r>
            <w:fldChar w:fldCharType="begin"/>
          </w:r>
          <w:r>
            <w:instrText xml:space="preserve"> HYPERLINK \l "_Toc17831" </w:instrText>
          </w:r>
          <w:r>
            <w:fldChar w:fldCharType="separate"/>
          </w:r>
          <w:r>
            <w:rPr>
              <w:rFonts w:hint="eastAsia" w:ascii="宋体" w:hAnsi="宋体" w:eastAsia="宋体" w:cs="宋体"/>
              <w:kern w:val="2"/>
              <w:sz w:val="28"/>
              <w:szCs w:val="28"/>
            </w:rPr>
            <w:t>（四）部分项目效益未充分发挥，善美韶关旅游品牌效应未充分凸显</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_Toc17831 \h </w:instrText>
          </w:r>
          <w:r>
            <w:rPr>
              <w:rFonts w:hint="eastAsia" w:ascii="宋体" w:hAnsi="宋体" w:eastAsia="宋体" w:cs="宋体"/>
              <w:sz w:val="28"/>
              <w:szCs w:val="28"/>
            </w:rPr>
            <w:fldChar w:fldCharType="separate"/>
          </w:r>
          <w:r>
            <w:rPr>
              <w:rFonts w:ascii="宋体" w:hAnsi="宋体" w:eastAsia="宋体" w:cs="宋体"/>
              <w:sz w:val="28"/>
              <w:szCs w:val="28"/>
            </w:rPr>
            <w:t>- 25 -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8958"/>
              <w:tab w:val="clear" w:pos="8297"/>
            </w:tabs>
            <w:ind w:left="119"/>
            <w:rPr>
              <w:rFonts w:ascii="宋体" w:hAnsi="宋体" w:eastAsia="宋体" w:cs="宋体"/>
              <w:sz w:val="28"/>
              <w:szCs w:val="28"/>
            </w:rPr>
          </w:pPr>
          <w:r>
            <w:fldChar w:fldCharType="begin"/>
          </w:r>
          <w:r>
            <w:instrText xml:space="preserve"> HYPERLINK \l "_Toc31404" </w:instrText>
          </w:r>
          <w:r>
            <w:fldChar w:fldCharType="separate"/>
          </w:r>
          <w:r>
            <w:rPr>
              <w:rFonts w:hint="eastAsia" w:ascii="宋体" w:hAnsi="宋体" w:eastAsia="宋体" w:cs="宋体"/>
              <w:kern w:val="2"/>
              <w:sz w:val="28"/>
              <w:szCs w:val="28"/>
            </w:rPr>
            <w:t>（五）绩效指标设置不全面，绩效管理水平有待提升</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_Toc31404 \h </w:instrText>
          </w:r>
          <w:r>
            <w:rPr>
              <w:rFonts w:hint="eastAsia" w:ascii="宋体" w:hAnsi="宋体" w:eastAsia="宋体" w:cs="宋体"/>
              <w:sz w:val="28"/>
              <w:szCs w:val="28"/>
            </w:rPr>
            <w:fldChar w:fldCharType="separate"/>
          </w:r>
          <w:r>
            <w:rPr>
              <w:rFonts w:ascii="宋体" w:hAnsi="宋体" w:eastAsia="宋体" w:cs="宋体"/>
              <w:sz w:val="28"/>
              <w:szCs w:val="28"/>
            </w:rPr>
            <w:t>- 26 -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1"/>
            <w:tabs>
              <w:tab w:val="right" w:leader="dot" w:pos="8958"/>
              <w:tab w:val="clear" w:pos="8297"/>
            </w:tabs>
            <w:spacing w:before="0" w:after="0"/>
            <w:ind w:left="119"/>
            <w:rPr>
              <w:rFonts w:ascii="宋体" w:hAnsi="宋体" w:eastAsia="宋体" w:cs="宋体"/>
              <w:sz w:val="28"/>
              <w:szCs w:val="28"/>
            </w:rPr>
          </w:pPr>
          <w:r>
            <w:fldChar w:fldCharType="begin"/>
          </w:r>
          <w:r>
            <w:instrText xml:space="preserve"> HYPERLINK \l "_Toc17423" </w:instrText>
          </w:r>
          <w:r>
            <w:fldChar w:fldCharType="separate"/>
          </w:r>
          <w:r>
            <w:rPr>
              <w:rFonts w:hint="eastAsia" w:ascii="宋体" w:hAnsi="宋体" w:eastAsia="宋体" w:cs="宋体"/>
              <w:kern w:val="44"/>
              <w:sz w:val="28"/>
              <w:szCs w:val="28"/>
            </w:rPr>
            <w:t>六、建议</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_Toc17423 \h </w:instrText>
          </w:r>
          <w:r>
            <w:rPr>
              <w:rFonts w:hint="eastAsia" w:ascii="宋体" w:hAnsi="宋体" w:eastAsia="宋体" w:cs="宋体"/>
              <w:sz w:val="28"/>
              <w:szCs w:val="28"/>
            </w:rPr>
            <w:fldChar w:fldCharType="separate"/>
          </w:r>
          <w:r>
            <w:rPr>
              <w:rFonts w:ascii="宋体" w:hAnsi="宋体" w:eastAsia="宋体" w:cs="宋体"/>
              <w:sz w:val="28"/>
              <w:szCs w:val="28"/>
            </w:rPr>
            <w:t>- 27 -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8958"/>
              <w:tab w:val="clear" w:pos="8297"/>
            </w:tabs>
            <w:ind w:left="119"/>
            <w:rPr>
              <w:rFonts w:ascii="宋体" w:hAnsi="宋体" w:eastAsia="宋体" w:cs="宋体"/>
              <w:sz w:val="28"/>
              <w:szCs w:val="28"/>
            </w:rPr>
          </w:pPr>
          <w:r>
            <w:fldChar w:fldCharType="begin"/>
          </w:r>
          <w:r>
            <w:instrText xml:space="preserve"> HYPERLINK \l "_Toc30982" </w:instrText>
          </w:r>
          <w:r>
            <w:fldChar w:fldCharType="separate"/>
          </w:r>
          <w:r>
            <w:rPr>
              <w:rFonts w:hint="eastAsia" w:ascii="宋体" w:hAnsi="宋体" w:eastAsia="宋体" w:cs="宋体"/>
              <w:kern w:val="2"/>
              <w:sz w:val="28"/>
              <w:szCs w:val="28"/>
            </w:rPr>
            <w:t>（一）加强采购管理工作，建立采购台账监督项目进程</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_Toc30982 \h </w:instrText>
          </w:r>
          <w:r>
            <w:rPr>
              <w:rFonts w:hint="eastAsia" w:ascii="宋体" w:hAnsi="宋体" w:eastAsia="宋体" w:cs="宋体"/>
              <w:sz w:val="28"/>
              <w:szCs w:val="28"/>
            </w:rPr>
            <w:fldChar w:fldCharType="separate"/>
          </w:r>
          <w:r>
            <w:rPr>
              <w:rFonts w:ascii="宋体" w:hAnsi="宋体" w:eastAsia="宋体" w:cs="宋体"/>
              <w:sz w:val="28"/>
              <w:szCs w:val="28"/>
            </w:rPr>
            <w:t>- 27 -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8958"/>
              <w:tab w:val="clear" w:pos="8297"/>
            </w:tabs>
            <w:ind w:left="119"/>
            <w:rPr>
              <w:rFonts w:ascii="宋体" w:hAnsi="宋体" w:eastAsia="宋体" w:cs="宋体"/>
              <w:sz w:val="28"/>
              <w:szCs w:val="28"/>
            </w:rPr>
          </w:pPr>
          <w:r>
            <w:fldChar w:fldCharType="begin"/>
          </w:r>
          <w:r>
            <w:instrText xml:space="preserve"> HYPERLINK \l "_Toc1903" </w:instrText>
          </w:r>
          <w:r>
            <w:fldChar w:fldCharType="separate"/>
          </w:r>
          <w:r>
            <w:rPr>
              <w:rFonts w:hint="eastAsia" w:ascii="宋体" w:hAnsi="宋体" w:eastAsia="宋体" w:cs="宋体"/>
              <w:kern w:val="2"/>
              <w:sz w:val="28"/>
              <w:szCs w:val="28"/>
            </w:rPr>
            <w:t>（二）加强资金支出内部控制，提升资产管理规范化水平</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_Toc1903 \h </w:instrText>
          </w:r>
          <w:r>
            <w:rPr>
              <w:rFonts w:hint="eastAsia" w:ascii="宋体" w:hAnsi="宋体" w:eastAsia="宋体" w:cs="宋体"/>
              <w:sz w:val="28"/>
              <w:szCs w:val="28"/>
            </w:rPr>
            <w:fldChar w:fldCharType="separate"/>
          </w:r>
          <w:r>
            <w:rPr>
              <w:rFonts w:ascii="宋体" w:hAnsi="宋体" w:eastAsia="宋体" w:cs="宋体"/>
              <w:sz w:val="28"/>
              <w:szCs w:val="28"/>
            </w:rPr>
            <w:t>- 27 -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8958"/>
              <w:tab w:val="clear" w:pos="8297"/>
            </w:tabs>
            <w:ind w:left="119"/>
            <w:rPr>
              <w:rFonts w:ascii="宋体" w:hAnsi="宋体" w:eastAsia="宋体" w:cs="宋体"/>
              <w:sz w:val="28"/>
              <w:szCs w:val="28"/>
            </w:rPr>
          </w:pPr>
          <w:r>
            <w:fldChar w:fldCharType="begin"/>
          </w:r>
          <w:r>
            <w:instrText xml:space="preserve"> HYPERLINK \l "_Toc29239" </w:instrText>
          </w:r>
          <w:r>
            <w:fldChar w:fldCharType="separate"/>
          </w:r>
          <w:r>
            <w:rPr>
              <w:rFonts w:hint="eastAsia" w:ascii="宋体" w:hAnsi="宋体" w:eastAsia="宋体" w:cs="宋体"/>
              <w:kern w:val="2"/>
              <w:sz w:val="28"/>
              <w:szCs w:val="28"/>
            </w:rPr>
            <w:t>（三）加强项目前期论证，加快推进项目完成进度</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_Toc29239 \h </w:instrText>
          </w:r>
          <w:r>
            <w:rPr>
              <w:rFonts w:hint="eastAsia" w:ascii="宋体" w:hAnsi="宋体" w:eastAsia="宋体" w:cs="宋体"/>
              <w:sz w:val="28"/>
              <w:szCs w:val="28"/>
            </w:rPr>
            <w:fldChar w:fldCharType="separate"/>
          </w:r>
          <w:r>
            <w:rPr>
              <w:rFonts w:ascii="宋体" w:hAnsi="宋体" w:eastAsia="宋体" w:cs="宋体"/>
              <w:sz w:val="28"/>
              <w:szCs w:val="28"/>
            </w:rPr>
            <w:t>- 29 -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8958"/>
              <w:tab w:val="clear" w:pos="8297"/>
            </w:tabs>
            <w:ind w:left="119"/>
            <w:rPr>
              <w:rFonts w:ascii="宋体" w:hAnsi="宋体" w:eastAsia="宋体" w:cs="宋体"/>
              <w:sz w:val="28"/>
              <w:szCs w:val="28"/>
            </w:rPr>
          </w:pPr>
          <w:r>
            <w:fldChar w:fldCharType="begin"/>
          </w:r>
          <w:r>
            <w:instrText xml:space="preserve"> HYPERLINK \l "_Toc22019" </w:instrText>
          </w:r>
          <w:r>
            <w:fldChar w:fldCharType="separate"/>
          </w:r>
          <w:r>
            <w:rPr>
              <w:rFonts w:hint="eastAsia" w:ascii="宋体" w:hAnsi="宋体" w:eastAsia="宋体" w:cs="宋体"/>
              <w:kern w:val="2"/>
              <w:sz w:val="28"/>
              <w:szCs w:val="28"/>
            </w:rPr>
            <w:t>（四）打造精品旅游平台功能，发挥旅游平台的特色作用</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_Toc22019 \h </w:instrText>
          </w:r>
          <w:r>
            <w:rPr>
              <w:rFonts w:hint="eastAsia" w:ascii="宋体" w:hAnsi="宋体" w:eastAsia="宋体" w:cs="宋体"/>
              <w:sz w:val="28"/>
              <w:szCs w:val="28"/>
            </w:rPr>
            <w:fldChar w:fldCharType="separate"/>
          </w:r>
          <w:r>
            <w:rPr>
              <w:rFonts w:ascii="宋体" w:hAnsi="宋体" w:eastAsia="宋体" w:cs="宋体"/>
              <w:sz w:val="28"/>
              <w:szCs w:val="28"/>
            </w:rPr>
            <w:t>- 29 -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8958"/>
              <w:tab w:val="clear" w:pos="8297"/>
            </w:tabs>
            <w:ind w:left="119"/>
            <w:rPr>
              <w:rFonts w:ascii="宋体" w:hAnsi="宋体" w:eastAsia="宋体" w:cs="宋体"/>
              <w:sz w:val="28"/>
              <w:szCs w:val="28"/>
            </w:rPr>
          </w:pPr>
          <w:r>
            <w:fldChar w:fldCharType="begin"/>
          </w:r>
          <w:r>
            <w:instrText xml:space="preserve"> HYPERLINK \l "_Toc19361" </w:instrText>
          </w:r>
          <w:r>
            <w:fldChar w:fldCharType="separate"/>
          </w:r>
          <w:r>
            <w:rPr>
              <w:rFonts w:hint="eastAsia" w:ascii="宋体" w:hAnsi="宋体" w:eastAsia="宋体" w:cs="宋体"/>
              <w:kern w:val="2"/>
              <w:sz w:val="28"/>
              <w:szCs w:val="28"/>
            </w:rPr>
            <w:t>（五）科学合理制定部门整体绩效目标，提高绩效管理水平。</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_Toc19361 \h </w:instrText>
          </w:r>
          <w:r>
            <w:rPr>
              <w:rFonts w:hint="eastAsia" w:ascii="宋体" w:hAnsi="宋体" w:eastAsia="宋体" w:cs="宋体"/>
              <w:sz w:val="28"/>
              <w:szCs w:val="28"/>
            </w:rPr>
            <w:fldChar w:fldCharType="separate"/>
          </w:r>
          <w:r>
            <w:rPr>
              <w:rFonts w:ascii="宋体" w:hAnsi="宋体" w:eastAsia="宋体" w:cs="宋体"/>
              <w:sz w:val="28"/>
              <w:szCs w:val="28"/>
            </w:rPr>
            <w:t>- 30 -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1"/>
            <w:tabs>
              <w:tab w:val="right" w:leader="dot" w:pos="8958"/>
              <w:tab w:val="clear" w:pos="8297"/>
            </w:tabs>
            <w:spacing w:before="0" w:after="0"/>
            <w:ind w:left="119"/>
            <w:rPr>
              <w:rFonts w:ascii="宋体" w:hAnsi="宋体" w:eastAsia="宋体" w:cs="宋体"/>
              <w:sz w:val="28"/>
              <w:szCs w:val="28"/>
            </w:rPr>
          </w:pPr>
          <w:r>
            <w:fldChar w:fldCharType="begin"/>
          </w:r>
          <w:r>
            <w:instrText xml:space="preserve"> HYPERLINK \l "_Toc8049" </w:instrText>
          </w:r>
          <w:r>
            <w:fldChar w:fldCharType="separate"/>
          </w:r>
          <w:r>
            <w:rPr>
              <w:rFonts w:hint="eastAsia" w:ascii="宋体" w:hAnsi="宋体" w:eastAsia="宋体" w:cs="宋体"/>
              <w:kern w:val="2"/>
              <w:sz w:val="28"/>
              <w:szCs w:val="28"/>
            </w:rPr>
            <w:t>附件1</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_Toc8049 \h </w:instrText>
          </w:r>
          <w:r>
            <w:rPr>
              <w:rFonts w:hint="eastAsia" w:ascii="宋体" w:hAnsi="宋体" w:eastAsia="宋体" w:cs="宋体"/>
              <w:sz w:val="28"/>
              <w:szCs w:val="28"/>
            </w:rPr>
            <w:fldChar w:fldCharType="separate"/>
          </w:r>
          <w:r>
            <w:rPr>
              <w:rFonts w:ascii="宋体" w:hAnsi="宋体" w:eastAsia="宋体" w:cs="宋体"/>
              <w:sz w:val="28"/>
              <w:szCs w:val="28"/>
            </w:rPr>
            <w:t>- 32 -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1"/>
            <w:tabs>
              <w:tab w:val="right" w:leader="dot" w:pos="8958"/>
              <w:tab w:val="clear" w:pos="8297"/>
            </w:tabs>
            <w:spacing w:before="0" w:after="0"/>
            <w:ind w:left="119"/>
          </w:pPr>
          <w:r>
            <w:fldChar w:fldCharType="begin"/>
          </w:r>
          <w:r>
            <w:instrText xml:space="preserve"> HYPERLINK \l "_Toc32500" </w:instrText>
          </w:r>
          <w:r>
            <w:fldChar w:fldCharType="separate"/>
          </w:r>
          <w:r>
            <w:rPr>
              <w:rFonts w:hint="eastAsia" w:ascii="宋体" w:hAnsi="宋体" w:eastAsia="宋体" w:cs="宋体"/>
              <w:bCs w:val="0"/>
              <w:kern w:val="2"/>
              <w:sz w:val="28"/>
              <w:szCs w:val="28"/>
            </w:rPr>
            <w:t>附件2</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_Toc32500 \h </w:instrText>
          </w:r>
          <w:r>
            <w:rPr>
              <w:rFonts w:hint="eastAsia" w:ascii="宋体" w:hAnsi="宋体" w:eastAsia="宋体" w:cs="宋体"/>
              <w:sz w:val="28"/>
              <w:szCs w:val="28"/>
            </w:rPr>
            <w:fldChar w:fldCharType="separate"/>
          </w:r>
          <w:r>
            <w:rPr>
              <w:rFonts w:ascii="宋体" w:hAnsi="宋体" w:eastAsia="宋体" w:cs="宋体"/>
              <w:sz w:val="28"/>
              <w:szCs w:val="28"/>
            </w:rPr>
            <w:t>- 41 -</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8307"/>
              <w:tab w:val="clear" w:pos="8297"/>
            </w:tabs>
            <w:spacing w:line="400" w:lineRule="exact"/>
            <w:ind w:firstLine="402"/>
            <w:jc w:val="both"/>
            <w:rPr>
              <w:rFonts w:ascii="Times New Roman" w:hAnsi="Times New Roman" w:eastAsia="仿宋_GB2312"/>
              <w:b/>
              <w:bCs/>
              <w:smallCaps w:val="0"/>
              <w:sz w:val="28"/>
              <w:szCs w:val="28"/>
            </w:rPr>
            <w:sectPr>
              <w:headerReference r:id="rId14" w:type="default"/>
              <w:footerReference r:id="rId15" w:type="default"/>
              <w:type w:val="continuous"/>
              <w:pgSz w:w="11907" w:h="16839"/>
              <w:pgMar w:top="1440" w:right="1418" w:bottom="1440" w:left="1531" w:header="720" w:footer="720" w:gutter="0"/>
              <w:pgNumType w:fmt="numberInDash" w:start="1"/>
              <w:cols w:space="720" w:num="1"/>
              <w:docGrid w:linePitch="435" w:charSpace="0"/>
            </w:sectPr>
          </w:pPr>
          <w:r>
            <w:rPr>
              <w:rFonts w:ascii="Times New Roman" w:hAnsi="Times New Roman"/>
              <w:smallCaps w:val="0"/>
            </w:rPr>
            <w:fldChar w:fldCharType="end"/>
          </w:r>
        </w:p>
      </w:sdtContent>
    </w:sdt>
    <w:p>
      <w:pPr>
        <w:pStyle w:val="5"/>
        <w:widowControl w:val="0"/>
        <w:spacing w:before="0" w:beforeLines="0" w:after="0" w:afterLines="0" w:line="560" w:lineRule="exact"/>
        <w:ind w:firstLine="640"/>
        <w:jc w:val="both"/>
        <w:rPr>
          <w:rFonts w:eastAsia="黑体" w:cs="Times New Roman"/>
          <w:b w:val="0"/>
          <w:kern w:val="44"/>
          <w:szCs w:val="20"/>
        </w:rPr>
        <w:sectPr>
          <w:headerReference r:id="rId16" w:type="default"/>
          <w:footerReference r:id="rId17" w:type="default"/>
          <w:type w:val="continuous"/>
          <w:pgSz w:w="11907" w:h="16839"/>
          <w:pgMar w:top="1021" w:right="850" w:bottom="1134" w:left="850" w:header="550" w:footer="210" w:gutter="0"/>
          <w:pgNumType w:fmt="numberInDash"/>
          <w:cols w:space="0" w:num="1"/>
          <w:docGrid w:linePitch="360" w:charSpace="0"/>
        </w:sectPr>
      </w:pPr>
      <w:bookmarkStart w:id="5" w:name="_Toc510902979"/>
      <w:bookmarkStart w:id="6" w:name="_Toc23982"/>
      <w:bookmarkStart w:id="7" w:name="_Toc10727"/>
      <w:bookmarkStart w:id="8" w:name="_Toc20470106"/>
      <w:bookmarkStart w:id="9" w:name="_Toc52124750"/>
      <w:bookmarkStart w:id="10" w:name="_Toc7765"/>
      <w:bookmarkStart w:id="11" w:name="_Toc23695"/>
      <w:bookmarkStart w:id="12" w:name="_Toc12104"/>
      <w:bookmarkStart w:id="13" w:name="_Toc16666"/>
      <w:bookmarkStart w:id="14" w:name="_Toc52124780"/>
    </w:p>
    <w:p>
      <w:pPr>
        <w:pStyle w:val="5"/>
        <w:widowControl w:val="0"/>
        <w:spacing w:before="0" w:beforeLines="0" w:after="0" w:afterLines="0" w:line="560" w:lineRule="exact"/>
        <w:ind w:firstLine="640"/>
        <w:jc w:val="both"/>
        <w:rPr>
          <w:rFonts w:eastAsia="黑体" w:cs="Times New Roman"/>
          <w:b w:val="0"/>
          <w:kern w:val="44"/>
          <w:szCs w:val="20"/>
        </w:rPr>
      </w:pPr>
      <w:r>
        <w:rPr>
          <w:rFonts w:eastAsia="黑体" w:cs="Times New Roman"/>
          <w:b w:val="0"/>
          <w:kern w:val="44"/>
          <w:szCs w:val="20"/>
        </w:rPr>
        <w:t>一、部门</w:t>
      </w:r>
      <w:bookmarkEnd w:id="5"/>
      <w:r>
        <w:rPr>
          <w:rFonts w:eastAsia="黑体" w:cs="Times New Roman"/>
          <w:b w:val="0"/>
          <w:kern w:val="44"/>
          <w:szCs w:val="20"/>
        </w:rPr>
        <w:t>基本情况</w:t>
      </w:r>
      <w:bookmarkEnd w:id="6"/>
      <w:bookmarkEnd w:id="7"/>
      <w:bookmarkEnd w:id="8"/>
      <w:bookmarkEnd w:id="9"/>
      <w:bookmarkEnd w:id="10"/>
      <w:bookmarkEnd w:id="11"/>
      <w:bookmarkEnd w:id="12"/>
      <w:bookmarkEnd w:id="13"/>
      <w:r>
        <w:rPr>
          <w:rFonts w:eastAsia="黑体" w:cs="Times New Roman"/>
          <w:b w:val="0"/>
          <w:kern w:val="44"/>
          <w:szCs w:val="20"/>
        </w:rPr>
        <w:t xml:space="preserve"> </w:t>
      </w:r>
    </w:p>
    <w:p>
      <w:pPr>
        <w:spacing w:line="560" w:lineRule="exact"/>
        <w:ind w:firstLine="640"/>
        <w:outlineLvl w:val="1"/>
        <w:rPr>
          <w:rFonts w:eastAsia="楷体_GB2312" w:cs="Times New Roman"/>
          <w:szCs w:val="32"/>
        </w:rPr>
      </w:pPr>
      <w:bookmarkStart w:id="15" w:name="_Toc114664776"/>
      <w:bookmarkStart w:id="16" w:name="_Toc5110"/>
      <w:bookmarkStart w:id="17" w:name="_Toc289"/>
      <w:bookmarkStart w:id="18" w:name="_Toc29358"/>
      <w:bookmarkStart w:id="19" w:name="_Toc112424044"/>
      <w:bookmarkStart w:id="20" w:name="_Toc130"/>
      <w:bookmarkStart w:id="21" w:name="_Toc20603"/>
      <w:bookmarkStart w:id="22" w:name="_Hlk43729757"/>
      <w:r>
        <w:rPr>
          <w:rFonts w:eastAsia="楷体_GB2312" w:cs="Times New Roman"/>
          <w:szCs w:val="32"/>
        </w:rPr>
        <w:t>（一）部门概要。</w:t>
      </w:r>
      <w:bookmarkEnd w:id="15"/>
      <w:bookmarkEnd w:id="16"/>
      <w:bookmarkEnd w:id="17"/>
      <w:bookmarkEnd w:id="18"/>
      <w:bookmarkEnd w:id="19"/>
      <w:bookmarkEnd w:id="20"/>
      <w:bookmarkEnd w:id="21"/>
    </w:p>
    <w:p>
      <w:pPr>
        <w:spacing w:line="560" w:lineRule="exact"/>
        <w:ind w:firstLine="643"/>
        <w:outlineLvl w:val="2"/>
        <w:rPr>
          <w:rFonts w:cs="Times New Roman"/>
          <w:b/>
          <w:bCs/>
          <w:szCs w:val="32"/>
        </w:rPr>
      </w:pPr>
      <w:bookmarkStart w:id="23" w:name="_Toc114664777"/>
      <w:bookmarkStart w:id="24" w:name="_Toc112424045"/>
      <w:r>
        <w:rPr>
          <w:rFonts w:cs="Times New Roman"/>
          <w:b/>
          <w:bCs/>
          <w:szCs w:val="32"/>
        </w:rPr>
        <w:t>1.部门主要职能</w:t>
      </w:r>
      <w:bookmarkEnd w:id="23"/>
      <w:bookmarkEnd w:id="24"/>
    </w:p>
    <w:bookmarkEnd w:id="22"/>
    <w:p>
      <w:pPr>
        <w:widowControl w:val="0"/>
        <w:spacing w:line="560" w:lineRule="exact"/>
        <w:ind w:firstLine="640"/>
        <w:jc w:val="both"/>
        <w:rPr>
          <w:rFonts w:cs="Times New Roman"/>
          <w:kern w:val="2"/>
        </w:rPr>
      </w:pPr>
      <w:r>
        <w:rPr>
          <w:rFonts w:hint="eastAsia" w:cs="Times New Roman"/>
          <w:szCs w:val="32"/>
        </w:rPr>
        <w:t>韶关市文化广电旅游体育局（下称“市文广旅体局”）</w:t>
      </w:r>
      <w:r>
        <w:rPr>
          <w:rFonts w:hint="eastAsia" w:cs="Times New Roman"/>
          <w:szCs w:val="32"/>
          <w:lang w:bidi="zh-CN"/>
        </w:rPr>
        <w:t>是市政府工作部门，为正处级。市文广旅体局贯彻落实党中央和省委关于文化、广电、旅游、体育工作的方针政策和决策部署，按照市委工作要求，在履行职责过程中坚持和加强党对文化、广电、旅游、体育工作的集中统一领导。</w:t>
      </w:r>
    </w:p>
    <w:p>
      <w:pPr>
        <w:widowControl w:val="0"/>
        <w:spacing w:line="560" w:lineRule="exact"/>
        <w:ind w:firstLine="640"/>
        <w:jc w:val="both"/>
        <w:rPr>
          <w:rFonts w:cs="Times New Roman"/>
          <w:szCs w:val="32"/>
        </w:rPr>
      </w:pPr>
      <w:r>
        <w:rPr>
          <w:rFonts w:cs="Times New Roman"/>
          <w:szCs w:val="32"/>
        </w:rPr>
        <w:t>根据</w:t>
      </w:r>
      <w:r>
        <w:rPr>
          <w:rFonts w:hint="eastAsia" w:cs="Times New Roman"/>
          <w:szCs w:val="32"/>
        </w:rPr>
        <w:t>《韶关市文化广电旅游体育局职能配置、内设机构和人员编制规定》</w:t>
      </w:r>
      <w:r>
        <w:rPr>
          <w:rFonts w:cs="Times New Roman"/>
          <w:szCs w:val="32"/>
        </w:rPr>
        <w:t>（</w:t>
      </w:r>
      <w:r>
        <w:rPr>
          <w:rFonts w:hint="eastAsia" w:cs="Times New Roman"/>
          <w:szCs w:val="32"/>
        </w:rPr>
        <w:t>韶办发〔2019〕47号</w:t>
      </w:r>
      <w:r>
        <w:rPr>
          <w:rFonts w:cs="Times New Roman"/>
          <w:szCs w:val="32"/>
        </w:rPr>
        <w:t>）</w:t>
      </w:r>
      <w:r>
        <w:rPr>
          <w:rFonts w:hint="eastAsia" w:cs="Times New Roman"/>
          <w:szCs w:val="32"/>
        </w:rPr>
        <w:t>《中共韶关市委机构编制委员会办公室关于市文化广电旅游体育局增设革命文物科等问题的批复》（韶机编办发〔2022〕53 号）</w:t>
      </w:r>
      <w:r>
        <w:rPr>
          <w:rFonts w:cs="Times New Roman"/>
          <w:szCs w:val="32"/>
        </w:rPr>
        <w:t>，在职权范围内，</w:t>
      </w:r>
      <w:r>
        <w:rPr>
          <w:rFonts w:hint="eastAsia" w:cs="Times New Roman"/>
          <w:szCs w:val="32"/>
        </w:rPr>
        <w:t>市文广旅体局</w:t>
      </w:r>
      <w:r>
        <w:rPr>
          <w:rFonts w:cs="Times New Roman"/>
          <w:szCs w:val="32"/>
        </w:rPr>
        <w:t>主要职责包括20项，如表1-1所示。</w:t>
      </w:r>
    </w:p>
    <w:p>
      <w:pPr>
        <w:widowControl w:val="0"/>
        <w:spacing w:line="560" w:lineRule="exact"/>
        <w:ind w:firstLine="0" w:firstLineChars="0"/>
        <w:jc w:val="center"/>
        <w:rPr>
          <w:rFonts w:cs="Times New Roman" w:eastAsiaTheme="minorEastAsia"/>
          <w:b/>
          <w:bCs/>
          <w:kern w:val="2"/>
          <w:sz w:val="24"/>
          <w:szCs w:val="24"/>
        </w:rPr>
      </w:pPr>
      <w:r>
        <w:rPr>
          <w:rFonts w:hint="eastAsia" w:cs="Times New Roman" w:eastAsiaTheme="minorEastAsia"/>
          <w:b/>
          <w:bCs/>
          <w:kern w:val="2"/>
          <w:sz w:val="24"/>
          <w:szCs w:val="24"/>
        </w:rPr>
        <w:t>表1-1  市文广旅体局主要职责</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8"/>
        <w:gridCol w:w="8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blHeader/>
        </w:trPr>
        <w:tc>
          <w:tcPr>
            <w:tcW w:w="0" w:type="auto"/>
            <w:shd w:val="clear" w:color="auto" w:fill="auto"/>
            <w:noWrap/>
            <w:vAlign w:val="center"/>
          </w:tcPr>
          <w:p>
            <w:pPr>
              <w:spacing w:line="240" w:lineRule="auto"/>
              <w:ind w:firstLine="0" w:firstLineChars="0"/>
              <w:jc w:val="center"/>
              <w:rPr>
                <w:rFonts w:eastAsia="宋体" w:cs="Times New Roman"/>
                <w:b/>
                <w:bCs/>
                <w:sz w:val="18"/>
                <w:szCs w:val="18"/>
              </w:rPr>
            </w:pPr>
            <w:bookmarkStart w:id="25" w:name="_Toc112424046"/>
            <w:bookmarkStart w:id="26" w:name="_Toc114664778"/>
            <w:bookmarkStart w:id="27" w:name="_Hlk19540859"/>
            <w:r>
              <w:rPr>
                <w:rFonts w:hint="eastAsia" w:eastAsia="宋体" w:cs="Times New Roman"/>
                <w:b/>
                <w:bCs/>
                <w:sz w:val="18"/>
                <w:szCs w:val="18"/>
              </w:rPr>
              <w:t>序号</w:t>
            </w:r>
          </w:p>
        </w:tc>
        <w:tc>
          <w:tcPr>
            <w:tcW w:w="0" w:type="auto"/>
            <w:shd w:val="clear" w:color="auto" w:fill="auto"/>
            <w:noWrap/>
            <w:vAlign w:val="bottom"/>
          </w:tcPr>
          <w:p>
            <w:pPr>
              <w:spacing w:line="240" w:lineRule="auto"/>
              <w:ind w:firstLine="0" w:firstLineChars="0"/>
              <w:jc w:val="center"/>
              <w:rPr>
                <w:rFonts w:eastAsia="宋体" w:cs="Times New Roman"/>
                <w:b/>
                <w:bCs/>
                <w:sz w:val="18"/>
                <w:szCs w:val="18"/>
              </w:rPr>
            </w:pPr>
            <w:r>
              <w:rPr>
                <w:rFonts w:hint="eastAsia" w:eastAsia="宋体" w:cs="Times New Roman"/>
                <w:b/>
                <w:bCs/>
                <w:sz w:val="18"/>
                <w:szCs w:val="18"/>
              </w:rPr>
              <w:t>具体职能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0" w:type="auto"/>
            <w:shd w:val="clear" w:color="auto" w:fill="auto"/>
            <w:noWrap/>
            <w:vAlign w:val="center"/>
          </w:tcPr>
          <w:p>
            <w:pPr>
              <w:spacing w:line="240" w:lineRule="auto"/>
              <w:ind w:firstLine="0" w:firstLineChars="0"/>
              <w:jc w:val="center"/>
              <w:rPr>
                <w:rFonts w:eastAsia="宋体" w:cs="Times New Roman"/>
                <w:sz w:val="18"/>
                <w:szCs w:val="18"/>
              </w:rPr>
            </w:pPr>
            <w:r>
              <w:rPr>
                <w:rFonts w:hint="eastAsia" w:eastAsia="宋体" w:cs="Times New Roman"/>
                <w:sz w:val="18"/>
                <w:szCs w:val="18"/>
              </w:rPr>
              <w:t>1</w:t>
            </w:r>
          </w:p>
        </w:tc>
        <w:tc>
          <w:tcPr>
            <w:tcW w:w="0" w:type="auto"/>
            <w:shd w:val="clear" w:color="auto" w:fill="auto"/>
          </w:tcPr>
          <w:p>
            <w:pPr>
              <w:spacing w:line="240" w:lineRule="auto"/>
              <w:ind w:firstLine="0" w:firstLineChars="0"/>
              <w:jc w:val="both"/>
              <w:rPr>
                <w:rFonts w:eastAsia="宋体" w:cs="Times New Roman"/>
                <w:sz w:val="18"/>
                <w:szCs w:val="18"/>
              </w:rPr>
            </w:pPr>
            <w:r>
              <w:rPr>
                <w:rFonts w:hint="eastAsia" w:eastAsia="宋体" w:cs="Times New Roman"/>
                <w:sz w:val="18"/>
                <w:szCs w:val="18"/>
              </w:rPr>
              <w:t>起草历史文化保护方面的地方性法规、规章草案，拟订全市文化、广电、旅游、体育政策措施和规范性文件。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0" w:type="auto"/>
            <w:shd w:val="clear" w:color="auto" w:fill="auto"/>
            <w:noWrap/>
            <w:vAlign w:val="center"/>
          </w:tcPr>
          <w:p>
            <w:pPr>
              <w:spacing w:line="240" w:lineRule="auto"/>
              <w:ind w:firstLine="0" w:firstLineChars="0"/>
              <w:jc w:val="center"/>
              <w:rPr>
                <w:rFonts w:eastAsia="宋体" w:cs="Times New Roman"/>
                <w:sz w:val="18"/>
                <w:szCs w:val="18"/>
              </w:rPr>
            </w:pPr>
            <w:r>
              <w:rPr>
                <w:rFonts w:hint="eastAsia" w:eastAsia="宋体" w:cs="Times New Roman"/>
                <w:sz w:val="18"/>
                <w:szCs w:val="18"/>
              </w:rPr>
              <w:t>2</w:t>
            </w:r>
          </w:p>
        </w:tc>
        <w:tc>
          <w:tcPr>
            <w:tcW w:w="0" w:type="auto"/>
            <w:shd w:val="clear" w:color="auto" w:fill="auto"/>
            <w:vAlign w:val="bottom"/>
          </w:tcPr>
          <w:p>
            <w:pPr>
              <w:spacing w:line="240" w:lineRule="auto"/>
              <w:ind w:firstLine="0" w:firstLineChars="0"/>
              <w:jc w:val="both"/>
              <w:rPr>
                <w:rFonts w:eastAsia="宋体" w:cs="Times New Roman"/>
                <w:sz w:val="18"/>
                <w:szCs w:val="18"/>
              </w:rPr>
            </w:pPr>
            <w:r>
              <w:rPr>
                <w:rFonts w:hint="eastAsia" w:eastAsia="宋体" w:cs="Times New Roman"/>
                <w:sz w:val="18"/>
                <w:szCs w:val="18"/>
              </w:rPr>
              <w:t>统筹规划全市文化、广电、旅游、体育事业发展，拟订发展规划并组织实施，推进文化、旅游、体育体制机制改革和融合发展，推进广电领域重大改革措施，指导监督全市文化、广电、旅游、体育安全生产相关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0" w:type="auto"/>
            <w:shd w:val="clear" w:color="auto" w:fill="auto"/>
            <w:noWrap/>
            <w:vAlign w:val="center"/>
          </w:tcPr>
          <w:p>
            <w:pPr>
              <w:spacing w:line="240" w:lineRule="auto"/>
              <w:ind w:firstLine="0" w:firstLineChars="0"/>
              <w:jc w:val="center"/>
              <w:rPr>
                <w:rFonts w:eastAsia="宋体" w:cs="Times New Roman"/>
                <w:sz w:val="18"/>
                <w:szCs w:val="18"/>
              </w:rPr>
            </w:pPr>
            <w:r>
              <w:rPr>
                <w:rFonts w:hint="eastAsia" w:eastAsia="宋体" w:cs="Times New Roman"/>
                <w:sz w:val="18"/>
                <w:szCs w:val="18"/>
              </w:rPr>
              <w:t>3</w:t>
            </w:r>
          </w:p>
        </w:tc>
        <w:tc>
          <w:tcPr>
            <w:tcW w:w="0" w:type="auto"/>
            <w:shd w:val="clear" w:color="auto" w:fill="auto"/>
            <w:vAlign w:val="bottom"/>
          </w:tcPr>
          <w:p>
            <w:pPr>
              <w:spacing w:line="240" w:lineRule="auto"/>
              <w:ind w:firstLine="0" w:firstLineChars="0"/>
              <w:jc w:val="both"/>
              <w:rPr>
                <w:rFonts w:eastAsia="宋体" w:cs="Times New Roman"/>
                <w:sz w:val="18"/>
                <w:szCs w:val="18"/>
              </w:rPr>
            </w:pPr>
            <w:r>
              <w:rPr>
                <w:rFonts w:hint="eastAsia" w:eastAsia="宋体" w:cs="Times New Roman"/>
                <w:sz w:val="18"/>
                <w:szCs w:val="18"/>
              </w:rPr>
              <w:t>拟订全市文化、旅游、体育人才发展规划并组织实施，推动高素质专业化人才队伍建设。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auto" w:fill="auto"/>
            <w:noWrap/>
            <w:vAlign w:val="center"/>
          </w:tcPr>
          <w:p>
            <w:pPr>
              <w:spacing w:line="240" w:lineRule="auto"/>
              <w:ind w:firstLine="0" w:firstLineChars="0"/>
              <w:jc w:val="center"/>
              <w:rPr>
                <w:rFonts w:eastAsia="宋体" w:cs="Times New Roman"/>
                <w:sz w:val="18"/>
                <w:szCs w:val="18"/>
              </w:rPr>
            </w:pPr>
            <w:r>
              <w:rPr>
                <w:rFonts w:hint="eastAsia" w:eastAsia="宋体" w:cs="Times New Roman"/>
                <w:sz w:val="18"/>
                <w:szCs w:val="18"/>
              </w:rPr>
              <w:t>4</w:t>
            </w:r>
          </w:p>
        </w:tc>
        <w:tc>
          <w:tcPr>
            <w:tcW w:w="0" w:type="auto"/>
            <w:shd w:val="clear" w:color="auto" w:fill="auto"/>
            <w:vAlign w:val="bottom"/>
          </w:tcPr>
          <w:p>
            <w:pPr>
              <w:spacing w:line="240" w:lineRule="auto"/>
              <w:ind w:firstLine="0" w:firstLineChars="0"/>
              <w:jc w:val="both"/>
              <w:rPr>
                <w:rFonts w:eastAsia="宋体" w:cs="Times New Roman"/>
                <w:sz w:val="18"/>
                <w:szCs w:val="18"/>
              </w:rPr>
            </w:pPr>
            <w:r>
              <w:rPr>
                <w:rFonts w:hint="eastAsia" w:eastAsia="宋体" w:cs="Times New Roman"/>
                <w:sz w:val="18"/>
                <w:szCs w:val="18"/>
              </w:rPr>
              <w:t>管理全市性重大文化、体育活动，统筹协调指导文化、广电、旅游、体育设施建设。负责全市旅游整体形象打造及宣传推广，促进文化、旅游、体育产业对外合作和市场推广，指导、推进全域旅游。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0" w:type="auto"/>
            <w:shd w:val="clear" w:color="auto" w:fill="auto"/>
            <w:noWrap/>
            <w:vAlign w:val="center"/>
          </w:tcPr>
          <w:p>
            <w:pPr>
              <w:spacing w:line="240" w:lineRule="auto"/>
              <w:ind w:firstLine="0" w:firstLineChars="0"/>
              <w:jc w:val="center"/>
              <w:rPr>
                <w:rFonts w:eastAsia="宋体" w:cs="Times New Roman"/>
                <w:sz w:val="18"/>
                <w:szCs w:val="18"/>
              </w:rPr>
            </w:pPr>
            <w:r>
              <w:rPr>
                <w:rFonts w:hint="eastAsia" w:eastAsia="宋体" w:cs="Times New Roman"/>
                <w:sz w:val="18"/>
                <w:szCs w:val="18"/>
              </w:rPr>
              <w:t>5</w:t>
            </w:r>
          </w:p>
        </w:tc>
        <w:tc>
          <w:tcPr>
            <w:tcW w:w="0" w:type="auto"/>
            <w:shd w:val="clear" w:color="auto" w:fill="auto"/>
            <w:vAlign w:val="bottom"/>
          </w:tcPr>
          <w:p>
            <w:pPr>
              <w:spacing w:line="240" w:lineRule="auto"/>
              <w:ind w:firstLine="0" w:firstLineChars="0"/>
              <w:jc w:val="both"/>
              <w:rPr>
                <w:rFonts w:eastAsia="宋体" w:cs="Times New Roman"/>
                <w:sz w:val="18"/>
                <w:szCs w:val="18"/>
              </w:rPr>
            </w:pPr>
            <w:r>
              <w:rPr>
                <w:rFonts w:hint="eastAsia" w:eastAsia="宋体" w:cs="Times New Roman"/>
                <w:sz w:val="18"/>
                <w:szCs w:val="18"/>
              </w:rPr>
              <w:t>指导、管理全市文艺事业，指导艺术创作生产，扶持体现社会主义核心价值观、具有导向性代表性示范性的文艺作品，推动各门类艺术、各艺术品种发展。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0" w:type="auto"/>
            <w:shd w:val="clear" w:color="auto" w:fill="auto"/>
            <w:noWrap/>
            <w:vAlign w:val="center"/>
          </w:tcPr>
          <w:p>
            <w:pPr>
              <w:spacing w:line="240" w:lineRule="auto"/>
              <w:ind w:firstLine="0" w:firstLineChars="0"/>
              <w:jc w:val="center"/>
              <w:rPr>
                <w:rFonts w:eastAsia="宋体" w:cs="Times New Roman"/>
                <w:sz w:val="18"/>
                <w:szCs w:val="18"/>
              </w:rPr>
            </w:pPr>
            <w:r>
              <w:rPr>
                <w:rFonts w:hint="eastAsia" w:eastAsia="宋体" w:cs="Times New Roman"/>
                <w:sz w:val="18"/>
                <w:szCs w:val="18"/>
              </w:rPr>
              <w:t>6</w:t>
            </w:r>
          </w:p>
        </w:tc>
        <w:tc>
          <w:tcPr>
            <w:tcW w:w="0" w:type="auto"/>
            <w:shd w:val="clear" w:color="auto" w:fill="auto"/>
            <w:vAlign w:val="bottom"/>
          </w:tcPr>
          <w:p>
            <w:pPr>
              <w:spacing w:line="240" w:lineRule="auto"/>
              <w:ind w:firstLine="0" w:firstLineChars="0"/>
              <w:jc w:val="both"/>
              <w:rPr>
                <w:rFonts w:eastAsia="宋体" w:cs="Times New Roman"/>
                <w:sz w:val="18"/>
                <w:szCs w:val="18"/>
              </w:rPr>
            </w:pPr>
            <w:r>
              <w:rPr>
                <w:rFonts w:hint="eastAsia" w:eastAsia="宋体" w:cs="Times New Roman"/>
                <w:sz w:val="18"/>
                <w:szCs w:val="18"/>
              </w:rPr>
              <w:t>负责公共文化、体育事业发展，推进全市文化、广电、体育公共服务体系和旅游公共服务建设，推进相关行业信息化建设，深入实施文化、广电、体育惠民工程，统筹推进基本公共文化、体育服务标准化、均等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0" w:type="auto"/>
            <w:shd w:val="clear" w:color="auto" w:fill="auto"/>
            <w:noWrap/>
            <w:vAlign w:val="center"/>
          </w:tcPr>
          <w:p>
            <w:pPr>
              <w:spacing w:line="240" w:lineRule="auto"/>
              <w:ind w:firstLine="0" w:firstLineChars="0"/>
              <w:jc w:val="center"/>
              <w:rPr>
                <w:rFonts w:eastAsia="宋体" w:cs="Times New Roman"/>
                <w:sz w:val="18"/>
                <w:szCs w:val="18"/>
              </w:rPr>
            </w:pPr>
            <w:r>
              <w:rPr>
                <w:rFonts w:hint="eastAsia" w:eastAsia="宋体" w:cs="Times New Roman"/>
                <w:sz w:val="18"/>
                <w:szCs w:val="18"/>
              </w:rPr>
              <w:t>7</w:t>
            </w:r>
          </w:p>
        </w:tc>
        <w:tc>
          <w:tcPr>
            <w:tcW w:w="0" w:type="auto"/>
            <w:shd w:val="clear" w:color="auto" w:fill="auto"/>
            <w:vAlign w:val="center"/>
          </w:tcPr>
          <w:p>
            <w:pPr>
              <w:spacing w:line="240" w:lineRule="auto"/>
              <w:ind w:firstLine="0" w:firstLineChars="0"/>
              <w:jc w:val="both"/>
              <w:rPr>
                <w:rFonts w:eastAsia="宋体" w:cs="Times New Roman"/>
                <w:sz w:val="18"/>
                <w:szCs w:val="18"/>
              </w:rPr>
            </w:pPr>
            <w:r>
              <w:rPr>
                <w:rFonts w:hint="eastAsia" w:eastAsia="宋体" w:cs="Times New Roman"/>
                <w:sz w:val="18"/>
                <w:szCs w:val="18"/>
              </w:rPr>
              <w:t>负责非物质文化遗产保护，推动非物质文化遗产保护、传承、普及、弘扬和振兴。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0" w:type="auto"/>
            <w:shd w:val="clear" w:color="auto" w:fill="auto"/>
            <w:noWrap/>
            <w:vAlign w:val="center"/>
          </w:tcPr>
          <w:p>
            <w:pPr>
              <w:spacing w:line="240" w:lineRule="auto"/>
              <w:ind w:firstLine="0" w:firstLineChars="0"/>
              <w:jc w:val="center"/>
              <w:rPr>
                <w:rFonts w:eastAsia="宋体" w:cs="Times New Roman"/>
                <w:sz w:val="18"/>
                <w:szCs w:val="18"/>
              </w:rPr>
            </w:pPr>
            <w:r>
              <w:rPr>
                <w:rFonts w:hint="eastAsia" w:eastAsia="宋体" w:cs="Times New Roman"/>
                <w:sz w:val="18"/>
                <w:szCs w:val="18"/>
              </w:rPr>
              <w:t>8</w:t>
            </w:r>
          </w:p>
        </w:tc>
        <w:tc>
          <w:tcPr>
            <w:tcW w:w="0" w:type="auto"/>
            <w:shd w:val="clear" w:color="auto" w:fill="auto"/>
            <w:vAlign w:val="bottom"/>
          </w:tcPr>
          <w:p>
            <w:pPr>
              <w:spacing w:line="240" w:lineRule="auto"/>
              <w:ind w:firstLine="0" w:firstLineChars="0"/>
              <w:jc w:val="both"/>
              <w:rPr>
                <w:rFonts w:eastAsia="宋体" w:cs="Times New Roman"/>
                <w:sz w:val="18"/>
                <w:szCs w:val="18"/>
              </w:rPr>
            </w:pPr>
            <w:r>
              <w:rPr>
                <w:rFonts w:hint="eastAsia" w:eastAsia="宋体" w:cs="Times New Roman"/>
                <w:sz w:val="18"/>
                <w:szCs w:val="18"/>
              </w:rPr>
              <w:t>统筹规划文化、广电、旅游、体育产业，组织实施文化、旅游等资源普查、挖掘、保护和利用工作，促进文化、旅游、体育产业发展。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0" w:type="auto"/>
            <w:shd w:val="clear" w:color="auto" w:fill="auto"/>
            <w:noWrap/>
            <w:vAlign w:val="center"/>
          </w:tcPr>
          <w:p>
            <w:pPr>
              <w:spacing w:line="240" w:lineRule="auto"/>
              <w:ind w:firstLine="0" w:firstLineChars="0"/>
              <w:jc w:val="center"/>
              <w:rPr>
                <w:rFonts w:eastAsia="宋体" w:cs="Times New Roman"/>
                <w:sz w:val="18"/>
                <w:szCs w:val="18"/>
              </w:rPr>
            </w:pPr>
            <w:r>
              <w:rPr>
                <w:rFonts w:hint="eastAsia" w:eastAsia="宋体" w:cs="Times New Roman"/>
                <w:sz w:val="18"/>
                <w:szCs w:val="18"/>
              </w:rPr>
              <w:t>9</w:t>
            </w:r>
          </w:p>
        </w:tc>
        <w:tc>
          <w:tcPr>
            <w:tcW w:w="0" w:type="auto"/>
            <w:shd w:val="clear" w:color="auto" w:fill="auto"/>
            <w:vAlign w:val="center"/>
          </w:tcPr>
          <w:p>
            <w:pPr>
              <w:spacing w:line="240" w:lineRule="auto"/>
              <w:ind w:firstLine="0" w:firstLineChars="0"/>
              <w:jc w:val="both"/>
              <w:rPr>
                <w:rFonts w:eastAsia="宋体" w:cs="Times New Roman"/>
                <w:sz w:val="18"/>
                <w:szCs w:val="18"/>
              </w:rPr>
            </w:pPr>
            <w:r>
              <w:rPr>
                <w:rFonts w:hint="eastAsia" w:eastAsia="宋体" w:cs="Times New Roman"/>
                <w:sz w:val="18"/>
                <w:szCs w:val="18"/>
              </w:rPr>
              <w:t>指导促进文化、广电、旅游、体育市场发展，推进相关行业信用体系建设和标准化建设，对全市相关领域市 场经营进行行业监管，依法规范市场。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0" w:type="auto"/>
            <w:shd w:val="clear" w:color="auto" w:fill="auto"/>
            <w:noWrap/>
            <w:vAlign w:val="center"/>
          </w:tcPr>
          <w:p>
            <w:pPr>
              <w:spacing w:line="240" w:lineRule="auto"/>
              <w:ind w:firstLine="0" w:firstLineChars="0"/>
              <w:jc w:val="center"/>
              <w:rPr>
                <w:rFonts w:eastAsia="宋体" w:cs="Times New Roman"/>
                <w:sz w:val="18"/>
                <w:szCs w:val="18"/>
              </w:rPr>
            </w:pPr>
            <w:r>
              <w:rPr>
                <w:rFonts w:hint="eastAsia" w:eastAsia="宋体" w:cs="Times New Roman"/>
                <w:sz w:val="18"/>
                <w:szCs w:val="18"/>
              </w:rPr>
              <w:t>10</w:t>
            </w:r>
          </w:p>
        </w:tc>
        <w:tc>
          <w:tcPr>
            <w:tcW w:w="0" w:type="auto"/>
            <w:shd w:val="clear" w:color="auto" w:fill="auto"/>
            <w:vAlign w:val="center"/>
          </w:tcPr>
          <w:p>
            <w:pPr>
              <w:spacing w:line="240" w:lineRule="auto"/>
              <w:ind w:firstLine="0" w:firstLineChars="0"/>
              <w:jc w:val="both"/>
              <w:rPr>
                <w:rFonts w:eastAsia="宋体" w:cs="Times New Roman"/>
                <w:sz w:val="18"/>
                <w:szCs w:val="18"/>
              </w:rPr>
            </w:pPr>
            <w:r>
              <w:rPr>
                <w:rFonts w:hint="eastAsia" w:eastAsia="宋体" w:cs="Times New Roman"/>
                <w:sz w:val="18"/>
                <w:szCs w:val="18"/>
              </w:rPr>
              <w:t>指导、监督全市文化、广电、旅游、体育市场综合执法，组织查处市区及全市性、跨区域文化、文物、广电、电影、旅游、体育等市场违法行为，督查、办理大案要案，维护市场秩序。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auto" w:fill="auto"/>
            <w:noWrap/>
            <w:vAlign w:val="center"/>
          </w:tcPr>
          <w:p>
            <w:pPr>
              <w:spacing w:line="240" w:lineRule="auto"/>
              <w:ind w:firstLine="0" w:firstLineChars="0"/>
              <w:jc w:val="center"/>
              <w:rPr>
                <w:rFonts w:eastAsia="宋体" w:cs="Times New Roman"/>
                <w:sz w:val="18"/>
                <w:szCs w:val="18"/>
              </w:rPr>
            </w:pPr>
            <w:r>
              <w:rPr>
                <w:rFonts w:hint="eastAsia" w:eastAsia="宋体" w:cs="Times New Roman"/>
                <w:sz w:val="18"/>
                <w:szCs w:val="18"/>
              </w:rPr>
              <w:t>11</w:t>
            </w:r>
          </w:p>
        </w:tc>
        <w:tc>
          <w:tcPr>
            <w:tcW w:w="0" w:type="auto"/>
            <w:shd w:val="clear" w:color="auto" w:fill="auto"/>
            <w:vAlign w:val="bottom"/>
          </w:tcPr>
          <w:p>
            <w:pPr>
              <w:spacing w:line="240" w:lineRule="auto"/>
              <w:ind w:firstLine="0" w:firstLineChars="0"/>
              <w:jc w:val="both"/>
              <w:rPr>
                <w:rFonts w:eastAsia="宋体" w:cs="Times New Roman"/>
                <w:sz w:val="18"/>
                <w:szCs w:val="18"/>
              </w:rPr>
            </w:pPr>
            <w:r>
              <w:rPr>
                <w:rFonts w:hint="eastAsia" w:eastAsia="宋体" w:cs="Times New Roman"/>
                <w:sz w:val="18"/>
                <w:szCs w:val="18"/>
              </w:rPr>
              <w:t xml:space="preserve">指导、管理文化、广电、旅游、体育对外及对港澳台交流合作与推广宣传，组织相关大型交流活动，推进区域文化、旅游、体育交流合作与科技创新发展。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auto" w:fill="auto"/>
            <w:noWrap/>
            <w:vAlign w:val="center"/>
          </w:tcPr>
          <w:p>
            <w:pPr>
              <w:spacing w:line="240" w:lineRule="auto"/>
              <w:ind w:firstLine="0" w:firstLineChars="0"/>
              <w:jc w:val="center"/>
              <w:rPr>
                <w:rFonts w:eastAsia="宋体" w:cs="Times New Roman"/>
                <w:sz w:val="18"/>
                <w:szCs w:val="18"/>
              </w:rPr>
            </w:pPr>
            <w:r>
              <w:rPr>
                <w:rFonts w:hint="eastAsia" w:eastAsia="宋体" w:cs="Times New Roman"/>
                <w:sz w:val="18"/>
                <w:szCs w:val="18"/>
              </w:rPr>
              <w:t>12</w:t>
            </w:r>
          </w:p>
        </w:tc>
        <w:tc>
          <w:tcPr>
            <w:tcW w:w="0" w:type="auto"/>
            <w:shd w:val="clear" w:color="auto" w:fill="auto"/>
            <w:vAlign w:val="bottom"/>
          </w:tcPr>
          <w:p>
            <w:pPr>
              <w:spacing w:line="240" w:lineRule="auto"/>
              <w:ind w:firstLine="0" w:firstLineChars="0"/>
              <w:jc w:val="both"/>
              <w:rPr>
                <w:rFonts w:eastAsia="宋体" w:cs="Times New Roman"/>
                <w:sz w:val="18"/>
                <w:szCs w:val="18"/>
              </w:rPr>
            </w:pPr>
            <w:r>
              <w:rPr>
                <w:rFonts w:hint="eastAsia" w:eastAsia="宋体" w:cs="Times New Roman"/>
                <w:sz w:val="18"/>
                <w:szCs w:val="18"/>
              </w:rPr>
              <w:t>指导、管理全市文物和博物馆工作，组织协调重大文物保护和考古项目实施，推动完善文物和博物馆公共服务体系建设。指导全市世界文化遗产项目申报及中国世界文化遗产地管理工作。协同相关部门开展历史文化名城（镇、村）保护和监督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auto" w:fill="auto"/>
            <w:noWrap/>
            <w:vAlign w:val="center"/>
          </w:tcPr>
          <w:p>
            <w:pPr>
              <w:spacing w:line="240" w:lineRule="auto"/>
              <w:ind w:firstLine="0" w:firstLineChars="0"/>
              <w:jc w:val="center"/>
              <w:rPr>
                <w:rFonts w:eastAsia="宋体" w:cs="Times New Roman"/>
                <w:sz w:val="18"/>
                <w:szCs w:val="18"/>
              </w:rPr>
            </w:pPr>
            <w:r>
              <w:rPr>
                <w:rFonts w:hint="eastAsia" w:eastAsia="宋体" w:cs="Times New Roman"/>
                <w:sz w:val="18"/>
                <w:szCs w:val="18"/>
              </w:rPr>
              <w:t>13</w:t>
            </w:r>
          </w:p>
        </w:tc>
        <w:tc>
          <w:tcPr>
            <w:tcW w:w="0" w:type="auto"/>
            <w:shd w:val="clear" w:color="auto" w:fill="auto"/>
            <w:vAlign w:val="bottom"/>
          </w:tcPr>
          <w:p>
            <w:pPr>
              <w:spacing w:line="240" w:lineRule="auto"/>
              <w:ind w:firstLine="0" w:firstLineChars="0"/>
              <w:jc w:val="both"/>
              <w:rPr>
                <w:rFonts w:eastAsia="宋体" w:cs="Times New Roman"/>
                <w:sz w:val="18"/>
                <w:szCs w:val="18"/>
              </w:rPr>
            </w:pPr>
            <w:r>
              <w:rPr>
                <w:rFonts w:hint="eastAsia" w:eastAsia="宋体" w:cs="Times New Roman"/>
                <w:sz w:val="18"/>
                <w:szCs w:val="18"/>
              </w:rPr>
              <w:t>负责对各类广播电视机构进行业务指导和行业监管，会同有关部门对网络视听节目服务机构进行管理。监管境外落地电视频道和卫星电视、境外电视广播地面接收设施。监管广播电视节目传输覆盖、监测和安全播出。指导、协调广播电视系统安全和保卫工作。负责推进广播电视与新媒体新技术新业态融合发展，协调推进广电网与电信网、互联网三网融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auto" w:fill="auto"/>
            <w:noWrap/>
            <w:vAlign w:val="center"/>
          </w:tcPr>
          <w:p>
            <w:pPr>
              <w:spacing w:line="240" w:lineRule="auto"/>
              <w:ind w:firstLine="0" w:firstLineChars="0"/>
              <w:jc w:val="center"/>
              <w:rPr>
                <w:rFonts w:eastAsia="宋体" w:cs="Times New Roman"/>
                <w:sz w:val="18"/>
                <w:szCs w:val="18"/>
              </w:rPr>
            </w:pPr>
            <w:r>
              <w:rPr>
                <w:rFonts w:hint="eastAsia" w:eastAsia="宋体" w:cs="Times New Roman"/>
                <w:sz w:val="18"/>
                <w:szCs w:val="18"/>
              </w:rPr>
              <w:t>14</w:t>
            </w:r>
          </w:p>
        </w:tc>
        <w:tc>
          <w:tcPr>
            <w:tcW w:w="0" w:type="auto"/>
            <w:shd w:val="clear" w:color="auto" w:fill="auto"/>
            <w:vAlign w:val="bottom"/>
          </w:tcPr>
          <w:p>
            <w:pPr>
              <w:spacing w:line="240" w:lineRule="auto"/>
              <w:ind w:firstLine="0" w:firstLineChars="0"/>
              <w:jc w:val="both"/>
              <w:rPr>
                <w:rFonts w:eastAsia="宋体" w:cs="Times New Roman"/>
                <w:sz w:val="18"/>
                <w:szCs w:val="18"/>
              </w:rPr>
            </w:pPr>
            <w:r>
              <w:rPr>
                <w:rFonts w:hint="eastAsia" w:eastAsia="宋体" w:cs="Times New Roman"/>
                <w:sz w:val="18"/>
                <w:szCs w:val="18"/>
              </w:rPr>
              <w:t>加强广播电视阵地管理，把握正确的舆论导向和创作导向。审查、监管广播电视节目、网络视听节目、在公共视听载体播放的视听节目的内容和质量。指导、监管广播电视广告播放，指导实施广播电视节目评价工作，组织全市广播电视机构开展广播电视统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auto" w:fill="auto"/>
            <w:noWrap/>
            <w:vAlign w:val="center"/>
          </w:tcPr>
          <w:p>
            <w:pPr>
              <w:spacing w:line="240" w:lineRule="auto"/>
              <w:ind w:firstLine="0" w:firstLineChars="0"/>
              <w:jc w:val="center"/>
              <w:rPr>
                <w:rFonts w:eastAsia="宋体" w:cs="Times New Roman"/>
                <w:sz w:val="18"/>
                <w:szCs w:val="18"/>
              </w:rPr>
            </w:pPr>
            <w:r>
              <w:rPr>
                <w:rFonts w:hint="eastAsia" w:eastAsia="宋体" w:cs="Times New Roman"/>
                <w:sz w:val="18"/>
                <w:szCs w:val="18"/>
              </w:rPr>
              <w:t>15</w:t>
            </w:r>
          </w:p>
        </w:tc>
        <w:tc>
          <w:tcPr>
            <w:tcW w:w="0" w:type="auto"/>
            <w:shd w:val="clear" w:color="auto" w:fill="auto"/>
            <w:vAlign w:val="bottom"/>
          </w:tcPr>
          <w:p>
            <w:pPr>
              <w:spacing w:line="240" w:lineRule="auto"/>
              <w:ind w:firstLine="0" w:firstLineChars="0"/>
              <w:jc w:val="both"/>
              <w:rPr>
                <w:rFonts w:eastAsia="宋体" w:cs="Times New Roman"/>
                <w:sz w:val="18"/>
                <w:szCs w:val="18"/>
              </w:rPr>
            </w:pPr>
            <w:r>
              <w:rPr>
                <w:rFonts w:hint="eastAsia" w:eastAsia="宋体" w:cs="Times New Roman"/>
                <w:sz w:val="18"/>
                <w:szCs w:val="18"/>
              </w:rPr>
              <w:t>制定本市群众体育发展规划，指导推进全民健身计划实施。指导国民体质监测和社会体育指导员工作。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auto" w:fill="auto"/>
            <w:noWrap/>
            <w:vAlign w:val="center"/>
          </w:tcPr>
          <w:p>
            <w:pPr>
              <w:spacing w:line="240" w:lineRule="auto"/>
              <w:ind w:firstLine="0" w:firstLineChars="0"/>
              <w:jc w:val="center"/>
              <w:rPr>
                <w:rFonts w:eastAsia="宋体" w:cs="Times New Roman"/>
                <w:sz w:val="18"/>
                <w:szCs w:val="18"/>
              </w:rPr>
            </w:pPr>
            <w:r>
              <w:rPr>
                <w:rFonts w:hint="eastAsia" w:eastAsia="宋体" w:cs="Times New Roman"/>
                <w:sz w:val="18"/>
                <w:szCs w:val="18"/>
              </w:rPr>
              <w:t>16</w:t>
            </w:r>
          </w:p>
        </w:tc>
        <w:tc>
          <w:tcPr>
            <w:tcW w:w="0" w:type="auto"/>
            <w:shd w:val="clear" w:color="auto" w:fill="auto"/>
            <w:vAlign w:val="bottom"/>
          </w:tcPr>
          <w:p>
            <w:pPr>
              <w:spacing w:line="240" w:lineRule="auto"/>
              <w:ind w:firstLine="0" w:firstLineChars="0"/>
              <w:jc w:val="both"/>
              <w:rPr>
                <w:rFonts w:eastAsia="宋体" w:cs="Times New Roman"/>
                <w:sz w:val="18"/>
                <w:szCs w:val="18"/>
              </w:rPr>
            </w:pPr>
            <w:r>
              <w:rPr>
                <w:rFonts w:hint="eastAsia" w:eastAsia="宋体" w:cs="Times New Roman"/>
                <w:sz w:val="18"/>
                <w:szCs w:val="18"/>
              </w:rPr>
              <w:t>统筹规划青少年体育发展，指导和推进青少年体育工作。指导本市承办的省级以上比赛有关工作。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auto" w:fill="auto"/>
            <w:noWrap/>
            <w:vAlign w:val="center"/>
          </w:tcPr>
          <w:p>
            <w:pPr>
              <w:spacing w:line="240" w:lineRule="auto"/>
              <w:ind w:firstLine="0" w:firstLineChars="0"/>
              <w:jc w:val="center"/>
              <w:rPr>
                <w:rFonts w:eastAsia="宋体" w:cs="Times New Roman"/>
                <w:sz w:val="18"/>
                <w:szCs w:val="18"/>
              </w:rPr>
            </w:pPr>
            <w:r>
              <w:rPr>
                <w:rFonts w:hint="eastAsia" w:eastAsia="宋体" w:cs="Times New Roman"/>
                <w:sz w:val="18"/>
                <w:szCs w:val="18"/>
              </w:rPr>
              <w:t>17</w:t>
            </w:r>
          </w:p>
        </w:tc>
        <w:tc>
          <w:tcPr>
            <w:tcW w:w="0" w:type="auto"/>
            <w:shd w:val="clear" w:color="auto" w:fill="auto"/>
            <w:vAlign w:val="bottom"/>
          </w:tcPr>
          <w:p>
            <w:pPr>
              <w:spacing w:line="240" w:lineRule="auto"/>
              <w:ind w:firstLine="0" w:firstLineChars="0"/>
              <w:jc w:val="both"/>
              <w:rPr>
                <w:rFonts w:eastAsia="宋体" w:cs="Times New Roman"/>
                <w:sz w:val="18"/>
                <w:szCs w:val="18"/>
              </w:rPr>
            </w:pPr>
            <w:r>
              <w:rPr>
                <w:rFonts w:hint="eastAsia" w:eastAsia="宋体" w:cs="Times New Roman"/>
                <w:sz w:val="18"/>
                <w:szCs w:val="18"/>
              </w:rPr>
              <w:t xml:space="preserve">负责本市体育彩票管理工作，以及市级体育彩票公益金的具体管理工作，负责对全市范围内高危险性体育项目经营活动进行监督检查。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auto" w:fill="auto"/>
            <w:noWrap/>
            <w:vAlign w:val="center"/>
          </w:tcPr>
          <w:p>
            <w:pPr>
              <w:spacing w:line="240" w:lineRule="auto"/>
              <w:ind w:firstLine="0" w:firstLineChars="0"/>
              <w:jc w:val="center"/>
              <w:rPr>
                <w:rFonts w:eastAsia="宋体" w:cs="Times New Roman"/>
                <w:sz w:val="18"/>
                <w:szCs w:val="18"/>
              </w:rPr>
            </w:pPr>
            <w:r>
              <w:rPr>
                <w:rFonts w:hint="eastAsia" w:eastAsia="宋体" w:cs="Times New Roman"/>
                <w:sz w:val="18"/>
                <w:szCs w:val="18"/>
              </w:rPr>
              <w:t>18</w:t>
            </w:r>
          </w:p>
        </w:tc>
        <w:tc>
          <w:tcPr>
            <w:tcW w:w="0" w:type="auto"/>
            <w:shd w:val="clear" w:color="auto" w:fill="auto"/>
            <w:vAlign w:val="bottom"/>
          </w:tcPr>
          <w:p>
            <w:pPr>
              <w:spacing w:line="240" w:lineRule="auto"/>
              <w:ind w:firstLine="0" w:firstLineChars="0"/>
              <w:jc w:val="both"/>
              <w:rPr>
                <w:rFonts w:eastAsia="宋体" w:cs="Times New Roman"/>
                <w:sz w:val="18"/>
                <w:szCs w:val="18"/>
              </w:rPr>
            </w:pPr>
            <w:r>
              <w:rPr>
                <w:rFonts w:hint="eastAsia" w:eastAsia="宋体" w:cs="Times New Roman"/>
                <w:sz w:val="18"/>
                <w:szCs w:val="18"/>
              </w:rPr>
              <w:t xml:space="preserve">完成市委、市政府以及省文化和旅游厅、省广播电视局、省体育局交办的其他任务。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auto" w:fill="auto"/>
            <w:noWrap/>
            <w:vAlign w:val="center"/>
          </w:tcPr>
          <w:p>
            <w:pPr>
              <w:spacing w:line="240" w:lineRule="auto"/>
              <w:ind w:firstLine="0" w:firstLineChars="0"/>
              <w:jc w:val="center"/>
              <w:rPr>
                <w:rFonts w:eastAsia="宋体" w:cs="Times New Roman"/>
                <w:sz w:val="18"/>
                <w:szCs w:val="18"/>
              </w:rPr>
            </w:pPr>
            <w:r>
              <w:rPr>
                <w:rFonts w:hint="eastAsia" w:eastAsia="宋体" w:cs="Times New Roman"/>
                <w:sz w:val="18"/>
                <w:szCs w:val="18"/>
              </w:rPr>
              <w:t>19</w:t>
            </w:r>
          </w:p>
        </w:tc>
        <w:tc>
          <w:tcPr>
            <w:tcW w:w="0" w:type="auto"/>
            <w:shd w:val="clear" w:color="auto" w:fill="auto"/>
            <w:vAlign w:val="bottom"/>
          </w:tcPr>
          <w:p>
            <w:pPr>
              <w:spacing w:line="240" w:lineRule="auto"/>
              <w:ind w:firstLine="0" w:firstLineChars="0"/>
              <w:jc w:val="both"/>
              <w:rPr>
                <w:rFonts w:eastAsia="宋体" w:cs="Times New Roman"/>
                <w:sz w:val="18"/>
                <w:szCs w:val="18"/>
              </w:rPr>
            </w:pPr>
            <w:r>
              <w:rPr>
                <w:rFonts w:hint="eastAsia" w:eastAsia="宋体" w:cs="Times New Roman"/>
                <w:sz w:val="18"/>
                <w:szCs w:val="18"/>
              </w:rPr>
              <w:t xml:space="preserve">深入推进简政放权、放管结合、优化服务改革。加强对涉及文化、广电、旅游、体育安全事项的监管。推动文化、旅游、体育行业信用体系建设，完善“双随机、一公开”监管机制，强化事中事后监管。提升服务水平，提高办事效率。完善文化、广电、旅游、体育公共服务体制，推进公共服务标准化、均等化、数字化、社会化，扶持基层、欠发达地区公共服务体系建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shd w:val="clear" w:color="auto" w:fill="auto"/>
            <w:noWrap/>
            <w:vAlign w:val="center"/>
          </w:tcPr>
          <w:p>
            <w:pPr>
              <w:spacing w:line="240" w:lineRule="auto"/>
              <w:ind w:firstLine="0" w:firstLineChars="0"/>
              <w:jc w:val="center"/>
              <w:rPr>
                <w:rFonts w:eastAsia="宋体" w:cs="Times New Roman"/>
                <w:sz w:val="18"/>
                <w:szCs w:val="18"/>
              </w:rPr>
            </w:pPr>
            <w:r>
              <w:rPr>
                <w:rFonts w:hint="eastAsia" w:eastAsia="宋体" w:cs="Times New Roman"/>
                <w:sz w:val="18"/>
                <w:szCs w:val="18"/>
              </w:rPr>
              <w:t>2</w:t>
            </w:r>
            <w:r>
              <w:rPr>
                <w:rFonts w:eastAsia="宋体" w:cs="Times New Roman"/>
                <w:sz w:val="18"/>
                <w:szCs w:val="18"/>
              </w:rPr>
              <w:t>0</w:t>
            </w:r>
          </w:p>
        </w:tc>
        <w:tc>
          <w:tcPr>
            <w:tcW w:w="0" w:type="auto"/>
            <w:shd w:val="clear" w:color="auto" w:fill="auto"/>
            <w:vAlign w:val="bottom"/>
          </w:tcPr>
          <w:p>
            <w:pPr>
              <w:spacing w:line="240" w:lineRule="auto"/>
              <w:ind w:firstLine="0" w:firstLineChars="0"/>
              <w:jc w:val="both"/>
              <w:rPr>
                <w:rFonts w:eastAsia="宋体" w:cs="Times New Roman"/>
                <w:sz w:val="18"/>
                <w:szCs w:val="18"/>
              </w:rPr>
            </w:pPr>
            <w:r>
              <w:rPr>
                <w:rFonts w:hint="eastAsia" w:eastAsia="宋体" w:cs="Times New Roman"/>
                <w:sz w:val="18"/>
                <w:szCs w:val="18"/>
              </w:rPr>
              <w:t>指导革命文物保护管理利用工作。拟订革命文物保护管理利用的政策措施和规划，并组织实施。组织开展全市革命文物资源调查和公布工作。指导革命纪念馆、革命博物馆业务工作。组织革命文物研究、展示和传播工作。承担红色资源保护利用和红色旅游相关工作。</w:t>
            </w:r>
          </w:p>
        </w:tc>
      </w:tr>
    </w:tbl>
    <w:p>
      <w:pPr>
        <w:spacing w:line="560" w:lineRule="exact"/>
        <w:ind w:firstLine="643"/>
        <w:outlineLvl w:val="2"/>
        <w:rPr>
          <w:rFonts w:cs="Times New Roman"/>
          <w:b/>
          <w:bCs/>
          <w:szCs w:val="32"/>
        </w:rPr>
      </w:pPr>
      <w:r>
        <w:rPr>
          <w:rFonts w:cs="Times New Roman"/>
          <w:b/>
          <w:bCs/>
          <w:szCs w:val="32"/>
        </w:rPr>
        <w:t>2.部门机构设置</w:t>
      </w:r>
      <w:bookmarkEnd w:id="25"/>
      <w:bookmarkEnd w:id="26"/>
      <w:r>
        <w:rPr>
          <w:rFonts w:cs="Times New Roman"/>
          <w:b/>
          <w:bCs/>
          <w:szCs w:val="32"/>
        </w:rPr>
        <w:t>和人员情况</w:t>
      </w:r>
    </w:p>
    <w:p>
      <w:pPr>
        <w:pStyle w:val="27"/>
        <w:spacing w:before="0" w:beforeAutospacing="0" w:after="0" w:afterAutospacing="0" w:line="560" w:lineRule="exact"/>
        <w:ind w:firstLine="640" w:firstLineChars="200"/>
        <w:jc w:val="both"/>
        <w:rPr>
          <w:rFonts w:eastAsia="仿宋_GB2312"/>
          <w:szCs w:val="32"/>
        </w:rPr>
      </w:pPr>
      <w:r>
        <w:rPr>
          <w:rFonts w:hint="eastAsia" w:eastAsia="仿宋_GB2312"/>
          <w:szCs w:val="32"/>
        </w:rPr>
        <w:t>市文广旅体局内设1</w:t>
      </w:r>
      <w:r>
        <w:rPr>
          <w:rFonts w:eastAsia="仿宋_GB2312"/>
          <w:szCs w:val="32"/>
        </w:rPr>
        <w:t>7</w:t>
      </w:r>
      <w:r>
        <w:rPr>
          <w:rFonts w:hint="eastAsia" w:eastAsia="仿宋_GB2312"/>
          <w:szCs w:val="32"/>
        </w:rPr>
        <w:t>个职能科室、下设9个事业单位。其中，1</w:t>
      </w:r>
      <w:r>
        <w:rPr>
          <w:rFonts w:eastAsia="仿宋_GB2312"/>
          <w:szCs w:val="32"/>
        </w:rPr>
        <w:t>7</w:t>
      </w:r>
      <w:r>
        <w:rPr>
          <w:rFonts w:hint="eastAsia" w:eastAsia="仿宋_GB2312"/>
          <w:szCs w:val="32"/>
        </w:rPr>
        <w:t>个内设科室分别是办公室、法规科（行政审批科）、基建科、艺术和公共服务科、产业发展科、市场推广科、市场管理科、非物质文化遗产科、文物科、广播电视科、群众体育科、青少年体育科、执法一科、执法二科、人事科、机关党委和革命文物科。下属9个事业单位包括韶关市图书馆、韶关市文化馆、韶关市博物馆、韶关市粤北采茶戏保护传承中心、韶关市红军长征粤北纪念馆、韶关市中心业余体校、韶关市文化文物景点管理中心、韶关市体育场馆管理中心、韶关市体育彩票管理中心。</w:t>
      </w:r>
    </w:p>
    <w:bookmarkEnd w:id="27"/>
    <w:p>
      <w:pPr>
        <w:spacing w:line="560" w:lineRule="exact"/>
        <w:ind w:firstLine="640"/>
        <w:jc w:val="both"/>
        <w:rPr>
          <w:rFonts w:cs="Times New Roman"/>
          <w:szCs w:val="32"/>
          <w:lang w:bidi="zh-CN"/>
        </w:rPr>
      </w:pPr>
      <w:bookmarkStart w:id="28" w:name="_Toc22223"/>
      <w:bookmarkStart w:id="29" w:name="_Toc114664779"/>
      <w:bookmarkStart w:id="30" w:name="_Toc112424047"/>
      <w:bookmarkStart w:id="31" w:name="_Toc28763"/>
      <w:bookmarkStart w:id="32" w:name="_Toc30416"/>
      <w:bookmarkStart w:id="33" w:name="_Toc9887"/>
      <w:bookmarkStart w:id="34" w:name="_Toc103363771"/>
      <w:bookmarkStart w:id="35" w:name="_Toc22839"/>
      <w:bookmarkStart w:id="36" w:name="_Toc74500557"/>
      <w:bookmarkStart w:id="37" w:name="_Toc1888"/>
      <w:bookmarkStart w:id="38" w:name="_Toc510902982"/>
      <w:r>
        <w:rPr>
          <w:rFonts w:hint="eastAsia" w:cs="Times New Roman"/>
          <w:szCs w:val="32"/>
          <w:lang w:bidi="zh-CN"/>
        </w:rPr>
        <w:t>市文广电旅体局机关编制73名（其中行政编制50名、行政执法专项编制23名）。设局长1名，副局长4名；正科级领导职数1</w:t>
      </w:r>
      <w:r>
        <w:rPr>
          <w:rFonts w:cs="Times New Roman"/>
          <w:szCs w:val="32"/>
          <w:lang w:bidi="zh-CN"/>
        </w:rPr>
        <w:t>7</w:t>
      </w:r>
      <w:r>
        <w:rPr>
          <w:rFonts w:hint="eastAsia" w:cs="Times New Roman"/>
          <w:szCs w:val="32"/>
          <w:lang w:bidi="zh-CN"/>
        </w:rPr>
        <w:t>名（含机关党委专职副书记1名），副科级领导职数1</w:t>
      </w:r>
      <w:r>
        <w:rPr>
          <w:rFonts w:cs="Times New Roman"/>
          <w:szCs w:val="32"/>
          <w:lang w:bidi="zh-CN"/>
        </w:rPr>
        <w:t>7</w:t>
      </w:r>
      <w:r>
        <w:rPr>
          <w:rFonts w:hint="eastAsia" w:cs="Times New Roman"/>
          <w:szCs w:val="32"/>
          <w:lang w:bidi="zh-CN"/>
        </w:rPr>
        <w:t>名。市文化广电旅游体育局所属事业单位的设置、职责和编制事项另行规定。</w:t>
      </w:r>
    </w:p>
    <w:p>
      <w:pPr>
        <w:spacing w:line="560" w:lineRule="exact"/>
        <w:ind w:firstLine="640"/>
        <w:jc w:val="both"/>
        <w:outlineLvl w:val="1"/>
        <w:rPr>
          <w:rFonts w:eastAsia="楷体_GB2312" w:cs="Times New Roman"/>
          <w:szCs w:val="32"/>
        </w:rPr>
      </w:pPr>
      <w:bookmarkStart w:id="39" w:name="_Toc31639"/>
      <w:r>
        <w:rPr>
          <w:rFonts w:eastAsia="楷体_GB2312" w:cs="Times New Roman"/>
          <w:szCs w:val="32"/>
        </w:rPr>
        <w:t>（二）年度总体工作及重点工作任务。</w:t>
      </w:r>
      <w:bookmarkEnd w:id="28"/>
      <w:bookmarkEnd w:id="29"/>
      <w:bookmarkEnd w:id="30"/>
      <w:bookmarkEnd w:id="31"/>
      <w:bookmarkEnd w:id="32"/>
      <w:bookmarkEnd w:id="33"/>
      <w:bookmarkEnd w:id="39"/>
    </w:p>
    <w:bookmarkEnd w:id="34"/>
    <w:bookmarkEnd w:id="35"/>
    <w:bookmarkEnd w:id="36"/>
    <w:bookmarkEnd w:id="37"/>
    <w:p>
      <w:pPr>
        <w:pStyle w:val="11"/>
        <w:spacing w:line="560" w:lineRule="exact"/>
        <w:ind w:firstLine="640"/>
        <w:jc w:val="both"/>
        <w:rPr>
          <w:rFonts w:cs="Times New Roman"/>
          <w:szCs w:val="32"/>
        </w:rPr>
      </w:pPr>
      <w:r>
        <w:rPr>
          <w:rFonts w:hint="eastAsia" w:cs="Times New Roman"/>
          <w:szCs w:val="32"/>
        </w:rPr>
        <w:t>依据《韶关市文化广电体育事业及文旅产业发展“十四五”规划》中对文广旅体工作的总体要求</w:t>
      </w:r>
      <w:r>
        <w:rPr>
          <w:rFonts w:cs="Times New Roman"/>
          <w:szCs w:val="32"/>
          <w:vertAlign w:val="superscript"/>
        </w:rPr>
        <w:footnoteReference w:id="1"/>
      </w:r>
      <w:r>
        <w:rPr>
          <w:rFonts w:hint="eastAsia" w:cs="Times New Roman"/>
          <w:szCs w:val="32"/>
        </w:rPr>
        <w:t>，结合市文广旅体局部门职能，2022年度部门总体工作主要包括3个方面</w:t>
      </w:r>
      <w:bookmarkStart w:id="40" w:name="_Toc22779"/>
      <w:bookmarkStart w:id="41" w:name="_Toc28446"/>
      <w:bookmarkStart w:id="42" w:name="_Toc25924"/>
      <w:bookmarkStart w:id="43" w:name="_Toc114664780"/>
      <w:bookmarkStart w:id="44" w:name="_Toc24378"/>
      <w:bookmarkStart w:id="45" w:name="_Toc112424048"/>
      <w:r>
        <w:rPr>
          <w:rFonts w:hint="eastAsia" w:cs="Times New Roman"/>
          <w:szCs w:val="32"/>
        </w:rPr>
        <w:t>：一是文化发展建设方面。推动风度书房建设、开展行政村（社区）综合性文化服务中心提质增效工作、举办丰富多彩的文旅体活动、抓好重点剧目创排、加强文物保护利用工作、推进华南教育历史研学基地建设、提升非物质文化遗产系统性保护工作水平、开展地下文物埋藏区划定工作。二是体育发展建设方面。建成韶州体育中心、承办省级以上赛事等。三是旅游发展建设方面。推动全域旅游示范区创建工作、打造乡村旅游品牌、加强韶关城市形象宣传推广。市文广旅体局2022年主要具体工作任务如表1-2所示。</w:t>
      </w:r>
    </w:p>
    <w:p>
      <w:pPr>
        <w:widowControl w:val="0"/>
        <w:spacing w:line="560" w:lineRule="exact"/>
        <w:ind w:firstLine="0" w:firstLineChars="0"/>
        <w:jc w:val="center"/>
        <w:rPr>
          <w:rFonts w:eastAsia="宋体" w:cs="Times New Roman"/>
          <w:b/>
          <w:sz w:val="24"/>
          <w:szCs w:val="32"/>
        </w:rPr>
      </w:pPr>
      <w:r>
        <w:rPr>
          <w:rFonts w:eastAsia="宋体" w:cs="Times New Roman"/>
          <w:b/>
          <w:sz w:val="24"/>
          <w:szCs w:val="32"/>
        </w:rPr>
        <w:t>表1-</w:t>
      </w:r>
      <w:r>
        <w:rPr>
          <w:rFonts w:hint="eastAsia" w:eastAsia="宋体" w:cs="Times New Roman"/>
          <w:b/>
          <w:sz w:val="24"/>
          <w:szCs w:val="32"/>
        </w:rPr>
        <w:t xml:space="preserve">2 </w:t>
      </w:r>
      <w:r>
        <w:rPr>
          <w:rFonts w:eastAsia="宋体" w:cs="Times New Roman"/>
          <w:b/>
          <w:sz w:val="24"/>
          <w:szCs w:val="32"/>
        </w:rPr>
        <w:t>市文广旅体局2022年主要工作任务</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2616"/>
        <w:gridCol w:w="6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blHeader/>
          <w:jc w:val="center"/>
        </w:trPr>
        <w:tc>
          <w:tcPr>
            <w:tcW w:w="0" w:type="auto"/>
            <w:shd w:val="clear" w:color="auto" w:fill="auto"/>
            <w:noWrap/>
            <w:vAlign w:val="center"/>
          </w:tcPr>
          <w:p>
            <w:pPr>
              <w:spacing w:line="240" w:lineRule="auto"/>
              <w:ind w:firstLine="0" w:firstLineChars="0"/>
              <w:jc w:val="center"/>
              <w:textAlignment w:val="center"/>
              <w:rPr>
                <w:rFonts w:eastAsia="宋体" w:cs="Times New Roman"/>
                <w:b/>
                <w:bCs/>
                <w:sz w:val="21"/>
                <w:szCs w:val="21"/>
              </w:rPr>
            </w:pPr>
            <w:r>
              <w:rPr>
                <w:rFonts w:hint="eastAsia" w:eastAsia="宋体" w:cs="Times New Roman"/>
                <w:b/>
                <w:bCs/>
                <w:sz w:val="21"/>
                <w:szCs w:val="21"/>
                <w:lang w:bidi="ar"/>
              </w:rPr>
              <w:t>序号</w:t>
            </w:r>
          </w:p>
        </w:tc>
        <w:tc>
          <w:tcPr>
            <w:tcW w:w="0" w:type="auto"/>
            <w:shd w:val="clear" w:color="auto" w:fill="auto"/>
            <w:vAlign w:val="center"/>
          </w:tcPr>
          <w:p>
            <w:pPr>
              <w:spacing w:line="240" w:lineRule="auto"/>
              <w:ind w:firstLine="0" w:firstLineChars="0"/>
              <w:jc w:val="center"/>
              <w:textAlignment w:val="center"/>
              <w:rPr>
                <w:rFonts w:eastAsia="宋体" w:cs="Times New Roman"/>
                <w:b/>
                <w:bCs/>
                <w:sz w:val="21"/>
                <w:szCs w:val="21"/>
              </w:rPr>
            </w:pPr>
            <w:r>
              <w:rPr>
                <w:rFonts w:hint="eastAsia" w:eastAsia="宋体" w:cs="Times New Roman"/>
                <w:b/>
                <w:bCs/>
                <w:sz w:val="21"/>
                <w:szCs w:val="21"/>
                <w:lang w:bidi="ar"/>
              </w:rPr>
              <w:t>工作任务</w:t>
            </w:r>
          </w:p>
        </w:tc>
        <w:tc>
          <w:tcPr>
            <w:tcW w:w="0" w:type="auto"/>
            <w:shd w:val="clear" w:color="auto" w:fill="auto"/>
            <w:vAlign w:val="center"/>
          </w:tcPr>
          <w:p>
            <w:pPr>
              <w:spacing w:line="240" w:lineRule="auto"/>
              <w:ind w:firstLine="0" w:firstLineChars="0"/>
              <w:jc w:val="center"/>
              <w:textAlignment w:val="center"/>
              <w:rPr>
                <w:rFonts w:eastAsia="宋体" w:cs="Times New Roman"/>
                <w:b/>
                <w:bCs/>
                <w:sz w:val="21"/>
                <w:szCs w:val="21"/>
              </w:rPr>
            </w:pPr>
            <w:r>
              <w:rPr>
                <w:rFonts w:hint="eastAsia" w:eastAsia="宋体" w:cs="Times New Roman"/>
                <w:b/>
                <w:bCs/>
                <w:sz w:val="21"/>
                <w:szCs w:val="21"/>
                <w:lang w:bidi="ar"/>
              </w:rPr>
              <w:t>工作目标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0" w:type="auto"/>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1</w:t>
            </w:r>
          </w:p>
        </w:tc>
        <w:tc>
          <w:tcPr>
            <w:tcW w:w="0" w:type="auto"/>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任务1：完成韶州体育公园（韶州体育中心）建设</w:t>
            </w:r>
          </w:p>
        </w:tc>
        <w:tc>
          <w:tcPr>
            <w:tcW w:w="0" w:type="auto"/>
            <w:shd w:val="clear" w:color="auto" w:fill="auto"/>
            <w:vAlign w:val="center"/>
          </w:tcPr>
          <w:p>
            <w:pPr>
              <w:spacing w:line="240" w:lineRule="auto"/>
              <w:ind w:firstLine="0" w:firstLineChars="0"/>
              <w:textAlignment w:val="center"/>
              <w:rPr>
                <w:rFonts w:eastAsia="宋体" w:cs="Times New Roman"/>
                <w:sz w:val="21"/>
                <w:szCs w:val="21"/>
              </w:rPr>
            </w:pPr>
            <w:r>
              <w:rPr>
                <w:rFonts w:hint="eastAsia" w:eastAsia="宋体" w:cs="Times New Roman"/>
                <w:sz w:val="21"/>
                <w:szCs w:val="21"/>
                <w:lang w:bidi="ar"/>
              </w:rPr>
              <w:t>目标1：完成韶州体育公园（韶州体育中心）主体工程及周边两条市政道路建设。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3" w:hRule="atLeast"/>
          <w:jc w:val="center"/>
        </w:trPr>
        <w:tc>
          <w:tcPr>
            <w:tcW w:w="0" w:type="auto"/>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2</w:t>
            </w:r>
          </w:p>
        </w:tc>
        <w:tc>
          <w:tcPr>
            <w:tcW w:w="0" w:type="auto"/>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任务2：提升非物质文化遗产系统性保护工作水平</w:t>
            </w:r>
          </w:p>
        </w:tc>
        <w:tc>
          <w:tcPr>
            <w:tcW w:w="0" w:type="auto"/>
            <w:shd w:val="clear" w:color="auto" w:fill="auto"/>
            <w:vAlign w:val="center"/>
          </w:tcPr>
          <w:p>
            <w:pPr>
              <w:spacing w:line="240" w:lineRule="auto"/>
              <w:ind w:firstLine="0" w:firstLineChars="0"/>
              <w:textAlignment w:val="center"/>
              <w:rPr>
                <w:rFonts w:eastAsia="宋体" w:cs="Times New Roman"/>
                <w:sz w:val="21"/>
                <w:szCs w:val="21"/>
                <w:lang w:bidi="ar"/>
              </w:rPr>
            </w:pPr>
            <w:r>
              <w:rPr>
                <w:rFonts w:hint="eastAsia" w:eastAsia="宋体" w:cs="Times New Roman"/>
                <w:sz w:val="21"/>
                <w:szCs w:val="21"/>
                <w:lang w:bidi="ar"/>
              </w:rPr>
              <w:t>目标1：根据《广东省非物质文化遗产条例》，修订、完善各项规章制度。</w:t>
            </w:r>
          </w:p>
          <w:p>
            <w:pPr>
              <w:spacing w:line="240" w:lineRule="auto"/>
              <w:ind w:firstLine="0" w:firstLineChars="0"/>
              <w:textAlignment w:val="center"/>
              <w:rPr>
                <w:rFonts w:eastAsia="宋体" w:cs="Times New Roman"/>
                <w:sz w:val="21"/>
                <w:szCs w:val="21"/>
                <w:lang w:bidi="ar"/>
              </w:rPr>
            </w:pPr>
            <w:r>
              <w:rPr>
                <w:rFonts w:hint="eastAsia" w:eastAsia="宋体" w:cs="Times New Roman"/>
                <w:sz w:val="21"/>
                <w:szCs w:val="21"/>
                <w:lang w:bidi="ar"/>
              </w:rPr>
              <w:t>目标2：推动非遗工作站建设，争取创建1个省级非遗工作站，打造一批市级、县级非遗工作站。</w:t>
            </w:r>
          </w:p>
          <w:p>
            <w:pPr>
              <w:spacing w:line="240" w:lineRule="auto"/>
              <w:ind w:firstLine="0" w:firstLineChars="0"/>
              <w:textAlignment w:val="center"/>
              <w:rPr>
                <w:rFonts w:eastAsia="宋体" w:cs="Times New Roman"/>
                <w:sz w:val="21"/>
                <w:szCs w:val="21"/>
                <w:lang w:bidi="ar"/>
              </w:rPr>
            </w:pPr>
            <w:r>
              <w:rPr>
                <w:rFonts w:hint="eastAsia" w:eastAsia="宋体" w:cs="Times New Roman"/>
                <w:sz w:val="21"/>
                <w:szCs w:val="21"/>
                <w:lang w:bidi="ar"/>
              </w:rPr>
              <w:t>目标3：开展“文化和自然遗产日”“非遗进校园”“非遗购物节”等非遗宣传展示活动。</w:t>
            </w:r>
          </w:p>
          <w:p>
            <w:pPr>
              <w:spacing w:line="240" w:lineRule="auto"/>
              <w:ind w:firstLine="0" w:firstLineChars="0"/>
              <w:textAlignment w:val="center"/>
              <w:rPr>
                <w:rFonts w:eastAsia="宋体" w:cs="Times New Roman"/>
                <w:sz w:val="21"/>
                <w:szCs w:val="21"/>
              </w:rPr>
            </w:pPr>
            <w:r>
              <w:rPr>
                <w:rFonts w:hint="eastAsia" w:eastAsia="宋体" w:cs="Times New Roman"/>
                <w:sz w:val="21"/>
                <w:szCs w:val="21"/>
                <w:lang w:bidi="ar"/>
              </w:rPr>
              <w:t>目标4：举办非遗传承人培训班，组织申报省、市非遗项目传承人。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4" w:hRule="atLeast"/>
          <w:jc w:val="center"/>
        </w:trPr>
        <w:tc>
          <w:tcPr>
            <w:tcW w:w="0" w:type="auto"/>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3</w:t>
            </w:r>
          </w:p>
        </w:tc>
        <w:tc>
          <w:tcPr>
            <w:tcW w:w="0" w:type="auto"/>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任务3：举办丰富多彩的文旅体活动</w:t>
            </w:r>
          </w:p>
        </w:tc>
        <w:tc>
          <w:tcPr>
            <w:tcW w:w="0" w:type="auto"/>
            <w:shd w:val="clear" w:color="auto" w:fill="auto"/>
            <w:vAlign w:val="center"/>
          </w:tcPr>
          <w:p>
            <w:pPr>
              <w:spacing w:line="240" w:lineRule="auto"/>
              <w:ind w:firstLine="0" w:firstLineChars="0"/>
              <w:textAlignment w:val="center"/>
              <w:rPr>
                <w:rFonts w:eastAsia="宋体" w:cs="Times New Roman"/>
                <w:sz w:val="21"/>
                <w:szCs w:val="21"/>
                <w:lang w:bidi="ar"/>
              </w:rPr>
            </w:pPr>
            <w:r>
              <w:rPr>
                <w:rFonts w:hint="eastAsia" w:eastAsia="宋体" w:cs="Times New Roman"/>
                <w:sz w:val="21"/>
                <w:szCs w:val="21"/>
                <w:lang w:bidi="ar"/>
              </w:rPr>
              <w:t>目标1：组织开展“我们的节日”系列文化活动、韶关市音乐舞蹈花会等一系列活动。</w:t>
            </w:r>
          </w:p>
          <w:p>
            <w:pPr>
              <w:spacing w:line="240" w:lineRule="auto"/>
              <w:ind w:firstLine="0" w:firstLineChars="0"/>
              <w:textAlignment w:val="center"/>
              <w:rPr>
                <w:rFonts w:eastAsia="宋体" w:cs="Times New Roman"/>
                <w:sz w:val="21"/>
                <w:szCs w:val="21"/>
              </w:rPr>
            </w:pPr>
            <w:r>
              <w:rPr>
                <w:rFonts w:hint="eastAsia" w:eastAsia="宋体" w:cs="Times New Roman"/>
                <w:sz w:val="21"/>
                <w:szCs w:val="21"/>
                <w:lang w:bidi="ar"/>
              </w:rPr>
              <w:t>目标2：持续打造“户外运动天堂”品牌，办好龙舟邀请赛、穿越丹霞山50公里徒步赛、环丹霞山自行车赛、丹霞山山地马拉松赛、韶关马拉松赛等群众体育赛事活动。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1" w:hRule="atLeast"/>
          <w:jc w:val="center"/>
        </w:trPr>
        <w:tc>
          <w:tcPr>
            <w:tcW w:w="0" w:type="auto"/>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4</w:t>
            </w:r>
          </w:p>
        </w:tc>
        <w:tc>
          <w:tcPr>
            <w:tcW w:w="0" w:type="auto"/>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任务4：加强文物保护利用工作</w:t>
            </w:r>
          </w:p>
        </w:tc>
        <w:tc>
          <w:tcPr>
            <w:tcW w:w="0" w:type="auto"/>
            <w:shd w:val="clear" w:color="auto" w:fill="auto"/>
            <w:vAlign w:val="center"/>
          </w:tcPr>
          <w:p>
            <w:pPr>
              <w:spacing w:line="240" w:lineRule="auto"/>
              <w:ind w:firstLine="0" w:firstLineChars="0"/>
              <w:textAlignment w:val="center"/>
              <w:rPr>
                <w:rFonts w:eastAsia="宋体" w:cs="Times New Roman"/>
                <w:sz w:val="21"/>
                <w:szCs w:val="21"/>
                <w:lang w:bidi="ar"/>
              </w:rPr>
            </w:pPr>
            <w:r>
              <w:rPr>
                <w:rFonts w:hint="eastAsia" w:eastAsia="宋体" w:cs="Times New Roman"/>
                <w:sz w:val="21"/>
                <w:szCs w:val="21"/>
                <w:lang w:bidi="ar"/>
              </w:rPr>
              <w:t>目标1：统筹市级资金做好重点市级文物保护单位修缮工作。</w:t>
            </w:r>
          </w:p>
          <w:p>
            <w:pPr>
              <w:spacing w:line="240" w:lineRule="auto"/>
              <w:ind w:firstLine="0" w:firstLineChars="0"/>
              <w:textAlignment w:val="center"/>
              <w:rPr>
                <w:rFonts w:eastAsia="宋体" w:cs="Times New Roman"/>
                <w:sz w:val="21"/>
                <w:szCs w:val="21"/>
                <w:lang w:bidi="ar"/>
              </w:rPr>
            </w:pPr>
            <w:r>
              <w:rPr>
                <w:rFonts w:hint="eastAsia" w:eastAsia="宋体" w:cs="Times New Roman"/>
                <w:sz w:val="21"/>
                <w:szCs w:val="21"/>
                <w:lang w:bidi="ar"/>
              </w:rPr>
              <w:t>目标2：全面规范市级以上文物保护单位的“四有”工作管理。</w:t>
            </w:r>
          </w:p>
          <w:p>
            <w:pPr>
              <w:spacing w:line="240" w:lineRule="auto"/>
              <w:ind w:firstLine="0" w:firstLineChars="0"/>
              <w:textAlignment w:val="center"/>
              <w:rPr>
                <w:rFonts w:eastAsia="宋体" w:cs="Times New Roman"/>
                <w:sz w:val="21"/>
                <w:szCs w:val="21"/>
              </w:rPr>
            </w:pPr>
            <w:r>
              <w:rPr>
                <w:rFonts w:hint="eastAsia" w:eastAsia="宋体" w:cs="Times New Roman"/>
                <w:sz w:val="21"/>
                <w:szCs w:val="21"/>
                <w:lang w:bidi="ar"/>
              </w:rPr>
              <w:t>目标3：完善市级以上文物保护单位的保护规划。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jc w:val="center"/>
        </w:trPr>
        <w:tc>
          <w:tcPr>
            <w:tcW w:w="0" w:type="auto"/>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5</w:t>
            </w:r>
          </w:p>
        </w:tc>
        <w:tc>
          <w:tcPr>
            <w:tcW w:w="0" w:type="auto"/>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任务5：推动全域旅游示范区创建工作，培育一批高星级标准酒店</w:t>
            </w:r>
          </w:p>
        </w:tc>
        <w:tc>
          <w:tcPr>
            <w:tcW w:w="0" w:type="auto"/>
            <w:shd w:val="clear" w:color="auto" w:fill="auto"/>
            <w:vAlign w:val="center"/>
          </w:tcPr>
          <w:p>
            <w:pPr>
              <w:spacing w:line="240" w:lineRule="auto"/>
              <w:ind w:firstLine="0" w:firstLineChars="0"/>
              <w:textAlignment w:val="center"/>
              <w:rPr>
                <w:rFonts w:eastAsia="宋体" w:cs="Times New Roman"/>
                <w:sz w:val="21"/>
                <w:szCs w:val="21"/>
              </w:rPr>
            </w:pPr>
            <w:r>
              <w:rPr>
                <w:rFonts w:hint="eastAsia" w:eastAsia="宋体" w:cs="Times New Roman"/>
                <w:sz w:val="21"/>
                <w:szCs w:val="21"/>
                <w:lang w:bidi="ar"/>
              </w:rPr>
              <w:t>目标1：对星级民宿、限上住宿业、A级景区等进行奖补。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0" w:type="auto"/>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6</w:t>
            </w:r>
          </w:p>
        </w:tc>
        <w:tc>
          <w:tcPr>
            <w:tcW w:w="0" w:type="auto"/>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任务6：组团参加广东省第十六届运动会</w:t>
            </w:r>
          </w:p>
        </w:tc>
        <w:tc>
          <w:tcPr>
            <w:tcW w:w="0" w:type="auto"/>
            <w:shd w:val="clear" w:color="auto" w:fill="auto"/>
            <w:vAlign w:val="center"/>
          </w:tcPr>
          <w:p>
            <w:pPr>
              <w:spacing w:line="240" w:lineRule="auto"/>
              <w:ind w:firstLine="0" w:firstLineChars="0"/>
              <w:textAlignment w:val="center"/>
              <w:rPr>
                <w:rFonts w:eastAsia="宋体" w:cs="Times New Roman"/>
                <w:sz w:val="21"/>
                <w:szCs w:val="21"/>
              </w:rPr>
            </w:pPr>
            <w:r>
              <w:rPr>
                <w:rFonts w:hint="eastAsia" w:eastAsia="宋体" w:cs="Times New Roman"/>
                <w:sz w:val="21"/>
                <w:szCs w:val="21"/>
                <w:lang w:bidi="ar"/>
              </w:rPr>
              <w:t>目标1：计划派出运动员、教练员、代表团官员近700人参赛，力争取得好成绩。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jc w:val="center"/>
        </w:trPr>
        <w:tc>
          <w:tcPr>
            <w:tcW w:w="0" w:type="auto"/>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7</w:t>
            </w:r>
          </w:p>
        </w:tc>
        <w:tc>
          <w:tcPr>
            <w:tcW w:w="0" w:type="auto"/>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任务7：提升公共体育服务水平</w:t>
            </w:r>
          </w:p>
        </w:tc>
        <w:tc>
          <w:tcPr>
            <w:tcW w:w="0" w:type="auto"/>
            <w:shd w:val="clear" w:color="auto" w:fill="auto"/>
            <w:vAlign w:val="center"/>
          </w:tcPr>
          <w:p>
            <w:pPr>
              <w:spacing w:line="240" w:lineRule="auto"/>
              <w:ind w:firstLine="0" w:firstLineChars="0"/>
              <w:textAlignment w:val="center"/>
              <w:rPr>
                <w:rFonts w:eastAsia="宋体" w:cs="Times New Roman"/>
                <w:sz w:val="21"/>
                <w:szCs w:val="21"/>
                <w:lang w:bidi="ar"/>
              </w:rPr>
            </w:pPr>
            <w:r>
              <w:rPr>
                <w:rFonts w:hint="eastAsia" w:eastAsia="宋体" w:cs="Times New Roman"/>
                <w:sz w:val="21"/>
                <w:szCs w:val="21"/>
                <w:lang w:bidi="ar"/>
              </w:rPr>
              <w:t>目标1：积极争取国家和省级体育彩票资金补助我市大型公共体育场馆免费或低收费开放。</w:t>
            </w:r>
          </w:p>
          <w:p>
            <w:pPr>
              <w:spacing w:line="240" w:lineRule="auto"/>
              <w:ind w:firstLine="0" w:firstLineChars="0"/>
              <w:textAlignment w:val="center"/>
              <w:rPr>
                <w:rFonts w:eastAsia="宋体" w:cs="Times New Roman"/>
                <w:sz w:val="21"/>
                <w:szCs w:val="21"/>
              </w:rPr>
            </w:pPr>
            <w:r>
              <w:rPr>
                <w:rFonts w:hint="eastAsia" w:eastAsia="宋体" w:cs="Times New Roman"/>
                <w:sz w:val="21"/>
                <w:szCs w:val="21"/>
                <w:lang w:bidi="ar"/>
              </w:rPr>
              <w:t>目标2：努力实现市、县级大型公共体育场馆开放率100%。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1" w:hRule="atLeast"/>
          <w:jc w:val="center"/>
        </w:trPr>
        <w:tc>
          <w:tcPr>
            <w:tcW w:w="0" w:type="auto"/>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8</w:t>
            </w:r>
          </w:p>
        </w:tc>
        <w:tc>
          <w:tcPr>
            <w:tcW w:w="0" w:type="auto"/>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任务8：加强韶关城市形象宣传推广</w:t>
            </w:r>
          </w:p>
        </w:tc>
        <w:tc>
          <w:tcPr>
            <w:tcW w:w="0" w:type="auto"/>
            <w:shd w:val="clear" w:color="auto" w:fill="auto"/>
            <w:vAlign w:val="center"/>
          </w:tcPr>
          <w:p>
            <w:pPr>
              <w:spacing w:line="240" w:lineRule="auto"/>
              <w:ind w:firstLine="0" w:firstLineChars="0"/>
              <w:textAlignment w:val="center"/>
              <w:rPr>
                <w:rFonts w:eastAsia="宋体" w:cs="Times New Roman"/>
                <w:sz w:val="21"/>
                <w:szCs w:val="21"/>
                <w:lang w:bidi="ar"/>
              </w:rPr>
            </w:pPr>
            <w:r>
              <w:rPr>
                <w:rFonts w:hint="eastAsia" w:eastAsia="宋体" w:cs="Times New Roman"/>
                <w:sz w:val="21"/>
                <w:szCs w:val="21"/>
                <w:lang w:bidi="ar"/>
              </w:rPr>
              <w:t>目标1：充分发挥自媒体和新媒体的传播力，面向粤港澳大湾区及周边城市开展多渠道、多类型的全媒体宣传。</w:t>
            </w:r>
          </w:p>
          <w:p>
            <w:pPr>
              <w:spacing w:line="240" w:lineRule="auto"/>
              <w:ind w:firstLine="0" w:firstLineChars="0"/>
              <w:textAlignment w:val="center"/>
              <w:rPr>
                <w:rFonts w:eastAsia="宋体" w:cs="Times New Roman"/>
                <w:sz w:val="21"/>
                <w:szCs w:val="21"/>
                <w:lang w:bidi="ar"/>
              </w:rPr>
            </w:pPr>
            <w:r>
              <w:rPr>
                <w:rFonts w:hint="eastAsia" w:eastAsia="宋体" w:cs="Times New Roman"/>
                <w:sz w:val="21"/>
                <w:szCs w:val="21"/>
                <w:lang w:bidi="ar"/>
              </w:rPr>
              <w:t>目标2：利用我局官方抖音号、视频号等主流短视频平台，开展韶关最美网红打卡点抖音征集大赛、快闪小视频、手机随手拍、吃喝玩乐游全城等各类新媒体传播活动。</w:t>
            </w:r>
          </w:p>
          <w:p>
            <w:pPr>
              <w:spacing w:line="240" w:lineRule="auto"/>
              <w:ind w:firstLine="0" w:firstLineChars="0"/>
              <w:textAlignment w:val="center"/>
              <w:rPr>
                <w:rFonts w:eastAsia="宋体" w:cs="Times New Roman"/>
                <w:sz w:val="21"/>
                <w:szCs w:val="21"/>
              </w:rPr>
            </w:pPr>
            <w:r>
              <w:rPr>
                <w:rFonts w:hint="eastAsia" w:eastAsia="宋体" w:cs="Times New Roman"/>
                <w:sz w:val="21"/>
                <w:szCs w:val="21"/>
                <w:lang w:bidi="ar"/>
              </w:rPr>
              <w:t>目标3：依托重点体育赛事及节庆活动，加强在元旦、春节、五一、国庆等黄金假期的媒体报道，增加韶关城市形象曝光率，提升城市知名度。</w:t>
            </w:r>
          </w:p>
        </w:tc>
      </w:tr>
    </w:tbl>
    <w:p>
      <w:pPr>
        <w:spacing w:line="560" w:lineRule="exact"/>
        <w:ind w:firstLine="640"/>
        <w:outlineLvl w:val="1"/>
        <w:rPr>
          <w:rFonts w:eastAsia="楷体_GB2312" w:cs="Times New Roman"/>
          <w:szCs w:val="32"/>
        </w:rPr>
      </w:pPr>
      <w:bookmarkStart w:id="46" w:name="_Toc5200"/>
      <w:r>
        <w:rPr>
          <w:rFonts w:eastAsia="楷体_GB2312" w:cs="Times New Roman"/>
          <w:szCs w:val="32"/>
        </w:rPr>
        <w:t>（三）部门整体支出绩效目标。</w:t>
      </w:r>
      <w:bookmarkEnd w:id="40"/>
      <w:bookmarkEnd w:id="41"/>
      <w:bookmarkEnd w:id="42"/>
      <w:bookmarkEnd w:id="43"/>
      <w:bookmarkEnd w:id="44"/>
      <w:bookmarkEnd w:id="45"/>
      <w:bookmarkEnd w:id="46"/>
    </w:p>
    <w:p>
      <w:pPr>
        <w:spacing w:line="560" w:lineRule="exact"/>
        <w:ind w:firstLine="640"/>
        <w:jc w:val="both"/>
        <w:rPr>
          <w:rFonts w:cs="Times New Roman"/>
          <w:szCs w:val="32"/>
        </w:rPr>
      </w:pPr>
      <w:r>
        <w:rPr>
          <w:rFonts w:hint="eastAsia" w:cs="Times New Roman"/>
          <w:szCs w:val="32"/>
        </w:rPr>
        <w:t>围绕年度重点工作任务，市文广旅体局确定了2022年部门整体支出任务：一是文化发展建设方面。推动风度书房建设、开展行政村（社区）综合性文化服务中心提质增效工作、举办丰富多彩的文旅体活动、抓好重点剧目创排、加强文物保护利用工作、推进华南教育历史研学基地建设、提升非物质文化遗产系统性保护工作水平、开展地下文物埋藏区划定工作。二是体育发展建设方面。建成韶州体育中心、承办省级以上赛事等。三是旅游发展建设方面。推动全域旅游示范区创建工作、打造乡村旅游品牌、加强韶关城市形象宣传推广等。四是在广播电视方面，加强广播电视阵地建设，提升公共服务水平。</w:t>
      </w:r>
    </w:p>
    <w:p>
      <w:pPr>
        <w:spacing w:line="560" w:lineRule="exact"/>
        <w:ind w:firstLine="640"/>
        <w:jc w:val="both"/>
        <w:rPr>
          <w:rFonts w:cs="Times New Roman"/>
          <w:szCs w:val="32"/>
        </w:rPr>
      </w:pPr>
      <w:r>
        <w:rPr>
          <w:rFonts w:ascii="仿宋_GB2312" w:cs="Times New Roman"/>
          <w:szCs w:val="32"/>
        </w:rPr>
        <w:t>根据部门整体预算申报材料，</w:t>
      </w:r>
      <w:r>
        <w:rPr>
          <w:rFonts w:hint="eastAsia" w:ascii="仿宋_GB2312" w:cs="Times New Roman"/>
          <w:szCs w:val="32"/>
        </w:rPr>
        <w:t>市文广旅体局</w:t>
      </w:r>
      <w:r>
        <w:rPr>
          <w:rFonts w:ascii="仿宋_GB2312" w:cs="Times New Roman"/>
          <w:szCs w:val="32"/>
        </w:rPr>
        <w:t>填报</w:t>
      </w:r>
      <w:r>
        <w:rPr>
          <w:rFonts w:hint="eastAsia" w:cs="Times New Roman"/>
          <w:szCs w:val="32"/>
        </w:rPr>
        <w:t>2022</w:t>
      </w:r>
      <w:r>
        <w:rPr>
          <w:rFonts w:hint="eastAsia" w:ascii="仿宋_GB2312" w:cs="Times New Roman"/>
          <w:szCs w:val="32"/>
        </w:rPr>
        <w:t>年</w:t>
      </w:r>
      <w:r>
        <w:rPr>
          <w:rFonts w:ascii="仿宋_GB2312" w:cs="Times New Roman"/>
          <w:szCs w:val="32"/>
        </w:rPr>
        <w:t>度部门整体支出绩效指标</w:t>
      </w:r>
      <w:r>
        <w:rPr>
          <w:rFonts w:hint="eastAsia" w:ascii="仿宋_GB2312" w:cs="Times New Roman"/>
          <w:szCs w:val="32"/>
        </w:rPr>
        <w:t>表</w:t>
      </w:r>
      <w:r>
        <w:rPr>
          <w:rFonts w:ascii="仿宋_GB2312" w:cs="Times New Roman"/>
          <w:szCs w:val="32"/>
        </w:rPr>
        <w:t>如表</w:t>
      </w:r>
      <w:r>
        <w:rPr>
          <w:rFonts w:cs="Times New Roman"/>
          <w:szCs w:val="32"/>
        </w:rPr>
        <w:t>1-</w:t>
      </w:r>
      <w:r>
        <w:rPr>
          <w:rFonts w:hint="eastAsia" w:cs="Times New Roman"/>
          <w:szCs w:val="32"/>
        </w:rPr>
        <w:t>3</w:t>
      </w:r>
      <w:r>
        <w:rPr>
          <w:rFonts w:ascii="仿宋_GB2312" w:cs="Times New Roman"/>
          <w:szCs w:val="32"/>
        </w:rPr>
        <w:t>所示</w:t>
      </w:r>
      <w:r>
        <w:rPr>
          <w:rFonts w:hint="eastAsia" w:ascii="仿宋_GB2312" w:cs="Times New Roman"/>
          <w:szCs w:val="32"/>
        </w:rPr>
        <w:t>。</w:t>
      </w:r>
    </w:p>
    <w:p>
      <w:pPr>
        <w:spacing w:line="560" w:lineRule="exact"/>
        <w:ind w:firstLine="0" w:firstLineChars="0"/>
        <w:jc w:val="center"/>
        <w:rPr>
          <w:rFonts w:cs="Times New Roman"/>
          <w:szCs w:val="32"/>
        </w:rPr>
      </w:pPr>
      <w:r>
        <w:rPr>
          <w:rFonts w:hint="eastAsia" w:ascii="宋体" w:hAnsi="宋体" w:eastAsia="宋体" w:cs="Times New Roman"/>
          <w:b/>
          <w:sz w:val="24"/>
          <w:szCs w:val="24"/>
        </w:rPr>
        <w:t>表</w:t>
      </w:r>
      <w:r>
        <w:rPr>
          <w:rFonts w:hint="eastAsia" w:eastAsia="宋体" w:cs="Times New Roman"/>
          <w:b/>
          <w:sz w:val="24"/>
          <w:szCs w:val="24"/>
        </w:rPr>
        <w:t xml:space="preserve">1-3 </w:t>
      </w:r>
      <w:r>
        <w:rPr>
          <w:rFonts w:hint="eastAsia" w:eastAsia="宋体" w:cs="Times New Roman"/>
          <w:b/>
          <w:bCs/>
          <w:sz w:val="24"/>
          <w:szCs w:val="24"/>
        </w:rPr>
        <w:t>2022</w:t>
      </w:r>
      <w:r>
        <w:rPr>
          <w:rFonts w:hint="eastAsia" w:ascii="宋体" w:hAnsi="宋体" w:eastAsia="宋体" w:cs="Times New Roman"/>
          <w:b/>
          <w:bCs/>
          <w:sz w:val="24"/>
          <w:szCs w:val="24"/>
        </w:rPr>
        <w:t>年度部门整体支出绩效具体指标（预算申报）</w:t>
      </w:r>
    </w:p>
    <w:tbl>
      <w:tblPr>
        <w:tblStyle w:val="30"/>
        <w:tblW w:w="4609" w:type="pct"/>
        <w:tblInd w:w="4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
        <w:gridCol w:w="1309"/>
        <w:gridCol w:w="2451"/>
        <w:gridCol w:w="2172"/>
        <w:gridCol w:w="2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blHeader/>
        </w:trPr>
        <w:tc>
          <w:tcPr>
            <w:tcW w:w="476" w:type="pct"/>
            <w:vAlign w:val="center"/>
          </w:tcPr>
          <w:p>
            <w:pPr>
              <w:autoSpaceDE w:val="0"/>
              <w:spacing w:line="240" w:lineRule="auto"/>
              <w:ind w:firstLine="0" w:firstLineChars="0"/>
              <w:jc w:val="center"/>
              <w:textAlignment w:val="center"/>
              <w:rPr>
                <w:rFonts w:ascii="宋体" w:hAnsi="宋体" w:eastAsia="宋体" w:cs="宋体"/>
                <w:b/>
                <w:bCs/>
                <w:sz w:val="21"/>
                <w:szCs w:val="21"/>
              </w:rPr>
            </w:pPr>
            <w:r>
              <w:rPr>
                <w:rFonts w:hint="eastAsia" w:ascii="宋体" w:hAnsi="宋体" w:eastAsia="宋体" w:cs="宋体"/>
                <w:b/>
                <w:bCs/>
                <w:sz w:val="21"/>
                <w:szCs w:val="21"/>
              </w:rPr>
              <w:t>一级指标</w:t>
            </w:r>
          </w:p>
        </w:tc>
        <w:tc>
          <w:tcPr>
            <w:tcW w:w="746" w:type="pct"/>
            <w:vAlign w:val="center"/>
          </w:tcPr>
          <w:p>
            <w:pPr>
              <w:autoSpaceDE w:val="0"/>
              <w:spacing w:line="240" w:lineRule="auto"/>
              <w:ind w:firstLine="0" w:firstLineChars="0"/>
              <w:jc w:val="center"/>
              <w:textAlignment w:val="center"/>
              <w:rPr>
                <w:rFonts w:ascii="宋体" w:hAnsi="宋体" w:eastAsia="宋体" w:cs="宋体"/>
                <w:b/>
                <w:bCs/>
                <w:sz w:val="21"/>
                <w:szCs w:val="21"/>
              </w:rPr>
            </w:pPr>
            <w:r>
              <w:rPr>
                <w:rFonts w:hint="eastAsia" w:ascii="宋体" w:hAnsi="宋体" w:eastAsia="宋体" w:cs="宋体"/>
                <w:b/>
                <w:bCs/>
                <w:sz w:val="21"/>
                <w:szCs w:val="21"/>
              </w:rPr>
              <w:t>二级指标</w:t>
            </w:r>
          </w:p>
        </w:tc>
        <w:tc>
          <w:tcPr>
            <w:tcW w:w="1397" w:type="pct"/>
            <w:vAlign w:val="center"/>
          </w:tcPr>
          <w:p>
            <w:pPr>
              <w:autoSpaceDE w:val="0"/>
              <w:spacing w:line="240" w:lineRule="auto"/>
              <w:ind w:firstLine="0" w:firstLineChars="0"/>
              <w:jc w:val="center"/>
              <w:textAlignment w:val="center"/>
              <w:rPr>
                <w:rFonts w:ascii="宋体" w:hAnsi="宋体" w:eastAsia="宋体" w:cs="宋体"/>
                <w:b/>
                <w:bCs/>
                <w:sz w:val="21"/>
                <w:szCs w:val="21"/>
              </w:rPr>
            </w:pPr>
            <w:r>
              <w:rPr>
                <w:rFonts w:hint="eastAsia" w:ascii="宋体" w:hAnsi="宋体" w:eastAsia="宋体" w:cs="宋体"/>
                <w:b/>
                <w:bCs/>
                <w:sz w:val="21"/>
                <w:szCs w:val="21"/>
              </w:rPr>
              <w:t>三级指标</w:t>
            </w:r>
          </w:p>
        </w:tc>
        <w:tc>
          <w:tcPr>
            <w:tcW w:w="1238" w:type="pct"/>
            <w:vAlign w:val="center"/>
          </w:tcPr>
          <w:p>
            <w:pPr>
              <w:autoSpaceDE w:val="0"/>
              <w:spacing w:line="240" w:lineRule="auto"/>
              <w:ind w:firstLine="0" w:firstLineChars="0"/>
              <w:jc w:val="center"/>
              <w:textAlignment w:val="center"/>
              <w:rPr>
                <w:rFonts w:ascii="宋体" w:hAnsi="宋体" w:eastAsia="宋体" w:cs="宋体"/>
                <w:b/>
                <w:bCs/>
                <w:sz w:val="21"/>
                <w:szCs w:val="21"/>
              </w:rPr>
            </w:pPr>
            <w:r>
              <w:rPr>
                <w:rFonts w:hint="eastAsia" w:ascii="宋体" w:hAnsi="宋体" w:eastAsia="宋体" w:cs="宋体"/>
                <w:b/>
                <w:bCs/>
                <w:sz w:val="21"/>
                <w:szCs w:val="21"/>
              </w:rPr>
              <w:t>实施周期指标值</w:t>
            </w:r>
          </w:p>
        </w:tc>
        <w:tc>
          <w:tcPr>
            <w:tcW w:w="1143" w:type="pct"/>
            <w:vAlign w:val="center"/>
          </w:tcPr>
          <w:p>
            <w:pPr>
              <w:autoSpaceDE w:val="0"/>
              <w:spacing w:line="240" w:lineRule="auto"/>
              <w:ind w:firstLine="0" w:firstLineChars="0"/>
              <w:jc w:val="center"/>
              <w:textAlignment w:val="center"/>
              <w:rPr>
                <w:rFonts w:ascii="宋体" w:hAnsi="宋体" w:eastAsia="宋体" w:cs="宋体"/>
                <w:b/>
                <w:bCs/>
                <w:sz w:val="21"/>
                <w:szCs w:val="21"/>
              </w:rPr>
            </w:pPr>
            <w:r>
              <w:rPr>
                <w:rFonts w:hint="eastAsia" w:ascii="宋体" w:hAnsi="宋体" w:eastAsia="宋体" w:cs="宋体"/>
                <w:b/>
                <w:bCs/>
                <w:sz w:val="21"/>
                <w:szCs w:val="21"/>
              </w:rPr>
              <w:t>年度指标值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476" w:type="pct"/>
            <w:vMerge w:val="restar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产出指标</w:t>
            </w:r>
          </w:p>
        </w:tc>
        <w:tc>
          <w:tcPr>
            <w:tcW w:w="746" w:type="pct"/>
            <w:vMerge w:val="restar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数量指标</w:t>
            </w:r>
          </w:p>
        </w:tc>
        <w:tc>
          <w:tcPr>
            <w:tcW w:w="1397"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体育场馆数量</w:t>
            </w:r>
          </w:p>
        </w:tc>
        <w:tc>
          <w:tcPr>
            <w:tcW w:w="1238"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新建体育场馆数量</w:t>
            </w:r>
          </w:p>
        </w:tc>
        <w:tc>
          <w:tcPr>
            <w:tcW w:w="1143"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76" w:type="pct"/>
            <w:vMerge w:val="continue"/>
            <w:vAlign w:val="center"/>
          </w:tcPr>
          <w:p>
            <w:pPr>
              <w:spacing w:line="240" w:lineRule="auto"/>
              <w:ind w:firstLine="0" w:firstLineChars="0"/>
              <w:rPr>
                <w:rFonts w:ascii="宋体" w:hAnsi="宋体" w:eastAsia="宋体" w:cs="宋体"/>
                <w:sz w:val="21"/>
                <w:szCs w:val="21"/>
              </w:rPr>
            </w:pPr>
          </w:p>
        </w:tc>
        <w:tc>
          <w:tcPr>
            <w:tcW w:w="746" w:type="pct"/>
            <w:vMerge w:val="continue"/>
            <w:vAlign w:val="center"/>
          </w:tcPr>
          <w:p>
            <w:pPr>
              <w:spacing w:line="240" w:lineRule="auto"/>
              <w:ind w:firstLine="0" w:firstLineChars="0"/>
              <w:rPr>
                <w:rFonts w:ascii="宋体" w:hAnsi="宋体" w:eastAsia="宋体" w:cs="宋体"/>
                <w:sz w:val="21"/>
                <w:szCs w:val="21"/>
              </w:rPr>
            </w:pPr>
          </w:p>
        </w:tc>
        <w:tc>
          <w:tcPr>
            <w:tcW w:w="1397"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年度培训任务完成率（%）</w:t>
            </w:r>
          </w:p>
        </w:tc>
        <w:tc>
          <w:tcPr>
            <w:tcW w:w="1238"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100%</w:t>
            </w:r>
          </w:p>
        </w:tc>
        <w:tc>
          <w:tcPr>
            <w:tcW w:w="1143"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76" w:type="pct"/>
            <w:vMerge w:val="continue"/>
            <w:vAlign w:val="center"/>
          </w:tcPr>
          <w:p>
            <w:pPr>
              <w:spacing w:line="240" w:lineRule="auto"/>
              <w:ind w:firstLine="0" w:firstLineChars="0"/>
              <w:rPr>
                <w:rFonts w:ascii="宋体" w:hAnsi="宋体" w:eastAsia="宋体" w:cs="宋体"/>
                <w:sz w:val="21"/>
                <w:szCs w:val="21"/>
              </w:rPr>
            </w:pPr>
          </w:p>
        </w:tc>
        <w:tc>
          <w:tcPr>
            <w:tcW w:w="746" w:type="pct"/>
            <w:vMerge w:val="restar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质量指标</w:t>
            </w:r>
          </w:p>
        </w:tc>
        <w:tc>
          <w:tcPr>
            <w:tcW w:w="1397"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体育馆主体工程达标</w:t>
            </w:r>
          </w:p>
        </w:tc>
        <w:tc>
          <w:tcPr>
            <w:tcW w:w="1238"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达标</w:t>
            </w:r>
          </w:p>
        </w:tc>
        <w:tc>
          <w:tcPr>
            <w:tcW w:w="1143"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476" w:type="pct"/>
            <w:vMerge w:val="continue"/>
            <w:vAlign w:val="center"/>
          </w:tcPr>
          <w:p>
            <w:pPr>
              <w:spacing w:line="240" w:lineRule="auto"/>
              <w:ind w:firstLine="0" w:firstLineChars="0"/>
              <w:rPr>
                <w:rFonts w:ascii="宋体" w:hAnsi="宋体" w:eastAsia="宋体" w:cs="宋体"/>
                <w:sz w:val="21"/>
                <w:szCs w:val="21"/>
              </w:rPr>
            </w:pPr>
          </w:p>
        </w:tc>
        <w:tc>
          <w:tcPr>
            <w:tcW w:w="746" w:type="pct"/>
            <w:vMerge w:val="continue"/>
            <w:vAlign w:val="center"/>
          </w:tcPr>
          <w:p>
            <w:pPr>
              <w:spacing w:line="240" w:lineRule="auto"/>
              <w:ind w:firstLine="0" w:firstLineChars="0"/>
              <w:rPr>
                <w:rFonts w:ascii="宋体" w:hAnsi="宋体" w:eastAsia="宋体" w:cs="宋体"/>
                <w:sz w:val="21"/>
                <w:szCs w:val="21"/>
              </w:rPr>
            </w:pPr>
          </w:p>
        </w:tc>
        <w:tc>
          <w:tcPr>
            <w:tcW w:w="1397"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资金下达率（%）</w:t>
            </w:r>
          </w:p>
        </w:tc>
        <w:tc>
          <w:tcPr>
            <w:tcW w:w="1238"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100%</w:t>
            </w:r>
          </w:p>
        </w:tc>
        <w:tc>
          <w:tcPr>
            <w:tcW w:w="1143"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76" w:type="pct"/>
            <w:vMerge w:val="continue"/>
            <w:vAlign w:val="center"/>
          </w:tcPr>
          <w:p>
            <w:pPr>
              <w:spacing w:line="240" w:lineRule="auto"/>
              <w:ind w:firstLine="0" w:firstLineChars="0"/>
              <w:rPr>
                <w:rFonts w:ascii="宋体" w:hAnsi="宋体" w:eastAsia="宋体" w:cs="宋体"/>
                <w:sz w:val="21"/>
                <w:szCs w:val="21"/>
              </w:rPr>
            </w:pPr>
          </w:p>
        </w:tc>
        <w:tc>
          <w:tcPr>
            <w:tcW w:w="746" w:type="pct"/>
            <w:vMerge w:val="continue"/>
            <w:vAlign w:val="center"/>
          </w:tcPr>
          <w:p>
            <w:pPr>
              <w:spacing w:line="240" w:lineRule="auto"/>
              <w:ind w:firstLine="0" w:firstLineChars="0"/>
              <w:rPr>
                <w:rFonts w:ascii="宋体" w:hAnsi="宋体" w:eastAsia="宋体" w:cs="宋体"/>
                <w:sz w:val="21"/>
                <w:szCs w:val="21"/>
              </w:rPr>
            </w:pPr>
          </w:p>
        </w:tc>
        <w:tc>
          <w:tcPr>
            <w:tcW w:w="1397"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项目验收合格率</w:t>
            </w:r>
          </w:p>
        </w:tc>
        <w:tc>
          <w:tcPr>
            <w:tcW w:w="1238"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韶州体育中心验收合格率100%</w:t>
            </w:r>
          </w:p>
        </w:tc>
        <w:tc>
          <w:tcPr>
            <w:tcW w:w="1143"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韶州体育中心验收合格率100%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476" w:type="pct"/>
            <w:vMerge w:val="continue"/>
            <w:vAlign w:val="center"/>
          </w:tcPr>
          <w:p>
            <w:pPr>
              <w:spacing w:line="240" w:lineRule="auto"/>
              <w:ind w:firstLine="0" w:firstLineChars="0"/>
              <w:rPr>
                <w:rFonts w:ascii="宋体" w:hAnsi="宋体" w:eastAsia="宋体" w:cs="宋体"/>
                <w:sz w:val="21"/>
                <w:szCs w:val="21"/>
              </w:rPr>
            </w:pPr>
          </w:p>
        </w:tc>
        <w:tc>
          <w:tcPr>
            <w:tcW w:w="746" w:type="pct"/>
            <w:vMerge w:val="restar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时效指标</w:t>
            </w:r>
          </w:p>
        </w:tc>
        <w:tc>
          <w:tcPr>
            <w:tcW w:w="1397"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补助发放及时率</w:t>
            </w:r>
          </w:p>
        </w:tc>
        <w:tc>
          <w:tcPr>
            <w:tcW w:w="1238"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100%</w:t>
            </w:r>
          </w:p>
        </w:tc>
        <w:tc>
          <w:tcPr>
            <w:tcW w:w="1143"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476" w:type="pct"/>
            <w:vMerge w:val="continue"/>
            <w:vAlign w:val="center"/>
          </w:tcPr>
          <w:p>
            <w:pPr>
              <w:spacing w:line="240" w:lineRule="auto"/>
              <w:ind w:firstLine="0" w:firstLineChars="0"/>
              <w:rPr>
                <w:rFonts w:ascii="宋体" w:hAnsi="宋体" w:eastAsia="宋体" w:cs="宋体"/>
                <w:sz w:val="21"/>
                <w:szCs w:val="21"/>
              </w:rPr>
            </w:pPr>
          </w:p>
        </w:tc>
        <w:tc>
          <w:tcPr>
            <w:tcW w:w="746" w:type="pct"/>
            <w:vMerge w:val="continue"/>
            <w:vAlign w:val="center"/>
          </w:tcPr>
          <w:p>
            <w:pPr>
              <w:spacing w:line="240" w:lineRule="auto"/>
              <w:ind w:firstLine="0" w:firstLineChars="0"/>
              <w:rPr>
                <w:rFonts w:ascii="宋体" w:hAnsi="宋体" w:eastAsia="宋体" w:cs="宋体"/>
                <w:sz w:val="21"/>
                <w:szCs w:val="21"/>
              </w:rPr>
            </w:pPr>
          </w:p>
        </w:tc>
        <w:tc>
          <w:tcPr>
            <w:tcW w:w="1397"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专项资金到位率</w:t>
            </w:r>
          </w:p>
        </w:tc>
        <w:tc>
          <w:tcPr>
            <w:tcW w:w="1238"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100%</w:t>
            </w:r>
          </w:p>
        </w:tc>
        <w:tc>
          <w:tcPr>
            <w:tcW w:w="1143"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476" w:type="pct"/>
            <w:vMerge w:val="continue"/>
            <w:vAlign w:val="center"/>
          </w:tcPr>
          <w:p>
            <w:pPr>
              <w:spacing w:line="240" w:lineRule="auto"/>
              <w:ind w:firstLine="0" w:firstLineChars="0"/>
              <w:rPr>
                <w:rFonts w:ascii="宋体" w:hAnsi="宋体" w:eastAsia="宋体" w:cs="宋体"/>
                <w:sz w:val="21"/>
                <w:szCs w:val="21"/>
              </w:rPr>
            </w:pPr>
          </w:p>
        </w:tc>
        <w:tc>
          <w:tcPr>
            <w:tcW w:w="746" w:type="pct"/>
            <w:vMerge w:val="restar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成本指标</w:t>
            </w:r>
          </w:p>
        </w:tc>
        <w:tc>
          <w:tcPr>
            <w:tcW w:w="1397"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投入金额</w:t>
            </w:r>
          </w:p>
        </w:tc>
        <w:tc>
          <w:tcPr>
            <w:tcW w:w="1238"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不超预算</w:t>
            </w:r>
          </w:p>
        </w:tc>
        <w:tc>
          <w:tcPr>
            <w:tcW w:w="1143"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不超预算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76" w:type="pct"/>
            <w:vMerge w:val="continue"/>
            <w:vAlign w:val="center"/>
          </w:tcPr>
          <w:p>
            <w:pPr>
              <w:spacing w:line="240" w:lineRule="auto"/>
              <w:ind w:firstLine="0" w:firstLineChars="0"/>
              <w:rPr>
                <w:rFonts w:ascii="宋体" w:hAnsi="宋体" w:eastAsia="宋体" w:cs="宋体"/>
                <w:sz w:val="21"/>
                <w:szCs w:val="21"/>
              </w:rPr>
            </w:pPr>
          </w:p>
        </w:tc>
        <w:tc>
          <w:tcPr>
            <w:tcW w:w="746" w:type="pct"/>
            <w:vMerge w:val="continue"/>
            <w:vAlign w:val="center"/>
          </w:tcPr>
          <w:p>
            <w:pPr>
              <w:spacing w:line="240" w:lineRule="auto"/>
              <w:ind w:firstLine="0" w:firstLineChars="0"/>
              <w:rPr>
                <w:rFonts w:ascii="宋体" w:hAnsi="宋体" w:eastAsia="宋体" w:cs="宋体"/>
                <w:sz w:val="21"/>
                <w:szCs w:val="21"/>
              </w:rPr>
            </w:pPr>
          </w:p>
        </w:tc>
        <w:tc>
          <w:tcPr>
            <w:tcW w:w="1397"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实施成本控制合理性</w:t>
            </w:r>
          </w:p>
        </w:tc>
        <w:tc>
          <w:tcPr>
            <w:tcW w:w="1238"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不超预算</w:t>
            </w:r>
          </w:p>
        </w:tc>
        <w:tc>
          <w:tcPr>
            <w:tcW w:w="1143"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不超预算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476" w:type="pct"/>
            <w:vMerge w:val="restar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效益指标</w:t>
            </w:r>
          </w:p>
        </w:tc>
        <w:tc>
          <w:tcPr>
            <w:tcW w:w="746" w:type="pct"/>
            <w:vMerge w:val="restar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社会效益指标</w:t>
            </w:r>
          </w:p>
        </w:tc>
        <w:tc>
          <w:tcPr>
            <w:tcW w:w="1397"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体育场馆正常运行率</w:t>
            </w:r>
          </w:p>
        </w:tc>
        <w:tc>
          <w:tcPr>
            <w:tcW w:w="1238"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100%</w:t>
            </w:r>
          </w:p>
        </w:tc>
        <w:tc>
          <w:tcPr>
            <w:tcW w:w="1143"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76" w:type="pct"/>
            <w:vMerge w:val="continue"/>
            <w:vAlign w:val="center"/>
          </w:tcPr>
          <w:p>
            <w:pPr>
              <w:spacing w:line="240" w:lineRule="auto"/>
              <w:ind w:firstLine="0" w:firstLineChars="0"/>
              <w:rPr>
                <w:rFonts w:ascii="宋体" w:hAnsi="宋体" w:eastAsia="宋体" w:cs="宋体"/>
                <w:sz w:val="21"/>
                <w:szCs w:val="21"/>
              </w:rPr>
            </w:pPr>
          </w:p>
        </w:tc>
        <w:tc>
          <w:tcPr>
            <w:tcW w:w="746" w:type="pct"/>
            <w:vMerge w:val="continue"/>
            <w:vAlign w:val="center"/>
          </w:tcPr>
          <w:p>
            <w:pPr>
              <w:autoSpaceDE w:val="0"/>
              <w:spacing w:line="240" w:lineRule="auto"/>
              <w:ind w:firstLine="0" w:firstLineChars="0"/>
              <w:jc w:val="center"/>
              <w:textAlignment w:val="center"/>
              <w:rPr>
                <w:rFonts w:ascii="宋体" w:hAnsi="宋体" w:eastAsia="宋体" w:cs="宋体"/>
                <w:sz w:val="21"/>
                <w:szCs w:val="21"/>
              </w:rPr>
            </w:pPr>
          </w:p>
        </w:tc>
        <w:tc>
          <w:tcPr>
            <w:tcW w:w="1397"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交付设备验收合格率</w:t>
            </w:r>
          </w:p>
        </w:tc>
        <w:tc>
          <w:tcPr>
            <w:tcW w:w="1238"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100%</w:t>
            </w:r>
          </w:p>
        </w:tc>
        <w:tc>
          <w:tcPr>
            <w:tcW w:w="1143"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76" w:type="pct"/>
            <w:vMerge w:val="continue"/>
            <w:vAlign w:val="center"/>
          </w:tcPr>
          <w:p>
            <w:pPr>
              <w:spacing w:line="240" w:lineRule="auto"/>
              <w:ind w:firstLine="0" w:firstLineChars="0"/>
              <w:rPr>
                <w:rFonts w:ascii="宋体" w:hAnsi="宋体" w:eastAsia="宋体" w:cs="宋体"/>
                <w:sz w:val="21"/>
                <w:szCs w:val="21"/>
              </w:rPr>
            </w:pPr>
          </w:p>
        </w:tc>
        <w:tc>
          <w:tcPr>
            <w:tcW w:w="746" w:type="pct"/>
            <w:vMerge w:val="continue"/>
            <w:vAlign w:val="center"/>
          </w:tcPr>
          <w:p>
            <w:pPr>
              <w:spacing w:line="240" w:lineRule="auto"/>
              <w:ind w:firstLine="0" w:firstLineChars="0"/>
              <w:rPr>
                <w:rFonts w:ascii="宋体" w:hAnsi="宋体" w:eastAsia="宋体" w:cs="宋体"/>
                <w:sz w:val="21"/>
                <w:szCs w:val="21"/>
              </w:rPr>
            </w:pPr>
          </w:p>
        </w:tc>
        <w:tc>
          <w:tcPr>
            <w:tcW w:w="1397"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群众参与全民健身赛事和活动积极性</w:t>
            </w:r>
          </w:p>
        </w:tc>
        <w:tc>
          <w:tcPr>
            <w:tcW w:w="1238"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有所提高</w:t>
            </w:r>
          </w:p>
        </w:tc>
        <w:tc>
          <w:tcPr>
            <w:tcW w:w="1143"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有所提高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76" w:type="pct"/>
            <w:vMerge w:val="continue"/>
            <w:vAlign w:val="center"/>
          </w:tcPr>
          <w:p>
            <w:pPr>
              <w:spacing w:line="240" w:lineRule="auto"/>
              <w:ind w:firstLine="0" w:firstLineChars="0"/>
              <w:rPr>
                <w:rFonts w:ascii="宋体" w:hAnsi="宋体" w:eastAsia="宋体" w:cs="宋体"/>
                <w:sz w:val="21"/>
                <w:szCs w:val="21"/>
              </w:rPr>
            </w:pPr>
          </w:p>
        </w:tc>
        <w:tc>
          <w:tcPr>
            <w:tcW w:w="746" w:type="pct"/>
            <w:vMerge w:val="continue"/>
            <w:vAlign w:val="center"/>
          </w:tcPr>
          <w:p>
            <w:pPr>
              <w:spacing w:line="240" w:lineRule="auto"/>
              <w:ind w:firstLine="0" w:firstLineChars="0"/>
              <w:rPr>
                <w:rFonts w:ascii="宋体" w:hAnsi="宋体" w:eastAsia="宋体" w:cs="宋体"/>
                <w:sz w:val="21"/>
                <w:szCs w:val="21"/>
              </w:rPr>
            </w:pPr>
          </w:p>
        </w:tc>
        <w:tc>
          <w:tcPr>
            <w:tcW w:w="1397"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基本公共文化服务水平</w:t>
            </w:r>
          </w:p>
        </w:tc>
        <w:tc>
          <w:tcPr>
            <w:tcW w:w="1238"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有所提高</w:t>
            </w:r>
          </w:p>
        </w:tc>
        <w:tc>
          <w:tcPr>
            <w:tcW w:w="1143"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有所提高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76" w:type="pct"/>
            <w:vMerge w:val="continue"/>
            <w:vAlign w:val="center"/>
          </w:tcPr>
          <w:p>
            <w:pPr>
              <w:spacing w:line="240" w:lineRule="auto"/>
              <w:ind w:firstLine="0" w:firstLineChars="0"/>
              <w:rPr>
                <w:rFonts w:ascii="宋体" w:hAnsi="宋体" w:eastAsia="宋体" w:cs="宋体"/>
                <w:sz w:val="21"/>
                <w:szCs w:val="21"/>
              </w:rPr>
            </w:pPr>
          </w:p>
        </w:tc>
        <w:tc>
          <w:tcPr>
            <w:tcW w:w="746" w:type="pct"/>
            <w:vMerge w:val="continue"/>
            <w:vAlign w:val="center"/>
          </w:tcPr>
          <w:p>
            <w:pPr>
              <w:spacing w:line="240" w:lineRule="auto"/>
              <w:ind w:firstLine="0" w:firstLineChars="0"/>
              <w:rPr>
                <w:rFonts w:ascii="宋体" w:hAnsi="宋体" w:eastAsia="宋体" w:cs="宋体"/>
                <w:sz w:val="21"/>
                <w:szCs w:val="21"/>
              </w:rPr>
            </w:pPr>
          </w:p>
        </w:tc>
        <w:tc>
          <w:tcPr>
            <w:tcW w:w="1397"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受惠区域群众对活动项目的关注度</w:t>
            </w:r>
          </w:p>
        </w:tc>
        <w:tc>
          <w:tcPr>
            <w:tcW w:w="1238"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有所提高</w:t>
            </w:r>
          </w:p>
        </w:tc>
        <w:tc>
          <w:tcPr>
            <w:tcW w:w="1143" w:type="pct"/>
            <w:vAlign w:val="center"/>
          </w:tcPr>
          <w:p>
            <w:pPr>
              <w:autoSpaceDE w:val="0"/>
              <w:spacing w:line="240" w:lineRule="auto"/>
              <w:ind w:firstLine="0" w:firstLineChars="0"/>
              <w:jc w:val="center"/>
              <w:textAlignment w:val="center"/>
              <w:rPr>
                <w:rFonts w:ascii="宋体" w:hAnsi="宋体" w:eastAsia="宋体" w:cs="宋体"/>
                <w:sz w:val="21"/>
                <w:szCs w:val="21"/>
              </w:rPr>
            </w:pPr>
            <w:r>
              <w:rPr>
                <w:rFonts w:hint="eastAsia" w:ascii="宋体" w:hAnsi="宋体" w:eastAsia="宋体" w:cs="宋体"/>
                <w:sz w:val="21"/>
                <w:szCs w:val="21"/>
              </w:rPr>
              <w:t>有所提高</w:t>
            </w:r>
          </w:p>
        </w:tc>
      </w:tr>
    </w:tbl>
    <w:p>
      <w:pPr>
        <w:pStyle w:val="2"/>
      </w:pPr>
    </w:p>
    <w:p>
      <w:pPr>
        <w:autoSpaceDE w:val="0"/>
        <w:autoSpaceDN w:val="0"/>
        <w:spacing w:line="560" w:lineRule="exact"/>
        <w:ind w:firstLine="640"/>
        <w:jc w:val="both"/>
        <w:rPr>
          <w:rFonts w:cs="Times New Roman"/>
          <w:szCs w:val="32"/>
        </w:rPr>
      </w:pPr>
      <w:bookmarkStart w:id="47" w:name="_Toc27849"/>
      <w:bookmarkStart w:id="48" w:name="_Toc8368"/>
      <w:bookmarkStart w:id="49" w:name="_Toc22482"/>
      <w:bookmarkStart w:id="50" w:name="_Toc114664781"/>
      <w:bookmarkStart w:id="51" w:name="_Toc112424049"/>
      <w:bookmarkStart w:id="52" w:name="_Toc25198"/>
      <w:bookmarkStart w:id="53" w:name="_Toc29532"/>
      <w:bookmarkStart w:id="54" w:name="_Toc5796"/>
      <w:r>
        <w:rPr>
          <w:rFonts w:hint="eastAsia" w:ascii="仿宋_GB2312" w:cs="Times New Roman"/>
          <w:szCs w:val="32"/>
        </w:rPr>
        <w:t>经认真梳理市文广旅体局部门职能、十四五规划、市委交办</w:t>
      </w:r>
      <w:r>
        <w:rPr>
          <w:rFonts w:hint="eastAsia" w:cs="Times New Roman"/>
          <w:szCs w:val="32"/>
        </w:rPr>
        <w:t>2022</w:t>
      </w:r>
      <w:r>
        <w:rPr>
          <w:rFonts w:hint="eastAsia" w:ascii="仿宋_GB2312" w:cs="Times New Roman"/>
          <w:szCs w:val="32"/>
        </w:rPr>
        <w:t>年重点任务、</w:t>
      </w:r>
      <w:r>
        <w:rPr>
          <w:rFonts w:hint="eastAsia" w:cs="Times New Roman"/>
          <w:szCs w:val="32"/>
        </w:rPr>
        <w:t>2022</w:t>
      </w:r>
      <w:r>
        <w:rPr>
          <w:rFonts w:hint="eastAsia" w:ascii="仿宋_GB2312" w:cs="Times New Roman"/>
          <w:szCs w:val="32"/>
        </w:rPr>
        <w:t>年部门工作计划及部门整体预算申报信息，第三方机构对</w:t>
      </w:r>
      <w:r>
        <w:rPr>
          <w:rFonts w:cs="Times New Roman"/>
          <w:szCs w:val="32"/>
        </w:rPr>
        <w:t>202</w:t>
      </w:r>
      <w:r>
        <w:rPr>
          <w:rFonts w:hint="eastAsia" w:cs="Times New Roman"/>
          <w:szCs w:val="32"/>
        </w:rPr>
        <w:t>2</w:t>
      </w:r>
      <w:r>
        <w:rPr>
          <w:rFonts w:ascii="仿宋_GB2312" w:cs="Times New Roman"/>
          <w:szCs w:val="32"/>
        </w:rPr>
        <w:t>年度市</w:t>
      </w:r>
      <w:r>
        <w:rPr>
          <w:rFonts w:hint="eastAsia" w:ascii="仿宋_GB2312" w:cs="Times New Roman"/>
          <w:szCs w:val="32"/>
        </w:rPr>
        <w:t>文广旅体局的绩效目标进行梳理，梳理情况及具体完成情况具体详见表</w:t>
      </w:r>
      <w:r>
        <w:rPr>
          <w:rFonts w:hint="eastAsia" w:cs="Times New Roman"/>
          <w:szCs w:val="32"/>
        </w:rPr>
        <w:t>2-1</w:t>
      </w:r>
      <w:r>
        <w:rPr>
          <w:rFonts w:hint="eastAsia" w:ascii="仿宋_GB2312" w:cs="Times New Roman"/>
          <w:szCs w:val="32"/>
        </w:rPr>
        <w:t>。</w:t>
      </w:r>
    </w:p>
    <w:p>
      <w:pPr>
        <w:spacing w:before="120" w:beforeLines="50" w:line="560" w:lineRule="exact"/>
        <w:ind w:firstLine="640"/>
        <w:outlineLvl w:val="1"/>
        <w:rPr>
          <w:rFonts w:eastAsia="楷体_GB2312" w:cs="Times New Roman"/>
          <w:szCs w:val="32"/>
        </w:rPr>
      </w:pPr>
      <w:bookmarkStart w:id="55" w:name="_Toc20022"/>
      <w:r>
        <w:rPr>
          <w:rFonts w:eastAsia="楷体_GB2312" w:cs="Times New Roman"/>
          <w:szCs w:val="32"/>
        </w:rPr>
        <w:t>（四）部门整体收支情况。</w:t>
      </w:r>
      <w:bookmarkEnd w:id="47"/>
      <w:bookmarkEnd w:id="48"/>
      <w:bookmarkEnd w:id="49"/>
      <w:bookmarkEnd w:id="50"/>
      <w:bookmarkEnd w:id="51"/>
      <w:bookmarkEnd w:id="52"/>
      <w:bookmarkEnd w:id="55"/>
    </w:p>
    <w:bookmarkEnd w:id="38"/>
    <w:bookmarkEnd w:id="53"/>
    <w:bookmarkEnd w:id="54"/>
    <w:p>
      <w:pPr>
        <w:widowControl w:val="0"/>
        <w:spacing w:line="560" w:lineRule="exact"/>
        <w:ind w:firstLine="640"/>
        <w:jc w:val="both"/>
        <w:rPr>
          <w:rFonts w:cs="Times New Roman"/>
          <w:kern w:val="2"/>
        </w:rPr>
      </w:pPr>
      <w:r>
        <w:rPr>
          <w:rFonts w:cs="Times New Roman"/>
          <w:kern w:val="2"/>
        </w:rPr>
        <w:t>根据部门决算，</w:t>
      </w:r>
      <w:r>
        <w:rPr>
          <w:rFonts w:hint="eastAsia" w:cs="Times New Roman"/>
          <w:kern w:val="2"/>
        </w:rPr>
        <w:t>市文广旅体局2022年</w:t>
      </w:r>
      <w:r>
        <w:rPr>
          <w:rFonts w:cs="Times New Roman"/>
          <w:kern w:val="2"/>
        </w:rPr>
        <w:t>度整体收入预算数为</w:t>
      </w:r>
    </w:p>
    <w:p>
      <w:pPr>
        <w:widowControl w:val="0"/>
        <w:spacing w:line="560" w:lineRule="exact"/>
        <w:ind w:firstLine="0" w:firstLineChars="0"/>
        <w:jc w:val="both"/>
        <w:rPr>
          <w:rFonts w:cs="Times New Roman"/>
          <w:kern w:val="2"/>
        </w:rPr>
      </w:pPr>
      <w:r>
        <w:rPr>
          <w:rFonts w:hint="eastAsia" w:cs="Times New Roman"/>
          <w:kern w:val="2"/>
        </w:rPr>
        <w:t>21,034.15万</w:t>
      </w:r>
      <w:r>
        <w:rPr>
          <w:rFonts w:cs="Times New Roman"/>
          <w:kern w:val="2"/>
        </w:rPr>
        <w:t>元，</w:t>
      </w:r>
      <w:r>
        <w:rPr>
          <w:rFonts w:hint="eastAsia" w:cs="Times New Roman"/>
          <w:kern w:val="2"/>
        </w:rPr>
        <w:t>收入来源</w:t>
      </w:r>
      <w:r>
        <w:rPr>
          <w:rFonts w:cs="Times New Roman"/>
          <w:kern w:val="2"/>
        </w:rPr>
        <w:t>为一般公共预算财政拨款收入</w:t>
      </w:r>
      <w:r>
        <w:rPr>
          <w:rFonts w:hint="eastAsia" w:cs="Times New Roman"/>
          <w:kern w:val="2"/>
        </w:rPr>
        <w:t>、政府性基金预算财政拨款收入、事业收入及其他收入</w:t>
      </w:r>
      <w:r>
        <w:rPr>
          <w:rFonts w:cs="Times New Roman"/>
          <w:kern w:val="2"/>
        </w:rPr>
        <w:t>。预算调整数为</w:t>
      </w:r>
      <w:r>
        <w:rPr>
          <w:rFonts w:hint="eastAsia" w:cs="Times New Roman"/>
          <w:kern w:val="2"/>
        </w:rPr>
        <w:t>27,806.99万</w:t>
      </w:r>
      <w:r>
        <w:rPr>
          <w:rFonts w:cs="Times New Roman"/>
          <w:kern w:val="2"/>
        </w:rPr>
        <w:t>元，决算数为</w:t>
      </w:r>
      <w:r>
        <w:rPr>
          <w:rFonts w:hint="eastAsia" w:cs="Times New Roman"/>
          <w:kern w:val="2"/>
        </w:rPr>
        <w:t>28,604.22万</w:t>
      </w:r>
      <w:r>
        <w:rPr>
          <w:rFonts w:cs="Times New Roman"/>
          <w:kern w:val="2"/>
        </w:rPr>
        <w:t>元。</w:t>
      </w:r>
    </w:p>
    <w:p>
      <w:pPr>
        <w:widowControl w:val="0"/>
        <w:spacing w:line="560" w:lineRule="exact"/>
        <w:ind w:firstLine="640"/>
        <w:jc w:val="both"/>
        <w:rPr>
          <w:rFonts w:cs="Times New Roman"/>
          <w:kern w:val="2"/>
        </w:rPr>
      </w:pPr>
      <w:r>
        <w:rPr>
          <w:rFonts w:cs="Times New Roman"/>
          <w:kern w:val="2"/>
        </w:rPr>
        <w:t>部门整体支出年初预算</w:t>
      </w:r>
      <w:r>
        <w:rPr>
          <w:rFonts w:hint="eastAsia" w:cs="Times New Roman"/>
          <w:kern w:val="2"/>
        </w:rPr>
        <w:t>数为21,034.15万元，包括基本支出预算为5,466.05万元（占比25.99%），项目支出15,568.10万元（占比74.01%）。部门整体支出预算调整数为27,806.99万元。部门整体支出决算数28,604.22万元。包括基本支出决算6,718.03万元(占比23.49%)，项目支出21,121.18万元（占比73.84%）。部门整体</w:t>
      </w:r>
      <w:r>
        <w:rPr>
          <w:rFonts w:cs="Times New Roman"/>
          <w:kern w:val="2"/>
        </w:rPr>
        <w:t>支出预算资金安排</w:t>
      </w:r>
      <w:r>
        <w:rPr>
          <w:rFonts w:hint="eastAsia" w:cs="Times New Roman"/>
          <w:kern w:val="2"/>
        </w:rPr>
        <w:t>及执行</w:t>
      </w:r>
      <w:r>
        <w:rPr>
          <w:rFonts w:cs="Times New Roman"/>
          <w:kern w:val="2"/>
        </w:rPr>
        <w:t>情况详见表1-4。</w:t>
      </w:r>
    </w:p>
    <w:p>
      <w:pPr>
        <w:widowControl w:val="0"/>
        <w:spacing w:line="560" w:lineRule="exact"/>
        <w:ind w:firstLine="0" w:firstLineChars="0"/>
        <w:jc w:val="center"/>
        <w:rPr>
          <w:rFonts w:cs="Times New Roman" w:eastAsiaTheme="minorEastAsia"/>
          <w:b/>
          <w:bCs/>
          <w:kern w:val="2"/>
          <w:sz w:val="24"/>
          <w:szCs w:val="24"/>
        </w:rPr>
      </w:pPr>
      <w:r>
        <w:rPr>
          <w:rFonts w:hint="eastAsia" w:cs="Times New Roman" w:eastAsiaTheme="minorEastAsia"/>
          <w:b/>
          <w:bCs/>
          <w:kern w:val="2"/>
          <w:sz w:val="24"/>
          <w:szCs w:val="24"/>
        </w:rPr>
        <w:t>表1-4  市文广旅体局2022年部门整体支出预算及执行情况表</w:t>
      </w:r>
      <w:r>
        <w:rPr>
          <w:rStyle w:val="38"/>
          <w:rFonts w:cs="Times New Roman" w:eastAsiaTheme="minorEastAsia"/>
          <w:b/>
          <w:bCs/>
          <w:kern w:val="2"/>
          <w:sz w:val="24"/>
          <w:szCs w:val="24"/>
        </w:rPr>
        <w:footnoteReference w:id="2"/>
      </w:r>
    </w:p>
    <w:p>
      <w:pPr>
        <w:widowControl w:val="0"/>
        <w:spacing w:line="560" w:lineRule="exact"/>
        <w:ind w:firstLine="0" w:firstLineChars="0"/>
        <w:jc w:val="right"/>
        <w:rPr>
          <w:rFonts w:cs="Times New Roman" w:eastAsiaTheme="minorEastAsia"/>
          <w:b/>
          <w:bCs/>
          <w:kern w:val="2"/>
          <w:sz w:val="24"/>
          <w:szCs w:val="24"/>
        </w:rPr>
      </w:pPr>
      <w:r>
        <w:rPr>
          <w:rFonts w:hint="eastAsia" w:cs="Times New Roman" w:eastAsiaTheme="minorEastAsia"/>
          <w:b/>
          <w:bCs/>
          <w:kern w:val="2"/>
          <w:sz w:val="24"/>
          <w:szCs w:val="24"/>
        </w:rPr>
        <w:t>单位：万元</w:t>
      </w:r>
    </w:p>
    <w:tbl>
      <w:tblPr>
        <w:tblStyle w:val="30"/>
        <w:tblW w:w="4953" w:type="pct"/>
        <w:tblInd w:w="0" w:type="dxa"/>
        <w:tblLayout w:type="autofit"/>
        <w:tblCellMar>
          <w:top w:w="0" w:type="dxa"/>
          <w:left w:w="108" w:type="dxa"/>
          <w:bottom w:w="0" w:type="dxa"/>
          <w:right w:w="108" w:type="dxa"/>
        </w:tblCellMar>
      </w:tblPr>
      <w:tblGrid>
        <w:gridCol w:w="1737"/>
        <w:gridCol w:w="1467"/>
        <w:gridCol w:w="1593"/>
        <w:gridCol w:w="1450"/>
        <w:gridCol w:w="1546"/>
        <w:gridCol w:w="1633"/>
      </w:tblGrid>
      <w:tr>
        <w:tblPrEx>
          <w:tblCellMar>
            <w:top w:w="0" w:type="dxa"/>
            <w:left w:w="108" w:type="dxa"/>
            <w:bottom w:w="0" w:type="dxa"/>
            <w:right w:w="108" w:type="dxa"/>
          </w:tblCellMar>
        </w:tblPrEx>
        <w:trPr>
          <w:trHeight w:val="288" w:hRule="atLeast"/>
          <w:tblHeader/>
        </w:trPr>
        <w:tc>
          <w:tcPr>
            <w:tcW w:w="922" w:type="pct"/>
            <w:vMerge w:val="restar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center"/>
              <w:rPr>
                <w:rFonts w:cs="Times New Roman" w:eastAsiaTheme="minorEastAsia"/>
                <w:b/>
                <w:bCs/>
                <w:kern w:val="2"/>
                <w:sz w:val="21"/>
                <w:szCs w:val="21"/>
              </w:rPr>
            </w:pPr>
            <w:r>
              <w:rPr>
                <w:rFonts w:cs="Times New Roman" w:eastAsiaTheme="minorEastAsia"/>
                <w:b/>
                <w:bCs/>
                <w:kern w:val="2"/>
                <w:sz w:val="21"/>
                <w:szCs w:val="21"/>
                <w:lang w:bidi="ar"/>
              </w:rPr>
              <w:t>类型</w:t>
            </w:r>
          </w:p>
        </w:tc>
        <w:tc>
          <w:tcPr>
            <w:tcW w:w="778" w:type="pct"/>
            <w:vMerge w:val="restar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center"/>
              <w:rPr>
                <w:rFonts w:cs="Times New Roman" w:eastAsiaTheme="minorEastAsia"/>
                <w:b/>
                <w:bCs/>
                <w:kern w:val="2"/>
                <w:sz w:val="21"/>
                <w:szCs w:val="21"/>
              </w:rPr>
            </w:pPr>
            <w:r>
              <w:rPr>
                <w:rFonts w:cs="Times New Roman" w:eastAsiaTheme="minorEastAsia"/>
                <w:b/>
                <w:bCs/>
                <w:kern w:val="2"/>
                <w:sz w:val="21"/>
                <w:szCs w:val="21"/>
                <w:lang w:bidi="ar"/>
              </w:rPr>
              <w:t>年初预算数</w:t>
            </w:r>
          </w:p>
        </w:tc>
        <w:tc>
          <w:tcPr>
            <w:tcW w:w="1614" w:type="pct"/>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center"/>
              <w:rPr>
                <w:rFonts w:cs="Times New Roman" w:eastAsiaTheme="minorEastAsia"/>
                <w:b/>
                <w:bCs/>
                <w:kern w:val="2"/>
                <w:sz w:val="21"/>
                <w:szCs w:val="21"/>
              </w:rPr>
            </w:pPr>
            <w:r>
              <w:rPr>
                <w:rFonts w:cs="Times New Roman" w:eastAsiaTheme="minorEastAsia"/>
                <w:b/>
                <w:bCs/>
                <w:kern w:val="2"/>
                <w:sz w:val="21"/>
                <w:szCs w:val="21"/>
                <w:lang w:bidi="ar"/>
              </w:rPr>
              <w:t>预算调整</w:t>
            </w:r>
          </w:p>
        </w:tc>
        <w:tc>
          <w:tcPr>
            <w:tcW w:w="820" w:type="pct"/>
            <w:vMerge w:val="restar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center"/>
              <w:rPr>
                <w:rFonts w:cs="Times New Roman" w:eastAsiaTheme="minorEastAsia"/>
                <w:b/>
                <w:bCs/>
                <w:kern w:val="2"/>
                <w:sz w:val="21"/>
                <w:szCs w:val="21"/>
              </w:rPr>
            </w:pPr>
            <w:r>
              <w:rPr>
                <w:rFonts w:cs="Times New Roman" w:eastAsiaTheme="minorEastAsia"/>
                <w:b/>
                <w:bCs/>
                <w:kern w:val="2"/>
                <w:sz w:val="21"/>
                <w:szCs w:val="21"/>
                <w:lang w:bidi="ar"/>
              </w:rPr>
              <w:t>调整预算数</w:t>
            </w:r>
          </w:p>
        </w:tc>
        <w:tc>
          <w:tcPr>
            <w:tcW w:w="867" w:type="pct"/>
            <w:vMerge w:val="restar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center"/>
              <w:rPr>
                <w:rFonts w:cs="Times New Roman" w:eastAsiaTheme="minorEastAsia"/>
                <w:b/>
                <w:bCs/>
                <w:kern w:val="2"/>
                <w:sz w:val="21"/>
                <w:szCs w:val="21"/>
              </w:rPr>
            </w:pPr>
            <w:r>
              <w:rPr>
                <w:rFonts w:cs="Times New Roman" w:eastAsiaTheme="minorEastAsia"/>
                <w:b/>
                <w:bCs/>
                <w:kern w:val="2"/>
                <w:sz w:val="21"/>
                <w:szCs w:val="21"/>
                <w:lang w:bidi="ar"/>
              </w:rPr>
              <w:t>决算数</w:t>
            </w:r>
          </w:p>
        </w:tc>
      </w:tr>
      <w:tr>
        <w:tblPrEx>
          <w:tblCellMar>
            <w:top w:w="0" w:type="dxa"/>
            <w:left w:w="108" w:type="dxa"/>
            <w:bottom w:w="0" w:type="dxa"/>
            <w:right w:w="108" w:type="dxa"/>
          </w:tblCellMar>
        </w:tblPrEx>
        <w:trPr>
          <w:trHeight w:val="288" w:hRule="atLeast"/>
          <w:tblHeader/>
        </w:trPr>
        <w:tc>
          <w:tcPr>
            <w:tcW w:w="922" w:type="pct"/>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center"/>
              <w:rPr>
                <w:rFonts w:cs="Times New Roman" w:eastAsiaTheme="minorEastAsia"/>
                <w:b/>
                <w:bCs/>
                <w:kern w:val="2"/>
                <w:sz w:val="21"/>
                <w:szCs w:val="21"/>
              </w:rPr>
            </w:pPr>
          </w:p>
        </w:tc>
        <w:tc>
          <w:tcPr>
            <w:tcW w:w="778" w:type="pct"/>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center"/>
              <w:rPr>
                <w:rFonts w:cs="Times New Roman" w:eastAsiaTheme="minorEastAsia"/>
                <w:b/>
                <w:bCs/>
                <w:kern w:val="2"/>
                <w:sz w:val="21"/>
                <w:szCs w:val="21"/>
              </w:rPr>
            </w:pPr>
          </w:p>
        </w:tc>
        <w:tc>
          <w:tcPr>
            <w:tcW w:w="845"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center"/>
              <w:rPr>
                <w:rFonts w:cs="Times New Roman" w:eastAsiaTheme="minorEastAsia"/>
                <w:b/>
                <w:bCs/>
                <w:kern w:val="2"/>
                <w:sz w:val="21"/>
                <w:szCs w:val="21"/>
              </w:rPr>
            </w:pPr>
            <w:r>
              <w:rPr>
                <w:rFonts w:cs="Times New Roman" w:eastAsiaTheme="minorEastAsia"/>
                <w:b/>
                <w:bCs/>
                <w:kern w:val="2"/>
                <w:sz w:val="21"/>
                <w:szCs w:val="21"/>
                <w:lang w:bidi="ar"/>
              </w:rPr>
              <w:t>调整金额</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center"/>
              <w:rPr>
                <w:rFonts w:cs="Times New Roman" w:eastAsiaTheme="minorEastAsia"/>
                <w:b/>
                <w:bCs/>
                <w:kern w:val="2"/>
                <w:sz w:val="21"/>
                <w:szCs w:val="21"/>
              </w:rPr>
            </w:pPr>
            <w:r>
              <w:rPr>
                <w:rFonts w:cs="Times New Roman" w:eastAsiaTheme="minorEastAsia"/>
                <w:b/>
                <w:bCs/>
                <w:kern w:val="2"/>
                <w:sz w:val="21"/>
                <w:szCs w:val="21"/>
                <w:lang w:bidi="ar"/>
              </w:rPr>
              <w:t>调整率</w:t>
            </w:r>
          </w:p>
        </w:tc>
        <w:tc>
          <w:tcPr>
            <w:tcW w:w="820" w:type="pct"/>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center"/>
              <w:rPr>
                <w:rFonts w:cs="Times New Roman" w:eastAsiaTheme="minorEastAsia"/>
                <w:b/>
                <w:bCs/>
                <w:kern w:val="2"/>
                <w:sz w:val="21"/>
                <w:szCs w:val="21"/>
              </w:rPr>
            </w:pPr>
          </w:p>
        </w:tc>
        <w:tc>
          <w:tcPr>
            <w:tcW w:w="867" w:type="pct"/>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center"/>
              <w:rPr>
                <w:rFonts w:cs="Times New Roman" w:eastAsiaTheme="minorEastAsia"/>
                <w:b/>
                <w:bCs/>
                <w:kern w:val="2"/>
                <w:sz w:val="21"/>
                <w:szCs w:val="21"/>
              </w:rPr>
            </w:pPr>
          </w:p>
        </w:tc>
      </w:tr>
      <w:tr>
        <w:tblPrEx>
          <w:tblCellMar>
            <w:top w:w="0" w:type="dxa"/>
            <w:left w:w="108" w:type="dxa"/>
            <w:bottom w:w="0" w:type="dxa"/>
            <w:right w:w="108" w:type="dxa"/>
          </w:tblCellMar>
        </w:tblPrEx>
        <w:trPr>
          <w:trHeight w:val="288" w:hRule="atLeast"/>
        </w:trPr>
        <w:tc>
          <w:tcPr>
            <w:tcW w:w="922"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center"/>
              <w:rPr>
                <w:rFonts w:cs="Times New Roman" w:eastAsiaTheme="minorEastAsia"/>
                <w:kern w:val="2"/>
                <w:sz w:val="21"/>
                <w:szCs w:val="21"/>
              </w:rPr>
            </w:pPr>
            <w:r>
              <w:rPr>
                <w:rFonts w:cs="Times New Roman" w:eastAsiaTheme="minorEastAsia"/>
                <w:kern w:val="2"/>
                <w:sz w:val="21"/>
                <w:szCs w:val="21"/>
                <w:lang w:bidi="ar"/>
              </w:rPr>
              <w:t>基本支出</w:t>
            </w:r>
          </w:p>
        </w:tc>
        <w:tc>
          <w:tcPr>
            <w:tcW w:w="778"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kern w:val="2"/>
                <w:sz w:val="21"/>
                <w:szCs w:val="21"/>
                <w:lang w:bidi="ar"/>
              </w:rPr>
            </w:pPr>
            <w:r>
              <w:rPr>
                <w:rFonts w:hint="eastAsia" w:cs="Times New Roman" w:eastAsiaTheme="minorEastAsia"/>
                <w:kern w:val="2"/>
                <w:sz w:val="21"/>
                <w:szCs w:val="21"/>
                <w:lang w:bidi="ar"/>
              </w:rPr>
              <w:t>5</w:t>
            </w:r>
            <w:r>
              <w:rPr>
                <w:rFonts w:cs="Times New Roman" w:eastAsiaTheme="minorEastAsia"/>
                <w:kern w:val="2"/>
                <w:sz w:val="21"/>
                <w:szCs w:val="21"/>
                <w:lang w:bidi="ar"/>
              </w:rPr>
              <w:t>,</w:t>
            </w:r>
            <w:r>
              <w:rPr>
                <w:rFonts w:hint="eastAsia" w:cs="Times New Roman" w:eastAsiaTheme="minorEastAsia"/>
                <w:kern w:val="2"/>
                <w:sz w:val="21"/>
                <w:szCs w:val="21"/>
                <w:lang w:bidi="ar"/>
              </w:rPr>
              <w:t>466.05</w:t>
            </w:r>
          </w:p>
        </w:tc>
        <w:tc>
          <w:tcPr>
            <w:tcW w:w="845"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kern w:val="2"/>
                <w:sz w:val="21"/>
                <w:szCs w:val="21"/>
                <w:lang w:bidi="ar"/>
              </w:rPr>
            </w:pPr>
            <w:r>
              <w:rPr>
                <w:rFonts w:hint="eastAsia" w:cs="Times New Roman" w:eastAsiaTheme="minorEastAsia"/>
                <w:kern w:val="2"/>
                <w:sz w:val="21"/>
                <w:szCs w:val="21"/>
                <w:lang w:bidi="ar"/>
              </w:rPr>
              <w:t>1</w:t>
            </w:r>
            <w:r>
              <w:rPr>
                <w:rFonts w:cs="Times New Roman" w:eastAsiaTheme="minorEastAsia"/>
                <w:kern w:val="2"/>
                <w:sz w:val="21"/>
                <w:szCs w:val="21"/>
                <w:lang w:bidi="ar"/>
              </w:rPr>
              <w:t>,</w:t>
            </w:r>
            <w:r>
              <w:rPr>
                <w:rFonts w:hint="eastAsia" w:cs="Times New Roman" w:eastAsiaTheme="minorEastAsia"/>
                <w:kern w:val="2"/>
                <w:sz w:val="21"/>
                <w:szCs w:val="21"/>
                <w:lang w:bidi="ar"/>
              </w:rPr>
              <w:t>249.11</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kern w:val="2"/>
                <w:sz w:val="21"/>
                <w:szCs w:val="21"/>
                <w:lang w:bidi="ar"/>
              </w:rPr>
            </w:pPr>
            <w:r>
              <w:rPr>
                <w:rFonts w:hint="eastAsia" w:cs="Times New Roman" w:eastAsiaTheme="minorEastAsia"/>
                <w:kern w:val="2"/>
                <w:sz w:val="21"/>
                <w:szCs w:val="21"/>
                <w:lang w:bidi="ar"/>
              </w:rPr>
              <w:t>22.85%</w:t>
            </w:r>
          </w:p>
        </w:tc>
        <w:tc>
          <w:tcPr>
            <w:tcW w:w="820"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kern w:val="2"/>
                <w:sz w:val="21"/>
                <w:szCs w:val="21"/>
                <w:lang w:bidi="ar"/>
              </w:rPr>
            </w:pPr>
            <w:r>
              <w:rPr>
                <w:rFonts w:hint="eastAsia" w:cs="Times New Roman" w:eastAsiaTheme="minorEastAsia"/>
                <w:kern w:val="2"/>
                <w:sz w:val="21"/>
                <w:szCs w:val="21"/>
                <w:lang w:bidi="ar"/>
              </w:rPr>
              <w:t>6</w:t>
            </w:r>
            <w:r>
              <w:rPr>
                <w:rFonts w:cs="Times New Roman" w:eastAsiaTheme="minorEastAsia"/>
                <w:kern w:val="2"/>
                <w:sz w:val="21"/>
                <w:szCs w:val="21"/>
                <w:lang w:bidi="ar"/>
              </w:rPr>
              <w:t>,</w:t>
            </w:r>
            <w:r>
              <w:rPr>
                <w:rFonts w:hint="eastAsia" w:cs="Times New Roman" w:eastAsiaTheme="minorEastAsia"/>
                <w:kern w:val="2"/>
                <w:sz w:val="21"/>
                <w:szCs w:val="21"/>
                <w:lang w:bidi="ar"/>
              </w:rPr>
              <w:t>715.16</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kern w:val="2"/>
                <w:sz w:val="21"/>
                <w:szCs w:val="21"/>
                <w:lang w:bidi="ar"/>
              </w:rPr>
            </w:pPr>
            <w:r>
              <w:rPr>
                <w:rFonts w:hint="eastAsia" w:cs="Times New Roman" w:eastAsiaTheme="minorEastAsia"/>
                <w:kern w:val="2"/>
                <w:sz w:val="21"/>
                <w:szCs w:val="21"/>
                <w:lang w:bidi="ar"/>
              </w:rPr>
              <w:t>6</w:t>
            </w:r>
            <w:r>
              <w:rPr>
                <w:rFonts w:cs="Times New Roman" w:eastAsiaTheme="minorEastAsia"/>
                <w:kern w:val="2"/>
                <w:sz w:val="21"/>
                <w:szCs w:val="21"/>
                <w:lang w:bidi="ar"/>
              </w:rPr>
              <w:t>,</w:t>
            </w:r>
            <w:r>
              <w:rPr>
                <w:rFonts w:hint="eastAsia" w:cs="Times New Roman" w:eastAsiaTheme="minorEastAsia"/>
                <w:kern w:val="2"/>
                <w:sz w:val="21"/>
                <w:szCs w:val="21"/>
                <w:lang w:bidi="ar"/>
              </w:rPr>
              <w:t>718.03</w:t>
            </w:r>
          </w:p>
        </w:tc>
      </w:tr>
      <w:tr>
        <w:tblPrEx>
          <w:tblCellMar>
            <w:top w:w="0" w:type="dxa"/>
            <w:left w:w="108" w:type="dxa"/>
            <w:bottom w:w="0" w:type="dxa"/>
            <w:right w:w="108" w:type="dxa"/>
          </w:tblCellMar>
        </w:tblPrEx>
        <w:trPr>
          <w:trHeight w:val="288" w:hRule="atLeast"/>
        </w:trPr>
        <w:tc>
          <w:tcPr>
            <w:tcW w:w="922"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center"/>
              <w:rPr>
                <w:rFonts w:cs="Times New Roman" w:eastAsiaTheme="minorEastAsia"/>
                <w:kern w:val="2"/>
                <w:sz w:val="21"/>
                <w:szCs w:val="21"/>
              </w:rPr>
            </w:pPr>
            <w:r>
              <w:rPr>
                <w:rFonts w:cs="Times New Roman" w:eastAsiaTheme="minorEastAsia"/>
                <w:kern w:val="2"/>
                <w:sz w:val="21"/>
                <w:szCs w:val="21"/>
                <w:lang w:bidi="ar"/>
              </w:rPr>
              <w:t>项目支出</w:t>
            </w:r>
          </w:p>
        </w:tc>
        <w:tc>
          <w:tcPr>
            <w:tcW w:w="778"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kern w:val="2"/>
                <w:sz w:val="21"/>
                <w:szCs w:val="21"/>
                <w:lang w:bidi="ar"/>
              </w:rPr>
            </w:pPr>
            <w:r>
              <w:rPr>
                <w:rFonts w:hint="eastAsia" w:cs="Times New Roman" w:eastAsiaTheme="minorEastAsia"/>
                <w:kern w:val="2"/>
                <w:sz w:val="21"/>
                <w:szCs w:val="21"/>
                <w:lang w:bidi="ar"/>
              </w:rPr>
              <w:t>15</w:t>
            </w:r>
            <w:r>
              <w:rPr>
                <w:rFonts w:cs="Times New Roman" w:eastAsiaTheme="minorEastAsia"/>
                <w:kern w:val="2"/>
                <w:sz w:val="21"/>
                <w:szCs w:val="21"/>
                <w:lang w:bidi="ar"/>
              </w:rPr>
              <w:t>,</w:t>
            </w:r>
            <w:r>
              <w:rPr>
                <w:rFonts w:hint="eastAsia" w:cs="Times New Roman" w:eastAsiaTheme="minorEastAsia"/>
                <w:kern w:val="2"/>
                <w:sz w:val="21"/>
                <w:szCs w:val="21"/>
                <w:lang w:bidi="ar"/>
              </w:rPr>
              <w:t>568.10</w:t>
            </w:r>
          </w:p>
        </w:tc>
        <w:tc>
          <w:tcPr>
            <w:tcW w:w="845"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kern w:val="2"/>
                <w:sz w:val="21"/>
                <w:szCs w:val="21"/>
                <w:lang w:bidi="ar"/>
              </w:rPr>
            </w:pPr>
            <w:r>
              <w:rPr>
                <w:rFonts w:hint="eastAsia" w:cs="Times New Roman" w:eastAsiaTheme="minorEastAsia"/>
                <w:kern w:val="2"/>
                <w:sz w:val="21"/>
                <w:szCs w:val="21"/>
                <w:lang w:bidi="ar"/>
              </w:rPr>
              <w:t>5</w:t>
            </w:r>
            <w:r>
              <w:rPr>
                <w:rFonts w:cs="Times New Roman" w:eastAsiaTheme="minorEastAsia"/>
                <w:kern w:val="2"/>
                <w:sz w:val="21"/>
                <w:szCs w:val="21"/>
                <w:lang w:bidi="ar"/>
              </w:rPr>
              <w:t>,</w:t>
            </w:r>
            <w:r>
              <w:rPr>
                <w:rFonts w:hint="eastAsia" w:cs="Times New Roman" w:eastAsiaTheme="minorEastAsia"/>
                <w:kern w:val="2"/>
                <w:sz w:val="21"/>
                <w:szCs w:val="21"/>
                <w:lang w:bidi="ar"/>
              </w:rPr>
              <w:t>511.39</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kern w:val="2"/>
                <w:sz w:val="21"/>
                <w:szCs w:val="21"/>
                <w:lang w:bidi="ar"/>
              </w:rPr>
            </w:pPr>
            <w:r>
              <w:rPr>
                <w:rFonts w:hint="eastAsia" w:cs="Times New Roman" w:eastAsiaTheme="minorEastAsia"/>
                <w:kern w:val="2"/>
                <w:sz w:val="21"/>
                <w:szCs w:val="21"/>
                <w:lang w:bidi="ar"/>
              </w:rPr>
              <w:t>35.40%</w:t>
            </w:r>
          </w:p>
        </w:tc>
        <w:tc>
          <w:tcPr>
            <w:tcW w:w="820"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kern w:val="2"/>
                <w:sz w:val="21"/>
                <w:szCs w:val="21"/>
                <w:lang w:bidi="ar"/>
              </w:rPr>
            </w:pPr>
            <w:r>
              <w:rPr>
                <w:rFonts w:hint="eastAsia" w:cs="Times New Roman" w:eastAsiaTheme="minorEastAsia"/>
                <w:kern w:val="2"/>
                <w:sz w:val="21"/>
                <w:szCs w:val="21"/>
                <w:lang w:bidi="ar"/>
              </w:rPr>
              <w:t>21</w:t>
            </w:r>
            <w:r>
              <w:rPr>
                <w:rFonts w:cs="Times New Roman" w:eastAsiaTheme="minorEastAsia"/>
                <w:kern w:val="2"/>
                <w:sz w:val="21"/>
                <w:szCs w:val="21"/>
                <w:lang w:bidi="ar"/>
              </w:rPr>
              <w:t>,</w:t>
            </w:r>
            <w:r>
              <w:rPr>
                <w:rFonts w:hint="eastAsia" w:cs="Times New Roman" w:eastAsiaTheme="minorEastAsia"/>
                <w:kern w:val="2"/>
                <w:sz w:val="21"/>
                <w:szCs w:val="21"/>
                <w:lang w:bidi="ar"/>
              </w:rPr>
              <w:t>079.49</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kern w:val="2"/>
                <w:sz w:val="21"/>
                <w:szCs w:val="21"/>
                <w:lang w:bidi="ar"/>
              </w:rPr>
            </w:pPr>
            <w:r>
              <w:rPr>
                <w:rFonts w:hint="eastAsia" w:cs="Times New Roman" w:eastAsiaTheme="minorEastAsia"/>
                <w:kern w:val="2"/>
                <w:sz w:val="21"/>
                <w:szCs w:val="21"/>
                <w:lang w:bidi="ar"/>
              </w:rPr>
              <w:t>21</w:t>
            </w:r>
            <w:r>
              <w:rPr>
                <w:rFonts w:cs="Times New Roman" w:eastAsiaTheme="minorEastAsia"/>
                <w:kern w:val="2"/>
                <w:sz w:val="21"/>
                <w:szCs w:val="21"/>
                <w:lang w:bidi="ar"/>
              </w:rPr>
              <w:t>,</w:t>
            </w:r>
            <w:r>
              <w:rPr>
                <w:rFonts w:hint="eastAsia" w:cs="Times New Roman" w:eastAsiaTheme="minorEastAsia"/>
                <w:kern w:val="2"/>
                <w:sz w:val="21"/>
                <w:szCs w:val="21"/>
                <w:lang w:bidi="ar"/>
              </w:rPr>
              <w:t>121.18</w:t>
            </w:r>
          </w:p>
        </w:tc>
      </w:tr>
      <w:tr>
        <w:tblPrEx>
          <w:tblCellMar>
            <w:top w:w="0" w:type="dxa"/>
            <w:left w:w="108" w:type="dxa"/>
            <w:bottom w:w="0" w:type="dxa"/>
            <w:right w:w="108" w:type="dxa"/>
          </w:tblCellMar>
        </w:tblPrEx>
        <w:trPr>
          <w:trHeight w:val="288" w:hRule="atLeast"/>
        </w:trPr>
        <w:tc>
          <w:tcPr>
            <w:tcW w:w="922"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center"/>
              <w:rPr>
                <w:rFonts w:cs="Times New Roman" w:eastAsiaTheme="minorEastAsia"/>
                <w:kern w:val="2"/>
                <w:sz w:val="21"/>
                <w:szCs w:val="21"/>
                <w:lang w:bidi="ar"/>
              </w:rPr>
            </w:pPr>
            <w:r>
              <w:rPr>
                <w:rFonts w:hint="eastAsia" w:cs="Times New Roman" w:eastAsiaTheme="minorEastAsia"/>
                <w:kern w:val="2"/>
                <w:sz w:val="21"/>
                <w:szCs w:val="21"/>
                <w:lang w:bidi="ar"/>
              </w:rPr>
              <w:t>结余分配</w:t>
            </w:r>
          </w:p>
        </w:tc>
        <w:tc>
          <w:tcPr>
            <w:tcW w:w="778"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kern w:val="2"/>
                <w:sz w:val="21"/>
                <w:szCs w:val="21"/>
                <w:lang w:bidi="ar"/>
              </w:rPr>
            </w:pPr>
            <w:r>
              <w:rPr>
                <w:rFonts w:hint="eastAsia" w:cs="Times New Roman" w:eastAsiaTheme="minorEastAsia"/>
                <w:kern w:val="2"/>
                <w:sz w:val="21"/>
                <w:szCs w:val="21"/>
                <w:lang w:bidi="ar"/>
              </w:rPr>
              <w:t>-</w:t>
            </w:r>
          </w:p>
        </w:tc>
        <w:tc>
          <w:tcPr>
            <w:tcW w:w="845"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kern w:val="2"/>
                <w:sz w:val="21"/>
                <w:szCs w:val="21"/>
                <w:lang w:bidi="ar"/>
              </w:rPr>
            </w:pPr>
            <w:r>
              <w:rPr>
                <w:rFonts w:hint="eastAsia" w:cs="Times New Roman" w:eastAsiaTheme="minorEastAsia"/>
                <w:kern w:val="2"/>
                <w:sz w:val="21"/>
                <w:szCs w:val="21"/>
                <w:lang w:bidi="ar"/>
              </w:rPr>
              <w:t>-</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kern w:val="2"/>
                <w:sz w:val="21"/>
                <w:szCs w:val="21"/>
                <w:lang w:bidi="ar"/>
              </w:rPr>
            </w:pPr>
            <w:r>
              <w:rPr>
                <w:rFonts w:hint="eastAsia" w:cs="Times New Roman" w:eastAsiaTheme="minorEastAsia"/>
                <w:kern w:val="2"/>
                <w:sz w:val="21"/>
                <w:szCs w:val="21"/>
                <w:lang w:bidi="ar"/>
              </w:rPr>
              <w:t>-</w:t>
            </w:r>
          </w:p>
        </w:tc>
        <w:tc>
          <w:tcPr>
            <w:tcW w:w="820"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kern w:val="2"/>
                <w:sz w:val="21"/>
                <w:szCs w:val="21"/>
                <w:lang w:bidi="ar"/>
              </w:rPr>
            </w:pPr>
            <w:r>
              <w:rPr>
                <w:rFonts w:hint="eastAsia" w:cs="Times New Roman" w:eastAsiaTheme="minorEastAsia"/>
                <w:kern w:val="2"/>
                <w:sz w:val="21"/>
                <w:szCs w:val="21"/>
                <w:lang w:bidi="ar"/>
              </w:rPr>
              <w:t>-</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kern w:val="2"/>
                <w:sz w:val="21"/>
                <w:szCs w:val="21"/>
                <w:lang w:bidi="ar"/>
              </w:rPr>
            </w:pPr>
            <w:r>
              <w:rPr>
                <w:rFonts w:hint="eastAsia" w:cs="Times New Roman" w:eastAsiaTheme="minorEastAsia"/>
                <w:kern w:val="2"/>
                <w:sz w:val="21"/>
                <w:szCs w:val="21"/>
                <w:lang w:bidi="ar"/>
              </w:rPr>
              <w:t>9.93</w:t>
            </w:r>
          </w:p>
        </w:tc>
      </w:tr>
      <w:tr>
        <w:tblPrEx>
          <w:tblCellMar>
            <w:top w:w="0" w:type="dxa"/>
            <w:left w:w="108" w:type="dxa"/>
            <w:bottom w:w="0" w:type="dxa"/>
            <w:right w:w="108" w:type="dxa"/>
          </w:tblCellMar>
        </w:tblPrEx>
        <w:trPr>
          <w:trHeight w:val="288" w:hRule="atLeast"/>
        </w:trPr>
        <w:tc>
          <w:tcPr>
            <w:tcW w:w="922"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center"/>
              <w:rPr>
                <w:rFonts w:cs="Times New Roman" w:eastAsiaTheme="minorEastAsia"/>
                <w:kern w:val="2"/>
                <w:sz w:val="21"/>
                <w:szCs w:val="21"/>
                <w:lang w:bidi="ar"/>
              </w:rPr>
            </w:pPr>
            <w:r>
              <w:rPr>
                <w:rFonts w:hint="eastAsia" w:cs="Times New Roman" w:eastAsiaTheme="minorEastAsia"/>
                <w:kern w:val="2"/>
                <w:sz w:val="21"/>
                <w:szCs w:val="21"/>
                <w:lang w:bidi="ar"/>
              </w:rPr>
              <w:t xml:space="preserve">    年末结转结余</w:t>
            </w:r>
          </w:p>
        </w:tc>
        <w:tc>
          <w:tcPr>
            <w:tcW w:w="778"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kern w:val="2"/>
                <w:sz w:val="21"/>
                <w:szCs w:val="21"/>
                <w:lang w:bidi="ar"/>
              </w:rPr>
            </w:pPr>
            <w:r>
              <w:rPr>
                <w:rFonts w:hint="eastAsia" w:cs="Times New Roman" w:eastAsiaTheme="minorEastAsia"/>
                <w:kern w:val="2"/>
                <w:sz w:val="21"/>
                <w:szCs w:val="21"/>
                <w:lang w:bidi="ar"/>
              </w:rPr>
              <w:t>-</w:t>
            </w:r>
          </w:p>
        </w:tc>
        <w:tc>
          <w:tcPr>
            <w:tcW w:w="845"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kern w:val="2"/>
                <w:sz w:val="21"/>
                <w:szCs w:val="21"/>
                <w:lang w:bidi="ar"/>
              </w:rPr>
            </w:pPr>
            <w:r>
              <w:rPr>
                <w:rFonts w:hint="eastAsia" w:cs="Times New Roman" w:eastAsiaTheme="minorEastAsia"/>
                <w:kern w:val="2"/>
                <w:sz w:val="21"/>
                <w:szCs w:val="21"/>
                <w:lang w:bidi="ar"/>
              </w:rPr>
              <w:t>-</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kern w:val="2"/>
                <w:sz w:val="21"/>
                <w:szCs w:val="21"/>
                <w:lang w:bidi="ar"/>
              </w:rPr>
            </w:pPr>
            <w:r>
              <w:rPr>
                <w:rFonts w:hint="eastAsia" w:cs="Times New Roman" w:eastAsiaTheme="minorEastAsia"/>
                <w:kern w:val="2"/>
                <w:sz w:val="21"/>
                <w:szCs w:val="21"/>
                <w:lang w:bidi="ar"/>
              </w:rPr>
              <w:t>-</w:t>
            </w:r>
          </w:p>
        </w:tc>
        <w:tc>
          <w:tcPr>
            <w:tcW w:w="820"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kern w:val="2"/>
                <w:sz w:val="21"/>
                <w:szCs w:val="21"/>
                <w:lang w:bidi="ar"/>
              </w:rPr>
            </w:pPr>
            <w:r>
              <w:rPr>
                <w:rFonts w:hint="eastAsia" w:cs="Times New Roman" w:eastAsiaTheme="minorEastAsia"/>
                <w:kern w:val="2"/>
                <w:sz w:val="21"/>
                <w:szCs w:val="21"/>
                <w:lang w:bidi="ar"/>
              </w:rPr>
              <w:t>12.35</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kern w:val="2"/>
                <w:sz w:val="21"/>
                <w:szCs w:val="21"/>
                <w:lang w:bidi="ar"/>
              </w:rPr>
            </w:pPr>
            <w:r>
              <w:rPr>
                <w:rFonts w:hint="eastAsia" w:cs="Times New Roman" w:eastAsiaTheme="minorEastAsia"/>
                <w:kern w:val="2"/>
                <w:sz w:val="21"/>
                <w:szCs w:val="21"/>
                <w:lang w:bidi="ar"/>
              </w:rPr>
              <w:t>755.08</w:t>
            </w:r>
          </w:p>
        </w:tc>
      </w:tr>
      <w:tr>
        <w:tblPrEx>
          <w:tblCellMar>
            <w:top w:w="0" w:type="dxa"/>
            <w:left w:w="108" w:type="dxa"/>
            <w:bottom w:w="0" w:type="dxa"/>
            <w:right w:w="108" w:type="dxa"/>
          </w:tblCellMar>
        </w:tblPrEx>
        <w:trPr>
          <w:trHeight w:val="288" w:hRule="atLeast"/>
        </w:trPr>
        <w:tc>
          <w:tcPr>
            <w:tcW w:w="922"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center"/>
              <w:rPr>
                <w:rFonts w:cs="Times New Roman" w:eastAsiaTheme="minorEastAsia"/>
                <w:b/>
                <w:bCs/>
                <w:kern w:val="2"/>
                <w:sz w:val="21"/>
                <w:szCs w:val="21"/>
              </w:rPr>
            </w:pPr>
            <w:r>
              <w:rPr>
                <w:rFonts w:cs="Times New Roman" w:eastAsiaTheme="minorEastAsia"/>
                <w:b/>
                <w:bCs/>
                <w:kern w:val="2"/>
                <w:sz w:val="21"/>
                <w:szCs w:val="21"/>
                <w:lang w:bidi="ar"/>
              </w:rPr>
              <w:t>合计</w:t>
            </w:r>
          </w:p>
        </w:tc>
        <w:tc>
          <w:tcPr>
            <w:tcW w:w="778"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b/>
                <w:bCs/>
                <w:kern w:val="2"/>
                <w:sz w:val="21"/>
                <w:szCs w:val="21"/>
                <w:lang w:bidi="ar"/>
              </w:rPr>
            </w:pPr>
            <w:r>
              <w:rPr>
                <w:rFonts w:hint="eastAsia" w:cs="Times New Roman" w:eastAsiaTheme="minorEastAsia"/>
                <w:b/>
                <w:bCs/>
                <w:kern w:val="2"/>
                <w:sz w:val="21"/>
                <w:szCs w:val="21"/>
                <w:lang w:bidi="ar"/>
              </w:rPr>
              <w:t>21</w:t>
            </w:r>
            <w:r>
              <w:rPr>
                <w:rFonts w:cs="Times New Roman" w:eastAsiaTheme="minorEastAsia"/>
                <w:b/>
                <w:bCs/>
                <w:kern w:val="2"/>
                <w:sz w:val="21"/>
                <w:szCs w:val="21"/>
                <w:lang w:bidi="ar"/>
              </w:rPr>
              <w:t>,</w:t>
            </w:r>
            <w:r>
              <w:rPr>
                <w:rFonts w:hint="eastAsia" w:cs="Times New Roman" w:eastAsiaTheme="minorEastAsia"/>
                <w:b/>
                <w:bCs/>
                <w:kern w:val="2"/>
                <w:sz w:val="21"/>
                <w:szCs w:val="21"/>
                <w:lang w:bidi="ar"/>
              </w:rPr>
              <w:t>034.15</w:t>
            </w:r>
          </w:p>
        </w:tc>
        <w:tc>
          <w:tcPr>
            <w:tcW w:w="845"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b/>
                <w:bCs/>
                <w:kern w:val="2"/>
                <w:sz w:val="21"/>
                <w:szCs w:val="21"/>
                <w:lang w:bidi="ar"/>
              </w:rPr>
            </w:pPr>
            <w:r>
              <w:rPr>
                <w:rFonts w:hint="eastAsia" w:cs="Times New Roman" w:eastAsiaTheme="minorEastAsia"/>
                <w:b/>
                <w:bCs/>
                <w:kern w:val="2"/>
                <w:sz w:val="21"/>
                <w:szCs w:val="21"/>
                <w:lang w:bidi="ar"/>
              </w:rPr>
              <w:t>6</w:t>
            </w:r>
            <w:r>
              <w:rPr>
                <w:rFonts w:cs="Times New Roman" w:eastAsiaTheme="minorEastAsia"/>
                <w:b/>
                <w:bCs/>
                <w:kern w:val="2"/>
                <w:sz w:val="21"/>
                <w:szCs w:val="21"/>
                <w:lang w:bidi="ar"/>
              </w:rPr>
              <w:t>,</w:t>
            </w:r>
            <w:r>
              <w:rPr>
                <w:rFonts w:hint="eastAsia" w:cs="Times New Roman" w:eastAsiaTheme="minorEastAsia"/>
                <w:b/>
                <w:bCs/>
                <w:kern w:val="2"/>
                <w:sz w:val="21"/>
                <w:szCs w:val="21"/>
                <w:lang w:bidi="ar"/>
              </w:rPr>
              <w:t xml:space="preserve">760.50 </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b/>
                <w:bCs/>
                <w:kern w:val="2"/>
                <w:sz w:val="21"/>
                <w:szCs w:val="21"/>
                <w:lang w:bidi="ar"/>
              </w:rPr>
            </w:pPr>
            <w:r>
              <w:rPr>
                <w:rFonts w:hint="eastAsia" w:cs="Times New Roman" w:eastAsiaTheme="minorEastAsia"/>
                <w:b/>
                <w:bCs/>
                <w:kern w:val="2"/>
                <w:sz w:val="21"/>
                <w:szCs w:val="21"/>
                <w:lang w:bidi="ar"/>
              </w:rPr>
              <w:t>32.14%</w:t>
            </w:r>
          </w:p>
        </w:tc>
        <w:tc>
          <w:tcPr>
            <w:tcW w:w="820"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b/>
                <w:bCs/>
                <w:kern w:val="2"/>
                <w:sz w:val="21"/>
                <w:szCs w:val="21"/>
                <w:lang w:bidi="ar"/>
              </w:rPr>
            </w:pPr>
            <w:r>
              <w:rPr>
                <w:rFonts w:hint="eastAsia" w:cs="Times New Roman" w:eastAsiaTheme="minorEastAsia"/>
                <w:b/>
                <w:bCs/>
                <w:kern w:val="2"/>
                <w:sz w:val="21"/>
                <w:szCs w:val="21"/>
                <w:lang w:bidi="ar"/>
              </w:rPr>
              <w:t>27,806.99</w:t>
            </w:r>
          </w:p>
        </w:tc>
        <w:tc>
          <w:tcPr>
            <w:tcW w:w="867" w:type="pct"/>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val="0"/>
              <w:spacing w:line="240" w:lineRule="auto"/>
              <w:ind w:firstLine="0" w:firstLineChars="0"/>
              <w:jc w:val="right"/>
              <w:rPr>
                <w:rFonts w:cs="Times New Roman" w:eastAsiaTheme="minorEastAsia"/>
                <w:b/>
                <w:bCs/>
                <w:kern w:val="2"/>
                <w:sz w:val="21"/>
                <w:szCs w:val="21"/>
                <w:lang w:bidi="ar"/>
              </w:rPr>
            </w:pPr>
            <w:r>
              <w:rPr>
                <w:rFonts w:hint="eastAsia" w:cs="Times New Roman" w:eastAsiaTheme="minorEastAsia"/>
                <w:b/>
                <w:bCs/>
                <w:kern w:val="2"/>
                <w:sz w:val="21"/>
                <w:szCs w:val="21"/>
                <w:lang w:bidi="ar"/>
              </w:rPr>
              <w:t>28,604.22</w:t>
            </w:r>
          </w:p>
        </w:tc>
      </w:tr>
    </w:tbl>
    <w:p>
      <w:pPr>
        <w:pStyle w:val="27"/>
        <w:spacing w:before="0" w:beforeAutospacing="0" w:after="0" w:afterAutospacing="0" w:line="560" w:lineRule="exact"/>
        <w:ind w:firstLine="643" w:firstLineChars="200"/>
        <w:jc w:val="both"/>
        <w:outlineLvl w:val="2"/>
        <w:rPr>
          <w:rFonts w:eastAsia="仿宋_GB2312"/>
          <w:b/>
          <w:szCs w:val="32"/>
        </w:rPr>
      </w:pPr>
      <w:bookmarkStart w:id="56" w:name="_Toc103363761"/>
      <w:bookmarkStart w:id="57" w:name="_Toc74500547"/>
      <w:bookmarkStart w:id="58" w:name="_Toc103422104"/>
      <w:r>
        <w:rPr>
          <w:rFonts w:eastAsia="仿宋_GB2312"/>
          <w:b/>
          <w:szCs w:val="32"/>
        </w:rPr>
        <w:t>1.</w:t>
      </w:r>
      <w:r>
        <w:rPr>
          <w:rFonts w:hint="eastAsia" w:eastAsia="仿宋_GB2312"/>
          <w:b/>
          <w:szCs w:val="32"/>
        </w:rPr>
        <w:t>基本支出预算构成及资金来源</w:t>
      </w:r>
      <w:bookmarkEnd w:id="56"/>
      <w:bookmarkEnd w:id="57"/>
      <w:bookmarkEnd w:id="58"/>
    </w:p>
    <w:p>
      <w:pPr>
        <w:pStyle w:val="27"/>
        <w:spacing w:before="0" w:beforeAutospacing="0" w:after="0" w:afterAutospacing="0" w:line="560" w:lineRule="exact"/>
        <w:ind w:firstLine="640" w:firstLineChars="200"/>
        <w:jc w:val="both"/>
        <w:rPr>
          <w:rFonts w:eastAsia="仿宋_GB2312"/>
          <w:szCs w:val="32"/>
        </w:rPr>
      </w:pPr>
      <w:r>
        <w:rPr>
          <w:rFonts w:hint="eastAsia" w:eastAsia="仿宋_GB2312"/>
          <w:szCs w:val="32"/>
        </w:rPr>
        <w:t>2022年度，市文广旅体局基本支出总预算5,380.91万元，占部门支出预算25.38%，</w:t>
      </w:r>
      <w:bookmarkStart w:id="59" w:name="_Hlk103354860"/>
      <w:r>
        <w:rPr>
          <w:rFonts w:hint="eastAsia" w:eastAsia="仿宋_GB2312"/>
          <w:szCs w:val="32"/>
        </w:rPr>
        <w:t>涉及6个支出科目，包括一般公共服务支出、文化旅游体育与传媒支出、社会保障和就业支出、卫生健康支出、住房保障支出、其他支出，</w:t>
      </w:r>
      <w:bookmarkEnd w:id="59"/>
      <w:r>
        <w:rPr>
          <w:rFonts w:hint="eastAsia" w:eastAsia="仿宋_GB2312"/>
          <w:szCs w:val="32"/>
        </w:rPr>
        <w:t>基本支出预算资金全部来源于公共财政预算拨款。基本支出决算数为</w:t>
      </w:r>
      <w:r>
        <w:rPr>
          <w:rFonts w:hint="eastAsia" w:eastAsia="仿宋_GB2312"/>
          <w:szCs w:val="32"/>
          <w:lang w:bidi="ar"/>
        </w:rPr>
        <w:t>6,718.03万元。</w:t>
      </w:r>
      <w:r>
        <w:rPr>
          <w:rFonts w:hint="eastAsia" w:eastAsia="仿宋_GB2312"/>
          <w:szCs w:val="32"/>
        </w:rPr>
        <w:t>基本支出具体预算构成如表1-</w:t>
      </w:r>
      <w:r>
        <w:rPr>
          <w:rFonts w:eastAsia="仿宋_GB2312"/>
          <w:szCs w:val="32"/>
        </w:rPr>
        <w:t>5</w:t>
      </w:r>
      <w:r>
        <w:rPr>
          <w:rFonts w:hint="eastAsia" w:eastAsia="仿宋_GB2312"/>
          <w:szCs w:val="32"/>
        </w:rPr>
        <w:t>所示。</w:t>
      </w:r>
    </w:p>
    <w:p>
      <w:pPr>
        <w:widowControl w:val="0"/>
        <w:spacing w:line="560" w:lineRule="exact"/>
        <w:ind w:firstLine="0" w:firstLineChars="0"/>
        <w:jc w:val="center"/>
        <w:rPr>
          <w:rFonts w:eastAsia="宋体" w:cs="Times New Roman"/>
          <w:b/>
          <w:sz w:val="24"/>
          <w:szCs w:val="32"/>
        </w:rPr>
      </w:pPr>
      <w:r>
        <w:rPr>
          <w:rFonts w:hint="eastAsia" w:eastAsia="宋体" w:cs="Times New Roman"/>
          <w:b/>
          <w:sz w:val="24"/>
          <w:szCs w:val="32"/>
        </w:rPr>
        <w:t>表1-5市文广旅体局2022年度部门基本支出预算构成（万元）</w:t>
      </w:r>
      <w:r>
        <w:rPr>
          <w:rStyle w:val="38"/>
          <w:rFonts w:eastAsia="宋体" w:cs="Times New Roman"/>
          <w:b/>
          <w:sz w:val="24"/>
          <w:szCs w:val="32"/>
        </w:rPr>
        <w:footnoteReference w:id="3"/>
      </w:r>
    </w:p>
    <w:tbl>
      <w:tblPr>
        <w:tblStyle w:val="3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97"/>
        <w:gridCol w:w="4110"/>
        <w:gridCol w:w="1253"/>
        <w:gridCol w:w="1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3717" w:type="pct"/>
            <w:gridSpan w:val="2"/>
            <w:shd w:val="clear" w:color="auto" w:fill="auto"/>
            <w:vAlign w:val="center"/>
          </w:tcPr>
          <w:p>
            <w:pPr>
              <w:spacing w:line="240" w:lineRule="auto"/>
              <w:ind w:firstLine="0" w:firstLineChars="0"/>
              <w:jc w:val="center"/>
              <w:rPr>
                <w:rFonts w:cs="Times New Roman" w:eastAsiaTheme="minorEastAsia"/>
                <w:b/>
                <w:bCs/>
                <w:sz w:val="21"/>
                <w:szCs w:val="21"/>
              </w:rPr>
            </w:pPr>
            <w:r>
              <w:rPr>
                <w:rFonts w:hint="eastAsia" w:cs="Times New Roman" w:eastAsiaTheme="minorEastAsia"/>
                <w:b/>
                <w:bCs/>
                <w:sz w:val="21"/>
                <w:szCs w:val="21"/>
              </w:rPr>
              <w:t>支出科目</w:t>
            </w:r>
          </w:p>
        </w:tc>
        <w:tc>
          <w:tcPr>
            <w:tcW w:w="641" w:type="pct"/>
            <w:shd w:val="clear" w:color="auto" w:fill="auto"/>
            <w:vAlign w:val="center"/>
          </w:tcPr>
          <w:p>
            <w:pPr>
              <w:spacing w:line="240" w:lineRule="auto"/>
              <w:ind w:firstLine="0" w:firstLineChars="0"/>
              <w:jc w:val="center"/>
              <w:rPr>
                <w:rFonts w:cs="Times New Roman" w:eastAsiaTheme="minorEastAsia"/>
                <w:b/>
                <w:bCs/>
                <w:sz w:val="21"/>
                <w:szCs w:val="21"/>
              </w:rPr>
            </w:pPr>
            <w:r>
              <w:rPr>
                <w:rFonts w:hint="eastAsia" w:cs="Times New Roman" w:eastAsiaTheme="minorEastAsia"/>
                <w:b/>
                <w:bCs/>
                <w:sz w:val="21"/>
                <w:szCs w:val="21"/>
              </w:rPr>
              <w:t>基本支出预算数</w:t>
            </w:r>
          </w:p>
        </w:tc>
        <w:tc>
          <w:tcPr>
            <w:tcW w:w="641" w:type="pct"/>
            <w:shd w:val="clear" w:color="auto" w:fill="auto"/>
            <w:vAlign w:val="center"/>
          </w:tcPr>
          <w:p>
            <w:pPr>
              <w:tabs>
                <w:tab w:val="left" w:pos="450"/>
              </w:tabs>
              <w:spacing w:line="240" w:lineRule="auto"/>
              <w:ind w:firstLine="0" w:firstLineChars="0"/>
              <w:rPr>
                <w:rFonts w:cs="Times New Roman" w:eastAsiaTheme="minorEastAsia"/>
                <w:b/>
                <w:bCs/>
                <w:sz w:val="21"/>
                <w:szCs w:val="21"/>
              </w:rPr>
            </w:pPr>
            <w:r>
              <w:rPr>
                <w:rFonts w:hint="eastAsia" w:cs="Times New Roman" w:eastAsiaTheme="minorEastAsia"/>
                <w:b/>
                <w:bCs/>
                <w:sz w:val="21"/>
                <w:szCs w:val="21"/>
              </w:rPr>
              <w:t>基本支出决算数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17" w:type="pct"/>
            <w:gridSpan w:val="2"/>
            <w:shd w:val="clear" w:color="auto" w:fill="auto"/>
            <w:vAlign w:val="center"/>
          </w:tcPr>
          <w:p>
            <w:pPr>
              <w:spacing w:line="240" w:lineRule="auto"/>
              <w:ind w:firstLine="0" w:firstLineChars="0"/>
              <w:jc w:val="center"/>
              <w:rPr>
                <w:rFonts w:cs="Times New Roman" w:eastAsiaTheme="minorEastAsia"/>
                <w:b/>
                <w:bCs/>
                <w:sz w:val="21"/>
                <w:szCs w:val="21"/>
              </w:rPr>
            </w:pPr>
            <w:r>
              <w:rPr>
                <w:rFonts w:hint="eastAsia" w:cs="Times New Roman" w:eastAsiaTheme="minorEastAsia"/>
                <w:b/>
                <w:bCs/>
                <w:sz w:val="21"/>
                <w:szCs w:val="21"/>
              </w:rPr>
              <w:t>总计</w:t>
            </w:r>
          </w:p>
        </w:tc>
        <w:tc>
          <w:tcPr>
            <w:tcW w:w="641" w:type="pct"/>
            <w:shd w:val="clear" w:color="auto" w:fill="auto"/>
            <w:vAlign w:val="center"/>
          </w:tcPr>
          <w:p>
            <w:pPr>
              <w:spacing w:line="240" w:lineRule="auto"/>
              <w:ind w:firstLine="0" w:firstLineChars="0"/>
              <w:jc w:val="right"/>
              <w:rPr>
                <w:rFonts w:cs="Times New Roman" w:eastAsiaTheme="minorEastAsia"/>
                <w:b/>
                <w:bCs/>
                <w:sz w:val="21"/>
                <w:szCs w:val="21"/>
              </w:rPr>
            </w:pPr>
            <w:r>
              <w:rPr>
                <w:rFonts w:hint="eastAsia" w:cs="Times New Roman" w:eastAsiaTheme="minorEastAsia"/>
                <w:b/>
                <w:bCs/>
                <w:sz w:val="21"/>
                <w:szCs w:val="21"/>
              </w:rPr>
              <w:t>5,380.91</w:t>
            </w:r>
          </w:p>
        </w:tc>
        <w:tc>
          <w:tcPr>
            <w:tcW w:w="641" w:type="pct"/>
            <w:shd w:val="clear" w:color="auto" w:fill="auto"/>
            <w:vAlign w:val="center"/>
          </w:tcPr>
          <w:p>
            <w:pPr>
              <w:spacing w:line="240" w:lineRule="auto"/>
              <w:ind w:firstLine="0" w:firstLineChars="0"/>
              <w:jc w:val="right"/>
              <w:rPr>
                <w:rFonts w:cs="Times New Roman" w:eastAsiaTheme="minorEastAsia"/>
                <w:b/>
                <w:bCs/>
                <w:sz w:val="21"/>
                <w:szCs w:val="21"/>
              </w:rPr>
            </w:pPr>
            <w:r>
              <w:rPr>
                <w:rFonts w:hint="eastAsia" w:cs="Times New Roman" w:eastAsiaTheme="minorEastAsia"/>
                <w:b/>
                <w:bCs/>
                <w:sz w:val="21"/>
                <w:szCs w:val="21"/>
                <w:lang w:bidi="ar"/>
              </w:rPr>
              <w:t>6,718.03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540" w:type="pct"/>
            <w:vMerge w:val="restart"/>
            <w:shd w:val="clear" w:color="auto" w:fill="auto"/>
            <w:vAlign w:val="center"/>
          </w:tcPr>
          <w:p>
            <w:pPr>
              <w:spacing w:line="240" w:lineRule="auto"/>
              <w:ind w:firstLine="0" w:firstLineChars="0"/>
              <w:jc w:val="center"/>
              <w:rPr>
                <w:rFonts w:cs="Times New Roman" w:eastAsiaTheme="minorEastAsia"/>
                <w:b/>
                <w:bCs/>
                <w:sz w:val="21"/>
                <w:szCs w:val="21"/>
              </w:rPr>
            </w:pPr>
            <w:r>
              <w:rPr>
                <w:rFonts w:hint="eastAsia" w:cs="Times New Roman" w:eastAsiaTheme="minorEastAsia"/>
                <w:b/>
                <w:bCs/>
                <w:sz w:val="21"/>
                <w:szCs w:val="21"/>
              </w:rPr>
              <w:t>一般公共服务支出</w:t>
            </w:r>
          </w:p>
        </w:tc>
        <w:tc>
          <w:tcPr>
            <w:tcW w:w="2177" w:type="pct"/>
            <w:shd w:val="clear" w:color="auto" w:fill="auto"/>
            <w:vAlign w:val="center"/>
          </w:tcPr>
          <w:p>
            <w:pPr>
              <w:spacing w:line="240" w:lineRule="auto"/>
              <w:ind w:firstLine="0" w:firstLineChars="0"/>
              <w:rPr>
                <w:rFonts w:cs="Times New Roman" w:eastAsiaTheme="minorEastAsia"/>
                <w:b/>
                <w:bCs/>
                <w:sz w:val="21"/>
                <w:szCs w:val="21"/>
              </w:rPr>
            </w:pPr>
            <w:r>
              <w:rPr>
                <w:rFonts w:hint="eastAsia" w:cs="Times New Roman" w:eastAsiaTheme="minorEastAsia"/>
                <w:b/>
                <w:bCs/>
                <w:sz w:val="21"/>
                <w:szCs w:val="21"/>
              </w:rPr>
              <w:t>小计</w:t>
            </w:r>
          </w:p>
        </w:tc>
        <w:tc>
          <w:tcPr>
            <w:tcW w:w="641" w:type="pct"/>
            <w:shd w:val="clear" w:color="auto" w:fill="auto"/>
            <w:vAlign w:val="center"/>
          </w:tcPr>
          <w:p>
            <w:pPr>
              <w:spacing w:line="240" w:lineRule="auto"/>
              <w:ind w:firstLine="0" w:firstLineChars="0"/>
              <w:jc w:val="right"/>
              <w:rPr>
                <w:rFonts w:cs="Times New Roman" w:eastAsiaTheme="minorEastAsia"/>
                <w:b/>
                <w:bCs/>
                <w:sz w:val="21"/>
                <w:szCs w:val="21"/>
              </w:rPr>
            </w:pPr>
            <w:r>
              <w:rPr>
                <w:rFonts w:hint="eastAsia" w:cs="Times New Roman" w:eastAsiaTheme="minorEastAsia"/>
                <w:b/>
                <w:bCs/>
                <w:sz w:val="21"/>
                <w:szCs w:val="21"/>
              </w:rPr>
              <w:t>819.12</w:t>
            </w:r>
          </w:p>
        </w:tc>
        <w:tc>
          <w:tcPr>
            <w:tcW w:w="641" w:type="pct"/>
            <w:shd w:val="clear" w:color="auto" w:fill="auto"/>
            <w:vAlign w:val="center"/>
          </w:tcPr>
          <w:p>
            <w:pPr>
              <w:spacing w:line="240" w:lineRule="auto"/>
              <w:ind w:firstLine="0" w:firstLineChars="0"/>
              <w:jc w:val="right"/>
              <w:rPr>
                <w:rFonts w:cs="Times New Roman" w:eastAsiaTheme="minorEastAsia"/>
                <w:b/>
                <w:bCs/>
                <w:sz w:val="21"/>
                <w:szCs w:val="21"/>
              </w:rPr>
            </w:pPr>
            <w:r>
              <w:rPr>
                <w:rFonts w:hint="eastAsia" w:cs="Times New Roman" w:eastAsiaTheme="minorEastAsia"/>
                <w:b/>
                <w:bCs/>
                <w:sz w:val="21"/>
                <w:szCs w:val="21"/>
              </w:rPr>
              <w:t>988.29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540" w:type="pct"/>
            <w:vMerge w:val="continue"/>
            <w:shd w:val="clear" w:color="auto" w:fill="auto"/>
            <w:vAlign w:val="center"/>
          </w:tcPr>
          <w:p>
            <w:pPr>
              <w:spacing w:line="240" w:lineRule="auto"/>
              <w:ind w:firstLine="0" w:firstLineChars="0"/>
              <w:rPr>
                <w:rFonts w:cs="Times New Roman" w:eastAsiaTheme="minorEastAsia"/>
                <w:b/>
                <w:bCs/>
                <w:sz w:val="21"/>
                <w:szCs w:val="21"/>
              </w:rPr>
            </w:pPr>
          </w:p>
        </w:tc>
        <w:tc>
          <w:tcPr>
            <w:tcW w:w="2177" w:type="pct"/>
            <w:shd w:val="clear" w:color="auto" w:fill="auto"/>
            <w:vAlign w:val="center"/>
          </w:tcPr>
          <w:p>
            <w:pPr>
              <w:spacing w:line="240" w:lineRule="auto"/>
              <w:ind w:firstLine="0" w:firstLineChars="0"/>
              <w:rPr>
                <w:rFonts w:cs="Times New Roman" w:eastAsiaTheme="minorEastAsia"/>
                <w:sz w:val="21"/>
                <w:szCs w:val="21"/>
              </w:rPr>
            </w:pPr>
            <w:r>
              <w:rPr>
                <w:rFonts w:hint="eastAsia" w:cs="Times New Roman" w:eastAsiaTheme="minorEastAsia"/>
                <w:sz w:val="21"/>
                <w:szCs w:val="21"/>
              </w:rPr>
              <w:t>其他一般公共服务支出</w:t>
            </w:r>
          </w:p>
        </w:tc>
        <w:tc>
          <w:tcPr>
            <w:tcW w:w="641" w:type="pct"/>
            <w:shd w:val="clear" w:color="auto" w:fill="auto"/>
            <w:vAlign w:val="center"/>
          </w:tcPr>
          <w:p>
            <w:pPr>
              <w:spacing w:line="240" w:lineRule="auto"/>
              <w:ind w:firstLine="0" w:firstLineChars="0"/>
              <w:jc w:val="right"/>
              <w:rPr>
                <w:rFonts w:cs="Times New Roman" w:eastAsiaTheme="minorEastAsia"/>
                <w:sz w:val="21"/>
                <w:szCs w:val="21"/>
              </w:rPr>
            </w:pPr>
            <w:r>
              <w:rPr>
                <w:rFonts w:hint="eastAsia" w:cs="Times New Roman" w:eastAsiaTheme="minorEastAsia"/>
                <w:sz w:val="21"/>
                <w:szCs w:val="21"/>
              </w:rPr>
              <w:t>819.12</w:t>
            </w:r>
          </w:p>
        </w:tc>
        <w:tc>
          <w:tcPr>
            <w:tcW w:w="641" w:type="pct"/>
            <w:shd w:val="clear" w:color="auto" w:fill="auto"/>
            <w:vAlign w:val="center"/>
          </w:tcPr>
          <w:p>
            <w:pPr>
              <w:spacing w:line="240" w:lineRule="auto"/>
              <w:ind w:firstLine="0" w:firstLineChars="0"/>
              <w:jc w:val="right"/>
              <w:rPr>
                <w:rFonts w:cs="Times New Roman" w:eastAsiaTheme="minorEastAsia"/>
                <w:sz w:val="21"/>
                <w:szCs w:val="21"/>
              </w:rPr>
            </w:pPr>
            <w:r>
              <w:rPr>
                <w:rFonts w:hint="eastAsia" w:cs="Times New Roman" w:eastAsiaTheme="minorEastAsia"/>
                <w:b/>
                <w:bCs/>
                <w:sz w:val="21"/>
                <w:szCs w:val="21"/>
              </w:rPr>
              <w:t>971.93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540" w:type="pct"/>
            <w:vMerge w:val="restart"/>
            <w:shd w:val="clear" w:color="auto" w:fill="auto"/>
            <w:vAlign w:val="center"/>
          </w:tcPr>
          <w:p>
            <w:pPr>
              <w:spacing w:line="240" w:lineRule="auto"/>
              <w:ind w:firstLine="0" w:firstLineChars="0"/>
              <w:jc w:val="center"/>
              <w:rPr>
                <w:rFonts w:cs="Times New Roman" w:eastAsiaTheme="minorEastAsia"/>
                <w:b/>
                <w:bCs/>
                <w:sz w:val="21"/>
                <w:szCs w:val="21"/>
              </w:rPr>
            </w:pPr>
            <w:r>
              <w:rPr>
                <w:rFonts w:hint="eastAsia" w:cs="Times New Roman" w:eastAsiaTheme="minorEastAsia"/>
                <w:b/>
                <w:bCs/>
                <w:sz w:val="21"/>
                <w:szCs w:val="21"/>
              </w:rPr>
              <w:t>文化旅游体育与传媒支出</w:t>
            </w:r>
          </w:p>
        </w:tc>
        <w:tc>
          <w:tcPr>
            <w:tcW w:w="2177" w:type="pct"/>
            <w:shd w:val="clear" w:color="auto" w:fill="auto"/>
            <w:vAlign w:val="center"/>
          </w:tcPr>
          <w:p>
            <w:pPr>
              <w:spacing w:line="240" w:lineRule="auto"/>
              <w:ind w:firstLine="0" w:firstLineChars="0"/>
              <w:rPr>
                <w:rFonts w:cs="Times New Roman" w:eastAsiaTheme="minorEastAsia"/>
                <w:b/>
                <w:bCs/>
                <w:sz w:val="21"/>
                <w:szCs w:val="21"/>
              </w:rPr>
            </w:pPr>
            <w:r>
              <w:rPr>
                <w:rFonts w:hint="eastAsia" w:cs="Times New Roman" w:eastAsiaTheme="minorEastAsia"/>
                <w:b/>
                <w:bCs/>
                <w:sz w:val="21"/>
                <w:szCs w:val="21"/>
              </w:rPr>
              <w:t>小计</w:t>
            </w:r>
          </w:p>
        </w:tc>
        <w:tc>
          <w:tcPr>
            <w:tcW w:w="641" w:type="pct"/>
            <w:shd w:val="clear" w:color="auto" w:fill="auto"/>
            <w:vAlign w:val="center"/>
          </w:tcPr>
          <w:p>
            <w:pPr>
              <w:spacing w:line="240" w:lineRule="auto"/>
              <w:ind w:firstLine="0" w:firstLineChars="0"/>
              <w:jc w:val="right"/>
              <w:rPr>
                <w:rFonts w:cs="Times New Roman" w:eastAsiaTheme="minorEastAsia"/>
                <w:b/>
                <w:bCs/>
                <w:sz w:val="21"/>
                <w:szCs w:val="21"/>
              </w:rPr>
            </w:pPr>
            <w:r>
              <w:rPr>
                <w:rFonts w:hint="eastAsia" w:cs="Times New Roman" w:eastAsiaTheme="minorEastAsia"/>
                <w:b/>
                <w:bCs/>
                <w:sz w:val="21"/>
                <w:szCs w:val="21"/>
              </w:rPr>
              <w:t>3,369.82</w:t>
            </w:r>
          </w:p>
        </w:tc>
        <w:tc>
          <w:tcPr>
            <w:tcW w:w="641" w:type="pct"/>
            <w:shd w:val="clear" w:color="auto" w:fill="auto"/>
            <w:vAlign w:val="center"/>
          </w:tcPr>
          <w:p>
            <w:pPr>
              <w:spacing w:line="240" w:lineRule="auto"/>
              <w:ind w:firstLine="0" w:firstLineChars="0"/>
              <w:jc w:val="right"/>
              <w:rPr>
                <w:rFonts w:cs="Times New Roman" w:eastAsiaTheme="minorEastAsia"/>
                <w:b/>
                <w:bCs/>
                <w:sz w:val="21"/>
                <w:szCs w:val="21"/>
              </w:rPr>
            </w:pPr>
            <w:r>
              <w:rPr>
                <w:rFonts w:hint="eastAsia" w:cs="Times New Roman" w:eastAsiaTheme="minorEastAsia"/>
                <w:b/>
                <w:bCs/>
                <w:sz w:val="21"/>
                <w:szCs w:val="21"/>
              </w:rPr>
              <w:t>3729.85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540" w:type="pct"/>
            <w:vMerge w:val="continue"/>
            <w:shd w:val="clear" w:color="auto" w:fill="auto"/>
            <w:vAlign w:val="center"/>
          </w:tcPr>
          <w:p>
            <w:pPr>
              <w:spacing w:line="240" w:lineRule="auto"/>
              <w:ind w:firstLine="0" w:firstLineChars="0"/>
              <w:jc w:val="center"/>
              <w:rPr>
                <w:rFonts w:cs="Times New Roman" w:eastAsiaTheme="minorEastAsia"/>
                <w:b/>
                <w:bCs/>
                <w:sz w:val="21"/>
                <w:szCs w:val="21"/>
              </w:rPr>
            </w:pPr>
          </w:p>
        </w:tc>
        <w:tc>
          <w:tcPr>
            <w:tcW w:w="2177" w:type="pct"/>
            <w:shd w:val="clear" w:color="auto" w:fill="auto"/>
            <w:vAlign w:val="center"/>
          </w:tcPr>
          <w:p>
            <w:pPr>
              <w:spacing w:line="240" w:lineRule="auto"/>
              <w:ind w:firstLine="0" w:firstLineChars="0"/>
              <w:rPr>
                <w:rFonts w:cs="Times New Roman" w:eastAsiaTheme="minorEastAsia"/>
                <w:sz w:val="21"/>
                <w:szCs w:val="21"/>
              </w:rPr>
            </w:pPr>
            <w:r>
              <w:rPr>
                <w:rFonts w:hint="eastAsia" w:cs="Times New Roman" w:eastAsiaTheme="minorEastAsia"/>
                <w:sz w:val="21"/>
                <w:szCs w:val="21"/>
              </w:rPr>
              <w:t>文化和旅游</w:t>
            </w:r>
          </w:p>
        </w:tc>
        <w:tc>
          <w:tcPr>
            <w:tcW w:w="641" w:type="pct"/>
            <w:shd w:val="clear" w:color="auto" w:fill="auto"/>
            <w:vAlign w:val="center"/>
          </w:tcPr>
          <w:p>
            <w:pPr>
              <w:spacing w:line="240" w:lineRule="auto"/>
              <w:ind w:firstLine="0" w:firstLineChars="0"/>
              <w:jc w:val="right"/>
              <w:rPr>
                <w:rFonts w:cs="Times New Roman" w:eastAsiaTheme="minorEastAsia"/>
                <w:sz w:val="21"/>
                <w:szCs w:val="21"/>
              </w:rPr>
            </w:pPr>
            <w:r>
              <w:rPr>
                <w:rFonts w:hint="eastAsia" w:cs="Times New Roman" w:eastAsiaTheme="minorEastAsia"/>
                <w:sz w:val="21"/>
                <w:szCs w:val="21"/>
              </w:rPr>
              <w:t>2157.55</w:t>
            </w:r>
          </w:p>
        </w:tc>
        <w:tc>
          <w:tcPr>
            <w:tcW w:w="641" w:type="pct"/>
            <w:shd w:val="clear" w:color="auto" w:fill="auto"/>
            <w:vAlign w:val="center"/>
          </w:tcPr>
          <w:p>
            <w:pPr>
              <w:spacing w:line="240" w:lineRule="auto"/>
              <w:ind w:firstLine="0" w:firstLineChars="0"/>
              <w:jc w:val="right"/>
              <w:rPr>
                <w:rFonts w:cs="Times New Roman" w:eastAsiaTheme="minorEastAsia"/>
                <w:sz w:val="21"/>
                <w:szCs w:val="21"/>
              </w:rPr>
            </w:pPr>
            <w:r>
              <w:rPr>
                <w:rFonts w:hint="eastAsia" w:cs="Times New Roman" w:eastAsiaTheme="minorEastAsia"/>
                <w:sz w:val="21"/>
                <w:szCs w:val="21"/>
              </w:rPr>
              <w:t>2620.11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540" w:type="pct"/>
            <w:vMerge w:val="continue"/>
            <w:shd w:val="clear" w:color="auto" w:fill="auto"/>
            <w:vAlign w:val="center"/>
          </w:tcPr>
          <w:p>
            <w:pPr>
              <w:spacing w:line="240" w:lineRule="auto"/>
              <w:ind w:firstLine="0" w:firstLineChars="0"/>
              <w:jc w:val="center"/>
              <w:rPr>
                <w:rFonts w:cs="Times New Roman" w:eastAsiaTheme="minorEastAsia"/>
                <w:b/>
                <w:bCs/>
                <w:sz w:val="21"/>
                <w:szCs w:val="21"/>
              </w:rPr>
            </w:pPr>
          </w:p>
        </w:tc>
        <w:tc>
          <w:tcPr>
            <w:tcW w:w="2177" w:type="pct"/>
            <w:shd w:val="clear" w:color="auto" w:fill="auto"/>
            <w:vAlign w:val="center"/>
          </w:tcPr>
          <w:p>
            <w:pPr>
              <w:spacing w:line="240" w:lineRule="auto"/>
              <w:ind w:firstLine="0" w:firstLineChars="0"/>
              <w:rPr>
                <w:rFonts w:cs="Times New Roman" w:eastAsiaTheme="minorEastAsia"/>
                <w:sz w:val="21"/>
                <w:szCs w:val="21"/>
              </w:rPr>
            </w:pPr>
            <w:r>
              <w:rPr>
                <w:rFonts w:hint="eastAsia" w:cs="Times New Roman" w:eastAsiaTheme="minorEastAsia"/>
                <w:sz w:val="21"/>
                <w:szCs w:val="21"/>
              </w:rPr>
              <w:t>文物</w:t>
            </w:r>
          </w:p>
        </w:tc>
        <w:tc>
          <w:tcPr>
            <w:tcW w:w="641" w:type="pct"/>
            <w:shd w:val="clear" w:color="auto" w:fill="auto"/>
            <w:vAlign w:val="center"/>
          </w:tcPr>
          <w:p>
            <w:pPr>
              <w:spacing w:line="240" w:lineRule="auto"/>
              <w:ind w:firstLine="0" w:firstLineChars="0"/>
              <w:jc w:val="right"/>
              <w:rPr>
                <w:rFonts w:cs="Times New Roman" w:eastAsiaTheme="minorEastAsia"/>
                <w:sz w:val="21"/>
                <w:szCs w:val="21"/>
              </w:rPr>
            </w:pPr>
            <w:r>
              <w:rPr>
                <w:rFonts w:hint="eastAsia" w:cs="Times New Roman" w:eastAsiaTheme="minorEastAsia"/>
                <w:sz w:val="21"/>
                <w:szCs w:val="21"/>
              </w:rPr>
              <w:t>632.67</w:t>
            </w:r>
          </w:p>
        </w:tc>
        <w:tc>
          <w:tcPr>
            <w:tcW w:w="641" w:type="pct"/>
            <w:shd w:val="clear" w:color="auto" w:fill="auto"/>
            <w:vAlign w:val="center"/>
          </w:tcPr>
          <w:p>
            <w:pPr>
              <w:spacing w:line="240" w:lineRule="auto"/>
              <w:ind w:firstLine="0" w:firstLineChars="0"/>
              <w:jc w:val="right"/>
              <w:rPr>
                <w:rFonts w:cs="Times New Roman" w:eastAsiaTheme="minorEastAsia"/>
                <w:sz w:val="21"/>
                <w:szCs w:val="21"/>
              </w:rPr>
            </w:pPr>
            <w:r>
              <w:rPr>
                <w:rFonts w:hint="eastAsia" w:cs="Times New Roman" w:eastAsiaTheme="minorEastAsia"/>
                <w:sz w:val="21"/>
                <w:szCs w:val="21"/>
              </w:rPr>
              <w:t>546.50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540" w:type="pct"/>
            <w:vMerge w:val="continue"/>
            <w:shd w:val="clear" w:color="auto" w:fill="auto"/>
            <w:vAlign w:val="center"/>
          </w:tcPr>
          <w:p>
            <w:pPr>
              <w:spacing w:line="240" w:lineRule="auto"/>
              <w:ind w:firstLine="0" w:firstLineChars="0"/>
              <w:jc w:val="center"/>
              <w:rPr>
                <w:rFonts w:cs="Times New Roman" w:eastAsiaTheme="minorEastAsia"/>
                <w:b/>
                <w:bCs/>
                <w:sz w:val="21"/>
                <w:szCs w:val="21"/>
              </w:rPr>
            </w:pPr>
          </w:p>
        </w:tc>
        <w:tc>
          <w:tcPr>
            <w:tcW w:w="2177" w:type="pct"/>
            <w:shd w:val="clear" w:color="auto" w:fill="auto"/>
            <w:vAlign w:val="center"/>
          </w:tcPr>
          <w:p>
            <w:pPr>
              <w:spacing w:line="240" w:lineRule="auto"/>
              <w:ind w:firstLine="0" w:firstLineChars="0"/>
              <w:rPr>
                <w:rFonts w:cs="Times New Roman" w:eastAsiaTheme="minorEastAsia"/>
                <w:sz w:val="21"/>
                <w:szCs w:val="21"/>
              </w:rPr>
            </w:pPr>
            <w:r>
              <w:rPr>
                <w:rFonts w:hint="eastAsia" w:cs="Times New Roman" w:eastAsiaTheme="minorEastAsia"/>
                <w:sz w:val="21"/>
                <w:szCs w:val="21"/>
              </w:rPr>
              <w:t>体育</w:t>
            </w:r>
          </w:p>
        </w:tc>
        <w:tc>
          <w:tcPr>
            <w:tcW w:w="641" w:type="pct"/>
            <w:shd w:val="clear" w:color="auto" w:fill="auto"/>
            <w:vAlign w:val="center"/>
          </w:tcPr>
          <w:p>
            <w:pPr>
              <w:spacing w:line="240" w:lineRule="auto"/>
              <w:ind w:firstLine="0" w:firstLineChars="0"/>
              <w:jc w:val="right"/>
              <w:rPr>
                <w:rFonts w:cs="Times New Roman" w:eastAsiaTheme="minorEastAsia"/>
                <w:sz w:val="21"/>
                <w:szCs w:val="21"/>
              </w:rPr>
            </w:pPr>
            <w:r>
              <w:rPr>
                <w:rFonts w:hint="eastAsia" w:cs="Times New Roman" w:eastAsiaTheme="minorEastAsia"/>
                <w:sz w:val="21"/>
                <w:szCs w:val="21"/>
              </w:rPr>
              <w:t>579.6</w:t>
            </w:r>
          </w:p>
        </w:tc>
        <w:tc>
          <w:tcPr>
            <w:tcW w:w="641" w:type="pct"/>
            <w:shd w:val="clear" w:color="auto" w:fill="auto"/>
            <w:vAlign w:val="center"/>
          </w:tcPr>
          <w:p>
            <w:pPr>
              <w:spacing w:line="240" w:lineRule="auto"/>
              <w:ind w:firstLine="0" w:firstLineChars="0"/>
              <w:jc w:val="right"/>
              <w:rPr>
                <w:rFonts w:cs="Times New Roman" w:eastAsiaTheme="minorEastAsia"/>
                <w:sz w:val="21"/>
                <w:szCs w:val="21"/>
              </w:rPr>
            </w:pPr>
            <w:r>
              <w:rPr>
                <w:rFonts w:hint="eastAsia" w:cs="Times New Roman" w:eastAsiaTheme="minorEastAsia"/>
                <w:sz w:val="21"/>
                <w:szCs w:val="21"/>
              </w:rPr>
              <w:t>563.24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540" w:type="pct"/>
            <w:vMerge w:val="restart"/>
            <w:shd w:val="clear" w:color="auto" w:fill="auto"/>
            <w:vAlign w:val="center"/>
          </w:tcPr>
          <w:p>
            <w:pPr>
              <w:spacing w:line="240" w:lineRule="auto"/>
              <w:ind w:firstLine="0" w:firstLineChars="0"/>
              <w:jc w:val="center"/>
              <w:rPr>
                <w:rFonts w:cs="Times New Roman" w:eastAsiaTheme="minorEastAsia"/>
                <w:b/>
                <w:bCs/>
                <w:sz w:val="21"/>
                <w:szCs w:val="21"/>
              </w:rPr>
            </w:pPr>
            <w:r>
              <w:rPr>
                <w:rFonts w:hint="eastAsia" w:cs="Times New Roman" w:eastAsiaTheme="minorEastAsia"/>
                <w:b/>
                <w:bCs/>
                <w:sz w:val="21"/>
                <w:szCs w:val="21"/>
              </w:rPr>
              <w:t>社会保障和就业支出</w:t>
            </w:r>
          </w:p>
        </w:tc>
        <w:tc>
          <w:tcPr>
            <w:tcW w:w="2177" w:type="pct"/>
            <w:shd w:val="clear" w:color="auto" w:fill="auto"/>
            <w:vAlign w:val="center"/>
          </w:tcPr>
          <w:p>
            <w:pPr>
              <w:spacing w:line="240" w:lineRule="auto"/>
              <w:ind w:firstLine="0" w:firstLineChars="0"/>
              <w:rPr>
                <w:rFonts w:cs="Times New Roman" w:eastAsiaTheme="minorEastAsia"/>
                <w:b/>
                <w:bCs/>
                <w:sz w:val="21"/>
                <w:szCs w:val="21"/>
              </w:rPr>
            </w:pPr>
            <w:r>
              <w:rPr>
                <w:rFonts w:hint="eastAsia" w:cs="Times New Roman" w:eastAsiaTheme="minorEastAsia"/>
                <w:b/>
                <w:bCs/>
                <w:sz w:val="21"/>
                <w:szCs w:val="21"/>
              </w:rPr>
              <w:t>小计</w:t>
            </w:r>
          </w:p>
        </w:tc>
        <w:tc>
          <w:tcPr>
            <w:tcW w:w="641" w:type="pct"/>
            <w:shd w:val="clear" w:color="auto" w:fill="auto"/>
            <w:vAlign w:val="center"/>
          </w:tcPr>
          <w:p>
            <w:pPr>
              <w:spacing w:line="240" w:lineRule="auto"/>
              <w:ind w:firstLine="0" w:firstLineChars="0"/>
              <w:jc w:val="right"/>
              <w:rPr>
                <w:rFonts w:cs="Times New Roman" w:eastAsiaTheme="minorEastAsia"/>
                <w:b/>
                <w:bCs/>
                <w:sz w:val="21"/>
                <w:szCs w:val="21"/>
              </w:rPr>
            </w:pPr>
            <w:r>
              <w:rPr>
                <w:rFonts w:hint="eastAsia" w:cs="Times New Roman" w:eastAsiaTheme="minorEastAsia"/>
                <w:b/>
                <w:bCs/>
                <w:sz w:val="21"/>
                <w:szCs w:val="21"/>
              </w:rPr>
              <w:t>625.22</w:t>
            </w:r>
          </w:p>
        </w:tc>
        <w:tc>
          <w:tcPr>
            <w:tcW w:w="641" w:type="pct"/>
            <w:shd w:val="clear" w:color="auto" w:fill="auto"/>
            <w:vAlign w:val="center"/>
          </w:tcPr>
          <w:p>
            <w:pPr>
              <w:spacing w:line="240" w:lineRule="auto"/>
              <w:ind w:firstLine="0" w:firstLineChars="0"/>
              <w:jc w:val="right"/>
              <w:rPr>
                <w:rFonts w:cs="Times New Roman" w:eastAsiaTheme="minorEastAsia"/>
                <w:b/>
                <w:bCs/>
                <w:sz w:val="21"/>
                <w:szCs w:val="21"/>
              </w:rPr>
            </w:pPr>
            <w:r>
              <w:rPr>
                <w:rFonts w:hint="eastAsia" w:cs="Times New Roman" w:eastAsiaTheme="minorEastAsia"/>
                <w:b/>
                <w:bCs/>
                <w:sz w:val="21"/>
                <w:szCs w:val="21"/>
              </w:rPr>
              <w:t>1319.04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540" w:type="pct"/>
            <w:vMerge w:val="continue"/>
            <w:shd w:val="clear" w:color="auto" w:fill="auto"/>
            <w:vAlign w:val="center"/>
          </w:tcPr>
          <w:p>
            <w:pPr>
              <w:spacing w:line="240" w:lineRule="auto"/>
              <w:ind w:firstLine="0" w:firstLineChars="0"/>
              <w:rPr>
                <w:rFonts w:cs="Times New Roman" w:eastAsiaTheme="minorEastAsia"/>
                <w:b/>
                <w:bCs/>
                <w:sz w:val="21"/>
                <w:szCs w:val="21"/>
              </w:rPr>
            </w:pPr>
          </w:p>
        </w:tc>
        <w:tc>
          <w:tcPr>
            <w:tcW w:w="2177" w:type="pct"/>
            <w:shd w:val="clear" w:color="auto" w:fill="auto"/>
            <w:vAlign w:val="center"/>
          </w:tcPr>
          <w:p>
            <w:pPr>
              <w:spacing w:line="240" w:lineRule="auto"/>
              <w:ind w:firstLine="0" w:firstLineChars="0"/>
              <w:rPr>
                <w:rFonts w:cs="Times New Roman" w:eastAsiaTheme="minorEastAsia"/>
                <w:sz w:val="21"/>
                <w:szCs w:val="21"/>
              </w:rPr>
            </w:pPr>
            <w:r>
              <w:rPr>
                <w:rFonts w:hint="eastAsia" w:cs="Times New Roman" w:eastAsiaTheme="minorEastAsia"/>
                <w:sz w:val="21"/>
                <w:szCs w:val="21"/>
              </w:rPr>
              <w:t>行政事业单位养老支出</w:t>
            </w:r>
          </w:p>
        </w:tc>
        <w:tc>
          <w:tcPr>
            <w:tcW w:w="641" w:type="pct"/>
            <w:shd w:val="clear" w:color="auto" w:fill="auto"/>
            <w:vAlign w:val="center"/>
          </w:tcPr>
          <w:p>
            <w:pPr>
              <w:spacing w:line="240" w:lineRule="auto"/>
              <w:ind w:firstLine="0" w:firstLineChars="0"/>
              <w:jc w:val="right"/>
              <w:rPr>
                <w:rFonts w:cs="Times New Roman" w:eastAsiaTheme="minorEastAsia"/>
                <w:sz w:val="21"/>
                <w:szCs w:val="21"/>
              </w:rPr>
            </w:pPr>
            <w:r>
              <w:rPr>
                <w:rFonts w:hint="eastAsia" w:cs="Times New Roman" w:eastAsiaTheme="minorEastAsia"/>
                <w:sz w:val="21"/>
                <w:szCs w:val="21"/>
              </w:rPr>
              <w:t>625</w:t>
            </w:r>
          </w:p>
        </w:tc>
        <w:tc>
          <w:tcPr>
            <w:tcW w:w="641" w:type="pct"/>
            <w:shd w:val="clear" w:color="auto" w:fill="auto"/>
            <w:vAlign w:val="center"/>
          </w:tcPr>
          <w:p>
            <w:pPr>
              <w:spacing w:line="240" w:lineRule="auto"/>
              <w:ind w:firstLine="0" w:firstLineChars="0"/>
              <w:jc w:val="right"/>
              <w:rPr>
                <w:rFonts w:cs="Times New Roman" w:eastAsiaTheme="minorEastAsia"/>
                <w:sz w:val="21"/>
                <w:szCs w:val="21"/>
              </w:rPr>
            </w:pPr>
            <w:r>
              <w:rPr>
                <w:rFonts w:hint="eastAsia" w:cs="Times New Roman" w:eastAsiaTheme="minorEastAsia"/>
                <w:sz w:val="21"/>
                <w:szCs w:val="21"/>
              </w:rPr>
              <w:t>1173.60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540" w:type="pct"/>
            <w:vMerge w:val="continue"/>
            <w:shd w:val="clear" w:color="auto" w:fill="auto"/>
            <w:vAlign w:val="center"/>
          </w:tcPr>
          <w:p>
            <w:pPr>
              <w:spacing w:line="240" w:lineRule="auto"/>
              <w:ind w:firstLine="0" w:firstLineChars="0"/>
              <w:rPr>
                <w:rFonts w:cs="Times New Roman" w:eastAsiaTheme="minorEastAsia"/>
                <w:b/>
                <w:bCs/>
                <w:sz w:val="21"/>
                <w:szCs w:val="21"/>
              </w:rPr>
            </w:pPr>
          </w:p>
        </w:tc>
        <w:tc>
          <w:tcPr>
            <w:tcW w:w="2177" w:type="pct"/>
            <w:shd w:val="clear" w:color="auto" w:fill="auto"/>
            <w:vAlign w:val="center"/>
          </w:tcPr>
          <w:p>
            <w:pPr>
              <w:spacing w:line="240" w:lineRule="auto"/>
              <w:ind w:firstLine="0" w:firstLineChars="0"/>
              <w:rPr>
                <w:rFonts w:cs="Times New Roman" w:eastAsiaTheme="minorEastAsia"/>
                <w:sz w:val="21"/>
                <w:szCs w:val="21"/>
              </w:rPr>
            </w:pPr>
            <w:r>
              <w:rPr>
                <w:rFonts w:hint="eastAsia" w:cs="Times New Roman" w:eastAsiaTheme="minorEastAsia"/>
                <w:sz w:val="21"/>
                <w:szCs w:val="21"/>
              </w:rPr>
              <w:t>其他社会保障和就业支出</w:t>
            </w:r>
          </w:p>
        </w:tc>
        <w:tc>
          <w:tcPr>
            <w:tcW w:w="641" w:type="pct"/>
            <w:shd w:val="clear" w:color="auto" w:fill="auto"/>
            <w:vAlign w:val="center"/>
          </w:tcPr>
          <w:p>
            <w:pPr>
              <w:spacing w:line="240" w:lineRule="auto"/>
              <w:ind w:firstLine="0" w:firstLineChars="0"/>
              <w:jc w:val="right"/>
              <w:rPr>
                <w:rFonts w:cs="Times New Roman" w:eastAsiaTheme="minorEastAsia"/>
                <w:sz w:val="21"/>
                <w:szCs w:val="21"/>
              </w:rPr>
            </w:pPr>
            <w:r>
              <w:rPr>
                <w:rFonts w:hint="eastAsia" w:cs="Times New Roman" w:eastAsiaTheme="minorEastAsia"/>
                <w:sz w:val="21"/>
                <w:szCs w:val="21"/>
              </w:rPr>
              <w:t>0.22</w:t>
            </w:r>
          </w:p>
        </w:tc>
        <w:tc>
          <w:tcPr>
            <w:tcW w:w="641" w:type="pct"/>
            <w:shd w:val="clear" w:color="auto" w:fill="auto"/>
            <w:vAlign w:val="center"/>
          </w:tcPr>
          <w:p>
            <w:pPr>
              <w:spacing w:line="240" w:lineRule="auto"/>
              <w:ind w:firstLine="0" w:firstLineChars="0"/>
              <w:jc w:val="right"/>
              <w:rPr>
                <w:rFonts w:cs="Times New Roman" w:eastAsiaTheme="minorEastAsia"/>
                <w:sz w:val="21"/>
                <w:szCs w:val="21"/>
              </w:rPr>
            </w:pPr>
            <w:r>
              <w:rPr>
                <w:rFonts w:hint="eastAsia" w:cs="Times New Roman" w:eastAsiaTheme="minorEastAsia"/>
                <w:sz w:val="21"/>
                <w:szCs w:val="21"/>
              </w:rPr>
              <w:t>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540" w:type="pct"/>
            <w:shd w:val="clear" w:color="auto" w:fill="auto"/>
            <w:vAlign w:val="center"/>
          </w:tcPr>
          <w:p>
            <w:pPr>
              <w:spacing w:line="240" w:lineRule="auto"/>
              <w:ind w:firstLine="0" w:firstLineChars="0"/>
              <w:jc w:val="center"/>
              <w:rPr>
                <w:rFonts w:cs="Times New Roman" w:eastAsiaTheme="minorEastAsia"/>
                <w:b/>
                <w:bCs/>
                <w:sz w:val="21"/>
                <w:szCs w:val="21"/>
              </w:rPr>
            </w:pPr>
            <w:r>
              <w:rPr>
                <w:rFonts w:hint="eastAsia" w:cs="Times New Roman" w:eastAsiaTheme="minorEastAsia"/>
                <w:b/>
                <w:bCs/>
                <w:sz w:val="21"/>
                <w:szCs w:val="21"/>
              </w:rPr>
              <w:t>卫生健康支出</w:t>
            </w:r>
          </w:p>
        </w:tc>
        <w:tc>
          <w:tcPr>
            <w:tcW w:w="2177" w:type="pct"/>
            <w:shd w:val="clear" w:color="auto" w:fill="auto"/>
            <w:vAlign w:val="center"/>
          </w:tcPr>
          <w:p>
            <w:pPr>
              <w:spacing w:line="240" w:lineRule="auto"/>
              <w:ind w:firstLine="0" w:firstLineChars="0"/>
              <w:rPr>
                <w:rFonts w:cs="Times New Roman" w:eastAsiaTheme="minorEastAsia"/>
                <w:b/>
                <w:bCs/>
                <w:sz w:val="21"/>
                <w:szCs w:val="21"/>
              </w:rPr>
            </w:pPr>
            <w:r>
              <w:rPr>
                <w:rFonts w:hint="eastAsia" w:cs="Times New Roman" w:eastAsiaTheme="minorEastAsia"/>
                <w:b/>
                <w:bCs/>
                <w:sz w:val="21"/>
                <w:szCs w:val="21"/>
              </w:rPr>
              <w:t>行政单位医疗</w:t>
            </w:r>
          </w:p>
        </w:tc>
        <w:tc>
          <w:tcPr>
            <w:tcW w:w="641" w:type="pct"/>
            <w:shd w:val="clear" w:color="auto" w:fill="auto"/>
            <w:vAlign w:val="center"/>
          </w:tcPr>
          <w:p>
            <w:pPr>
              <w:spacing w:line="240" w:lineRule="auto"/>
              <w:ind w:firstLine="0" w:firstLineChars="0"/>
              <w:jc w:val="right"/>
              <w:rPr>
                <w:rFonts w:cs="Times New Roman" w:eastAsiaTheme="minorEastAsia"/>
                <w:b/>
                <w:bCs/>
                <w:sz w:val="21"/>
                <w:szCs w:val="21"/>
              </w:rPr>
            </w:pPr>
            <w:r>
              <w:rPr>
                <w:rFonts w:hint="eastAsia" w:cs="Times New Roman" w:eastAsiaTheme="minorEastAsia"/>
                <w:b/>
                <w:bCs/>
                <w:sz w:val="21"/>
                <w:szCs w:val="21"/>
              </w:rPr>
              <w:t>227.03</w:t>
            </w:r>
          </w:p>
        </w:tc>
        <w:tc>
          <w:tcPr>
            <w:tcW w:w="641" w:type="pct"/>
            <w:shd w:val="clear" w:color="auto" w:fill="auto"/>
            <w:vAlign w:val="center"/>
          </w:tcPr>
          <w:p>
            <w:pPr>
              <w:spacing w:line="240" w:lineRule="auto"/>
              <w:ind w:firstLine="0" w:firstLineChars="0"/>
              <w:jc w:val="right"/>
              <w:rPr>
                <w:rFonts w:cs="Times New Roman" w:eastAsiaTheme="minorEastAsia"/>
                <w:b/>
                <w:bCs/>
                <w:sz w:val="21"/>
                <w:szCs w:val="21"/>
              </w:rPr>
            </w:pPr>
            <w:r>
              <w:rPr>
                <w:rFonts w:hint="eastAsia" w:cs="Times New Roman" w:eastAsiaTheme="minorEastAsia"/>
                <w:b/>
                <w:bCs/>
                <w:sz w:val="21"/>
                <w:szCs w:val="21"/>
              </w:rPr>
              <w:t>201.32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540" w:type="pct"/>
            <w:shd w:val="clear" w:color="auto" w:fill="auto"/>
            <w:vAlign w:val="center"/>
          </w:tcPr>
          <w:p>
            <w:pPr>
              <w:spacing w:line="240" w:lineRule="auto"/>
              <w:ind w:firstLine="0" w:firstLineChars="0"/>
              <w:jc w:val="center"/>
              <w:rPr>
                <w:rFonts w:cs="Times New Roman" w:eastAsiaTheme="minorEastAsia"/>
                <w:b/>
                <w:bCs/>
                <w:sz w:val="21"/>
                <w:szCs w:val="21"/>
              </w:rPr>
            </w:pPr>
            <w:r>
              <w:rPr>
                <w:rFonts w:hint="eastAsia" w:cs="Times New Roman" w:eastAsiaTheme="minorEastAsia"/>
                <w:b/>
                <w:bCs/>
                <w:sz w:val="21"/>
                <w:szCs w:val="21"/>
              </w:rPr>
              <w:t>住房保障支出</w:t>
            </w:r>
          </w:p>
        </w:tc>
        <w:tc>
          <w:tcPr>
            <w:tcW w:w="2177" w:type="pct"/>
            <w:shd w:val="clear" w:color="auto" w:fill="auto"/>
            <w:vAlign w:val="center"/>
          </w:tcPr>
          <w:p>
            <w:pPr>
              <w:spacing w:line="240" w:lineRule="auto"/>
              <w:ind w:firstLine="0" w:firstLineChars="0"/>
              <w:rPr>
                <w:rFonts w:cs="Times New Roman" w:eastAsiaTheme="minorEastAsia"/>
                <w:b/>
                <w:bCs/>
                <w:sz w:val="21"/>
                <w:szCs w:val="21"/>
              </w:rPr>
            </w:pPr>
            <w:r>
              <w:rPr>
                <w:rFonts w:hint="eastAsia" w:cs="Times New Roman" w:eastAsiaTheme="minorEastAsia"/>
                <w:b/>
                <w:bCs/>
                <w:sz w:val="21"/>
                <w:szCs w:val="21"/>
              </w:rPr>
              <w:t>住房改革支出</w:t>
            </w:r>
          </w:p>
        </w:tc>
        <w:tc>
          <w:tcPr>
            <w:tcW w:w="641" w:type="pct"/>
            <w:shd w:val="clear" w:color="auto" w:fill="auto"/>
            <w:vAlign w:val="center"/>
          </w:tcPr>
          <w:p>
            <w:pPr>
              <w:spacing w:line="240" w:lineRule="auto"/>
              <w:ind w:firstLine="0" w:firstLineChars="0"/>
              <w:jc w:val="right"/>
              <w:rPr>
                <w:rFonts w:cs="Times New Roman" w:eastAsiaTheme="minorEastAsia"/>
                <w:b/>
                <w:bCs/>
                <w:sz w:val="21"/>
                <w:szCs w:val="21"/>
              </w:rPr>
            </w:pPr>
            <w:r>
              <w:rPr>
                <w:rFonts w:hint="eastAsia" w:cs="Times New Roman" w:eastAsiaTheme="minorEastAsia"/>
                <w:b/>
                <w:bCs/>
                <w:sz w:val="21"/>
                <w:szCs w:val="21"/>
              </w:rPr>
              <w:t>301.90</w:t>
            </w:r>
          </w:p>
        </w:tc>
        <w:tc>
          <w:tcPr>
            <w:tcW w:w="641" w:type="pct"/>
            <w:shd w:val="clear" w:color="auto" w:fill="auto"/>
            <w:vAlign w:val="center"/>
          </w:tcPr>
          <w:p>
            <w:pPr>
              <w:spacing w:line="240" w:lineRule="auto"/>
              <w:ind w:firstLine="0" w:firstLineChars="0"/>
              <w:jc w:val="right"/>
              <w:rPr>
                <w:rFonts w:cs="Times New Roman" w:eastAsiaTheme="minorEastAsia"/>
                <w:b/>
                <w:bCs/>
                <w:sz w:val="21"/>
                <w:szCs w:val="21"/>
              </w:rPr>
            </w:pPr>
            <w:r>
              <w:rPr>
                <w:rFonts w:hint="eastAsia" w:cs="Times New Roman" w:eastAsiaTheme="minorEastAsia"/>
                <w:b/>
                <w:bCs/>
                <w:sz w:val="21"/>
                <w:szCs w:val="21"/>
              </w:rPr>
              <w:t>345.16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540" w:type="pct"/>
            <w:shd w:val="clear" w:color="auto" w:fill="auto"/>
            <w:vAlign w:val="center"/>
          </w:tcPr>
          <w:p>
            <w:pPr>
              <w:spacing w:line="240" w:lineRule="auto"/>
              <w:ind w:firstLine="0" w:firstLineChars="0"/>
              <w:jc w:val="center"/>
              <w:rPr>
                <w:rFonts w:cs="Times New Roman" w:eastAsiaTheme="minorEastAsia"/>
                <w:b/>
                <w:bCs/>
                <w:sz w:val="21"/>
                <w:szCs w:val="21"/>
              </w:rPr>
            </w:pPr>
            <w:r>
              <w:rPr>
                <w:rFonts w:hint="eastAsia" w:cs="Times New Roman" w:eastAsiaTheme="minorEastAsia"/>
                <w:b/>
                <w:bCs/>
                <w:sz w:val="21"/>
                <w:szCs w:val="21"/>
              </w:rPr>
              <w:t>其他支出</w:t>
            </w:r>
          </w:p>
        </w:tc>
        <w:tc>
          <w:tcPr>
            <w:tcW w:w="2177" w:type="pct"/>
            <w:shd w:val="clear" w:color="auto" w:fill="auto"/>
            <w:vAlign w:val="center"/>
          </w:tcPr>
          <w:p>
            <w:pPr>
              <w:spacing w:line="240" w:lineRule="auto"/>
              <w:ind w:firstLine="0" w:firstLineChars="0"/>
              <w:rPr>
                <w:rFonts w:cs="Times New Roman" w:eastAsiaTheme="minorEastAsia"/>
                <w:b/>
                <w:bCs/>
                <w:sz w:val="21"/>
                <w:szCs w:val="21"/>
              </w:rPr>
            </w:pPr>
            <w:r>
              <w:rPr>
                <w:rFonts w:hint="eastAsia" w:cs="Times New Roman" w:eastAsiaTheme="minorEastAsia"/>
                <w:b/>
                <w:bCs/>
                <w:sz w:val="21"/>
                <w:szCs w:val="21"/>
              </w:rPr>
              <w:t>其他支出</w:t>
            </w:r>
          </w:p>
        </w:tc>
        <w:tc>
          <w:tcPr>
            <w:tcW w:w="641" w:type="pct"/>
            <w:shd w:val="clear" w:color="auto" w:fill="auto"/>
            <w:vAlign w:val="center"/>
          </w:tcPr>
          <w:p>
            <w:pPr>
              <w:spacing w:line="240" w:lineRule="auto"/>
              <w:ind w:firstLine="0" w:firstLineChars="0"/>
              <w:jc w:val="right"/>
              <w:rPr>
                <w:rFonts w:cs="Times New Roman" w:eastAsiaTheme="minorEastAsia"/>
                <w:b/>
                <w:bCs/>
                <w:sz w:val="21"/>
                <w:szCs w:val="21"/>
              </w:rPr>
            </w:pPr>
            <w:r>
              <w:rPr>
                <w:rFonts w:hint="eastAsia" w:cs="Times New Roman" w:eastAsiaTheme="minorEastAsia"/>
                <w:b/>
                <w:bCs/>
                <w:sz w:val="21"/>
                <w:szCs w:val="21"/>
              </w:rPr>
              <w:t>37.82</w:t>
            </w:r>
          </w:p>
        </w:tc>
        <w:tc>
          <w:tcPr>
            <w:tcW w:w="641" w:type="pct"/>
            <w:shd w:val="clear" w:color="auto" w:fill="auto"/>
            <w:vAlign w:val="center"/>
          </w:tcPr>
          <w:p>
            <w:pPr>
              <w:spacing w:line="240" w:lineRule="auto"/>
              <w:ind w:firstLine="0" w:firstLineChars="0"/>
              <w:jc w:val="right"/>
              <w:rPr>
                <w:rFonts w:cs="Times New Roman" w:eastAsiaTheme="minorEastAsia"/>
                <w:b/>
                <w:bCs/>
                <w:sz w:val="21"/>
                <w:szCs w:val="21"/>
              </w:rPr>
            </w:pPr>
            <w:r>
              <w:rPr>
                <w:rFonts w:hint="eastAsia" w:cs="Times New Roman" w:eastAsiaTheme="minorEastAsia"/>
                <w:b/>
                <w:bCs/>
                <w:sz w:val="21"/>
                <w:szCs w:val="21"/>
              </w:rPr>
              <w:t>134.37</w:t>
            </w:r>
          </w:p>
        </w:tc>
      </w:tr>
    </w:tbl>
    <w:p>
      <w:pPr>
        <w:widowControl w:val="0"/>
        <w:spacing w:line="560" w:lineRule="exact"/>
        <w:ind w:firstLine="482"/>
        <w:rPr>
          <w:rFonts w:eastAsia="宋体" w:cs="Times New Roman"/>
          <w:b/>
          <w:sz w:val="24"/>
          <w:szCs w:val="32"/>
        </w:rPr>
      </w:pPr>
    </w:p>
    <w:p>
      <w:pPr>
        <w:pStyle w:val="27"/>
        <w:spacing w:before="0" w:beforeAutospacing="0" w:after="0" w:afterAutospacing="0" w:line="560" w:lineRule="exact"/>
        <w:ind w:firstLine="643" w:firstLineChars="200"/>
        <w:jc w:val="both"/>
        <w:outlineLvl w:val="2"/>
        <w:rPr>
          <w:rFonts w:eastAsia="仿宋_GB2312"/>
          <w:b/>
          <w:szCs w:val="32"/>
        </w:rPr>
      </w:pPr>
      <w:bookmarkStart w:id="60" w:name="_Toc103363762"/>
      <w:bookmarkStart w:id="61" w:name="_Toc103422105"/>
      <w:bookmarkStart w:id="62" w:name="_Toc74500548"/>
      <w:r>
        <w:rPr>
          <w:rFonts w:eastAsia="仿宋_GB2312"/>
          <w:b/>
          <w:szCs w:val="32"/>
        </w:rPr>
        <w:t>2.</w:t>
      </w:r>
      <w:r>
        <w:rPr>
          <w:rFonts w:hint="eastAsia" w:eastAsia="仿宋_GB2312"/>
          <w:b/>
          <w:szCs w:val="32"/>
        </w:rPr>
        <w:t>项目支出预算构成及资金来源</w:t>
      </w:r>
      <w:bookmarkEnd w:id="60"/>
      <w:bookmarkEnd w:id="61"/>
      <w:bookmarkEnd w:id="62"/>
    </w:p>
    <w:p>
      <w:pPr>
        <w:pStyle w:val="27"/>
        <w:spacing w:before="0" w:beforeAutospacing="0" w:after="0" w:afterAutospacing="0" w:line="560" w:lineRule="exact"/>
        <w:ind w:firstLine="640" w:firstLineChars="200"/>
        <w:jc w:val="both"/>
        <w:rPr>
          <w:rFonts w:eastAsia="仿宋_GB2312"/>
          <w:szCs w:val="32"/>
        </w:rPr>
      </w:pPr>
      <w:r>
        <w:rPr>
          <w:rFonts w:hint="eastAsia" w:eastAsia="仿宋_GB2312"/>
          <w:szCs w:val="32"/>
        </w:rPr>
        <w:t>2022年度，市文广旅体局项目支出总预算15,821.73万元，占部门支出预算74.62</w:t>
      </w:r>
      <w:r>
        <w:rPr>
          <w:rFonts w:eastAsia="仿宋_GB2312"/>
          <w:szCs w:val="32"/>
        </w:rPr>
        <w:t>%</w:t>
      </w:r>
      <w:r>
        <w:rPr>
          <w:rFonts w:hint="eastAsia" w:eastAsia="仿宋_GB2312"/>
          <w:szCs w:val="32"/>
        </w:rPr>
        <w:t>，涉及3个支出科目，包括文化旅游体育与传媒支出、城乡社区支出、其他支出，项目支出预算资金全部来源于公共财政预算拨款。具体项目支出科目构成及资金来源如表1-</w:t>
      </w:r>
      <w:r>
        <w:rPr>
          <w:rFonts w:eastAsia="仿宋_GB2312"/>
          <w:szCs w:val="32"/>
        </w:rPr>
        <w:t>6</w:t>
      </w:r>
      <w:r>
        <w:rPr>
          <w:rFonts w:hint="eastAsia" w:eastAsia="仿宋_GB2312"/>
          <w:szCs w:val="32"/>
        </w:rPr>
        <w:t>所示。项目支出决算数为21,121.18万元。</w:t>
      </w:r>
    </w:p>
    <w:p>
      <w:pPr>
        <w:widowControl w:val="0"/>
        <w:spacing w:line="560" w:lineRule="exact"/>
        <w:ind w:firstLine="0" w:firstLineChars="0"/>
        <w:jc w:val="center"/>
        <w:rPr>
          <w:rFonts w:eastAsia="宋体" w:cs="Times New Roman"/>
          <w:b/>
          <w:sz w:val="24"/>
          <w:szCs w:val="32"/>
        </w:rPr>
      </w:pPr>
      <w:r>
        <w:rPr>
          <w:rFonts w:hint="eastAsia" w:eastAsia="宋体" w:cs="Times New Roman"/>
          <w:b/>
          <w:sz w:val="24"/>
          <w:szCs w:val="32"/>
        </w:rPr>
        <w:t>表1-6 市文广旅体局2022年度部门项目支出预算及决算构成（万元）</w:t>
      </w:r>
      <w:r>
        <w:rPr>
          <w:rStyle w:val="38"/>
          <w:rFonts w:eastAsia="宋体" w:cs="Times New Roman"/>
          <w:b/>
          <w:sz w:val="24"/>
          <w:szCs w:val="32"/>
        </w:rPr>
        <w:footnoteReference w:id="4"/>
      </w:r>
    </w:p>
    <w:tbl>
      <w:tblPr>
        <w:tblStyle w:val="3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17"/>
        <w:gridCol w:w="1399"/>
        <w:gridCol w:w="3297"/>
        <w:gridCol w:w="1399"/>
        <w:gridCol w:w="1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blHeader/>
        </w:trPr>
        <w:tc>
          <w:tcPr>
            <w:tcW w:w="1107" w:type="pct"/>
            <w:vMerge w:val="restart"/>
            <w:shd w:val="clear" w:color="auto" w:fill="auto"/>
            <w:vAlign w:val="center"/>
          </w:tcPr>
          <w:p>
            <w:pPr>
              <w:spacing w:line="240" w:lineRule="auto"/>
              <w:ind w:firstLine="0" w:firstLineChars="0"/>
              <w:jc w:val="center"/>
              <w:rPr>
                <w:rFonts w:eastAsia="宋体" w:cs="Times New Roman"/>
                <w:b/>
                <w:bCs/>
                <w:sz w:val="21"/>
                <w:szCs w:val="21"/>
                <w:lang w:bidi="ar"/>
              </w:rPr>
            </w:pPr>
            <w:r>
              <w:rPr>
                <w:rFonts w:hint="eastAsia" w:eastAsia="宋体" w:cs="Times New Roman"/>
                <w:b/>
                <w:bCs/>
                <w:sz w:val="21"/>
                <w:szCs w:val="21"/>
                <w:lang w:bidi="ar"/>
              </w:rPr>
              <w:t>支出内容</w:t>
            </w:r>
          </w:p>
        </w:tc>
        <w:tc>
          <w:tcPr>
            <w:tcW w:w="775" w:type="pct"/>
            <w:shd w:val="clear" w:color="auto" w:fill="auto"/>
            <w:vAlign w:val="center"/>
          </w:tcPr>
          <w:p>
            <w:pPr>
              <w:spacing w:line="240" w:lineRule="auto"/>
              <w:ind w:firstLine="0" w:firstLineChars="0"/>
              <w:jc w:val="center"/>
              <w:rPr>
                <w:rFonts w:eastAsia="宋体" w:cs="Times New Roman"/>
                <w:b/>
                <w:bCs/>
                <w:sz w:val="21"/>
                <w:szCs w:val="21"/>
                <w:lang w:bidi="ar"/>
              </w:rPr>
            </w:pPr>
            <w:r>
              <w:rPr>
                <w:rFonts w:hint="eastAsia" w:eastAsia="宋体" w:cs="Times New Roman"/>
                <w:b/>
                <w:bCs/>
                <w:sz w:val="21"/>
                <w:szCs w:val="21"/>
                <w:lang w:bidi="ar"/>
              </w:rPr>
              <w:t>项目支出</w:t>
            </w:r>
          </w:p>
        </w:tc>
        <w:tc>
          <w:tcPr>
            <w:tcW w:w="1787" w:type="pct"/>
            <w:shd w:val="clear" w:color="auto" w:fill="auto"/>
            <w:vAlign w:val="center"/>
          </w:tcPr>
          <w:p>
            <w:pPr>
              <w:spacing w:line="240" w:lineRule="auto"/>
              <w:ind w:firstLine="0" w:firstLineChars="0"/>
              <w:jc w:val="center"/>
              <w:rPr>
                <w:rFonts w:eastAsia="宋体" w:cs="Times New Roman"/>
                <w:b/>
                <w:bCs/>
                <w:sz w:val="21"/>
                <w:szCs w:val="21"/>
                <w:lang w:bidi="ar"/>
              </w:rPr>
            </w:pPr>
            <w:r>
              <w:rPr>
                <w:rFonts w:hint="eastAsia" w:eastAsia="宋体" w:cs="Times New Roman"/>
                <w:b/>
                <w:bCs/>
                <w:sz w:val="21"/>
                <w:szCs w:val="21"/>
                <w:lang w:bidi="ar"/>
              </w:rPr>
              <w:t>支出科目</w:t>
            </w:r>
          </w:p>
        </w:tc>
        <w:tc>
          <w:tcPr>
            <w:tcW w:w="664" w:type="pct"/>
            <w:shd w:val="clear" w:color="auto" w:fill="auto"/>
            <w:vAlign w:val="center"/>
          </w:tcPr>
          <w:p>
            <w:pPr>
              <w:spacing w:line="240" w:lineRule="auto"/>
              <w:ind w:firstLine="0" w:firstLineChars="0"/>
              <w:jc w:val="center"/>
              <w:rPr>
                <w:rFonts w:eastAsia="宋体" w:cs="Times New Roman"/>
                <w:b/>
                <w:bCs/>
                <w:sz w:val="21"/>
                <w:szCs w:val="21"/>
                <w:lang w:bidi="ar"/>
              </w:rPr>
            </w:pPr>
            <w:r>
              <w:rPr>
                <w:rFonts w:hint="eastAsia" w:eastAsia="宋体" w:cs="Times New Roman"/>
                <w:b/>
                <w:bCs/>
                <w:sz w:val="21"/>
                <w:szCs w:val="21"/>
                <w:lang w:bidi="ar"/>
              </w:rPr>
              <w:t>支出明细预算数</w:t>
            </w:r>
          </w:p>
        </w:tc>
        <w:tc>
          <w:tcPr>
            <w:tcW w:w="664" w:type="pct"/>
            <w:shd w:val="clear" w:color="auto" w:fill="auto"/>
            <w:vAlign w:val="center"/>
          </w:tcPr>
          <w:p>
            <w:pPr>
              <w:spacing w:line="240" w:lineRule="auto"/>
              <w:ind w:firstLine="0" w:firstLineChars="0"/>
              <w:jc w:val="center"/>
              <w:rPr>
                <w:rFonts w:eastAsia="宋体" w:cs="Times New Roman"/>
                <w:b/>
                <w:bCs/>
                <w:sz w:val="21"/>
                <w:szCs w:val="21"/>
                <w:lang w:bidi="ar"/>
              </w:rPr>
            </w:pPr>
            <w:r>
              <w:rPr>
                <w:rFonts w:hint="eastAsia" w:eastAsia="宋体" w:cs="Times New Roman"/>
                <w:b/>
                <w:bCs/>
                <w:sz w:val="21"/>
                <w:szCs w:val="21"/>
                <w:lang w:bidi="ar"/>
              </w:rPr>
              <w:t>支出明细决算数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7" w:type="pct"/>
            <w:vMerge w:val="continue"/>
            <w:shd w:val="clear" w:color="auto" w:fill="auto"/>
            <w:vAlign w:val="center"/>
          </w:tcPr>
          <w:p>
            <w:pPr>
              <w:spacing w:line="240" w:lineRule="auto"/>
              <w:ind w:firstLine="0" w:firstLineChars="0"/>
              <w:jc w:val="center"/>
              <w:rPr>
                <w:rFonts w:eastAsia="宋体" w:cs="Times New Roman"/>
                <w:b/>
                <w:bCs/>
                <w:sz w:val="21"/>
                <w:szCs w:val="21"/>
                <w:lang w:bidi="ar"/>
              </w:rPr>
            </w:pPr>
          </w:p>
        </w:tc>
        <w:tc>
          <w:tcPr>
            <w:tcW w:w="775" w:type="pct"/>
            <w:shd w:val="clear" w:color="auto" w:fill="auto"/>
            <w:vAlign w:val="center"/>
          </w:tcPr>
          <w:p>
            <w:pPr>
              <w:spacing w:line="240" w:lineRule="auto"/>
              <w:ind w:firstLine="0" w:firstLineChars="0"/>
              <w:jc w:val="right"/>
              <w:rPr>
                <w:rFonts w:eastAsia="宋体" w:cs="Times New Roman"/>
                <w:b/>
                <w:bCs/>
                <w:sz w:val="21"/>
                <w:szCs w:val="21"/>
                <w:lang w:bidi="ar"/>
              </w:rPr>
            </w:pPr>
            <w:r>
              <w:rPr>
                <w:rFonts w:hint="eastAsia" w:eastAsia="宋体" w:cs="Times New Roman"/>
                <w:b/>
                <w:bCs/>
                <w:sz w:val="21"/>
                <w:szCs w:val="21"/>
                <w:lang w:bidi="ar"/>
              </w:rPr>
              <w:t>15,821.73</w:t>
            </w:r>
          </w:p>
        </w:tc>
        <w:tc>
          <w:tcPr>
            <w:tcW w:w="1787" w:type="pct"/>
            <w:shd w:val="clear" w:color="auto" w:fill="auto"/>
            <w:vAlign w:val="center"/>
          </w:tcPr>
          <w:p>
            <w:pPr>
              <w:spacing w:line="240" w:lineRule="auto"/>
              <w:ind w:firstLine="0" w:firstLineChars="0"/>
              <w:jc w:val="center"/>
              <w:rPr>
                <w:rFonts w:eastAsia="宋体" w:cs="Times New Roman"/>
                <w:b/>
                <w:bCs/>
                <w:sz w:val="21"/>
                <w:szCs w:val="21"/>
                <w:lang w:bidi="ar"/>
              </w:rPr>
            </w:pPr>
            <w:r>
              <w:rPr>
                <w:rFonts w:hint="eastAsia" w:eastAsia="宋体" w:cs="Times New Roman"/>
                <w:b/>
                <w:bCs/>
                <w:sz w:val="21"/>
                <w:szCs w:val="21"/>
                <w:lang w:bidi="ar"/>
              </w:rPr>
              <w:t>总计</w:t>
            </w:r>
          </w:p>
        </w:tc>
        <w:tc>
          <w:tcPr>
            <w:tcW w:w="664" w:type="pct"/>
            <w:shd w:val="clear" w:color="auto" w:fill="auto"/>
            <w:vAlign w:val="center"/>
          </w:tcPr>
          <w:p>
            <w:pPr>
              <w:spacing w:line="240" w:lineRule="auto"/>
              <w:ind w:firstLine="0" w:firstLineChars="0"/>
              <w:jc w:val="right"/>
              <w:rPr>
                <w:rFonts w:eastAsia="宋体" w:cs="Times New Roman"/>
                <w:b/>
                <w:bCs/>
                <w:sz w:val="21"/>
                <w:szCs w:val="21"/>
                <w:lang w:bidi="ar"/>
              </w:rPr>
            </w:pPr>
            <w:r>
              <w:rPr>
                <w:rFonts w:hint="eastAsia" w:eastAsia="宋体" w:cs="Times New Roman"/>
                <w:b/>
                <w:bCs/>
                <w:sz w:val="21"/>
                <w:szCs w:val="21"/>
                <w:lang w:bidi="ar"/>
              </w:rPr>
              <w:t>15,821.73</w:t>
            </w:r>
          </w:p>
        </w:tc>
        <w:tc>
          <w:tcPr>
            <w:tcW w:w="664" w:type="pct"/>
            <w:shd w:val="clear" w:color="auto" w:fill="auto"/>
            <w:vAlign w:val="center"/>
          </w:tcPr>
          <w:p>
            <w:pPr>
              <w:spacing w:line="240" w:lineRule="auto"/>
              <w:ind w:firstLine="0" w:firstLineChars="0"/>
              <w:jc w:val="right"/>
              <w:rPr>
                <w:rFonts w:eastAsia="宋体" w:cs="Times New Roman"/>
                <w:b/>
                <w:bCs/>
                <w:sz w:val="21"/>
                <w:szCs w:val="21"/>
                <w:lang w:bidi="ar"/>
              </w:rPr>
            </w:pPr>
            <w:r>
              <w:rPr>
                <w:rFonts w:hint="eastAsia" w:eastAsia="宋体" w:cs="Times New Roman"/>
                <w:b/>
                <w:bCs/>
                <w:sz w:val="21"/>
                <w:szCs w:val="21"/>
                <w:lang w:bidi="ar"/>
              </w:rPr>
              <w:t>21</w:t>
            </w:r>
            <w:r>
              <w:rPr>
                <w:rFonts w:eastAsia="宋体" w:cs="Times New Roman"/>
                <w:b/>
                <w:bCs/>
                <w:sz w:val="21"/>
                <w:szCs w:val="21"/>
                <w:lang w:bidi="ar"/>
              </w:rPr>
              <w:t>,</w:t>
            </w:r>
            <w:r>
              <w:rPr>
                <w:rFonts w:hint="eastAsia" w:eastAsia="宋体" w:cs="Times New Roman"/>
                <w:b/>
                <w:bCs/>
                <w:sz w:val="21"/>
                <w:szCs w:val="21"/>
                <w:lang w:bidi="ar"/>
              </w:rPr>
              <w:t>121.18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7" w:type="pct"/>
            <w:vMerge w:val="restart"/>
            <w:shd w:val="clear" w:color="auto" w:fill="auto"/>
            <w:vAlign w:val="center"/>
          </w:tcPr>
          <w:p>
            <w:pPr>
              <w:spacing w:line="240" w:lineRule="auto"/>
              <w:ind w:firstLine="0" w:firstLineChars="0"/>
              <w:jc w:val="center"/>
              <w:rPr>
                <w:rFonts w:eastAsia="宋体" w:cs="Times New Roman"/>
                <w:b/>
                <w:bCs/>
                <w:sz w:val="21"/>
                <w:szCs w:val="21"/>
                <w:lang w:bidi="ar"/>
              </w:rPr>
            </w:pPr>
            <w:r>
              <w:rPr>
                <w:rFonts w:hint="eastAsia" w:eastAsia="宋体" w:cs="Times New Roman"/>
                <w:b/>
                <w:bCs/>
                <w:sz w:val="21"/>
                <w:szCs w:val="21"/>
                <w:lang w:bidi="ar"/>
              </w:rPr>
              <w:t>文化旅游体育与传媒支出</w:t>
            </w:r>
          </w:p>
        </w:tc>
        <w:tc>
          <w:tcPr>
            <w:tcW w:w="775" w:type="pct"/>
            <w:vMerge w:val="restart"/>
            <w:shd w:val="clear" w:color="auto" w:fill="auto"/>
            <w:vAlign w:val="center"/>
          </w:tcPr>
          <w:p>
            <w:pPr>
              <w:spacing w:line="240" w:lineRule="auto"/>
              <w:ind w:firstLine="0" w:firstLineChars="0"/>
              <w:jc w:val="right"/>
              <w:rPr>
                <w:rFonts w:eastAsia="宋体" w:cs="Times New Roman"/>
                <w:sz w:val="21"/>
                <w:szCs w:val="21"/>
                <w:lang w:bidi="ar"/>
              </w:rPr>
            </w:pPr>
            <w:r>
              <w:rPr>
                <w:rFonts w:hint="eastAsia" w:eastAsia="宋体" w:cs="Times New Roman"/>
                <w:sz w:val="21"/>
                <w:szCs w:val="21"/>
                <w:lang w:bidi="ar"/>
              </w:rPr>
              <w:t>9,584.04</w:t>
            </w:r>
          </w:p>
        </w:tc>
        <w:tc>
          <w:tcPr>
            <w:tcW w:w="1787" w:type="pct"/>
            <w:shd w:val="clear" w:color="auto" w:fill="auto"/>
            <w:vAlign w:val="center"/>
          </w:tcPr>
          <w:p>
            <w:pPr>
              <w:spacing w:line="240" w:lineRule="auto"/>
              <w:ind w:firstLine="0" w:firstLineChars="0"/>
              <w:jc w:val="center"/>
              <w:rPr>
                <w:rFonts w:eastAsia="宋体" w:cs="Times New Roman"/>
                <w:sz w:val="21"/>
                <w:szCs w:val="21"/>
                <w:lang w:bidi="ar"/>
              </w:rPr>
            </w:pPr>
            <w:r>
              <w:rPr>
                <w:rFonts w:hint="eastAsia" w:eastAsia="宋体" w:cs="Times New Roman"/>
                <w:sz w:val="21"/>
                <w:szCs w:val="21"/>
                <w:lang w:bidi="ar"/>
              </w:rPr>
              <w:t>文化和旅游</w:t>
            </w:r>
          </w:p>
        </w:tc>
        <w:tc>
          <w:tcPr>
            <w:tcW w:w="664" w:type="pct"/>
            <w:shd w:val="clear" w:color="auto" w:fill="auto"/>
            <w:vAlign w:val="center"/>
          </w:tcPr>
          <w:p>
            <w:pPr>
              <w:spacing w:line="240" w:lineRule="auto"/>
              <w:ind w:firstLine="0" w:firstLineChars="0"/>
              <w:jc w:val="right"/>
              <w:rPr>
                <w:rFonts w:eastAsia="宋体" w:cs="Times New Roman"/>
                <w:sz w:val="21"/>
                <w:szCs w:val="21"/>
                <w:lang w:bidi="ar"/>
              </w:rPr>
            </w:pPr>
            <w:r>
              <w:rPr>
                <w:rFonts w:hint="eastAsia" w:eastAsia="宋体" w:cs="Times New Roman"/>
                <w:sz w:val="21"/>
                <w:szCs w:val="21"/>
                <w:lang w:bidi="ar"/>
              </w:rPr>
              <w:t>6,658.16</w:t>
            </w:r>
          </w:p>
        </w:tc>
        <w:tc>
          <w:tcPr>
            <w:tcW w:w="664" w:type="pct"/>
            <w:shd w:val="clear" w:color="auto" w:fill="auto"/>
            <w:vAlign w:val="center"/>
          </w:tcPr>
          <w:p>
            <w:pPr>
              <w:spacing w:line="240" w:lineRule="auto"/>
              <w:ind w:firstLine="0" w:firstLineChars="0"/>
              <w:jc w:val="right"/>
              <w:rPr>
                <w:rFonts w:eastAsia="宋体" w:cs="Times New Roman"/>
                <w:sz w:val="21"/>
                <w:szCs w:val="21"/>
                <w:lang w:bidi="ar"/>
              </w:rPr>
            </w:pPr>
            <w:r>
              <w:rPr>
                <w:rFonts w:hint="eastAsia" w:eastAsia="宋体" w:cs="Times New Roman"/>
                <w:sz w:val="21"/>
                <w:szCs w:val="21"/>
                <w:lang w:bidi="ar"/>
              </w:rPr>
              <w:t>2</w:t>
            </w:r>
            <w:r>
              <w:rPr>
                <w:rFonts w:eastAsia="宋体" w:cs="Times New Roman"/>
                <w:sz w:val="21"/>
                <w:szCs w:val="21"/>
                <w:lang w:bidi="ar"/>
              </w:rPr>
              <w:t>,</w:t>
            </w:r>
            <w:r>
              <w:rPr>
                <w:rFonts w:hint="eastAsia" w:eastAsia="宋体" w:cs="Times New Roman"/>
                <w:sz w:val="21"/>
                <w:szCs w:val="21"/>
                <w:lang w:bidi="ar"/>
              </w:rPr>
              <w:t>099.98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7" w:type="pct"/>
            <w:vMerge w:val="continue"/>
            <w:shd w:val="clear" w:color="auto" w:fill="auto"/>
            <w:vAlign w:val="center"/>
          </w:tcPr>
          <w:p>
            <w:pPr>
              <w:spacing w:line="240" w:lineRule="auto"/>
              <w:ind w:firstLine="0" w:firstLineChars="0"/>
              <w:jc w:val="center"/>
              <w:rPr>
                <w:rFonts w:eastAsia="宋体" w:cs="Times New Roman"/>
                <w:b/>
                <w:bCs/>
                <w:sz w:val="21"/>
                <w:szCs w:val="21"/>
                <w:lang w:bidi="ar"/>
              </w:rPr>
            </w:pPr>
          </w:p>
        </w:tc>
        <w:tc>
          <w:tcPr>
            <w:tcW w:w="775" w:type="pct"/>
            <w:vMerge w:val="continue"/>
            <w:shd w:val="clear" w:color="auto" w:fill="auto"/>
            <w:vAlign w:val="center"/>
          </w:tcPr>
          <w:p>
            <w:pPr>
              <w:spacing w:line="240" w:lineRule="auto"/>
              <w:ind w:firstLine="0" w:firstLineChars="0"/>
              <w:jc w:val="right"/>
              <w:rPr>
                <w:rFonts w:eastAsia="宋体" w:cs="Times New Roman"/>
                <w:sz w:val="21"/>
                <w:szCs w:val="21"/>
                <w:lang w:bidi="ar"/>
              </w:rPr>
            </w:pPr>
          </w:p>
        </w:tc>
        <w:tc>
          <w:tcPr>
            <w:tcW w:w="1787" w:type="pct"/>
            <w:shd w:val="clear" w:color="auto" w:fill="auto"/>
            <w:vAlign w:val="center"/>
          </w:tcPr>
          <w:p>
            <w:pPr>
              <w:spacing w:line="240" w:lineRule="auto"/>
              <w:ind w:firstLine="0" w:firstLineChars="0"/>
              <w:jc w:val="center"/>
              <w:rPr>
                <w:rFonts w:eastAsia="宋体" w:cs="Times New Roman"/>
                <w:sz w:val="21"/>
                <w:szCs w:val="21"/>
                <w:lang w:bidi="ar"/>
              </w:rPr>
            </w:pPr>
            <w:r>
              <w:rPr>
                <w:rFonts w:hint="eastAsia" w:eastAsia="宋体" w:cs="Times New Roman"/>
                <w:sz w:val="21"/>
                <w:szCs w:val="21"/>
                <w:lang w:bidi="ar"/>
              </w:rPr>
              <w:t>文物</w:t>
            </w:r>
          </w:p>
        </w:tc>
        <w:tc>
          <w:tcPr>
            <w:tcW w:w="664" w:type="pct"/>
            <w:shd w:val="clear" w:color="auto" w:fill="auto"/>
            <w:vAlign w:val="center"/>
          </w:tcPr>
          <w:p>
            <w:pPr>
              <w:spacing w:line="240" w:lineRule="auto"/>
              <w:ind w:firstLine="0" w:firstLineChars="0"/>
              <w:jc w:val="right"/>
              <w:rPr>
                <w:rFonts w:eastAsia="宋体" w:cs="Times New Roman"/>
                <w:sz w:val="21"/>
                <w:szCs w:val="21"/>
                <w:lang w:bidi="ar"/>
              </w:rPr>
            </w:pPr>
            <w:r>
              <w:rPr>
                <w:rFonts w:hint="eastAsia" w:eastAsia="宋体" w:cs="Times New Roman"/>
                <w:sz w:val="21"/>
                <w:szCs w:val="21"/>
                <w:lang w:bidi="ar"/>
              </w:rPr>
              <w:t>1,583.45</w:t>
            </w:r>
          </w:p>
        </w:tc>
        <w:tc>
          <w:tcPr>
            <w:tcW w:w="664" w:type="pct"/>
            <w:shd w:val="clear" w:color="auto" w:fill="auto"/>
            <w:vAlign w:val="center"/>
          </w:tcPr>
          <w:p>
            <w:pPr>
              <w:spacing w:line="240" w:lineRule="auto"/>
              <w:ind w:firstLine="0" w:firstLineChars="0"/>
              <w:jc w:val="right"/>
              <w:rPr>
                <w:rFonts w:eastAsia="宋体" w:cs="Times New Roman"/>
                <w:sz w:val="21"/>
                <w:szCs w:val="21"/>
                <w:lang w:bidi="ar"/>
              </w:rPr>
            </w:pPr>
            <w:r>
              <w:rPr>
                <w:rFonts w:hint="eastAsia" w:eastAsia="宋体" w:cs="Times New Roman"/>
                <w:sz w:val="21"/>
                <w:szCs w:val="21"/>
                <w:lang w:bidi="ar"/>
              </w:rPr>
              <w:t>852.35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7" w:type="pct"/>
            <w:vMerge w:val="continue"/>
            <w:shd w:val="clear" w:color="auto" w:fill="auto"/>
            <w:vAlign w:val="center"/>
          </w:tcPr>
          <w:p>
            <w:pPr>
              <w:spacing w:line="240" w:lineRule="auto"/>
              <w:ind w:firstLine="0" w:firstLineChars="0"/>
              <w:jc w:val="center"/>
              <w:rPr>
                <w:rFonts w:eastAsia="宋体" w:cs="Times New Roman"/>
                <w:b/>
                <w:bCs/>
                <w:sz w:val="21"/>
                <w:szCs w:val="21"/>
                <w:lang w:bidi="ar"/>
              </w:rPr>
            </w:pPr>
          </w:p>
        </w:tc>
        <w:tc>
          <w:tcPr>
            <w:tcW w:w="775" w:type="pct"/>
            <w:vMerge w:val="continue"/>
            <w:shd w:val="clear" w:color="auto" w:fill="auto"/>
            <w:vAlign w:val="center"/>
          </w:tcPr>
          <w:p>
            <w:pPr>
              <w:spacing w:line="240" w:lineRule="auto"/>
              <w:ind w:firstLine="0" w:firstLineChars="0"/>
              <w:jc w:val="right"/>
              <w:rPr>
                <w:rFonts w:eastAsia="宋体" w:cs="Times New Roman"/>
                <w:sz w:val="21"/>
                <w:szCs w:val="21"/>
                <w:lang w:bidi="ar"/>
              </w:rPr>
            </w:pPr>
          </w:p>
        </w:tc>
        <w:tc>
          <w:tcPr>
            <w:tcW w:w="1787" w:type="pct"/>
            <w:shd w:val="clear" w:color="auto" w:fill="auto"/>
            <w:vAlign w:val="center"/>
          </w:tcPr>
          <w:p>
            <w:pPr>
              <w:spacing w:line="240" w:lineRule="auto"/>
              <w:ind w:firstLine="0" w:firstLineChars="0"/>
              <w:jc w:val="center"/>
              <w:rPr>
                <w:rFonts w:eastAsia="宋体" w:cs="Times New Roman"/>
                <w:sz w:val="21"/>
                <w:szCs w:val="21"/>
                <w:lang w:bidi="ar"/>
              </w:rPr>
            </w:pPr>
            <w:r>
              <w:rPr>
                <w:rFonts w:hint="eastAsia" w:eastAsia="宋体" w:cs="Times New Roman"/>
                <w:sz w:val="21"/>
                <w:szCs w:val="21"/>
                <w:lang w:bidi="ar"/>
              </w:rPr>
              <w:t>体育</w:t>
            </w:r>
          </w:p>
        </w:tc>
        <w:tc>
          <w:tcPr>
            <w:tcW w:w="664" w:type="pct"/>
            <w:shd w:val="clear" w:color="auto" w:fill="auto"/>
            <w:vAlign w:val="center"/>
          </w:tcPr>
          <w:p>
            <w:pPr>
              <w:spacing w:line="240" w:lineRule="auto"/>
              <w:ind w:firstLine="0" w:firstLineChars="0"/>
              <w:jc w:val="right"/>
              <w:rPr>
                <w:rFonts w:eastAsia="宋体" w:cs="Times New Roman"/>
                <w:sz w:val="21"/>
                <w:szCs w:val="21"/>
                <w:lang w:bidi="ar"/>
              </w:rPr>
            </w:pPr>
            <w:r>
              <w:rPr>
                <w:rFonts w:hint="eastAsia" w:eastAsia="宋体" w:cs="Times New Roman"/>
                <w:sz w:val="21"/>
                <w:szCs w:val="21"/>
                <w:lang w:bidi="ar"/>
              </w:rPr>
              <w:t>998.67</w:t>
            </w:r>
          </w:p>
        </w:tc>
        <w:tc>
          <w:tcPr>
            <w:tcW w:w="664" w:type="pct"/>
            <w:shd w:val="clear" w:color="auto" w:fill="auto"/>
            <w:vAlign w:val="center"/>
          </w:tcPr>
          <w:p>
            <w:pPr>
              <w:spacing w:line="240" w:lineRule="auto"/>
              <w:ind w:firstLine="0" w:firstLineChars="0"/>
              <w:jc w:val="right"/>
              <w:rPr>
                <w:rFonts w:eastAsia="宋体" w:cs="Times New Roman"/>
                <w:sz w:val="21"/>
                <w:szCs w:val="21"/>
                <w:lang w:bidi="ar"/>
              </w:rPr>
            </w:pPr>
            <w:r>
              <w:rPr>
                <w:rFonts w:hint="eastAsia" w:eastAsia="宋体" w:cs="Times New Roman"/>
                <w:sz w:val="21"/>
                <w:szCs w:val="21"/>
                <w:lang w:bidi="ar"/>
              </w:rPr>
              <w:t>654.95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7" w:type="pct"/>
            <w:vMerge w:val="continue"/>
            <w:shd w:val="clear" w:color="auto" w:fill="auto"/>
            <w:vAlign w:val="center"/>
          </w:tcPr>
          <w:p>
            <w:pPr>
              <w:spacing w:line="240" w:lineRule="auto"/>
              <w:ind w:firstLine="0" w:firstLineChars="0"/>
              <w:jc w:val="center"/>
              <w:rPr>
                <w:rFonts w:eastAsia="宋体" w:cs="Times New Roman"/>
                <w:b/>
                <w:bCs/>
                <w:sz w:val="21"/>
                <w:szCs w:val="21"/>
                <w:lang w:bidi="ar"/>
              </w:rPr>
            </w:pPr>
          </w:p>
        </w:tc>
        <w:tc>
          <w:tcPr>
            <w:tcW w:w="775" w:type="pct"/>
            <w:vMerge w:val="continue"/>
            <w:shd w:val="clear" w:color="auto" w:fill="auto"/>
            <w:vAlign w:val="center"/>
          </w:tcPr>
          <w:p>
            <w:pPr>
              <w:spacing w:line="240" w:lineRule="auto"/>
              <w:ind w:firstLine="0" w:firstLineChars="0"/>
              <w:jc w:val="right"/>
              <w:rPr>
                <w:rFonts w:eastAsia="宋体" w:cs="Times New Roman"/>
                <w:sz w:val="21"/>
                <w:szCs w:val="21"/>
                <w:lang w:bidi="ar"/>
              </w:rPr>
            </w:pPr>
          </w:p>
        </w:tc>
        <w:tc>
          <w:tcPr>
            <w:tcW w:w="1787" w:type="pct"/>
            <w:shd w:val="clear" w:color="auto" w:fill="auto"/>
            <w:vAlign w:val="center"/>
          </w:tcPr>
          <w:p>
            <w:pPr>
              <w:spacing w:line="240" w:lineRule="auto"/>
              <w:ind w:firstLine="0" w:firstLineChars="0"/>
              <w:jc w:val="center"/>
              <w:rPr>
                <w:rFonts w:eastAsia="宋体" w:cs="Times New Roman"/>
                <w:sz w:val="21"/>
                <w:szCs w:val="21"/>
                <w:lang w:bidi="ar"/>
              </w:rPr>
            </w:pPr>
            <w:r>
              <w:rPr>
                <w:rFonts w:hint="eastAsia" w:eastAsia="宋体" w:cs="Times New Roman"/>
                <w:sz w:val="21"/>
                <w:szCs w:val="21"/>
                <w:lang w:bidi="ar"/>
              </w:rPr>
              <w:t>广播电视</w:t>
            </w:r>
          </w:p>
        </w:tc>
        <w:tc>
          <w:tcPr>
            <w:tcW w:w="664" w:type="pct"/>
            <w:shd w:val="clear" w:color="auto" w:fill="auto"/>
            <w:vAlign w:val="center"/>
          </w:tcPr>
          <w:p>
            <w:pPr>
              <w:spacing w:line="240" w:lineRule="auto"/>
              <w:ind w:firstLine="0" w:firstLineChars="0"/>
              <w:jc w:val="right"/>
              <w:rPr>
                <w:rFonts w:eastAsia="宋体" w:cs="Times New Roman"/>
                <w:sz w:val="21"/>
                <w:szCs w:val="21"/>
                <w:lang w:bidi="ar"/>
              </w:rPr>
            </w:pPr>
            <w:r>
              <w:rPr>
                <w:rFonts w:hint="eastAsia" w:eastAsia="宋体" w:cs="Times New Roman"/>
                <w:sz w:val="21"/>
                <w:szCs w:val="21"/>
                <w:lang w:bidi="ar"/>
              </w:rPr>
              <w:t>322.27</w:t>
            </w:r>
          </w:p>
        </w:tc>
        <w:tc>
          <w:tcPr>
            <w:tcW w:w="664" w:type="pct"/>
            <w:shd w:val="clear" w:color="auto" w:fill="auto"/>
            <w:vAlign w:val="center"/>
          </w:tcPr>
          <w:p>
            <w:pPr>
              <w:spacing w:line="240" w:lineRule="auto"/>
              <w:ind w:firstLine="0" w:firstLineChars="0"/>
              <w:jc w:val="right"/>
              <w:rPr>
                <w:rFonts w:eastAsia="宋体" w:cs="Times New Roman"/>
                <w:sz w:val="21"/>
                <w:szCs w:val="21"/>
                <w:lang w:bidi="ar"/>
              </w:rPr>
            </w:pPr>
            <w:r>
              <w:rPr>
                <w:rFonts w:hint="eastAsia" w:eastAsia="宋体" w:cs="Times New Roman"/>
                <w:sz w:val="21"/>
                <w:szCs w:val="21"/>
                <w:lang w:bidi="ar"/>
              </w:rPr>
              <w:t>49.50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7" w:type="pct"/>
            <w:vMerge w:val="continue"/>
            <w:shd w:val="clear" w:color="auto" w:fill="auto"/>
            <w:vAlign w:val="center"/>
          </w:tcPr>
          <w:p>
            <w:pPr>
              <w:spacing w:line="240" w:lineRule="auto"/>
              <w:ind w:firstLine="0" w:firstLineChars="0"/>
              <w:jc w:val="center"/>
              <w:rPr>
                <w:rFonts w:eastAsia="宋体" w:cs="Times New Roman"/>
                <w:b/>
                <w:bCs/>
                <w:sz w:val="21"/>
                <w:szCs w:val="21"/>
                <w:lang w:bidi="ar"/>
              </w:rPr>
            </w:pPr>
          </w:p>
        </w:tc>
        <w:tc>
          <w:tcPr>
            <w:tcW w:w="775" w:type="pct"/>
            <w:vMerge w:val="continue"/>
            <w:shd w:val="clear" w:color="auto" w:fill="auto"/>
            <w:vAlign w:val="center"/>
          </w:tcPr>
          <w:p>
            <w:pPr>
              <w:spacing w:line="240" w:lineRule="auto"/>
              <w:ind w:firstLine="0" w:firstLineChars="0"/>
              <w:jc w:val="right"/>
              <w:rPr>
                <w:rFonts w:eastAsia="宋体" w:cs="Times New Roman"/>
                <w:sz w:val="21"/>
                <w:szCs w:val="21"/>
                <w:lang w:bidi="ar"/>
              </w:rPr>
            </w:pPr>
          </w:p>
        </w:tc>
        <w:tc>
          <w:tcPr>
            <w:tcW w:w="1787" w:type="pct"/>
            <w:shd w:val="clear" w:color="auto" w:fill="auto"/>
            <w:vAlign w:val="center"/>
          </w:tcPr>
          <w:p>
            <w:pPr>
              <w:spacing w:line="240" w:lineRule="auto"/>
              <w:ind w:firstLine="0" w:firstLineChars="0"/>
              <w:jc w:val="center"/>
              <w:rPr>
                <w:rFonts w:eastAsia="宋体" w:cs="Times New Roman"/>
                <w:sz w:val="21"/>
                <w:szCs w:val="21"/>
                <w:lang w:bidi="ar"/>
              </w:rPr>
            </w:pPr>
            <w:r>
              <w:rPr>
                <w:rFonts w:hint="eastAsia" w:eastAsia="宋体" w:cs="Times New Roman"/>
                <w:sz w:val="21"/>
                <w:szCs w:val="21"/>
                <w:lang w:bidi="ar"/>
              </w:rPr>
              <w:t>其他文化旅游体育与传媒支出</w:t>
            </w:r>
          </w:p>
        </w:tc>
        <w:tc>
          <w:tcPr>
            <w:tcW w:w="664" w:type="pct"/>
            <w:shd w:val="clear" w:color="auto" w:fill="auto"/>
            <w:vAlign w:val="center"/>
          </w:tcPr>
          <w:p>
            <w:pPr>
              <w:spacing w:line="240" w:lineRule="auto"/>
              <w:ind w:firstLine="0" w:firstLineChars="0"/>
              <w:jc w:val="right"/>
              <w:rPr>
                <w:rFonts w:eastAsia="宋体" w:cs="Times New Roman"/>
                <w:sz w:val="21"/>
                <w:szCs w:val="21"/>
                <w:lang w:bidi="ar"/>
              </w:rPr>
            </w:pPr>
            <w:r>
              <w:rPr>
                <w:rFonts w:hint="eastAsia" w:eastAsia="宋体" w:cs="Times New Roman"/>
                <w:sz w:val="21"/>
                <w:szCs w:val="21"/>
                <w:lang w:bidi="ar"/>
              </w:rPr>
              <w:t>21.50</w:t>
            </w:r>
          </w:p>
        </w:tc>
        <w:tc>
          <w:tcPr>
            <w:tcW w:w="664" w:type="pct"/>
            <w:shd w:val="clear" w:color="auto" w:fill="auto"/>
            <w:vAlign w:val="center"/>
          </w:tcPr>
          <w:p>
            <w:pPr>
              <w:spacing w:line="240" w:lineRule="auto"/>
              <w:ind w:firstLine="0" w:firstLineChars="0"/>
              <w:jc w:val="right"/>
              <w:rPr>
                <w:rFonts w:eastAsia="宋体" w:cs="Times New Roman"/>
                <w:sz w:val="21"/>
                <w:szCs w:val="21"/>
                <w:lang w:bidi="ar"/>
              </w:rPr>
            </w:pPr>
            <w:r>
              <w:rPr>
                <w:rFonts w:hint="eastAsia" w:eastAsia="宋体" w:cs="Times New Roman"/>
                <w:sz w:val="21"/>
                <w:szCs w:val="21"/>
                <w:lang w:bidi="ar"/>
              </w:rPr>
              <w:t>14</w:t>
            </w:r>
            <w:r>
              <w:rPr>
                <w:rFonts w:eastAsia="宋体" w:cs="Times New Roman"/>
                <w:sz w:val="21"/>
                <w:szCs w:val="21"/>
                <w:lang w:bidi="ar"/>
              </w:rPr>
              <w:t>,</w:t>
            </w:r>
            <w:r>
              <w:rPr>
                <w:rFonts w:hint="eastAsia" w:eastAsia="宋体" w:cs="Times New Roman"/>
                <w:sz w:val="21"/>
                <w:szCs w:val="21"/>
                <w:lang w:bidi="ar"/>
              </w:rPr>
              <w:t>102.47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7" w:type="pct"/>
            <w:shd w:val="clear" w:color="auto" w:fill="auto"/>
            <w:vAlign w:val="center"/>
          </w:tcPr>
          <w:p>
            <w:pPr>
              <w:spacing w:line="240" w:lineRule="auto"/>
              <w:ind w:firstLine="0" w:firstLineChars="0"/>
              <w:jc w:val="center"/>
              <w:rPr>
                <w:rFonts w:eastAsia="宋体" w:cs="Times New Roman"/>
                <w:b/>
                <w:bCs/>
                <w:sz w:val="21"/>
                <w:szCs w:val="21"/>
                <w:lang w:bidi="ar"/>
              </w:rPr>
            </w:pPr>
            <w:r>
              <w:rPr>
                <w:rFonts w:hint="eastAsia" w:eastAsia="宋体" w:cs="Times New Roman"/>
                <w:b/>
                <w:bCs/>
                <w:sz w:val="21"/>
                <w:szCs w:val="21"/>
                <w:lang w:bidi="ar"/>
              </w:rPr>
              <w:t>城乡社区支出</w:t>
            </w:r>
          </w:p>
        </w:tc>
        <w:tc>
          <w:tcPr>
            <w:tcW w:w="775" w:type="pct"/>
            <w:shd w:val="clear" w:color="auto" w:fill="auto"/>
            <w:vAlign w:val="center"/>
          </w:tcPr>
          <w:p>
            <w:pPr>
              <w:spacing w:line="240" w:lineRule="auto"/>
              <w:ind w:firstLine="0" w:firstLineChars="0"/>
              <w:jc w:val="right"/>
              <w:rPr>
                <w:rFonts w:eastAsia="宋体" w:cs="Times New Roman"/>
                <w:sz w:val="21"/>
                <w:szCs w:val="21"/>
                <w:lang w:bidi="ar"/>
              </w:rPr>
            </w:pPr>
            <w:r>
              <w:rPr>
                <w:rFonts w:hint="eastAsia" w:eastAsia="宋体" w:cs="Times New Roman"/>
                <w:sz w:val="21"/>
                <w:szCs w:val="21"/>
                <w:lang w:bidi="ar"/>
              </w:rPr>
              <w:t>5,000.00</w:t>
            </w:r>
          </w:p>
        </w:tc>
        <w:tc>
          <w:tcPr>
            <w:tcW w:w="1787" w:type="pct"/>
            <w:shd w:val="clear" w:color="auto" w:fill="auto"/>
            <w:vAlign w:val="center"/>
          </w:tcPr>
          <w:p>
            <w:pPr>
              <w:spacing w:line="240" w:lineRule="auto"/>
              <w:ind w:firstLine="0" w:firstLineChars="0"/>
              <w:jc w:val="center"/>
              <w:rPr>
                <w:rFonts w:eastAsia="宋体" w:cs="Times New Roman"/>
                <w:sz w:val="21"/>
                <w:szCs w:val="21"/>
                <w:lang w:bidi="ar"/>
              </w:rPr>
            </w:pPr>
            <w:r>
              <w:rPr>
                <w:rFonts w:hint="eastAsia" w:eastAsia="宋体" w:cs="Times New Roman"/>
                <w:sz w:val="21"/>
                <w:szCs w:val="21"/>
                <w:lang w:bidi="ar"/>
              </w:rPr>
              <w:t>城市基础设施配套费安排的支出</w:t>
            </w:r>
          </w:p>
        </w:tc>
        <w:tc>
          <w:tcPr>
            <w:tcW w:w="664" w:type="pct"/>
            <w:shd w:val="clear" w:color="auto" w:fill="auto"/>
            <w:vAlign w:val="center"/>
          </w:tcPr>
          <w:p>
            <w:pPr>
              <w:spacing w:line="240" w:lineRule="auto"/>
              <w:ind w:firstLine="0" w:firstLineChars="0"/>
              <w:jc w:val="right"/>
              <w:rPr>
                <w:rFonts w:eastAsia="宋体" w:cs="Times New Roman"/>
                <w:sz w:val="21"/>
                <w:szCs w:val="21"/>
                <w:lang w:bidi="ar"/>
              </w:rPr>
            </w:pPr>
            <w:r>
              <w:rPr>
                <w:rFonts w:hint="eastAsia" w:eastAsia="宋体" w:cs="Times New Roman"/>
                <w:sz w:val="21"/>
                <w:szCs w:val="21"/>
                <w:lang w:bidi="ar"/>
              </w:rPr>
              <w:t>5,000.00</w:t>
            </w:r>
          </w:p>
        </w:tc>
        <w:tc>
          <w:tcPr>
            <w:tcW w:w="664" w:type="pct"/>
            <w:shd w:val="clear" w:color="auto" w:fill="auto"/>
            <w:vAlign w:val="center"/>
          </w:tcPr>
          <w:p>
            <w:pPr>
              <w:spacing w:line="240" w:lineRule="auto"/>
              <w:ind w:firstLine="0" w:firstLineChars="0"/>
              <w:jc w:val="right"/>
              <w:rPr>
                <w:rFonts w:eastAsia="宋体" w:cs="Times New Roman"/>
                <w:sz w:val="21"/>
                <w:szCs w:val="21"/>
                <w:lang w:bidi="ar"/>
              </w:rPr>
            </w:pPr>
            <w:r>
              <w:rPr>
                <w:rFonts w:hint="eastAsia" w:eastAsia="宋体" w:cs="Times New Roman"/>
                <w:sz w:val="21"/>
                <w:szCs w:val="21"/>
                <w:lang w:bidi="ar"/>
              </w:rPr>
              <w:t>1</w:t>
            </w:r>
            <w:r>
              <w:rPr>
                <w:rFonts w:eastAsia="宋体" w:cs="Times New Roman"/>
                <w:sz w:val="21"/>
                <w:szCs w:val="21"/>
                <w:lang w:bidi="ar"/>
              </w:rPr>
              <w:t>,</w:t>
            </w:r>
            <w:r>
              <w:rPr>
                <w:rFonts w:hint="eastAsia" w:eastAsia="宋体" w:cs="Times New Roman"/>
                <w:sz w:val="21"/>
                <w:szCs w:val="21"/>
                <w:lang w:bidi="ar"/>
              </w:rPr>
              <w:t>937.69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7" w:type="pct"/>
            <w:vMerge w:val="restart"/>
            <w:shd w:val="clear" w:color="auto" w:fill="auto"/>
            <w:vAlign w:val="center"/>
          </w:tcPr>
          <w:p>
            <w:pPr>
              <w:spacing w:line="240" w:lineRule="auto"/>
              <w:ind w:firstLine="0" w:firstLineChars="0"/>
              <w:jc w:val="center"/>
              <w:rPr>
                <w:rFonts w:eastAsia="宋体" w:cs="Times New Roman"/>
                <w:b/>
                <w:bCs/>
                <w:sz w:val="21"/>
                <w:szCs w:val="21"/>
                <w:lang w:bidi="ar"/>
              </w:rPr>
            </w:pPr>
            <w:r>
              <w:rPr>
                <w:rFonts w:hint="eastAsia" w:eastAsia="宋体" w:cs="Times New Roman"/>
                <w:b/>
                <w:bCs/>
                <w:sz w:val="21"/>
                <w:szCs w:val="21"/>
                <w:lang w:bidi="ar"/>
              </w:rPr>
              <w:t>其他支出</w:t>
            </w:r>
          </w:p>
        </w:tc>
        <w:tc>
          <w:tcPr>
            <w:tcW w:w="775" w:type="pct"/>
            <w:vMerge w:val="restart"/>
            <w:shd w:val="clear" w:color="auto" w:fill="auto"/>
            <w:vAlign w:val="center"/>
          </w:tcPr>
          <w:p>
            <w:pPr>
              <w:spacing w:line="240" w:lineRule="auto"/>
              <w:ind w:firstLine="0" w:firstLineChars="0"/>
              <w:jc w:val="right"/>
              <w:rPr>
                <w:rFonts w:eastAsia="宋体" w:cs="Times New Roman"/>
                <w:sz w:val="21"/>
                <w:szCs w:val="21"/>
                <w:lang w:bidi="ar"/>
              </w:rPr>
            </w:pPr>
            <w:r>
              <w:rPr>
                <w:rFonts w:hint="eastAsia" w:eastAsia="宋体" w:cs="Times New Roman"/>
                <w:sz w:val="21"/>
                <w:szCs w:val="21"/>
                <w:lang w:bidi="ar"/>
              </w:rPr>
              <w:t>1,237.69</w:t>
            </w:r>
          </w:p>
        </w:tc>
        <w:tc>
          <w:tcPr>
            <w:tcW w:w="1787" w:type="pct"/>
            <w:shd w:val="clear" w:color="auto" w:fill="auto"/>
            <w:vAlign w:val="center"/>
          </w:tcPr>
          <w:p>
            <w:pPr>
              <w:spacing w:line="240" w:lineRule="auto"/>
              <w:ind w:firstLine="0" w:firstLineChars="0"/>
              <w:jc w:val="center"/>
              <w:rPr>
                <w:rFonts w:eastAsia="宋体" w:cs="Times New Roman"/>
                <w:sz w:val="21"/>
                <w:szCs w:val="21"/>
                <w:lang w:bidi="ar"/>
              </w:rPr>
            </w:pPr>
            <w:r>
              <w:rPr>
                <w:rFonts w:hint="eastAsia" w:eastAsia="宋体" w:cs="Times New Roman"/>
                <w:sz w:val="21"/>
                <w:szCs w:val="21"/>
                <w:lang w:bidi="ar"/>
              </w:rPr>
              <w:t>彩票发行销售机构业务费安排的支出</w:t>
            </w:r>
          </w:p>
        </w:tc>
        <w:tc>
          <w:tcPr>
            <w:tcW w:w="664" w:type="pct"/>
            <w:shd w:val="clear" w:color="auto" w:fill="auto"/>
            <w:vAlign w:val="center"/>
          </w:tcPr>
          <w:p>
            <w:pPr>
              <w:spacing w:line="240" w:lineRule="auto"/>
              <w:ind w:firstLine="0" w:firstLineChars="0"/>
              <w:jc w:val="right"/>
              <w:rPr>
                <w:rFonts w:eastAsia="宋体" w:cs="Times New Roman"/>
                <w:sz w:val="21"/>
                <w:szCs w:val="21"/>
                <w:lang w:bidi="ar"/>
              </w:rPr>
            </w:pPr>
            <w:r>
              <w:rPr>
                <w:rFonts w:hint="eastAsia" w:eastAsia="宋体" w:cs="Times New Roman"/>
                <w:sz w:val="21"/>
                <w:szCs w:val="21"/>
                <w:lang w:bidi="ar"/>
              </w:rPr>
              <w:t>459.00</w:t>
            </w:r>
          </w:p>
        </w:tc>
        <w:tc>
          <w:tcPr>
            <w:tcW w:w="664" w:type="pct"/>
            <w:shd w:val="clear" w:color="auto" w:fill="auto"/>
            <w:vAlign w:val="center"/>
          </w:tcPr>
          <w:p>
            <w:pPr>
              <w:spacing w:line="240" w:lineRule="auto"/>
              <w:ind w:firstLine="0" w:firstLineChars="0"/>
              <w:jc w:val="right"/>
              <w:rPr>
                <w:rFonts w:eastAsia="宋体" w:cs="Times New Roman"/>
                <w:sz w:val="21"/>
                <w:szCs w:val="21"/>
                <w:lang w:bidi="ar"/>
              </w:rPr>
            </w:pPr>
            <w:r>
              <w:rPr>
                <w:rFonts w:hint="eastAsia" w:eastAsia="宋体" w:cs="Times New Roman"/>
                <w:sz w:val="21"/>
                <w:szCs w:val="21"/>
                <w:lang w:bidi="ar"/>
              </w:rPr>
              <w:t>349.00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7" w:type="pct"/>
            <w:vMerge w:val="continue"/>
            <w:shd w:val="clear" w:color="auto" w:fill="auto"/>
            <w:vAlign w:val="center"/>
          </w:tcPr>
          <w:p>
            <w:pPr>
              <w:spacing w:line="240" w:lineRule="auto"/>
              <w:ind w:firstLine="0" w:firstLineChars="0"/>
              <w:jc w:val="center"/>
              <w:rPr>
                <w:rFonts w:eastAsia="宋体" w:cs="Times New Roman"/>
                <w:sz w:val="21"/>
                <w:szCs w:val="21"/>
                <w:lang w:bidi="ar"/>
              </w:rPr>
            </w:pPr>
          </w:p>
        </w:tc>
        <w:tc>
          <w:tcPr>
            <w:tcW w:w="775" w:type="pct"/>
            <w:vMerge w:val="continue"/>
            <w:shd w:val="clear" w:color="auto" w:fill="auto"/>
            <w:vAlign w:val="center"/>
          </w:tcPr>
          <w:p>
            <w:pPr>
              <w:spacing w:line="240" w:lineRule="auto"/>
              <w:ind w:firstLine="0" w:firstLineChars="0"/>
              <w:jc w:val="center"/>
              <w:rPr>
                <w:rFonts w:eastAsia="宋体" w:cs="Times New Roman"/>
                <w:sz w:val="21"/>
                <w:szCs w:val="21"/>
                <w:lang w:bidi="ar"/>
              </w:rPr>
            </w:pPr>
          </w:p>
        </w:tc>
        <w:tc>
          <w:tcPr>
            <w:tcW w:w="1787" w:type="pct"/>
            <w:shd w:val="clear" w:color="auto" w:fill="auto"/>
            <w:vAlign w:val="center"/>
          </w:tcPr>
          <w:p>
            <w:pPr>
              <w:spacing w:line="240" w:lineRule="auto"/>
              <w:ind w:firstLine="0" w:firstLineChars="0"/>
              <w:jc w:val="center"/>
              <w:rPr>
                <w:rFonts w:eastAsia="宋体" w:cs="Times New Roman"/>
                <w:sz w:val="21"/>
                <w:szCs w:val="21"/>
                <w:lang w:bidi="ar"/>
              </w:rPr>
            </w:pPr>
            <w:r>
              <w:rPr>
                <w:rFonts w:hint="eastAsia" w:eastAsia="宋体" w:cs="Times New Roman"/>
                <w:sz w:val="21"/>
                <w:szCs w:val="21"/>
                <w:lang w:bidi="ar"/>
              </w:rPr>
              <w:t>彩票公益金安排的支出</w:t>
            </w:r>
          </w:p>
        </w:tc>
        <w:tc>
          <w:tcPr>
            <w:tcW w:w="664" w:type="pct"/>
            <w:shd w:val="clear" w:color="auto" w:fill="auto"/>
            <w:vAlign w:val="center"/>
          </w:tcPr>
          <w:p>
            <w:pPr>
              <w:spacing w:line="240" w:lineRule="auto"/>
              <w:ind w:firstLine="0" w:firstLineChars="0"/>
              <w:jc w:val="right"/>
              <w:rPr>
                <w:rFonts w:eastAsia="宋体" w:cs="Times New Roman"/>
                <w:sz w:val="21"/>
                <w:szCs w:val="21"/>
                <w:lang w:bidi="ar"/>
              </w:rPr>
            </w:pPr>
            <w:r>
              <w:rPr>
                <w:rFonts w:hint="eastAsia" w:eastAsia="宋体" w:cs="Times New Roman"/>
                <w:sz w:val="21"/>
                <w:szCs w:val="21"/>
                <w:lang w:bidi="ar"/>
              </w:rPr>
              <w:t>778.69</w:t>
            </w:r>
          </w:p>
        </w:tc>
        <w:tc>
          <w:tcPr>
            <w:tcW w:w="664" w:type="pct"/>
            <w:shd w:val="clear" w:color="auto" w:fill="auto"/>
            <w:vAlign w:val="center"/>
          </w:tcPr>
          <w:p>
            <w:pPr>
              <w:spacing w:line="240" w:lineRule="auto"/>
              <w:ind w:firstLine="0" w:firstLineChars="0"/>
              <w:jc w:val="right"/>
              <w:rPr>
                <w:rFonts w:eastAsia="宋体" w:cs="Times New Roman"/>
                <w:sz w:val="21"/>
                <w:szCs w:val="21"/>
                <w:lang w:bidi="ar"/>
              </w:rPr>
            </w:pPr>
            <w:r>
              <w:rPr>
                <w:rFonts w:hint="eastAsia" w:eastAsia="宋体" w:cs="Times New Roman"/>
                <w:sz w:val="21"/>
                <w:szCs w:val="21"/>
                <w:lang w:bidi="ar"/>
              </w:rPr>
              <w:t>606.52</w:t>
            </w:r>
          </w:p>
        </w:tc>
      </w:tr>
    </w:tbl>
    <w:p>
      <w:pPr>
        <w:widowControl w:val="0"/>
        <w:spacing w:line="560" w:lineRule="exact"/>
        <w:ind w:firstLine="640"/>
        <w:jc w:val="both"/>
        <w:rPr>
          <w:rFonts w:cs="Times New Roman"/>
          <w:szCs w:val="32"/>
        </w:rPr>
      </w:pPr>
      <w:r>
        <w:rPr>
          <w:rFonts w:hint="eastAsia" w:cs="Times New Roman"/>
          <w:szCs w:val="32"/>
        </w:rPr>
        <w:t>根据《2022年韶关市文化广电旅游体育局部门预算》，该部门的重点项目1个，项目名称为韶州体育公园及配套工程（韶州体育中心）项目，具体信息如表1-</w:t>
      </w:r>
      <w:r>
        <w:rPr>
          <w:rFonts w:cs="Times New Roman"/>
          <w:szCs w:val="32"/>
        </w:rPr>
        <w:t>7</w:t>
      </w:r>
      <w:r>
        <w:rPr>
          <w:rFonts w:hint="eastAsia" w:cs="Times New Roman"/>
          <w:szCs w:val="32"/>
        </w:rPr>
        <w:t>所示：</w:t>
      </w:r>
    </w:p>
    <w:p>
      <w:pPr>
        <w:spacing w:line="560" w:lineRule="exact"/>
        <w:ind w:firstLine="0" w:firstLineChars="0"/>
        <w:jc w:val="center"/>
        <w:rPr>
          <w:rFonts w:cs="Times New Roman"/>
        </w:rPr>
      </w:pPr>
      <w:r>
        <w:rPr>
          <w:rFonts w:hint="eastAsia" w:eastAsia="宋体" w:cs="Times New Roman"/>
          <w:b/>
          <w:sz w:val="24"/>
          <w:szCs w:val="32"/>
        </w:rPr>
        <w:t>表1-7 市文广旅体局2022年重点项目</w:t>
      </w:r>
    </w:p>
    <w:tbl>
      <w:tblPr>
        <w:tblStyle w:val="30"/>
        <w:tblW w:w="498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8"/>
        <w:gridCol w:w="1939"/>
        <w:gridCol w:w="3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911" w:type="pct"/>
            <w:shd w:val="clear" w:color="auto" w:fill="auto"/>
            <w:noWrap/>
            <w:vAlign w:val="center"/>
          </w:tcPr>
          <w:p>
            <w:pPr>
              <w:spacing w:line="240" w:lineRule="auto"/>
              <w:ind w:firstLine="0" w:firstLineChars="0"/>
              <w:jc w:val="center"/>
              <w:textAlignment w:val="center"/>
              <w:rPr>
                <w:rFonts w:eastAsia="宋体" w:cs="Times New Roman"/>
                <w:b/>
                <w:sz w:val="21"/>
                <w:szCs w:val="21"/>
              </w:rPr>
            </w:pPr>
            <w:r>
              <w:rPr>
                <w:rFonts w:hint="eastAsia" w:eastAsia="宋体" w:cs="Times New Roman"/>
                <w:b/>
                <w:sz w:val="21"/>
                <w:szCs w:val="21"/>
              </w:rPr>
              <w:t>项目</w:t>
            </w:r>
          </w:p>
        </w:tc>
        <w:tc>
          <w:tcPr>
            <w:tcW w:w="1021" w:type="pct"/>
            <w:shd w:val="clear" w:color="auto" w:fill="auto"/>
            <w:noWrap/>
            <w:vAlign w:val="center"/>
          </w:tcPr>
          <w:p>
            <w:pPr>
              <w:spacing w:line="240" w:lineRule="auto"/>
              <w:ind w:firstLine="0" w:firstLineChars="0"/>
              <w:jc w:val="center"/>
              <w:textAlignment w:val="center"/>
              <w:rPr>
                <w:rFonts w:eastAsia="宋体" w:cs="Times New Roman"/>
                <w:b/>
                <w:sz w:val="21"/>
                <w:szCs w:val="21"/>
              </w:rPr>
            </w:pPr>
            <w:r>
              <w:rPr>
                <w:rFonts w:hint="eastAsia" w:eastAsia="宋体" w:cs="Times New Roman"/>
                <w:b/>
                <w:sz w:val="21"/>
                <w:szCs w:val="21"/>
              </w:rPr>
              <w:t>预算数</w:t>
            </w:r>
          </w:p>
        </w:tc>
        <w:tc>
          <w:tcPr>
            <w:tcW w:w="2067" w:type="pct"/>
            <w:shd w:val="clear" w:color="auto" w:fill="auto"/>
            <w:noWrap/>
            <w:vAlign w:val="center"/>
          </w:tcPr>
          <w:p>
            <w:pPr>
              <w:spacing w:line="240" w:lineRule="auto"/>
              <w:ind w:firstLine="0" w:firstLineChars="0"/>
              <w:jc w:val="center"/>
              <w:textAlignment w:val="center"/>
              <w:rPr>
                <w:rFonts w:eastAsia="宋体" w:cs="Times New Roman"/>
                <w:b/>
                <w:sz w:val="21"/>
                <w:szCs w:val="21"/>
              </w:rPr>
            </w:pPr>
            <w:r>
              <w:rPr>
                <w:rFonts w:hint="eastAsia" w:eastAsia="宋体" w:cs="Times New Roman"/>
                <w:b/>
                <w:sz w:val="21"/>
                <w:szCs w:val="21"/>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1911" w:type="pct"/>
            <w:shd w:val="clear" w:color="auto" w:fill="auto"/>
            <w:noWrap/>
            <w:vAlign w:val="center"/>
          </w:tcPr>
          <w:p>
            <w:pPr>
              <w:spacing w:line="240" w:lineRule="auto"/>
              <w:ind w:firstLine="0" w:firstLineChars="0"/>
              <w:jc w:val="center"/>
              <w:textAlignment w:val="center"/>
              <w:rPr>
                <w:rFonts w:eastAsia="宋体" w:cs="Times New Roman"/>
                <w:bCs/>
                <w:sz w:val="21"/>
                <w:szCs w:val="21"/>
              </w:rPr>
            </w:pPr>
            <w:r>
              <w:rPr>
                <w:rFonts w:hint="eastAsia" w:eastAsia="宋体" w:cs="Times New Roman"/>
                <w:bCs/>
                <w:sz w:val="21"/>
                <w:szCs w:val="21"/>
              </w:rPr>
              <w:t>韶州体育公园及配套工程（韶州体育中心）</w:t>
            </w:r>
          </w:p>
        </w:tc>
        <w:tc>
          <w:tcPr>
            <w:tcW w:w="1021" w:type="pct"/>
            <w:shd w:val="clear" w:color="auto" w:fill="auto"/>
            <w:noWrap/>
            <w:vAlign w:val="center"/>
          </w:tcPr>
          <w:p>
            <w:pPr>
              <w:spacing w:line="240" w:lineRule="auto"/>
              <w:ind w:firstLine="0" w:firstLineChars="0"/>
              <w:jc w:val="center"/>
              <w:textAlignment w:val="center"/>
              <w:rPr>
                <w:rFonts w:eastAsia="宋体" w:cs="Times New Roman"/>
                <w:bCs/>
                <w:sz w:val="21"/>
                <w:szCs w:val="21"/>
              </w:rPr>
            </w:pPr>
            <w:r>
              <w:rPr>
                <w:rFonts w:hint="eastAsia" w:eastAsia="宋体" w:cs="Times New Roman"/>
                <w:bCs/>
                <w:sz w:val="21"/>
                <w:szCs w:val="21"/>
              </w:rPr>
              <w:t>5,000.00万元</w:t>
            </w:r>
          </w:p>
        </w:tc>
        <w:tc>
          <w:tcPr>
            <w:tcW w:w="2067" w:type="pct"/>
            <w:shd w:val="clear" w:color="auto" w:fill="auto"/>
            <w:vAlign w:val="center"/>
          </w:tcPr>
          <w:p>
            <w:pPr>
              <w:spacing w:line="240" w:lineRule="auto"/>
              <w:ind w:firstLine="0" w:firstLineChars="0"/>
              <w:jc w:val="center"/>
              <w:textAlignment w:val="center"/>
              <w:rPr>
                <w:rFonts w:eastAsia="宋体" w:cs="Times New Roman"/>
                <w:bCs/>
                <w:sz w:val="21"/>
                <w:szCs w:val="21"/>
              </w:rPr>
            </w:pPr>
            <w:r>
              <w:rPr>
                <w:rFonts w:hint="eastAsia" w:eastAsia="宋体" w:cs="Times New Roman"/>
                <w:bCs/>
                <w:sz w:val="21"/>
                <w:szCs w:val="21"/>
              </w:rPr>
              <w:t>项目总建筑面积36750平方米，今年完成体育馆、体育场、地下停车场、景观绿化和室外附属工程的全部建设。</w:t>
            </w:r>
          </w:p>
        </w:tc>
      </w:tr>
    </w:tbl>
    <w:p>
      <w:pPr>
        <w:pStyle w:val="25"/>
        <w:spacing w:line="560" w:lineRule="exact"/>
        <w:ind w:left="0" w:firstLine="480" w:firstLineChars="200"/>
        <w:rPr>
          <w:rFonts w:ascii="Times New Roman" w:hAnsi="Times New Roman"/>
          <w:smallCaps w:val="0"/>
        </w:rPr>
      </w:pPr>
    </w:p>
    <w:p>
      <w:pPr>
        <w:pStyle w:val="5"/>
        <w:widowControl w:val="0"/>
        <w:spacing w:before="0" w:beforeLines="0" w:after="0" w:afterLines="0" w:line="560" w:lineRule="exact"/>
        <w:ind w:firstLine="640"/>
        <w:jc w:val="both"/>
        <w:rPr>
          <w:rFonts w:eastAsia="黑体" w:cs="Times New Roman"/>
          <w:b w:val="0"/>
          <w:kern w:val="44"/>
          <w:szCs w:val="20"/>
        </w:rPr>
      </w:pPr>
      <w:bookmarkStart w:id="63" w:name="_Toc10415"/>
      <w:bookmarkStart w:id="64" w:name="_Toc30976"/>
      <w:bookmarkStart w:id="65" w:name="_Toc13678"/>
      <w:bookmarkStart w:id="66" w:name="_Toc30165"/>
      <w:bookmarkStart w:id="67" w:name="_Toc4127"/>
      <w:bookmarkStart w:id="68" w:name="_Toc20429"/>
      <w:r>
        <w:rPr>
          <w:rFonts w:eastAsia="黑体" w:cs="Times New Roman"/>
          <w:b w:val="0"/>
          <w:kern w:val="44"/>
          <w:szCs w:val="20"/>
        </w:rPr>
        <w:t>二、绩效评价指标分析</w:t>
      </w:r>
      <w:bookmarkEnd w:id="63"/>
      <w:bookmarkEnd w:id="64"/>
      <w:bookmarkEnd w:id="65"/>
      <w:bookmarkEnd w:id="66"/>
      <w:bookmarkEnd w:id="67"/>
      <w:bookmarkEnd w:id="68"/>
    </w:p>
    <w:p>
      <w:pPr>
        <w:pStyle w:val="6"/>
        <w:spacing w:beforeLines="0" w:line="560" w:lineRule="exact"/>
        <w:ind w:firstLine="640"/>
        <w:rPr>
          <w:rFonts w:cs="Times New Roman"/>
        </w:rPr>
      </w:pPr>
      <w:bookmarkStart w:id="69" w:name="_Toc26719"/>
      <w:bookmarkStart w:id="70" w:name="_Toc112424051"/>
      <w:bookmarkStart w:id="71" w:name="_Toc7362"/>
      <w:bookmarkStart w:id="72" w:name="_Toc288"/>
      <w:bookmarkStart w:id="73" w:name="_Toc309"/>
      <w:bookmarkStart w:id="74" w:name="_Toc27847"/>
      <w:bookmarkStart w:id="75" w:name="_Toc114664783"/>
      <w:bookmarkStart w:id="76" w:name="_Hlk50353350"/>
      <w:r>
        <w:rPr>
          <w:rFonts w:hint="eastAsia" w:cs="Times New Roman"/>
        </w:rPr>
        <w:t>（一）</w:t>
      </w:r>
      <w:r>
        <w:rPr>
          <w:rFonts w:cs="Times New Roman"/>
        </w:rPr>
        <w:t>年度工作任务及绩效目标完成情况。</w:t>
      </w:r>
      <w:bookmarkEnd w:id="69"/>
      <w:bookmarkEnd w:id="70"/>
      <w:bookmarkEnd w:id="71"/>
      <w:bookmarkEnd w:id="72"/>
      <w:bookmarkEnd w:id="73"/>
      <w:bookmarkEnd w:id="74"/>
      <w:bookmarkEnd w:id="75"/>
    </w:p>
    <w:p>
      <w:pPr>
        <w:spacing w:line="560" w:lineRule="exact"/>
        <w:ind w:firstLine="640"/>
        <w:jc w:val="both"/>
        <w:rPr>
          <w:rFonts w:cs="Times New Roman"/>
          <w:szCs w:val="32"/>
        </w:rPr>
      </w:pPr>
      <w:r>
        <w:rPr>
          <w:rFonts w:hint="eastAsia" w:cs="Times New Roman"/>
          <w:szCs w:val="32"/>
        </w:rPr>
        <w:t>2022年</w:t>
      </w:r>
      <w:r>
        <w:rPr>
          <w:rFonts w:cs="Times New Roman"/>
          <w:szCs w:val="32"/>
        </w:rPr>
        <w:t>度</w:t>
      </w:r>
      <w:r>
        <w:rPr>
          <w:rFonts w:hint="eastAsia" w:cs="Times New Roman"/>
          <w:szCs w:val="32"/>
        </w:rPr>
        <w:t>市文广旅体局</w:t>
      </w:r>
      <w:r>
        <w:rPr>
          <w:rFonts w:cs="Times New Roman"/>
          <w:szCs w:val="32"/>
        </w:rPr>
        <w:t>各项年度工作任务完成情况较好，年初各项绩效目标</w:t>
      </w:r>
      <w:r>
        <w:rPr>
          <w:rFonts w:hint="eastAsia" w:cs="Times New Roman"/>
          <w:szCs w:val="32"/>
        </w:rPr>
        <w:t>大部分完成</w:t>
      </w:r>
      <w:r>
        <w:rPr>
          <w:rFonts w:cs="Times New Roman"/>
          <w:szCs w:val="32"/>
        </w:rPr>
        <w:t>，</w:t>
      </w:r>
      <w:r>
        <w:rPr>
          <w:rFonts w:hint="eastAsia" w:cs="Times New Roman"/>
          <w:szCs w:val="32"/>
        </w:rPr>
        <w:t>表现为积极开展文化发展建设、丰富群众文化生活、浓厚全民体育氛围、提质广播电视基础设施、激发旅游行业发展活力、提升公共服务水平等几个方面。具体而言，市文广旅体局</w:t>
      </w:r>
      <w:r>
        <w:rPr>
          <w:rFonts w:cs="Times New Roman"/>
          <w:szCs w:val="32"/>
        </w:rPr>
        <w:t>部门</w:t>
      </w:r>
      <w:r>
        <w:rPr>
          <w:rFonts w:hint="eastAsia" w:cs="Times New Roman"/>
          <w:szCs w:val="32"/>
        </w:rPr>
        <w:t>整体</w:t>
      </w:r>
      <w:r>
        <w:rPr>
          <w:rFonts w:cs="Times New Roman"/>
          <w:szCs w:val="32"/>
        </w:rPr>
        <w:t>的3</w:t>
      </w:r>
      <w:r>
        <w:rPr>
          <w:rFonts w:hint="eastAsia" w:cs="Times New Roman"/>
          <w:szCs w:val="32"/>
        </w:rPr>
        <w:t>0</w:t>
      </w:r>
      <w:r>
        <w:rPr>
          <w:rFonts w:cs="Times New Roman"/>
          <w:szCs w:val="32"/>
        </w:rPr>
        <w:t>项</w:t>
      </w:r>
      <w:r>
        <w:rPr>
          <w:rFonts w:hint="eastAsia" w:cs="Times New Roman"/>
          <w:szCs w:val="32"/>
        </w:rPr>
        <w:t>绩效</w:t>
      </w:r>
      <w:r>
        <w:rPr>
          <w:rFonts w:cs="Times New Roman"/>
          <w:szCs w:val="32"/>
        </w:rPr>
        <w:t>指标</w:t>
      </w:r>
      <w:r>
        <w:rPr>
          <w:rFonts w:hint="eastAsia" w:cs="Times New Roman"/>
          <w:szCs w:val="32"/>
        </w:rPr>
        <w:t>共完成2</w:t>
      </w:r>
      <w:r>
        <w:rPr>
          <w:rFonts w:cs="Times New Roman"/>
          <w:szCs w:val="32"/>
        </w:rPr>
        <w:t>7</w:t>
      </w:r>
      <w:r>
        <w:rPr>
          <w:rFonts w:hint="eastAsia" w:cs="Times New Roman"/>
          <w:szCs w:val="32"/>
        </w:rPr>
        <w:t>项</w:t>
      </w:r>
      <w:r>
        <w:rPr>
          <w:rFonts w:cs="Times New Roman"/>
          <w:szCs w:val="32"/>
        </w:rPr>
        <w:t>，</w:t>
      </w:r>
      <w:r>
        <w:rPr>
          <w:rFonts w:hint="eastAsia" w:cs="Times New Roman"/>
          <w:szCs w:val="32"/>
        </w:rPr>
        <w:t>未完成</w:t>
      </w:r>
      <w:r>
        <w:rPr>
          <w:rFonts w:cs="Times New Roman"/>
          <w:szCs w:val="32"/>
        </w:rPr>
        <w:t>指标3</w:t>
      </w:r>
      <w:r>
        <w:rPr>
          <w:rFonts w:hint="eastAsia" w:cs="Times New Roman"/>
          <w:szCs w:val="32"/>
        </w:rPr>
        <w:t>项</w:t>
      </w:r>
      <w:r>
        <w:rPr>
          <w:rFonts w:cs="Times New Roman"/>
          <w:szCs w:val="32"/>
        </w:rPr>
        <w:t>，部门整体支出绩效指标及完成情况如表2-1所示。</w:t>
      </w:r>
    </w:p>
    <w:p>
      <w:pPr>
        <w:widowControl w:val="0"/>
        <w:spacing w:line="560" w:lineRule="exact"/>
        <w:ind w:firstLine="0" w:firstLineChars="0"/>
        <w:jc w:val="center"/>
        <w:rPr>
          <w:rFonts w:eastAsia="宋体" w:cs="Times New Roman"/>
          <w:bCs/>
          <w:sz w:val="24"/>
          <w:szCs w:val="24"/>
        </w:rPr>
      </w:pPr>
      <w:r>
        <w:rPr>
          <w:rFonts w:hint="eastAsia" w:eastAsia="宋体" w:cs="Times New Roman"/>
          <w:b/>
          <w:sz w:val="24"/>
          <w:szCs w:val="24"/>
        </w:rPr>
        <w:t>表2-1 市文广旅体局2022年度部门整体支出绩效指标表</w:t>
      </w:r>
    </w:p>
    <w:tbl>
      <w:tblPr>
        <w:tblStyle w:val="30"/>
        <w:tblW w:w="5026" w:type="pct"/>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734"/>
        <w:gridCol w:w="3711"/>
        <w:gridCol w:w="1630"/>
        <w:gridCol w:w="1691"/>
        <w:gridCol w:w="1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blHeader/>
        </w:trPr>
        <w:tc>
          <w:tcPr>
            <w:tcW w:w="360" w:type="pct"/>
            <w:shd w:val="clear" w:color="auto" w:fill="auto"/>
            <w:vAlign w:val="center"/>
          </w:tcPr>
          <w:p>
            <w:pPr>
              <w:spacing w:line="240" w:lineRule="auto"/>
              <w:ind w:firstLine="0" w:firstLineChars="0"/>
              <w:jc w:val="center"/>
              <w:textAlignment w:val="center"/>
              <w:rPr>
                <w:rFonts w:eastAsia="宋体" w:cs="Times New Roman"/>
                <w:b/>
                <w:bCs/>
                <w:sz w:val="21"/>
                <w:szCs w:val="21"/>
              </w:rPr>
            </w:pPr>
            <w:r>
              <w:rPr>
                <w:rFonts w:hint="eastAsia" w:eastAsia="宋体" w:cs="Times New Roman"/>
                <w:b/>
                <w:sz w:val="21"/>
                <w:szCs w:val="21"/>
                <w:highlight w:val="yellow"/>
              </w:rPr>
              <w:br w:type="page"/>
            </w:r>
            <w:r>
              <w:rPr>
                <w:rFonts w:hint="eastAsia" w:eastAsia="宋体" w:cs="Times New Roman"/>
                <w:b/>
                <w:bCs/>
                <w:sz w:val="21"/>
                <w:szCs w:val="21"/>
                <w:lang w:bidi="ar"/>
              </w:rPr>
              <w:t>序号</w:t>
            </w:r>
          </w:p>
        </w:tc>
        <w:tc>
          <w:tcPr>
            <w:tcW w:w="384" w:type="pct"/>
            <w:shd w:val="clear" w:color="auto" w:fill="auto"/>
            <w:vAlign w:val="center"/>
          </w:tcPr>
          <w:p>
            <w:pPr>
              <w:spacing w:line="240" w:lineRule="auto"/>
              <w:ind w:firstLine="0" w:firstLineChars="0"/>
              <w:jc w:val="center"/>
              <w:textAlignment w:val="center"/>
              <w:rPr>
                <w:rFonts w:eastAsia="宋体" w:cs="Times New Roman"/>
                <w:b/>
                <w:bCs/>
                <w:sz w:val="21"/>
                <w:szCs w:val="21"/>
              </w:rPr>
            </w:pPr>
            <w:r>
              <w:rPr>
                <w:rFonts w:hint="eastAsia" w:eastAsia="宋体" w:cs="Times New Roman"/>
                <w:b/>
                <w:bCs/>
                <w:sz w:val="21"/>
                <w:szCs w:val="21"/>
                <w:lang w:bidi="ar"/>
              </w:rPr>
              <w:t>二级指标</w:t>
            </w:r>
          </w:p>
        </w:tc>
        <w:tc>
          <w:tcPr>
            <w:tcW w:w="1939" w:type="pct"/>
            <w:shd w:val="clear" w:color="auto" w:fill="auto"/>
            <w:vAlign w:val="center"/>
          </w:tcPr>
          <w:p>
            <w:pPr>
              <w:spacing w:line="240" w:lineRule="auto"/>
              <w:ind w:firstLine="0" w:firstLineChars="0"/>
              <w:jc w:val="center"/>
              <w:textAlignment w:val="center"/>
              <w:rPr>
                <w:rFonts w:eastAsia="宋体" w:cs="Times New Roman"/>
                <w:b/>
                <w:bCs/>
                <w:sz w:val="21"/>
                <w:szCs w:val="21"/>
              </w:rPr>
            </w:pPr>
            <w:r>
              <w:rPr>
                <w:rFonts w:hint="eastAsia" w:eastAsia="宋体" w:cs="Times New Roman"/>
                <w:b/>
                <w:bCs/>
                <w:sz w:val="21"/>
                <w:szCs w:val="21"/>
                <w:lang w:bidi="ar"/>
              </w:rPr>
              <w:t>三级指标</w:t>
            </w:r>
          </w:p>
        </w:tc>
        <w:tc>
          <w:tcPr>
            <w:tcW w:w="851" w:type="pct"/>
            <w:shd w:val="clear" w:color="auto" w:fill="auto"/>
            <w:vAlign w:val="center"/>
          </w:tcPr>
          <w:p>
            <w:pPr>
              <w:spacing w:line="240" w:lineRule="auto"/>
              <w:ind w:firstLine="0" w:firstLineChars="0"/>
              <w:jc w:val="center"/>
              <w:textAlignment w:val="center"/>
              <w:rPr>
                <w:rFonts w:eastAsia="宋体" w:cs="Times New Roman"/>
                <w:b/>
                <w:bCs/>
                <w:sz w:val="21"/>
                <w:szCs w:val="21"/>
              </w:rPr>
            </w:pPr>
            <w:r>
              <w:rPr>
                <w:rFonts w:hint="eastAsia" w:eastAsia="宋体" w:cs="Times New Roman"/>
                <w:b/>
                <w:bCs/>
                <w:sz w:val="21"/>
                <w:szCs w:val="21"/>
                <w:lang w:bidi="ar"/>
              </w:rPr>
              <w:t>目标值</w:t>
            </w:r>
          </w:p>
        </w:tc>
        <w:tc>
          <w:tcPr>
            <w:tcW w:w="883" w:type="pct"/>
            <w:shd w:val="clear" w:color="auto" w:fill="auto"/>
            <w:vAlign w:val="center"/>
          </w:tcPr>
          <w:p>
            <w:pPr>
              <w:spacing w:line="240" w:lineRule="auto"/>
              <w:ind w:firstLine="0" w:firstLineChars="0"/>
              <w:jc w:val="center"/>
              <w:textAlignment w:val="center"/>
              <w:rPr>
                <w:rFonts w:eastAsia="宋体" w:cs="Times New Roman"/>
                <w:b/>
                <w:bCs/>
                <w:sz w:val="21"/>
                <w:szCs w:val="21"/>
                <w:lang w:bidi="ar"/>
              </w:rPr>
            </w:pPr>
            <w:r>
              <w:rPr>
                <w:rFonts w:hint="eastAsia" w:eastAsia="宋体" w:cs="Times New Roman"/>
                <w:b/>
                <w:bCs/>
                <w:sz w:val="21"/>
                <w:szCs w:val="21"/>
                <w:lang w:bidi="ar"/>
              </w:rPr>
              <w:t>实际完成值</w:t>
            </w:r>
          </w:p>
        </w:tc>
        <w:tc>
          <w:tcPr>
            <w:tcW w:w="580" w:type="pct"/>
            <w:shd w:val="clear" w:color="auto" w:fill="auto"/>
            <w:vAlign w:val="center"/>
          </w:tcPr>
          <w:p>
            <w:pPr>
              <w:spacing w:line="240" w:lineRule="auto"/>
              <w:ind w:firstLine="0" w:firstLineChars="0"/>
              <w:jc w:val="center"/>
              <w:textAlignment w:val="center"/>
              <w:rPr>
                <w:rFonts w:eastAsia="宋体" w:cs="Times New Roman"/>
                <w:b/>
                <w:bCs/>
                <w:sz w:val="21"/>
                <w:szCs w:val="21"/>
                <w:lang w:bidi="ar"/>
              </w:rPr>
            </w:pPr>
            <w:r>
              <w:rPr>
                <w:rFonts w:hint="eastAsia" w:eastAsia="宋体" w:cs="Times New Roman"/>
                <w:b/>
                <w:bCs/>
                <w:sz w:val="21"/>
                <w:szCs w:val="21"/>
                <w:lang w:bidi="ar"/>
              </w:rPr>
              <w:t>是否完成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1</w:t>
            </w:r>
          </w:p>
        </w:tc>
        <w:tc>
          <w:tcPr>
            <w:tcW w:w="384" w:type="pct"/>
            <w:vMerge w:val="restar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产出数量</w:t>
            </w: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建成韶州体育中心数量</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lang w:bidi="ar"/>
              </w:rPr>
            </w:pPr>
            <w:r>
              <w:rPr>
                <w:rFonts w:hint="eastAsia" w:eastAsia="宋体" w:cs="Times New Roman"/>
                <w:sz w:val="21"/>
                <w:szCs w:val="21"/>
                <w:lang w:bidi="ar"/>
              </w:rPr>
              <w:t>1个</w:t>
            </w:r>
          </w:p>
        </w:tc>
        <w:tc>
          <w:tcPr>
            <w:tcW w:w="883"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rPr>
              <w:t>1个</w:t>
            </w:r>
          </w:p>
        </w:tc>
        <w:tc>
          <w:tcPr>
            <w:tcW w:w="580"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2</w:t>
            </w:r>
          </w:p>
        </w:tc>
        <w:tc>
          <w:tcPr>
            <w:tcW w:w="384" w:type="pct"/>
            <w:vMerge w:val="continue"/>
            <w:shd w:val="clear" w:color="auto" w:fill="auto"/>
            <w:noWrap/>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组团参加广东省第十六届运动会</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lang w:bidi="ar"/>
              </w:rPr>
            </w:pPr>
            <w:r>
              <w:rPr>
                <w:rFonts w:hint="eastAsia" w:eastAsia="宋体" w:cs="Times New Roman"/>
                <w:sz w:val="21"/>
                <w:szCs w:val="21"/>
                <w:lang w:bidi="ar"/>
              </w:rPr>
              <w:t>700人</w:t>
            </w:r>
          </w:p>
        </w:tc>
        <w:tc>
          <w:tcPr>
            <w:tcW w:w="883"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750人</w:t>
            </w:r>
          </w:p>
        </w:tc>
        <w:tc>
          <w:tcPr>
            <w:tcW w:w="580"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3</w:t>
            </w:r>
          </w:p>
        </w:tc>
        <w:tc>
          <w:tcPr>
            <w:tcW w:w="384" w:type="pct"/>
            <w:vMerge w:val="continue"/>
            <w:shd w:val="clear" w:color="auto" w:fill="auto"/>
            <w:noWrap/>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音乐舞蹈花会惠民演出数量</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lang w:bidi="ar"/>
              </w:rPr>
            </w:pPr>
            <w:r>
              <w:rPr>
                <w:rFonts w:hint="eastAsia" w:eastAsia="宋体" w:cs="Times New Roman"/>
                <w:sz w:val="21"/>
                <w:szCs w:val="21"/>
                <w:lang w:bidi="ar"/>
              </w:rPr>
              <w:t>≥1场</w:t>
            </w:r>
          </w:p>
        </w:tc>
        <w:tc>
          <w:tcPr>
            <w:tcW w:w="883"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4场</w:t>
            </w:r>
          </w:p>
        </w:tc>
        <w:tc>
          <w:tcPr>
            <w:tcW w:w="580"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4</w:t>
            </w:r>
          </w:p>
        </w:tc>
        <w:tc>
          <w:tcPr>
            <w:tcW w:w="384" w:type="pct"/>
            <w:vMerge w:val="continue"/>
            <w:shd w:val="clear" w:color="auto" w:fill="auto"/>
            <w:noWrap/>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新建风度书房数量</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lang w:bidi="ar"/>
              </w:rPr>
            </w:pPr>
            <w:r>
              <w:rPr>
                <w:rFonts w:hint="eastAsia" w:eastAsia="宋体" w:cs="Times New Roman"/>
                <w:sz w:val="21"/>
                <w:szCs w:val="21"/>
                <w:lang w:bidi="ar"/>
              </w:rPr>
              <w:t>10间</w:t>
            </w:r>
          </w:p>
        </w:tc>
        <w:tc>
          <w:tcPr>
            <w:tcW w:w="883"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rPr>
              <w:t>10间</w:t>
            </w:r>
          </w:p>
        </w:tc>
        <w:tc>
          <w:tcPr>
            <w:tcW w:w="580"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5</w:t>
            </w:r>
          </w:p>
        </w:tc>
        <w:tc>
          <w:tcPr>
            <w:tcW w:w="384" w:type="pct"/>
            <w:vMerge w:val="continue"/>
            <w:shd w:val="clear" w:color="auto" w:fill="auto"/>
            <w:noWrap/>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rPr>
              <w:t>加快图书馆推进项目建设有关工作</w:t>
            </w:r>
          </w:p>
        </w:tc>
        <w:tc>
          <w:tcPr>
            <w:tcW w:w="851" w:type="pct"/>
            <w:shd w:val="clear" w:color="auto" w:fill="auto"/>
            <w:vAlign w:val="center"/>
          </w:tcPr>
          <w:p>
            <w:pPr>
              <w:spacing w:line="240" w:lineRule="auto"/>
              <w:ind w:firstLine="0" w:firstLineChars="0"/>
              <w:jc w:val="center"/>
              <w:textAlignment w:val="center"/>
              <w:rPr>
                <w:rFonts w:hint="eastAsia" w:eastAsia="宋体" w:cs="Times New Roman"/>
                <w:sz w:val="21"/>
                <w:szCs w:val="21"/>
                <w:lang w:bidi="ar"/>
              </w:rPr>
            </w:pPr>
            <w:r>
              <w:rPr>
                <w:rFonts w:hint="eastAsia" w:eastAsia="宋体" w:cs="Times New Roman"/>
                <w:sz w:val="21"/>
                <w:szCs w:val="21"/>
                <w:lang w:bidi="ar"/>
              </w:rPr>
              <w:t>加快推进</w:t>
            </w:r>
          </w:p>
        </w:tc>
        <w:tc>
          <w:tcPr>
            <w:tcW w:w="883"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已按照市委市政府的批示精神推进</w:t>
            </w:r>
          </w:p>
        </w:tc>
        <w:tc>
          <w:tcPr>
            <w:tcW w:w="580"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6</w:t>
            </w:r>
          </w:p>
        </w:tc>
        <w:tc>
          <w:tcPr>
            <w:tcW w:w="384" w:type="pct"/>
            <w:vMerge w:val="continue"/>
            <w:shd w:val="clear" w:color="auto" w:fill="auto"/>
            <w:noWrap/>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举办丰富多彩的文旅体活动次数</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lang w:bidi="ar"/>
              </w:rPr>
            </w:pPr>
            <w:r>
              <w:rPr>
                <w:rFonts w:hint="eastAsia" w:eastAsia="宋体" w:cs="Times New Roman"/>
                <w:sz w:val="21"/>
                <w:szCs w:val="21"/>
                <w:lang w:bidi="ar"/>
              </w:rPr>
              <w:t>≥80场</w:t>
            </w:r>
          </w:p>
        </w:tc>
        <w:tc>
          <w:tcPr>
            <w:tcW w:w="883"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lang w:bidi="ar"/>
              </w:rPr>
              <w:t>80场</w:t>
            </w:r>
          </w:p>
        </w:tc>
        <w:tc>
          <w:tcPr>
            <w:tcW w:w="580"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7</w:t>
            </w:r>
          </w:p>
        </w:tc>
        <w:tc>
          <w:tcPr>
            <w:tcW w:w="384" w:type="pct"/>
            <w:vMerge w:val="continue"/>
            <w:shd w:val="clear" w:color="auto" w:fill="auto"/>
            <w:noWrap/>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抓好重点剧目创排数量</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lang w:bidi="ar"/>
              </w:rPr>
            </w:pPr>
            <w:r>
              <w:rPr>
                <w:rFonts w:hint="eastAsia" w:eastAsia="宋体" w:cs="Times New Roman"/>
                <w:sz w:val="21"/>
                <w:szCs w:val="21"/>
              </w:rPr>
              <w:t>60</w:t>
            </w:r>
            <w:r>
              <w:rPr>
                <w:rFonts w:hint="eastAsia" w:eastAsia="宋体" w:cs="Times New Roman"/>
                <w:sz w:val="21"/>
                <w:szCs w:val="21"/>
                <w:lang w:bidi="ar"/>
              </w:rPr>
              <w:t>场</w:t>
            </w:r>
          </w:p>
        </w:tc>
        <w:tc>
          <w:tcPr>
            <w:tcW w:w="883"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rPr>
              <w:t>60场</w:t>
            </w:r>
          </w:p>
        </w:tc>
        <w:tc>
          <w:tcPr>
            <w:tcW w:w="580"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8</w:t>
            </w:r>
          </w:p>
        </w:tc>
        <w:tc>
          <w:tcPr>
            <w:tcW w:w="384" w:type="pct"/>
            <w:vMerge w:val="continue"/>
            <w:shd w:val="clear" w:color="auto" w:fill="auto"/>
            <w:noWrap/>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新增省精神文明建设“五个一工程”奖作品</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lang w:bidi="ar"/>
              </w:rPr>
            </w:pPr>
            <w:r>
              <w:rPr>
                <w:rFonts w:hint="eastAsia" w:eastAsia="宋体" w:cs="Times New Roman"/>
                <w:sz w:val="21"/>
                <w:szCs w:val="21"/>
                <w:lang w:bidi="ar"/>
              </w:rPr>
              <w:t>1部</w:t>
            </w:r>
          </w:p>
        </w:tc>
        <w:tc>
          <w:tcPr>
            <w:tcW w:w="883"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lang w:bidi="ar"/>
              </w:rPr>
              <w:t>1部</w:t>
            </w:r>
          </w:p>
        </w:tc>
        <w:tc>
          <w:tcPr>
            <w:tcW w:w="580" w:type="pct"/>
            <w:shd w:val="clear" w:color="auto" w:fill="auto"/>
            <w:vAlign w:val="center"/>
          </w:tcPr>
          <w:p>
            <w:pPr>
              <w:spacing w:line="240" w:lineRule="auto"/>
              <w:ind w:firstLine="0" w:firstLineChars="0"/>
              <w:jc w:val="center"/>
              <w:rPr>
                <w:rFonts w:eastAsia="宋体" w:cs="Times New Roman"/>
                <w:sz w:val="21"/>
                <w:szCs w:val="21"/>
                <w:lang w:bidi="ar"/>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9</w:t>
            </w:r>
          </w:p>
        </w:tc>
        <w:tc>
          <w:tcPr>
            <w:tcW w:w="384" w:type="pct"/>
            <w:vMerge w:val="continue"/>
            <w:shd w:val="clear" w:color="auto" w:fill="auto"/>
            <w:noWrap/>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出台《韶关市市级非物质文化遗产代表性传承人认定与管理暂行办法》</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lang w:bidi="ar"/>
              </w:rPr>
            </w:pPr>
            <w:r>
              <w:rPr>
                <w:rFonts w:hint="eastAsia" w:eastAsia="宋体" w:cs="Times New Roman"/>
                <w:sz w:val="21"/>
                <w:szCs w:val="21"/>
                <w:lang w:bidi="ar"/>
              </w:rPr>
              <w:t>1项</w:t>
            </w:r>
          </w:p>
        </w:tc>
        <w:tc>
          <w:tcPr>
            <w:tcW w:w="883"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lang w:bidi="ar"/>
              </w:rPr>
              <w:t>1项</w:t>
            </w:r>
          </w:p>
        </w:tc>
        <w:tc>
          <w:tcPr>
            <w:tcW w:w="580" w:type="pct"/>
            <w:shd w:val="clear" w:color="auto" w:fill="auto"/>
            <w:vAlign w:val="center"/>
          </w:tcPr>
          <w:p>
            <w:pPr>
              <w:spacing w:line="240" w:lineRule="auto"/>
              <w:ind w:firstLine="0" w:firstLineChars="0"/>
              <w:jc w:val="center"/>
              <w:rPr>
                <w:rFonts w:eastAsia="宋体" w:cs="Times New Roman"/>
                <w:sz w:val="21"/>
                <w:szCs w:val="21"/>
                <w:lang w:bidi="ar"/>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10</w:t>
            </w:r>
          </w:p>
        </w:tc>
        <w:tc>
          <w:tcPr>
            <w:tcW w:w="384" w:type="pct"/>
            <w:vMerge w:val="continue"/>
            <w:shd w:val="clear" w:color="auto" w:fill="auto"/>
            <w:noWrap/>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市级以上文物保护单位保存现状进行全面摸底完成率</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lang w:bidi="ar"/>
              </w:rPr>
            </w:pPr>
            <w:r>
              <w:rPr>
                <w:rFonts w:hint="eastAsia" w:eastAsia="宋体" w:cs="Times New Roman"/>
                <w:sz w:val="21"/>
                <w:szCs w:val="21"/>
                <w:lang w:bidi="ar"/>
              </w:rPr>
              <w:t>100%</w:t>
            </w:r>
          </w:p>
        </w:tc>
        <w:tc>
          <w:tcPr>
            <w:tcW w:w="883"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lang w:bidi="ar"/>
              </w:rPr>
              <w:t>100%</w:t>
            </w:r>
          </w:p>
        </w:tc>
        <w:tc>
          <w:tcPr>
            <w:tcW w:w="580"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11</w:t>
            </w:r>
          </w:p>
        </w:tc>
        <w:tc>
          <w:tcPr>
            <w:tcW w:w="384" w:type="pct"/>
            <w:vMerge w:val="continue"/>
            <w:shd w:val="clear" w:color="auto" w:fill="auto"/>
            <w:noWrap/>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公布地下文物埋藏区</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lang w:bidi="ar"/>
              </w:rPr>
            </w:pPr>
            <w:r>
              <w:rPr>
                <w:rFonts w:hint="eastAsia" w:eastAsia="宋体" w:cs="Times New Roman"/>
                <w:sz w:val="21"/>
                <w:szCs w:val="21"/>
              </w:rPr>
              <w:t>5处</w:t>
            </w:r>
          </w:p>
        </w:tc>
        <w:tc>
          <w:tcPr>
            <w:tcW w:w="883"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rPr>
              <w:t>5处</w:t>
            </w:r>
          </w:p>
        </w:tc>
        <w:tc>
          <w:tcPr>
            <w:tcW w:w="580"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12</w:t>
            </w:r>
          </w:p>
        </w:tc>
        <w:tc>
          <w:tcPr>
            <w:tcW w:w="384" w:type="pct"/>
            <w:vMerge w:val="continue"/>
            <w:shd w:val="clear" w:color="auto" w:fill="auto"/>
            <w:noWrap/>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推进华南教育历史研学基地建设</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lang w:bidi="ar"/>
              </w:rPr>
            </w:pPr>
            <w:r>
              <w:rPr>
                <w:rFonts w:hint="eastAsia" w:eastAsia="宋体" w:cs="Times New Roman"/>
                <w:sz w:val="21"/>
                <w:szCs w:val="21"/>
                <w:lang w:bidi="ar"/>
              </w:rPr>
              <w:t>6项</w:t>
            </w:r>
          </w:p>
        </w:tc>
        <w:tc>
          <w:tcPr>
            <w:tcW w:w="883"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6项</w:t>
            </w:r>
          </w:p>
        </w:tc>
        <w:tc>
          <w:tcPr>
            <w:tcW w:w="580"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13</w:t>
            </w:r>
          </w:p>
        </w:tc>
        <w:tc>
          <w:tcPr>
            <w:tcW w:w="384" w:type="pct"/>
            <w:vMerge w:val="continue"/>
            <w:shd w:val="clear" w:color="auto" w:fill="auto"/>
            <w:noWrap/>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推动全域旅游示范区创建工作（指导乳源创建国家全域旅游示范区，乐昌、新丰创建省级全域旅游示范区）</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lang w:bidi="ar"/>
              </w:rPr>
            </w:pPr>
            <w:r>
              <w:rPr>
                <w:rFonts w:hint="eastAsia" w:eastAsia="宋体" w:cs="Times New Roman"/>
                <w:sz w:val="21"/>
                <w:szCs w:val="21"/>
                <w:lang w:bidi="ar"/>
              </w:rPr>
              <w:t>3个</w:t>
            </w:r>
          </w:p>
        </w:tc>
        <w:tc>
          <w:tcPr>
            <w:tcW w:w="883"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8个</w:t>
            </w:r>
          </w:p>
        </w:tc>
        <w:tc>
          <w:tcPr>
            <w:tcW w:w="580"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14</w:t>
            </w:r>
          </w:p>
        </w:tc>
        <w:tc>
          <w:tcPr>
            <w:tcW w:w="384" w:type="pct"/>
            <w:vMerge w:val="continue"/>
            <w:shd w:val="clear" w:color="auto" w:fill="auto"/>
            <w:noWrap/>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邀请粤港澳大湾区城市旅行社及媒体代表来韶采风次数</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lang w:bidi="ar"/>
              </w:rPr>
            </w:pPr>
            <w:r>
              <w:rPr>
                <w:rFonts w:hint="eastAsia" w:eastAsia="宋体" w:cs="Times New Roman"/>
                <w:sz w:val="21"/>
                <w:szCs w:val="21"/>
              </w:rPr>
              <w:t>3批次5个</w:t>
            </w:r>
          </w:p>
        </w:tc>
        <w:tc>
          <w:tcPr>
            <w:tcW w:w="883"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rPr>
              <w:t>3批次5个</w:t>
            </w:r>
          </w:p>
        </w:tc>
        <w:tc>
          <w:tcPr>
            <w:tcW w:w="580"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15</w:t>
            </w:r>
          </w:p>
        </w:tc>
        <w:tc>
          <w:tcPr>
            <w:tcW w:w="384" w:type="pct"/>
            <w:vMerge w:val="continue"/>
            <w:shd w:val="clear" w:color="auto" w:fill="auto"/>
            <w:noWrap/>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组织文旅推广韶关文化团队到东莞演出场数</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lang w:bidi="ar"/>
              </w:rPr>
            </w:pPr>
            <w:r>
              <w:rPr>
                <w:rFonts w:hint="eastAsia" w:eastAsia="宋体" w:cs="Times New Roman"/>
                <w:sz w:val="21"/>
                <w:szCs w:val="21"/>
                <w:lang w:bidi="ar"/>
              </w:rPr>
              <w:t>15场</w:t>
            </w:r>
          </w:p>
        </w:tc>
        <w:tc>
          <w:tcPr>
            <w:tcW w:w="883" w:type="pct"/>
            <w:shd w:val="clear" w:color="auto" w:fill="auto"/>
            <w:vAlign w:val="center"/>
          </w:tcPr>
          <w:p>
            <w:pPr>
              <w:spacing w:line="240" w:lineRule="auto"/>
              <w:ind w:firstLine="0" w:firstLineChars="0"/>
              <w:jc w:val="center"/>
              <w:rPr>
                <w:rFonts w:eastAsia="宋体" w:cs="Times New Roman"/>
                <w:sz w:val="21"/>
                <w:szCs w:val="21"/>
              </w:rPr>
            </w:pPr>
            <w:r>
              <w:rPr>
                <w:rFonts w:eastAsia="宋体" w:cs="Times New Roman"/>
                <w:sz w:val="21"/>
                <w:szCs w:val="21"/>
              </w:rPr>
              <w:t>15</w:t>
            </w:r>
            <w:r>
              <w:rPr>
                <w:rFonts w:hint="eastAsia" w:eastAsia="宋体" w:cs="Times New Roman"/>
                <w:sz w:val="21"/>
                <w:szCs w:val="21"/>
              </w:rPr>
              <w:t>场</w:t>
            </w:r>
          </w:p>
        </w:tc>
        <w:tc>
          <w:tcPr>
            <w:tcW w:w="580"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16</w:t>
            </w:r>
          </w:p>
        </w:tc>
        <w:tc>
          <w:tcPr>
            <w:tcW w:w="384" w:type="pct"/>
            <w:vMerge w:val="continue"/>
            <w:shd w:val="clear" w:color="auto" w:fill="auto"/>
            <w:noWrap/>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新增红色旅游线路入选省级乡村旅游精品线路</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lang w:bidi="ar"/>
              </w:rPr>
            </w:pPr>
            <w:r>
              <w:rPr>
                <w:rFonts w:hint="eastAsia" w:eastAsia="宋体" w:cs="Times New Roman"/>
                <w:sz w:val="21"/>
                <w:szCs w:val="21"/>
                <w:lang w:bidi="ar"/>
              </w:rPr>
              <w:t>1条</w:t>
            </w:r>
          </w:p>
        </w:tc>
        <w:tc>
          <w:tcPr>
            <w:tcW w:w="883"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1条</w:t>
            </w:r>
          </w:p>
        </w:tc>
        <w:tc>
          <w:tcPr>
            <w:tcW w:w="580"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17</w:t>
            </w:r>
          </w:p>
        </w:tc>
        <w:tc>
          <w:tcPr>
            <w:tcW w:w="384" w:type="pct"/>
            <w:vMerge w:val="restar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产出质量</w:t>
            </w: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体育馆工程验收通过率</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lang w:bidi="ar"/>
              </w:rPr>
            </w:pPr>
            <w:r>
              <w:rPr>
                <w:rFonts w:hint="eastAsia" w:eastAsia="宋体" w:cs="Times New Roman"/>
                <w:sz w:val="21"/>
                <w:szCs w:val="21"/>
                <w:lang w:bidi="ar"/>
              </w:rPr>
              <w:t>100%</w:t>
            </w:r>
          </w:p>
        </w:tc>
        <w:tc>
          <w:tcPr>
            <w:tcW w:w="883"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lang w:bidi="ar"/>
              </w:rPr>
              <w:t>2022年底未完成验收</w:t>
            </w:r>
          </w:p>
        </w:tc>
        <w:tc>
          <w:tcPr>
            <w:tcW w:w="580"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18</w:t>
            </w:r>
          </w:p>
        </w:tc>
        <w:tc>
          <w:tcPr>
            <w:tcW w:w="384" w:type="pct"/>
            <w:vMerge w:val="continue"/>
            <w:shd w:val="clear" w:color="auto" w:fill="auto"/>
            <w:noWrap/>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地下停车场装饰装修工程完成率</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lang w:bidi="ar"/>
              </w:rPr>
            </w:pPr>
            <w:r>
              <w:rPr>
                <w:rFonts w:hint="eastAsia" w:eastAsia="宋体" w:cs="Times New Roman"/>
                <w:sz w:val="21"/>
                <w:szCs w:val="21"/>
                <w:lang w:bidi="ar"/>
              </w:rPr>
              <w:t>100%</w:t>
            </w:r>
          </w:p>
        </w:tc>
        <w:tc>
          <w:tcPr>
            <w:tcW w:w="883"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1</w:t>
            </w:r>
            <w:r>
              <w:rPr>
                <w:rFonts w:eastAsia="宋体" w:cs="Times New Roman"/>
                <w:sz w:val="21"/>
                <w:szCs w:val="21"/>
                <w:lang w:bidi="ar"/>
              </w:rPr>
              <w:t>00</w:t>
            </w:r>
            <w:r>
              <w:rPr>
                <w:rFonts w:hint="eastAsia" w:eastAsia="宋体" w:cs="Times New Roman"/>
                <w:sz w:val="21"/>
                <w:szCs w:val="21"/>
                <w:lang w:bidi="ar"/>
              </w:rPr>
              <w:t>%</w:t>
            </w:r>
          </w:p>
        </w:tc>
        <w:tc>
          <w:tcPr>
            <w:tcW w:w="580"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19</w:t>
            </w:r>
          </w:p>
        </w:tc>
        <w:tc>
          <w:tcPr>
            <w:tcW w:w="384" w:type="pct"/>
            <w:vMerge w:val="continue"/>
            <w:shd w:val="clear" w:color="auto" w:fill="auto"/>
            <w:noWrap/>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体质监测任务达标率</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lang w:bidi="ar"/>
              </w:rPr>
            </w:pPr>
            <w:r>
              <w:rPr>
                <w:rFonts w:hint="eastAsia" w:eastAsia="宋体" w:cs="Times New Roman"/>
                <w:sz w:val="21"/>
                <w:szCs w:val="21"/>
                <w:lang w:bidi="ar"/>
              </w:rPr>
              <w:t>≥93%</w:t>
            </w:r>
          </w:p>
        </w:tc>
        <w:tc>
          <w:tcPr>
            <w:tcW w:w="883"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93%</w:t>
            </w:r>
          </w:p>
        </w:tc>
        <w:tc>
          <w:tcPr>
            <w:tcW w:w="580"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20</w:t>
            </w:r>
          </w:p>
        </w:tc>
        <w:tc>
          <w:tcPr>
            <w:tcW w:w="384"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产出时效</w:t>
            </w: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bookmarkStart w:id="77" w:name="_Hlk153180946"/>
            <w:r>
              <w:rPr>
                <w:rFonts w:hint="eastAsia" w:eastAsia="宋体" w:cs="Times New Roman"/>
                <w:sz w:val="21"/>
                <w:szCs w:val="21"/>
                <w:lang w:bidi="ar"/>
              </w:rPr>
              <w:t>推进韶州历史文化博物馆布展</w:t>
            </w:r>
            <w:bookmarkEnd w:id="77"/>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lang w:bidi="ar"/>
              </w:rPr>
            </w:pPr>
            <w:r>
              <w:rPr>
                <w:rFonts w:hint="eastAsia" w:eastAsia="宋体" w:cs="Times New Roman"/>
                <w:sz w:val="21"/>
                <w:szCs w:val="21"/>
                <w:lang w:bidi="ar"/>
              </w:rPr>
              <w:t>积极推动</w:t>
            </w:r>
          </w:p>
        </w:tc>
        <w:tc>
          <w:tcPr>
            <w:tcW w:w="883"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积极推动</w:t>
            </w:r>
          </w:p>
        </w:tc>
        <w:tc>
          <w:tcPr>
            <w:tcW w:w="580" w:type="pct"/>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21</w:t>
            </w:r>
          </w:p>
        </w:tc>
        <w:tc>
          <w:tcPr>
            <w:tcW w:w="384" w:type="pct"/>
            <w:vMerge w:val="restar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经济效益</w:t>
            </w: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全年旅游收入增长情况</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lang w:bidi="ar"/>
              </w:rPr>
            </w:pPr>
            <w:r>
              <w:rPr>
                <w:rFonts w:hint="eastAsia" w:eastAsia="宋体" w:cs="Times New Roman"/>
                <w:sz w:val="21"/>
                <w:szCs w:val="21"/>
                <w:lang w:bidi="ar"/>
              </w:rPr>
              <w:t>较上年增长</w:t>
            </w:r>
          </w:p>
        </w:tc>
        <w:tc>
          <w:tcPr>
            <w:tcW w:w="883" w:type="pct"/>
            <w:shd w:val="clear" w:color="auto" w:fill="auto"/>
            <w:noWrap/>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同比下降18.48%</w:t>
            </w:r>
          </w:p>
        </w:tc>
        <w:tc>
          <w:tcPr>
            <w:tcW w:w="580" w:type="pct"/>
            <w:shd w:val="clear" w:color="auto" w:fill="auto"/>
            <w:noWrap/>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22</w:t>
            </w:r>
          </w:p>
        </w:tc>
        <w:tc>
          <w:tcPr>
            <w:tcW w:w="384" w:type="pct"/>
            <w:vMerge w:val="continue"/>
            <w:shd w:val="clear" w:color="auto" w:fill="auto"/>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全年限额以上住宿企业营业额增长情况</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较上年增长</w:t>
            </w:r>
          </w:p>
        </w:tc>
        <w:tc>
          <w:tcPr>
            <w:tcW w:w="883" w:type="pct"/>
            <w:shd w:val="clear" w:color="auto" w:fill="auto"/>
            <w:noWrap/>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同比下降7.1%</w:t>
            </w:r>
          </w:p>
        </w:tc>
        <w:tc>
          <w:tcPr>
            <w:tcW w:w="580" w:type="pct"/>
            <w:shd w:val="clear" w:color="auto" w:fill="auto"/>
            <w:noWrap/>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23</w:t>
            </w:r>
          </w:p>
        </w:tc>
        <w:tc>
          <w:tcPr>
            <w:tcW w:w="384" w:type="pct"/>
            <w:vMerge w:val="continue"/>
            <w:shd w:val="clear" w:color="auto" w:fill="auto"/>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全年住宿业增加值同比增长情况</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较上年增长</w:t>
            </w:r>
          </w:p>
        </w:tc>
        <w:tc>
          <w:tcPr>
            <w:tcW w:w="883" w:type="pct"/>
            <w:shd w:val="clear" w:color="auto" w:fill="auto"/>
            <w:noWrap/>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同比增长4.1%</w:t>
            </w:r>
          </w:p>
        </w:tc>
        <w:tc>
          <w:tcPr>
            <w:tcW w:w="580" w:type="pct"/>
            <w:shd w:val="clear" w:color="auto" w:fill="auto"/>
            <w:noWrap/>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24</w:t>
            </w:r>
          </w:p>
        </w:tc>
        <w:tc>
          <w:tcPr>
            <w:tcW w:w="384" w:type="pct"/>
            <w:vMerge w:val="restar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社会效益</w:t>
            </w: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提升公共图书馆人均公共藏书量</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较上年增长</w:t>
            </w:r>
          </w:p>
        </w:tc>
        <w:tc>
          <w:tcPr>
            <w:tcW w:w="883" w:type="pct"/>
            <w:shd w:val="clear" w:color="auto" w:fill="auto"/>
            <w:noWrap/>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lang w:bidi="ar"/>
              </w:rPr>
              <w:t>较上年增长</w:t>
            </w:r>
          </w:p>
        </w:tc>
        <w:tc>
          <w:tcPr>
            <w:tcW w:w="580" w:type="pct"/>
            <w:shd w:val="clear" w:color="auto" w:fill="auto"/>
            <w:noWrap/>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25</w:t>
            </w:r>
          </w:p>
        </w:tc>
        <w:tc>
          <w:tcPr>
            <w:tcW w:w="384" w:type="pct"/>
            <w:vMerge w:val="continue"/>
            <w:shd w:val="clear" w:color="auto" w:fill="auto"/>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提升公共文化场所等免费开放率</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100%</w:t>
            </w:r>
          </w:p>
        </w:tc>
        <w:tc>
          <w:tcPr>
            <w:tcW w:w="883" w:type="pct"/>
            <w:shd w:val="clear" w:color="auto" w:fill="auto"/>
            <w:noWrap/>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lang w:bidi="ar"/>
              </w:rPr>
              <w:t>100%</w:t>
            </w:r>
          </w:p>
        </w:tc>
        <w:tc>
          <w:tcPr>
            <w:tcW w:w="580" w:type="pct"/>
            <w:shd w:val="clear" w:color="auto" w:fill="auto"/>
            <w:noWrap/>
            <w:vAlign w:val="center"/>
          </w:tcPr>
          <w:p>
            <w:pPr>
              <w:spacing w:line="240" w:lineRule="auto"/>
              <w:ind w:firstLine="0" w:firstLineChars="0"/>
              <w:jc w:val="center"/>
              <w:rPr>
                <w:rFonts w:eastAsia="宋体" w:cs="Times New Roman"/>
                <w:sz w:val="21"/>
                <w:szCs w:val="21"/>
                <w:lang w:bidi="ar"/>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26</w:t>
            </w:r>
          </w:p>
        </w:tc>
        <w:tc>
          <w:tcPr>
            <w:tcW w:w="384" w:type="pct"/>
            <w:vMerge w:val="continue"/>
            <w:shd w:val="clear" w:color="auto" w:fill="auto"/>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全民健身工程及健身路径覆盖率（构建15分钟健身圈）</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100%</w:t>
            </w:r>
          </w:p>
        </w:tc>
        <w:tc>
          <w:tcPr>
            <w:tcW w:w="883" w:type="pct"/>
            <w:shd w:val="clear" w:color="auto" w:fill="auto"/>
            <w:noWrap/>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lang w:bidi="ar"/>
              </w:rPr>
              <w:t>100%</w:t>
            </w:r>
          </w:p>
        </w:tc>
        <w:tc>
          <w:tcPr>
            <w:tcW w:w="580" w:type="pct"/>
            <w:shd w:val="clear" w:color="auto" w:fill="auto"/>
            <w:noWrap/>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27</w:t>
            </w:r>
          </w:p>
        </w:tc>
        <w:tc>
          <w:tcPr>
            <w:tcW w:w="384" w:type="pct"/>
            <w:vMerge w:val="continue"/>
            <w:shd w:val="clear" w:color="auto" w:fill="auto"/>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提升公共体育场地设施开放率</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100%</w:t>
            </w:r>
          </w:p>
        </w:tc>
        <w:tc>
          <w:tcPr>
            <w:tcW w:w="883" w:type="pct"/>
            <w:shd w:val="clear" w:color="auto" w:fill="auto"/>
            <w:noWrap/>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lang w:bidi="ar"/>
              </w:rPr>
              <w:t>100%</w:t>
            </w:r>
          </w:p>
        </w:tc>
        <w:tc>
          <w:tcPr>
            <w:tcW w:w="580" w:type="pct"/>
            <w:shd w:val="clear" w:color="auto" w:fill="auto"/>
            <w:noWrap/>
            <w:vAlign w:val="center"/>
          </w:tcPr>
          <w:p>
            <w:pPr>
              <w:spacing w:line="240" w:lineRule="auto"/>
              <w:ind w:firstLine="0" w:firstLineChars="0"/>
              <w:jc w:val="center"/>
              <w:rPr>
                <w:rFonts w:eastAsia="宋体" w:cs="Times New Roman"/>
                <w:sz w:val="21"/>
                <w:szCs w:val="21"/>
                <w:lang w:bidi="ar"/>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28</w:t>
            </w:r>
          </w:p>
        </w:tc>
        <w:tc>
          <w:tcPr>
            <w:tcW w:w="384" w:type="pct"/>
            <w:vMerge w:val="continue"/>
            <w:shd w:val="clear" w:color="auto" w:fill="auto"/>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有效净化市场环境（安全播出事故发生率）</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rPr>
              <w:t>0</w:t>
            </w:r>
          </w:p>
        </w:tc>
        <w:tc>
          <w:tcPr>
            <w:tcW w:w="883" w:type="pct"/>
            <w:shd w:val="clear" w:color="auto" w:fill="auto"/>
            <w:noWrap/>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0</w:t>
            </w:r>
          </w:p>
        </w:tc>
        <w:tc>
          <w:tcPr>
            <w:tcW w:w="580" w:type="pct"/>
            <w:shd w:val="clear" w:color="auto" w:fill="auto"/>
            <w:noWrap/>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29</w:t>
            </w:r>
          </w:p>
        </w:tc>
        <w:tc>
          <w:tcPr>
            <w:tcW w:w="384" w:type="pct"/>
            <w:vMerge w:val="continue"/>
            <w:shd w:val="clear" w:color="auto" w:fill="auto"/>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提升韶关旅游知名度</w:t>
            </w:r>
          </w:p>
        </w:tc>
        <w:tc>
          <w:tcPr>
            <w:tcW w:w="851"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有效提升</w:t>
            </w:r>
          </w:p>
        </w:tc>
        <w:tc>
          <w:tcPr>
            <w:tcW w:w="883" w:type="pct"/>
            <w:shd w:val="clear" w:color="auto" w:fill="auto"/>
            <w:noWrap/>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提升</w:t>
            </w:r>
          </w:p>
        </w:tc>
        <w:tc>
          <w:tcPr>
            <w:tcW w:w="580" w:type="pct"/>
            <w:shd w:val="clear" w:color="auto" w:fill="auto"/>
            <w:noWrap/>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60" w:type="pct"/>
            <w:shd w:val="clear" w:color="auto" w:fill="auto"/>
            <w:noWrap/>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30</w:t>
            </w:r>
          </w:p>
        </w:tc>
        <w:tc>
          <w:tcPr>
            <w:tcW w:w="384" w:type="pct"/>
            <w:vMerge w:val="continue"/>
            <w:shd w:val="clear" w:color="auto" w:fill="auto"/>
            <w:vAlign w:val="center"/>
          </w:tcPr>
          <w:p>
            <w:pPr>
              <w:ind w:firstLine="420"/>
              <w:jc w:val="center"/>
              <w:rPr>
                <w:rFonts w:eastAsia="宋体" w:cs="Times New Roman"/>
                <w:sz w:val="21"/>
                <w:szCs w:val="21"/>
              </w:rPr>
            </w:pPr>
          </w:p>
        </w:tc>
        <w:tc>
          <w:tcPr>
            <w:tcW w:w="1939"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提升韶关旅游住宿品质</w:t>
            </w:r>
          </w:p>
        </w:tc>
        <w:tc>
          <w:tcPr>
            <w:tcW w:w="851" w:type="pct"/>
            <w:shd w:val="clear" w:color="auto" w:fill="auto"/>
            <w:vAlign w:val="center"/>
          </w:tcPr>
          <w:p>
            <w:pPr>
              <w:spacing w:line="240" w:lineRule="auto"/>
              <w:ind w:firstLine="0" w:firstLineChars="0"/>
              <w:jc w:val="center"/>
              <w:textAlignment w:val="center"/>
              <w:rPr>
                <w:rFonts w:eastAsia="宋体" w:cs="Times New Roman"/>
                <w:sz w:val="21"/>
                <w:szCs w:val="21"/>
              </w:rPr>
            </w:pPr>
            <w:r>
              <w:rPr>
                <w:rFonts w:hint="eastAsia" w:eastAsia="宋体" w:cs="Times New Roman"/>
                <w:sz w:val="21"/>
                <w:szCs w:val="21"/>
                <w:lang w:bidi="ar"/>
              </w:rPr>
              <w:t>每年平均新增16家星级民宿</w:t>
            </w:r>
          </w:p>
        </w:tc>
        <w:tc>
          <w:tcPr>
            <w:tcW w:w="883" w:type="pct"/>
            <w:shd w:val="clear" w:color="auto" w:fill="auto"/>
            <w:noWrap/>
            <w:vAlign w:val="center"/>
          </w:tcPr>
          <w:p>
            <w:pPr>
              <w:spacing w:line="240" w:lineRule="auto"/>
              <w:ind w:firstLine="0" w:firstLineChars="0"/>
              <w:jc w:val="center"/>
              <w:rPr>
                <w:rFonts w:eastAsia="宋体" w:cs="Times New Roman"/>
                <w:sz w:val="21"/>
                <w:szCs w:val="21"/>
              </w:rPr>
            </w:pPr>
            <w:r>
              <w:rPr>
                <w:rFonts w:eastAsia="宋体" w:cs="Times New Roman"/>
                <w:sz w:val="21"/>
                <w:szCs w:val="21"/>
              </w:rPr>
              <w:t>16</w:t>
            </w:r>
            <w:r>
              <w:rPr>
                <w:rFonts w:hint="eastAsia" w:eastAsia="宋体" w:cs="Times New Roman"/>
                <w:sz w:val="21"/>
                <w:szCs w:val="21"/>
              </w:rPr>
              <w:t>家</w:t>
            </w:r>
          </w:p>
        </w:tc>
        <w:tc>
          <w:tcPr>
            <w:tcW w:w="580" w:type="pct"/>
            <w:shd w:val="clear" w:color="auto" w:fill="auto"/>
            <w:noWrap/>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是</w:t>
            </w:r>
          </w:p>
        </w:tc>
      </w:tr>
      <w:bookmarkEnd w:id="76"/>
    </w:tbl>
    <w:p>
      <w:pPr>
        <w:snapToGrid w:val="0"/>
        <w:spacing w:line="560" w:lineRule="exact"/>
        <w:ind w:firstLine="643"/>
        <w:outlineLvl w:val="1"/>
        <w:rPr>
          <w:rFonts w:cs="Times New Roman"/>
        </w:rPr>
      </w:pPr>
      <w:bookmarkStart w:id="78" w:name="_Toc22905"/>
      <w:bookmarkStart w:id="79" w:name="_Toc29342"/>
      <w:bookmarkStart w:id="80" w:name="_Toc10188"/>
      <w:bookmarkStart w:id="81" w:name="_Toc21432"/>
      <w:bookmarkStart w:id="82" w:name="_Toc9766"/>
      <w:bookmarkStart w:id="83" w:name="_Toc52124774"/>
      <w:bookmarkStart w:id="84" w:name="_Toc20580"/>
      <w:r>
        <w:rPr>
          <w:rFonts w:hint="eastAsia" w:eastAsia="楷体_GB2312" w:cs="Times New Roman"/>
          <w:b/>
          <w:szCs w:val="24"/>
        </w:rPr>
        <w:t>（二）指标分析</w:t>
      </w:r>
      <w:bookmarkEnd w:id="78"/>
    </w:p>
    <w:p>
      <w:pPr>
        <w:pStyle w:val="7"/>
        <w:numPr>
          <w:ilvl w:val="255"/>
          <w:numId w:val="0"/>
        </w:numPr>
        <w:snapToGrid/>
        <w:spacing w:line="560" w:lineRule="exact"/>
        <w:ind w:firstLine="643" w:firstLineChars="200"/>
        <w:rPr>
          <w:rFonts w:cs="Times New Roman"/>
          <w:bCs w:val="0"/>
        </w:rPr>
      </w:pPr>
      <w:r>
        <w:rPr>
          <w:rFonts w:hint="eastAsia" w:eastAsia="楷体_GB2312" w:cs="Times New Roman"/>
          <w:bCs w:val="0"/>
          <w:szCs w:val="24"/>
        </w:rPr>
        <w:t>1.</w:t>
      </w:r>
      <w:r>
        <w:rPr>
          <w:rFonts w:cs="Times New Roman"/>
          <w:bCs w:val="0"/>
        </w:rPr>
        <w:t>履职效能分析</w:t>
      </w:r>
    </w:p>
    <w:p>
      <w:pPr>
        <w:pStyle w:val="8"/>
        <w:numPr>
          <w:ilvl w:val="255"/>
          <w:numId w:val="0"/>
        </w:numPr>
        <w:spacing w:before="0" w:after="0" w:line="560" w:lineRule="exact"/>
        <w:ind w:firstLine="320" w:firstLineChars="100"/>
        <w:rPr>
          <w:rFonts w:ascii="Times New Roman" w:hAnsi="Times New Roman" w:cs="Times New Roman"/>
        </w:rPr>
      </w:pPr>
      <w:r>
        <w:drawing>
          <wp:anchor distT="0" distB="0" distL="114300" distR="114300" simplePos="0" relativeHeight="251669504" behindDoc="0" locked="0" layoutInCell="1" allowOverlap="1">
            <wp:simplePos x="0" y="0"/>
            <wp:positionH relativeFrom="column">
              <wp:posOffset>30480</wp:posOffset>
            </wp:positionH>
            <wp:positionV relativeFrom="paragraph">
              <wp:posOffset>511810</wp:posOffset>
            </wp:positionV>
            <wp:extent cx="5871845" cy="1151890"/>
            <wp:effectExtent l="5080" t="4445" r="9525" b="5715"/>
            <wp:wrapSquare wrapText="bothSides"/>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r>
        <w:rPr>
          <w:rFonts w:hint="eastAsia" w:ascii="Times New Roman" w:hAnsi="Times New Roman" w:cs="Times New Roman"/>
        </w:rPr>
        <w:t>（1）整体</w:t>
      </w:r>
      <w:r>
        <w:rPr>
          <w:rFonts w:ascii="Times New Roman" w:hAnsi="Times New Roman" w:cs="Times New Roman"/>
        </w:rPr>
        <w:t>效能（得</w:t>
      </w:r>
      <w:r>
        <w:rPr>
          <w:rFonts w:hint="eastAsia" w:ascii="Times New Roman" w:hAnsi="Times New Roman" w:cs="Times New Roman"/>
        </w:rPr>
        <w:t>1</w:t>
      </w:r>
      <w:r>
        <w:rPr>
          <w:rFonts w:ascii="Times New Roman" w:hAnsi="Times New Roman" w:cs="Times New Roman"/>
        </w:rPr>
        <w:t>7.5分）</w:t>
      </w:r>
    </w:p>
    <w:p>
      <w:pPr>
        <w:widowControl w:val="0"/>
        <w:snapToGrid w:val="0"/>
        <w:spacing w:line="560" w:lineRule="exact"/>
        <w:ind w:firstLine="0" w:firstLineChars="0"/>
        <w:jc w:val="center"/>
        <w:rPr>
          <w:rFonts w:cs="Times New Roman"/>
          <w:kern w:val="2"/>
          <w:szCs w:val="21"/>
        </w:rPr>
      </w:pPr>
      <w:r>
        <w:rPr>
          <w:rFonts w:hint="eastAsia" w:ascii="宋体" w:hAnsi="宋体" w:eastAsia="宋体" w:cs="宋体"/>
          <w:kern w:val="2"/>
          <w:sz w:val="24"/>
          <w:szCs w:val="24"/>
        </w:rPr>
        <w:t>图2-1整体效能三级指标得分率</w:t>
      </w:r>
    </w:p>
    <w:p>
      <w:pPr>
        <w:widowControl w:val="0"/>
        <w:snapToGrid w:val="0"/>
        <w:spacing w:line="560" w:lineRule="exact"/>
        <w:ind w:firstLine="640"/>
        <w:jc w:val="both"/>
        <w:rPr>
          <w:rFonts w:cs="Times New Roman"/>
          <w:kern w:val="2"/>
          <w:szCs w:val="21"/>
        </w:rPr>
      </w:pPr>
      <w:r>
        <w:rPr>
          <w:rFonts w:cs="Times New Roman"/>
          <w:kern w:val="2"/>
          <w:szCs w:val="21"/>
        </w:rPr>
        <w:t>①部门整体绩效目标产出指标完成情况。根据部门职能、整体绩效目标申报表、2022年工作计划、“十四五规划”等设置部门2022年度重点工作任务，共设置</w:t>
      </w:r>
      <w:r>
        <w:rPr>
          <w:rFonts w:hint="eastAsia" w:cs="Times New Roman"/>
          <w:kern w:val="2"/>
          <w:szCs w:val="21"/>
        </w:rPr>
        <w:t>文化、旅游、体育、广电等</w:t>
      </w:r>
      <w:r>
        <w:rPr>
          <w:rFonts w:cs="Times New Roman"/>
          <w:kern w:val="2"/>
          <w:szCs w:val="21"/>
        </w:rPr>
        <w:t>产出指标20个</w:t>
      </w:r>
      <w:r>
        <w:rPr>
          <w:rFonts w:cs="Times New Roman"/>
          <w:szCs w:val="32"/>
          <w:vertAlign w:val="superscript"/>
        </w:rPr>
        <w:footnoteReference w:id="5"/>
      </w:r>
      <w:r>
        <w:rPr>
          <w:rFonts w:cs="Times New Roman"/>
          <w:kern w:val="2"/>
          <w:szCs w:val="21"/>
        </w:rPr>
        <w:t>，其中已完成指标19个，1个产出指标未完成，未完成情况为：</w:t>
      </w:r>
      <w:r>
        <w:rPr>
          <w:rFonts w:hint="eastAsia" w:cs="Times New Roman"/>
          <w:kern w:val="2"/>
          <w:szCs w:val="21"/>
        </w:rPr>
        <w:t>“</w:t>
      </w:r>
      <w:r>
        <w:rPr>
          <w:rFonts w:cs="Times New Roman"/>
          <w:kern w:val="2"/>
          <w:szCs w:val="21"/>
        </w:rPr>
        <w:t>体育馆工程验收通过率</w:t>
      </w:r>
      <w:r>
        <w:rPr>
          <w:rFonts w:hint="eastAsia" w:cs="Times New Roman"/>
          <w:kern w:val="2"/>
          <w:szCs w:val="21"/>
        </w:rPr>
        <w:t>”</w:t>
      </w:r>
      <w:r>
        <w:rPr>
          <w:rFonts w:cs="Times New Roman"/>
          <w:kern w:val="2"/>
          <w:szCs w:val="21"/>
        </w:rPr>
        <w:t>未达到预期</w:t>
      </w:r>
      <w:r>
        <w:rPr>
          <w:rFonts w:hint="eastAsia" w:cs="Times New Roman"/>
          <w:kern w:val="2"/>
          <w:szCs w:val="21"/>
        </w:rPr>
        <w:t>计划</w:t>
      </w:r>
      <w:r>
        <w:rPr>
          <w:rFonts w:cs="Times New Roman"/>
          <w:kern w:val="2"/>
          <w:szCs w:val="21"/>
        </w:rPr>
        <w:t>目标。因此，该指标扣0.5分，得9.5分。</w:t>
      </w:r>
    </w:p>
    <w:p>
      <w:pPr>
        <w:widowControl w:val="0"/>
        <w:snapToGrid w:val="0"/>
        <w:spacing w:line="560" w:lineRule="exact"/>
        <w:ind w:firstLine="640"/>
        <w:jc w:val="both"/>
        <w:rPr>
          <w:rFonts w:cs="Times New Roman"/>
          <w:kern w:val="2"/>
          <w:szCs w:val="32"/>
        </w:rPr>
      </w:pPr>
      <w:r>
        <w:rPr>
          <w:rFonts w:cs="Times New Roman"/>
          <w:kern w:val="2"/>
          <w:szCs w:val="21"/>
        </w:rPr>
        <w:t>②部门整体绩效目标效益指标完成情况。部门2022年度根据部门文化、旅游、体育等重点领域工作任务，共设置效</w:t>
      </w:r>
      <w:r>
        <w:rPr>
          <w:rFonts w:cs="Times New Roman"/>
          <w:kern w:val="2"/>
          <w:szCs w:val="32"/>
        </w:rPr>
        <w:t>益指标10个</w:t>
      </w:r>
      <w:r>
        <w:rPr>
          <w:rFonts w:cs="Times New Roman"/>
          <w:szCs w:val="32"/>
          <w:vertAlign w:val="superscript"/>
        </w:rPr>
        <w:footnoteReference w:id="6"/>
      </w:r>
      <w:r>
        <w:rPr>
          <w:rFonts w:cs="Times New Roman"/>
          <w:kern w:val="2"/>
          <w:szCs w:val="32"/>
        </w:rPr>
        <w:t>。其中已完成指标8个，2个效益指标未完成，</w:t>
      </w:r>
      <w:r>
        <w:rPr>
          <w:rFonts w:hint="eastAsia" w:cs="Times New Roman"/>
          <w:kern w:val="2"/>
          <w:szCs w:val="32"/>
        </w:rPr>
        <w:t>未完成指标为：“</w:t>
      </w:r>
      <w:r>
        <w:rPr>
          <w:rFonts w:cs="Times New Roman"/>
          <w:kern w:val="2"/>
          <w:szCs w:val="32"/>
        </w:rPr>
        <w:t>全年旅游收入增长</w:t>
      </w:r>
      <w:r>
        <w:rPr>
          <w:rFonts w:hint="eastAsia" w:cs="Times New Roman"/>
          <w:kern w:val="2"/>
          <w:szCs w:val="32"/>
        </w:rPr>
        <w:t>”、“全年限额以上住宿企业营业额增长”和2个指标均未达到预期。</w:t>
      </w:r>
      <w:r>
        <w:rPr>
          <w:rFonts w:cs="Times New Roman"/>
          <w:kern w:val="2"/>
          <w:szCs w:val="32"/>
        </w:rPr>
        <w:t>因此，该指标</w:t>
      </w:r>
      <w:r>
        <w:rPr>
          <w:rFonts w:hint="eastAsia" w:cs="Times New Roman"/>
          <w:kern w:val="2"/>
          <w:szCs w:val="32"/>
        </w:rPr>
        <w:t>扣</w:t>
      </w:r>
      <w:r>
        <w:rPr>
          <w:rFonts w:cs="Times New Roman"/>
          <w:kern w:val="2"/>
          <w:szCs w:val="32"/>
        </w:rPr>
        <w:t>2</w:t>
      </w:r>
      <w:r>
        <w:rPr>
          <w:rFonts w:hint="eastAsia" w:cs="Times New Roman"/>
          <w:kern w:val="2"/>
          <w:szCs w:val="32"/>
        </w:rPr>
        <w:t>分，</w:t>
      </w:r>
      <w:r>
        <w:rPr>
          <w:rFonts w:cs="Times New Roman"/>
          <w:kern w:val="2"/>
          <w:szCs w:val="32"/>
        </w:rPr>
        <w:t>得8分。</w:t>
      </w:r>
    </w:p>
    <w:p>
      <w:pPr>
        <w:pStyle w:val="8"/>
        <w:numPr>
          <w:ilvl w:val="0"/>
          <w:numId w:val="1"/>
        </w:numPr>
        <w:spacing w:before="0" w:after="0" w:line="560" w:lineRule="exact"/>
        <w:ind w:firstLine="640"/>
        <w:rPr>
          <w:rFonts w:ascii="Times New Roman" w:hAnsi="Times New Roman" w:cs="Times New Roman"/>
        </w:rPr>
      </w:pPr>
      <w:r>
        <w:rPr>
          <w:rFonts w:ascii="Times New Roman" w:hAnsi="Times New Roman" w:cs="Times New Roman"/>
        </w:rPr>
        <w:t>专项效能（得19.85分）</w:t>
      </w:r>
    </w:p>
    <w:p>
      <w:pPr>
        <w:pStyle w:val="2"/>
        <w:ind w:firstLine="0" w:firstLineChars="0"/>
      </w:pPr>
      <w:r>
        <w:drawing>
          <wp:inline distT="0" distB="0" distL="0" distR="0">
            <wp:extent cx="5997575" cy="1120140"/>
            <wp:effectExtent l="5080" t="4445" r="17145" b="18415"/>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pPr>
        <w:numPr>
          <w:ilvl w:val="255"/>
          <w:numId w:val="0"/>
        </w:numPr>
        <w:snapToGrid w:val="0"/>
        <w:spacing w:line="560" w:lineRule="exact"/>
        <w:jc w:val="center"/>
        <w:rPr>
          <w:rFonts w:cs="Times New Roman"/>
          <w:szCs w:val="32"/>
        </w:rPr>
      </w:pPr>
      <w:r>
        <w:rPr>
          <w:rFonts w:hint="eastAsia" w:ascii="宋体" w:hAnsi="宋体" w:eastAsia="宋体" w:cs="宋体"/>
          <w:sz w:val="24"/>
          <w:szCs w:val="24"/>
        </w:rPr>
        <w:t>图2-2专项效能三级指标得分率</w:t>
      </w:r>
    </w:p>
    <w:p>
      <w:pPr>
        <w:numPr>
          <w:ilvl w:val="255"/>
          <w:numId w:val="0"/>
        </w:numPr>
        <w:snapToGrid w:val="0"/>
        <w:spacing w:line="560" w:lineRule="exact"/>
        <w:ind w:firstLine="640" w:firstLineChars="200"/>
        <w:jc w:val="both"/>
        <w:rPr>
          <w:rFonts w:cs="Times New Roman"/>
          <w:b/>
          <w:bCs/>
          <w:szCs w:val="32"/>
        </w:rPr>
      </w:pPr>
      <w:r>
        <w:rPr>
          <w:rFonts w:cs="Times New Roman"/>
          <w:szCs w:val="32"/>
        </w:rPr>
        <w:t>①</w:t>
      </w:r>
      <w:r>
        <w:rPr>
          <w:rFonts w:hint="eastAsia" w:cs="Times New Roman"/>
          <w:szCs w:val="32"/>
        </w:rPr>
        <w:t>中省资金绩效完成情况。根据中央和省市相关专项资金管理办法及下达任务数结合部门重点工作任务等内容，设置中省资金绩效完成情况指标共20个</w:t>
      </w:r>
      <w:r>
        <w:rPr>
          <w:rFonts w:hint="eastAsia" w:eastAsia="宋体" w:cs="Times New Roman"/>
          <w:szCs w:val="32"/>
          <w:vertAlign w:val="superscript"/>
        </w:rPr>
        <w:footnoteReference w:id="7"/>
      </w:r>
      <w:r>
        <w:rPr>
          <w:rFonts w:hint="eastAsia" w:cs="Times New Roman"/>
          <w:szCs w:val="32"/>
        </w:rPr>
        <w:t>。其中已完成指标1</w:t>
      </w:r>
      <w:r>
        <w:rPr>
          <w:rFonts w:cs="Times New Roman"/>
          <w:szCs w:val="32"/>
        </w:rPr>
        <w:t>6</w:t>
      </w:r>
      <w:r>
        <w:rPr>
          <w:rFonts w:hint="eastAsia" w:cs="Times New Roman"/>
          <w:szCs w:val="32"/>
        </w:rPr>
        <w:t>个，</w:t>
      </w:r>
      <w:r>
        <w:rPr>
          <w:rFonts w:cs="Times New Roman"/>
          <w:szCs w:val="32"/>
        </w:rPr>
        <w:t>4</w:t>
      </w:r>
      <w:r>
        <w:rPr>
          <w:rFonts w:hint="eastAsia" w:cs="Times New Roman"/>
          <w:szCs w:val="32"/>
        </w:rPr>
        <w:t>个指标未完成，未完成指标是：“全民健身赛事活动按时完成率”“完成岭南书院建设” 以及“组织开展群文活动次数”，另“每个行政村戏曲进乡村活动数量（场次）”指标</w:t>
      </w:r>
      <w:r>
        <w:rPr>
          <w:rFonts w:hint="eastAsia" w:cs="Times New Roman"/>
          <w:kern w:val="2"/>
          <w:szCs w:val="32"/>
        </w:rPr>
        <w:t>未能提供佐证材料证明其已全部完成</w:t>
      </w:r>
      <w:r>
        <w:rPr>
          <w:rFonts w:hint="eastAsia" w:cs="Times New Roman"/>
          <w:szCs w:val="32"/>
        </w:rPr>
        <w:t>。因此，该指标扣</w:t>
      </w:r>
      <w:r>
        <w:rPr>
          <w:rFonts w:cs="Times New Roman"/>
          <w:szCs w:val="32"/>
        </w:rPr>
        <w:t>4</w:t>
      </w:r>
      <w:r>
        <w:rPr>
          <w:rFonts w:hint="eastAsia" w:cs="Times New Roman"/>
          <w:szCs w:val="32"/>
        </w:rPr>
        <w:t>分，得1</w:t>
      </w:r>
      <w:r>
        <w:rPr>
          <w:rFonts w:cs="Times New Roman"/>
          <w:szCs w:val="32"/>
        </w:rPr>
        <w:t>6</w:t>
      </w:r>
      <w:r>
        <w:rPr>
          <w:rFonts w:hint="eastAsia" w:cs="Times New Roman"/>
          <w:szCs w:val="32"/>
        </w:rPr>
        <w:t>分。</w:t>
      </w:r>
    </w:p>
    <w:p>
      <w:pPr>
        <w:widowControl w:val="0"/>
        <w:spacing w:line="560" w:lineRule="exact"/>
        <w:ind w:firstLine="640"/>
        <w:jc w:val="both"/>
        <w:rPr>
          <w:rFonts w:cs="Times New Roman"/>
          <w:kern w:val="2"/>
          <w:szCs w:val="32"/>
        </w:rPr>
      </w:pPr>
      <w:r>
        <w:rPr>
          <w:rFonts w:cs="Times New Roman"/>
          <w:kern w:val="2"/>
          <w:szCs w:val="21"/>
        </w:rPr>
        <w:t>②</w:t>
      </w:r>
      <w:r>
        <w:rPr>
          <w:rFonts w:hint="eastAsia" w:cs="Times New Roman"/>
          <w:kern w:val="2"/>
          <w:szCs w:val="32"/>
        </w:rPr>
        <w:t>中省资金支出率。根据《2022年度市文广旅体局中省资金情况统计表》，专项资金下达数为51,623,185.98元，专项资金预算支出数27,748,577.56元，支出进度为53.75%。经计算，该指标酌情扣</w:t>
      </w:r>
      <w:r>
        <w:rPr>
          <w:rFonts w:cs="Times New Roman"/>
          <w:kern w:val="2"/>
          <w:szCs w:val="32"/>
        </w:rPr>
        <w:t>1.15</w:t>
      </w:r>
      <w:r>
        <w:rPr>
          <w:rFonts w:hint="eastAsia" w:cs="Times New Roman"/>
          <w:kern w:val="2"/>
          <w:szCs w:val="32"/>
        </w:rPr>
        <w:t>分，得</w:t>
      </w:r>
      <w:r>
        <w:rPr>
          <w:rFonts w:cs="Times New Roman"/>
          <w:kern w:val="2"/>
          <w:szCs w:val="32"/>
        </w:rPr>
        <w:t>3.85</w:t>
      </w:r>
      <w:r>
        <w:rPr>
          <w:rFonts w:hint="eastAsia" w:cs="Times New Roman"/>
          <w:kern w:val="2"/>
          <w:szCs w:val="32"/>
        </w:rPr>
        <w:t>分。</w:t>
      </w:r>
    </w:p>
    <w:p>
      <w:pPr>
        <w:pStyle w:val="8"/>
        <w:numPr>
          <w:ilvl w:val="0"/>
          <w:numId w:val="1"/>
        </w:numPr>
        <w:spacing w:before="0" w:after="0" w:line="560" w:lineRule="exact"/>
        <w:ind w:firstLine="640"/>
        <w:rPr>
          <w:rFonts w:ascii="Times New Roman" w:hAnsi="Times New Roman" w:cs="Times New Roman"/>
        </w:rPr>
      </w:pPr>
      <w:r>
        <w:drawing>
          <wp:anchor distT="0" distB="0" distL="114300" distR="114300" simplePos="0" relativeHeight="251667456" behindDoc="0" locked="0" layoutInCell="1" allowOverlap="1">
            <wp:simplePos x="0" y="0"/>
            <wp:positionH relativeFrom="column">
              <wp:posOffset>62230</wp:posOffset>
            </wp:positionH>
            <wp:positionV relativeFrom="paragraph">
              <wp:posOffset>483235</wp:posOffset>
            </wp:positionV>
            <wp:extent cx="5844540" cy="929005"/>
            <wp:effectExtent l="4445" t="4445" r="18415" b="19050"/>
            <wp:wrapTopAndBottom/>
            <wp:docPr id="6" name="图表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r>
        <w:rPr>
          <w:rFonts w:ascii="Times New Roman" w:hAnsi="Times New Roman" w:cs="Times New Roman"/>
        </w:rPr>
        <w:t>预算编制（得</w:t>
      </w:r>
      <w:r>
        <w:rPr>
          <w:rFonts w:hint="eastAsia" w:ascii="Times New Roman" w:hAnsi="Times New Roman" w:cs="Times New Roman"/>
        </w:rPr>
        <w:t>4.7</w:t>
      </w:r>
      <w:r>
        <w:rPr>
          <w:rFonts w:ascii="Times New Roman" w:hAnsi="Times New Roman" w:cs="Times New Roman"/>
        </w:rPr>
        <w:t>分）</w:t>
      </w:r>
    </w:p>
    <w:p>
      <w:pPr>
        <w:widowControl w:val="0"/>
        <w:spacing w:line="560" w:lineRule="exact"/>
        <w:ind w:firstLine="0" w:firstLineChars="0"/>
        <w:jc w:val="center"/>
        <w:rPr>
          <w:rFonts w:ascii="宋体" w:hAnsi="宋体" w:eastAsia="宋体" w:cs="宋体"/>
          <w:sz w:val="24"/>
          <w:szCs w:val="24"/>
        </w:rPr>
      </w:pPr>
      <w:r>
        <w:rPr>
          <w:rFonts w:hint="eastAsia" w:ascii="宋体" w:hAnsi="宋体" w:eastAsia="宋体" w:cs="宋体"/>
          <w:sz w:val="24"/>
          <w:szCs w:val="24"/>
        </w:rPr>
        <w:t>图2-3预算编制三级指标得分率</w:t>
      </w:r>
    </w:p>
    <w:p>
      <w:pPr>
        <w:widowControl w:val="0"/>
        <w:spacing w:line="560" w:lineRule="exact"/>
        <w:ind w:firstLine="640"/>
        <w:jc w:val="both"/>
        <w:rPr>
          <w:rFonts w:cs="Times New Roman"/>
          <w:szCs w:val="32"/>
        </w:rPr>
      </w:pPr>
      <w:r>
        <w:rPr>
          <w:rFonts w:hint="eastAsia" w:cs="Times New Roman"/>
          <w:szCs w:val="32"/>
        </w:rPr>
        <w:t>预算项目事前绩效评估。单位提供了2022年项目事前绩效预算评估报告，对项目立项的必要性、合理性、申报金额的测算进行论证评审,主要项目包括韶州体育中心事前绩效评估报告、文广旅体发展专项资金项目评估报告等。</w:t>
      </w:r>
    </w:p>
    <w:p>
      <w:pPr>
        <w:widowControl w:val="0"/>
        <w:spacing w:line="560" w:lineRule="exact"/>
        <w:ind w:firstLine="640"/>
        <w:jc w:val="both"/>
        <w:rPr>
          <w:rFonts w:cs="Times New Roman"/>
          <w:szCs w:val="32"/>
        </w:rPr>
      </w:pPr>
      <w:r>
        <w:rPr>
          <w:rFonts w:hint="eastAsia" w:cs="Times New Roman"/>
          <w:szCs w:val="32"/>
        </w:rPr>
        <w:t>据核查了解，部门2022年应评估项目包括韶州历史文化博物馆基础性装修经费850万元，但未见事前评估报告，扣0.3分，该指标得4.7分。</w:t>
      </w:r>
    </w:p>
    <w:p>
      <w:pPr>
        <w:pStyle w:val="8"/>
        <w:numPr>
          <w:ilvl w:val="0"/>
          <w:numId w:val="1"/>
        </w:numPr>
        <w:ind w:firstLine="640"/>
      </w:pPr>
      <w:r>
        <w:rPr>
          <w:rFonts w:hint="eastAsia"/>
        </w:rPr>
        <w:t>预算执行（得1</w:t>
      </w:r>
      <w:r>
        <w:t>2</w:t>
      </w:r>
      <w:r>
        <w:rPr>
          <w:rFonts w:hint="eastAsia"/>
        </w:rPr>
        <w:t>.</w:t>
      </w:r>
      <w:r>
        <w:t>4</w:t>
      </w:r>
      <w:r>
        <w:rPr>
          <w:rFonts w:hint="eastAsia"/>
        </w:rPr>
        <w:t>3分）</w:t>
      </w:r>
    </w:p>
    <w:p>
      <w:pPr>
        <w:pStyle w:val="2"/>
        <w:ind w:firstLine="0" w:firstLineChars="0"/>
      </w:pPr>
      <w:r>
        <w:drawing>
          <wp:anchor distT="0" distB="0" distL="114300" distR="114300" simplePos="0" relativeHeight="251668480" behindDoc="0" locked="0" layoutInCell="1" allowOverlap="1">
            <wp:simplePos x="0" y="0"/>
            <wp:positionH relativeFrom="column">
              <wp:posOffset>57785</wp:posOffset>
            </wp:positionH>
            <wp:positionV relativeFrom="paragraph">
              <wp:posOffset>94615</wp:posOffset>
            </wp:positionV>
            <wp:extent cx="5903595" cy="994410"/>
            <wp:effectExtent l="4445" t="4445" r="16510" b="10795"/>
            <wp:wrapSquare wrapText="bothSides"/>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p>
    <w:p>
      <w:pPr>
        <w:widowControl w:val="0"/>
        <w:numPr>
          <w:ilvl w:val="255"/>
          <w:numId w:val="0"/>
        </w:numPr>
        <w:spacing w:line="240" w:lineRule="auto"/>
        <w:jc w:val="center"/>
        <w:rPr>
          <w:rFonts w:cs="Times New Roman"/>
          <w:kern w:val="2"/>
          <w:szCs w:val="21"/>
        </w:rPr>
      </w:pPr>
      <w:r>
        <w:rPr>
          <w:rFonts w:hint="eastAsia" w:ascii="宋体" w:hAnsi="宋体" w:eastAsia="宋体" w:cs="宋体"/>
          <w:sz w:val="24"/>
          <w:szCs w:val="24"/>
        </w:rPr>
        <w:t>图2-4预算执行三级指标得分率</w:t>
      </w:r>
    </w:p>
    <w:p>
      <w:pPr>
        <w:numPr>
          <w:ilvl w:val="255"/>
          <w:numId w:val="0"/>
        </w:numPr>
        <w:spacing w:line="560" w:lineRule="exact"/>
        <w:ind w:firstLine="640" w:firstLineChars="200"/>
        <w:rPr>
          <w:rFonts w:cs="Times New Roman"/>
          <w:kern w:val="2"/>
          <w:szCs w:val="21"/>
        </w:rPr>
      </w:pPr>
      <w:r>
        <w:rPr>
          <w:rFonts w:cs="Times New Roman"/>
          <w:kern w:val="2"/>
          <w:szCs w:val="21"/>
        </w:rPr>
        <w:t>①预算编制约束性。</w:t>
      </w:r>
      <w:r>
        <w:rPr>
          <w:rFonts w:hint="eastAsia" w:cs="Times New Roman"/>
          <w:kern w:val="2"/>
          <w:szCs w:val="21"/>
        </w:rPr>
        <w:t>该指标</w:t>
      </w:r>
      <w:r>
        <w:rPr>
          <w:rFonts w:cs="Times New Roman"/>
          <w:kern w:val="2"/>
          <w:szCs w:val="21"/>
        </w:rPr>
        <w:t>主要考核预算调剂发生情况和年中资金追加情况，经核实相关数据，剔除不列入本级预算数情况、年中增人增编经费、中央和省追加资金、非本部门主管的专项资金，部门2022年度涉及资金调剂共380.3497万元，预算调剂发生率为1.81%。因此该指标扣0.07分，得5.93分</w:t>
      </w:r>
      <w:r>
        <w:rPr>
          <w:rStyle w:val="38"/>
          <w:rFonts w:cs="Times New Roman"/>
          <w:kern w:val="2"/>
          <w:szCs w:val="21"/>
        </w:rPr>
        <w:footnoteReference w:id="8"/>
      </w:r>
      <w:r>
        <w:rPr>
          <w:rFonts w:cs="Times New Roman"/>
          <w:kern w:val="2"/>
          <w:szCs w:val="21"/>
        </w:rPr>
        <w:t>。</w:t>
      </w:r>
    </w:p>
    <w:p>
      <w:pPr>
        <w:widowControl w:val="0"/>
        <w:spacing w:line="560" w:lineRule="exact"/>
        <w:ind w:firstLine="640"/>
        <w:jc w:val="both"/>
        <w:rPr>
          <w:rFonts w:cs="Times New Roman"/>
          <w:szCs w:val="32"/>
        </w:rPr>
      </w:pPr>
      <w:r>
        <w:rPr>
          <w:rFonts w:cs="Times New Roman"/>
          <w:kern w:val="2"/>
          <w:szCs w:val="21"/>
        </w:rPr>
        <w:t>②</w:t>
      </w:r>
      <w:r>
        <w:rPr>
          <w:rFonts w:hint="eastAsia" w:cs="Times New Roman"/>
          <w:szCs w:val="32"/>
        </w:rPr>
        <w:t>财务管理合规性。单位制定了相关财务管理办法，在日常财务管理中基本按照财务管理规定执行，但通过现场抽查其记账凭证发现以下问题：</w:t>
      </w:r>
    </w:p>
    <w:p>
      <w:pPr>
        <w:widowControl w:val="0"/>
        <w:spacing w:line="560" w:lineRule="exact"/>
        <w:ind w:firstLine="640"/>
        <w:jc w:val="both"/>
        <w:rPr>
          <w:rFonts w:cs="Times New Roman"/>
          <w:szCs w:val="32"/>
        </w:rPr>
      </w:pPr>
      <w:r>
        <w:rPr>
          <w:rFonts w:hint="eastAsia" w:cs="Times New Roman"/>
          <w:szCs w:val="32"/>
        </w:rPr>
        <w:t>一是根据部门提供的《韶关市文化广电旅游体育局党组书记、局长黄宣剑同志任期履行经济责任情况审计报告》（韶审投报〔2023〕1号），其中有关2022年度财务管理的问题有：市文广旅体局内部控制管理不规范，财务机构同时兼任内审职责，不相容岗位未有效分离；市文广旅体局未及时清理长期往来款项，涉及金额1028.6万元；市文广旅体局2022年党费收支计划未经党组会议审议。</w:t>
      </w:r>
    </w:p>
    <w:p>
      <w:pPr>
        <w:widowControl w:val="0"/>
        <w:spacing w:line="560" w:lineRule="exact"/>
        <w:ind w:firstLine="640"/>
        <w:jc w:val="both"/>
        <w:rPr>
          <w:rFonts w:cs="Times New Roman"/>
          <w:szCs w:val="32"/>
        </w:rPr>
      </w:pPr>
      <w:r>
        <w:rPr>
          <w:rFonts w:hint="eastAsia" w:cs="Times New Roman"/>
          <w:szCs w:val="32"/>
        </w:rPr>
        <w:t>二是《韶关市文化广电旅游体育局党组书记、局长黄宣剑同志任期履行经济责任情况审计报告》韶审投报〔2023〕1号和第三方出具的固定资产清查报告提出了部门固定资产管理存在不规范的问题，连续两年对因业务主管部门责任引发的同一问题提出意见，但截至现场核查日，业务主管部门未落实相关整改意见。因此，该指标扣</w:t>
      </w:r>
      <w:r>
        <w:rPr>
          <w:rFonts w:cs="Times New Roman"/>
          <w:szCs w:val="32"/>
        </w:rPr>
        <w:t>2.5</w:t>
      </w:r>
      <w:r>
        <w:rPr>
          <w:rFonts w:hint="eastAsia" w:cs="Times New Roman"/>
          <w:szCs w:val="32"/>
        </w:rPr>
        <w:t>分，得</w:t>
      </w:r>
      <w:r>
        <w:rPr>
          <w:rFonts w:cs="Times New Roman"/>
          <w:szCs w:val="32"/>
        </w:rPr>
        <w:t>6.5</w:t>
      </w:r>
      <w:r>
        <w:rPr>
          <w:rFonts w:hint="eastAsia" w:cs="Times New Roman"/>
          <w:szCs w:val="32"/>
        </w:rPr>
        <w:t>分。</w:t>
      </w:r>
    </w:p>
    <w:p>
      <w:pPr>
        <w:pStyle w:val="8"/>
        <w:numPr>
          <w:ilvl w:val="0"/>
          <w:numId w:val="1"/>
        </w:numPr>
        <w:spacing w:before="0" w:after="0" w:line="560" w:lineRule="exact"/>
        <w:ind w:firstLine="640" w:firstLineChars="0"/>
        <w:rPr>
          <w:rFonts w:ascii="Times New Roman" w:hAnsi="Times New Roman" w:cs="Times New Roman"/>
          <w:szCs w:val="24"/>
        </w:rPr>
      </w:pPr>
      <w:r>
        <w:rPr>
          <w:rFonts w:hint="eastAsia" w:ascii="Times New Roman" w:hAnsi="Times New Roman" w:cs="Times New Roman"/>
          <w:szCs w:val="24"/>
        </w:rPr>
        <w:t>信息公开（得</w:t>
      </w:r>
      <w:r>
        <w:rPr>
          <w:rFonts w:ascii="Times New Roman" w:hAnsi="Times New Roman" w:cs="Times New Roman"/>
          <w:szCs w:val="24"/>
        </w:rPr>
        <w:t>3</w:t>
      </w:r>
      <w:r>
        <w:rPr>
          <w:rFonts w:hint="eastAsia" w:ascii="Times New Roman" w:hAnsi="Times New Roman" w:cs="Times New Roman"/>
          <w:szCs w:val="24"/>
        </w:rPr>
        <w:t>分）</w:t>
      </w:r>
    </w:p>
    <w:p>
      <w:pPr>
        <w:pStyle w:val="2"/>
        <w:ind w:firstLine="0" w:firstLineChars="0"/>
      </w:pPr>
      <w:r>
        <w:drawing>
          <wp:inline distT="0" distB="0" distL="0" distR="0">
            <wp:extent cx="5922645" cy="967740"/>
            <wp:effectExtent l="4445" t="4445" r="16510" b="1841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pPr>
        <w:widowControl w:val="0"/>
        <w:spacing w:line="560" w:lineRule="exact"/>
        <w:ind w:firstLine="0" w:firstLineChars="0"/>
        <w:jc w:val="center"/>
        <w:rPr>
          <w:rFonts w:cs="Times New Roman"/>
          <w:kern w:val="2"/>
          <w:szCs w:val="21"/>
        </w:rPr>
      </w:pPr>
      <w:r>
        <w:rPr>
          <w:rFonts w:hint="eastAsia" w:ascii="宋体" w:hAnsi="宋体" w:eastAsia="宋体" w:cs="宋体"/>
          <w:sz w:val="24"/>
          <w:szCs w:val="24"/>
        </w:rPr>
        <w:t>图2-5信息公开三级指标得分率</w:t>
      </w:r>
    </w:p>
    <w:p>
      <w:pPr>
        <w:widowControl w:val="0"/>
        <w:spacing w:line="560" w:lineRule="exact"/>
        <w:ind w:firstLine="640"/>
        <w:jc w:val="both"/>
        <w:rPr>
          <w:rFonts w:cs="Times New Roman"/>
          <w:szCs w:val="32"/>
        </w:rPr>
      </w:pPr>
      <w:r>
        <w:rPr>
          <w:rFonts w:cs="Times New Roman"/>
          <w:kern w:val="2"/>
          <w:szCs w:val="21"/>
        </w:rPr>
        <w:t>①</w:t>
      </w:r>
      <w:r>
        <w:rPr>
          <w:rFonts w:hint="eastAsia" w:cs="Times New Roman"/>
          <w:szCs w:val="32"/>
        </w:rPr>
        <w:t>预决算公开合规性。2022年市文广旅体局按规定在政府网站公开2022年部门预算和2021年部门决算，预决算信息公开合规，因此该指标不扣分，得2分。</w:t>
      </w:r>
    </w:p>
    <w:p>
      <w:pPr>
        <w:widowControl w:val="0"/>
        <w:spacing w:line="560" w:lineRule="exact"/>
        <w:ind w:firstLine="640"/>
        <w:jc w:val="both"/>
        <w:rPr>
          <w:rFonts w:cs="Times New Roman"/>
          <w:szCs w:val="32"/>
        </w:rPr>
      </w:pPr>
      <w:r>
        <w:rPr>
          <w:rFonts w:cs="Times New Roman"/>
          <w:kern w:val="2"/>
          <w:szCs w:val="21"/>
        </w:rPr>
        <w:t>②</w:t>
      </w:r>
      <w:r>
        <w:rPr>
          <w:rFonts w:hint="eastAsia" w:cs="Times New Roman"/>
          <w:szCs w:val="32"/>
        </w:rPr>
        <w:t>绩效信息公开情况。绩效目标已在规定时间内进行公开。因此，该指标不扣分，得</w:t>
      </w:r>
      <w:r>
        <w:rPr>
          <w:rFonts w:cs="Times New Roman"/>
          <w:szCs w:val="32"/>
        </w:rPr>
        <w:t>1</w:t>
      </w:r>
      <w:r>
        <w:rPr>
          <w:rFonts w:hint="eastAsia" w:cs="Times New Roman"/>
          <w:szCs w:val="32"/>
        </w:rPr>
        <w:t>分。</w:t>
      </w:r>
    </w:p>
    <w:p>
      <w:pPr>
        <w:pStyle w:val="8"/>
        <w:spacing w:before="0" w:after="0" w:line="560" w:lineRule="exact"/>
        <w:ind w:firstLine="640"/>
        <w:rPr>
          <w:rFonts w:ascii="Times New Roman" w:hAnsi="Times New Roman" w:cs="Times New Roman"/>
          <w:szCs w:val="32"/>
        </w:rPr>
      </w:pPr>
      <w:r>
        <w:drawing>
          <wp:anchor distT="0" distB="0" distL="114300" distR="114300" simplePos="0" relativeHeight="251663360" behindDoc="0" locked="0" layoutInCell="1" allowOverlap="1">
            <wp:simplePos x="0" y="0"/>
            <wp:positionH relativeFrom="column">
              <wp:posOffset>-6985</wp:posOffset>
            </wp:positionH>
            <wp:positionV relativeFrom="paragraph">
              <wp:posOffset>510540</wp:posOffset>
            </wp:positionV>
            <wp:extent cx="5949950" cy="1076325"/>
            <wp:effectExtent l="4445" t="4445" r="8255" b="5080"/>
            <wp:wrapTopAndBottom/>
            <wp:docPr id="11" name="图表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r>
        <w:rPr>
          <w:rFonts w:hint="eastAsia" w:ascii="Times New Roman" w:hAnsi="Times New Roman" w:cs="Times New Roman"/>
          <w:szCs w:val="24"/>
        </w:rPr>
        <w:t>（6）绩效管理（得4分）</w:t>
      </w:r>
    </w:p>
    <w:p>
      <w:pPr>
        <w:widowControl w:val="0"/>
        <w:spacing w:line="560" w:lineRule="exact"/>
        <w:ind w:firstLine="0" w:firstLineChars="0"/>
        <w:jc w:val="center"/>
        <w:rPr>
          <w:rFonts w:cs="Times New Roman"/>
          <w:kern w:val="2"/>
          <w:szCs w:val="21"/>
        </w:rPr>
      </w:pPr>
      <w:r>
        <w:rPr>
          <w:rFonts w:hint="eastAsia" w:ascii="宋体" w:hAnsi="宋体" w:eastAsia="宋体" w:cs="宋体"/>
          <w:sz w:val="24"/>
          <w:szCs w:val="24"/>
        </w:rPr>
        <w:t>图2-6绩效管理三级指标得分率</w:t>
      </w:r>
    </w:p>
    <w:p>
      <w:pPr>
        <w:widowControl w:val="0"/>
        <w:spacing w:line="560" w:lineRule="exact"/>
        <w:ind w:firstLine="640"/>
        <w:jc w:val="both"/>
        <w:rPr>
          <w:rFonts w:cs="Times New Roman"/>
          <w:szCs w:val="32"/>
        </w:rPr>
      </w:pPr>
      <w:r>
        <w:rPr>
          <w:rFonts w:cs="Times New Roman"/>
          <w:kern w:val="2"/>
          <w:szCs w:val="21"/>
        </w:rPr>
        <w:t>①</w:t>
      </w:r>
      <w:r>
        <w:rPr>
          <w:rFonts w:hint="eastAsia" w:cs="Times New Roman"/>
          <w:szCs w:val="32"/>
        </w:rPr>
        <w:t>绩效管理制度建设。一是单位制定了制度汇编，包括了《预算绩效管理办法（试行）》，绩效要求包含了绩效目标管理、绩效运行监控、绩效评价管理和评价结果应用等方面；制度明确了各部门分工，基建科负责局机关及直属各单位预算绩效管理组织、指导，并协调、配合财政部门做好相关工作。局机关各业务科室及直属各单位是绩效管理的工作主体，负责局的预算绩效管理的具体实施。因此，该指标不扣分，得2分。</w:t>
      </w:r>
    </w:p>
    <w:p>
      <w:pPr>
        <w:widowControl w:val="0"/>
        <w:spacing w:line="560" w:lineRule="exact"/>
        <w:ind w:firstLine="640"/>
        <w:jc w:val="both"/>
        <w:rPr>
          <w:rFonts w:cs="Times New Roman"/>
          <w:kern w:val="2"/>
          <w:szCs w:val="21"/>
          <w:highlight w:val="yellow"/>
        </w:rPr>
      </w:pPr>
      <w:r>
        <w:rPr>
          <w:rFonts w:cs="Times New Roman"/>
          <w:kern w:val="2"/>
          <w:szCs w:val="21"/>
        </w:rPr>
        <w:t>②</w:t>
      </w:r>
      <w:r>
        <w:rPr>
          <w:rFonts w:hint="eastAsia" w:cs="Times New Roman"/>
          <w:kern w:val="2"/>
          <w:szCs w:val="21"/>
        </w:rPr>
        <w:t>绩效管理制度执行。一是部门自评复核等级一般，自评报告中绩效目标及完成情况对应不够清晰，问题和建议不够具体。二是部门整体预算绩效目标设置未能体现部门年度重点工作任务，整体绩效目标中的产出指标未设置“韶州体育馆建设”的数量指标和质量指标，未有反映文化、旅游等工作任务和项目的具体指标。此外，部门整体绩效目标未设置满意度指标，指标设置不够全面完整。因此，该指标扣1分，得2分。</w:t>
      </w:r>
    </w:p>
    <w:p>
      <w:pPr>
        <w:pStyle w:val="7"/>
        <w:snapToGrid/>
        <w:spacing w:line="560" w:lineRule="exact"/>
        <w:ind w:firstLine="643"/>
        <w:rPr>
          <w:rFonts w:cstheme="minorBidi"/>
        </w:rPr>
      </w:pPr>
      <w:r>
        <w:rPr>
          <w:rFonts w:cstheme="minorBidi"/>
        </w:rPr>
        <w:t>2.管理效率分析</w:t>
      </w:r>
    </w:p>
    <w:p>
      <w:pPr>
        <w:keepNext/>
        <w:keepLines/>
        <w:spacing w:line="560" w:lineRule="exact"/>
        <w:ind w:firstLine="640"/>
        <w:outlineLvl w:val="3"/>
        <w:rPr>
          <w:rFonts w:cs="Times New Roman"/>
          <w:szCs w:val="24"/>
        </w:rPr>
      </w:pPr>
      <w:r>
        <w:rPr>
          <w:rFonts w:hint="eastAsia" w:cs="Times New Roman"/>
          <w:szCs w:val="24"/>
        </w:rPr>
        <w:t>（1）</w:t>
      </w:r>
      <w:r>
        <w:rPr>
          <w:rFonts w:cs="Times New Roman"/>
          <w:szCs w:val="24"/>
        </w:rPr>
        <w:t>采购管理</w:t>
      </w:r>
      <w:r>
        <w:rPr>
          <w:rFonts w:hint="eastAsia" w:cs="Times New Roman"/>
          <w:szCs w:val="24"/>
        </w:rPr>
        <w:t>（得8分）</w:t>
      </w:r>
    </w:p>
    <w:p>
      <w:pPr>
        <w:widowControl w:val="0"/>
        <w:spacing w:line="560" w:lineRule="exact"/>
        <w:ind w:firstLine="0" w:firstLineChars="0"/>
        <w:jc w:val="center"/>
        <w:rPr>
          <w:rFonts w:cs="Times New Roman"/>
          <w:kern w:val="2"/>
          <w:szCs w:val="21"/>
        </w:rPr>
      </w:pPr>
      <w:r>
        <w:drawing>
          <wp:anchor distT="0" distB="0" distL="114300" distR="114300" simplePos="0" relativeHeight="251665408" behindDoc="0" locked="0" layoutInCell="1" allowOverlap="1">
            <wp:simplePos x="0" y="0"/>
            <wp:positionH relativeFrom="column">
              <wp:posOffset>46990</wp:posOffset>
            </wp:positionH>
            <wp:positionV relativeFrom="paragraph">
              <wp:posOffset>138430</wp:posOffset>
            </wp:positionV>
            <wp:extent cx="5808980" cy="1632585"/>
            <wp:effectExtent l="4445" t="4445" r="15875" b="20320"/>
            <wp:wrapTopAndBottom/>
            <wp:docPr id="24" name="图表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anchor>
        </w:drawing>
      </w:r>
      <w:r>
        <w:rPr>
          <w:rFonts w:hint="eastAsia" w:ascii="宋体" w:hAnsi="宋体" w:eastAsia="宋体" w:cs="宋体"/>
          <w:sz w:val="24"/>
          <w:szCs w:val="24"/>
        </w:rPr>
        <w:t>图2-7采购管理三级指标得分率</w:t>
      </w:r>
    </w:p>
    <w:p>
      <w:pPr>
        <w:widowControl w:val="0"/>
        <w:spacing w:line="560" w:lineRule="exact"/>
        <w:ind w:firstLine="640"/>
        <w:jc w:val="both"/>
        <w:rPr>
          <w:rFonts w:cs="Times New Roman"/>
          <w:kern w:val="2"/>
          <w:szCs w:val="21"/>
        </w:rPr>
      </w:pPr>
      <w:r>
        <w:rPr>
          <w:rFonts w:cs="Times New Roman"/>
          <w:kern w:val="2"/>
          <w:szCs w:val="21"/>
        </w:rPr>
        <w:t>①采购意向公开合规性</w:t>
      </w:r>
      <w:r>
        <w:rPr>
          <w:rFonts w:hint="eastAsia" w:cs="Times New Roman"/>
          <w:kern w:val="2"/>
          <w:szCs w:val="21"/>
        </w:rPr>
        <w:t>。根据采购意向公开时限要求，原则上不得晚于采购活动开始前30日，纳入部门预算支出范围的采购项目，预算单位应当在部门预算批复后40日内，在政府采购系统填报采购意向要素，在部门预算批复后60日内予以公开。通过现场座谈了解到采购意向公开较为及时，未发现违反要求进行公开的情况，部门采购意向均在政府采购网站进行公开。因此，该指标不扣分，得2分。</w:t>
      </w:r>
    </w:p>
    <w:p>
      <w:pPr>
        <w:widowControl w:val="0"/>
        <w:spacing w:line="560" w:lineRule="exact"/>
        <w:ind w:firstLine="640"/>
        <w:jc w:val="both"/>
        <w:rPr>
          <w:rFonts w:cs="Times New Roman"/>
          <w:kern w:val="2"/>
          <w:szCs w:val="21"/>
        </w:rPr>
      </w:pPr>
      <w:r>
        <w:rPr>
          <w:rFonts w:cs="Times New Roman"/>
          <w:kern w:val="2"/>
          <w:szCs w:val="21"/>
        </w:rPr>
        <w:t>②采购内控制度建设</w:t>
      </w:r>
      <w:r>
        <w:rPr>
          <w:rFonts w:hint="eastAsia" w:cs="Times New Roman"/>
          <w:kern w:val="2"/>
          <w:szCs w:val="21"/>
        </w:rPr>
        <w:t>。根据</w:t>
      </w:r>
      <w:r>
        <w:rPr>
          <w:rFonts w:cs="Times New Roman"/>
          <w:kern w:val="2"/>
          <w:szCs w:val="21"/>
        </w:rPr>
        <w:t>采购内控制度建设</w:t>
      </w:r>
      <w:r>
        <w:rPr>
          <w:rFonts w:hint="eastAsia" w:cs="Times New Roman"/>
          <w:kern w:val="2"/>
          <w:szCs w:val="21"/>
        </w:rPr>
        <w:t>要求，部门应建立政府采购内部控制管理制度并报财政部门备案。部门建立了政府采购内部控制管理制度并已向财政备案。因此，该指标不扣分，得</w:t>
      </w:r>
      <w:r>
        <w:rPr>
          <w:rFonts w:cs="Times New Roman"/>
          <w:kern w:val="2"/>
          <w:szCs w:val="21"/>
        </w:rPr>
        <w:t>1</w:t>
      </w:r>
      <w:r>
        <w:rPr>
          <w:rFonts w:hint="eastAsia" w:cs="Times New Roman"/>
          <w:kern w:val="2"/>
          <w:szCs w:val="21"/>
        </w:rPr>
        <w:t>分。</w:t>
      </w:r>
    </w:p>
    <w:p>
      <w:pPr>
        <w:widowControl w:val="0"/>
        <w:spacing w:line="560" w:lineRule="exact"/>
        <w:ind w:firstLine="640"/>
        <w:jc w:val="both"/>
        <w:rPr>
          <w:rFonts w:ascii="仿宋_GB2312" w:hAnsi="仿宋_GB2312" w:cs="仿宋_GB2312"/>
          <w:spacing w:val="10"/>
        </w:rPr>
      </w:pPr>
      <w:r>
        <w:rPr>
          <w:rFonts w:hint="eastAsia" w:cs="Times New Roman"/>
          <w:kern w:val="2"/>
          <w:szCs w:val="21"/>
        </w:rPr>
        <w:t xml:space="preserve"> </w:t>
      </w:r>
      <w:r>
        <w:rPr>
          <w:rFonts w:cs="Times New Roman"/>
          <w:kern w:val="2"/>
          <w:szCs w:val="21"/>
        </w:rPr>
        <w:t>③采购活动合规性</w:t>
      </w:r>
      <w:r>
        <w:rPr>
          <w:rFonts w:hint="eastAsia" w:cs="Times New Roman"/>
          <w:kern w:val="2"/>
          <w:szCs w:val="21"/>
        </w:rPr>
        <w:t>。根据采购活动的投诉处理情况，经财政部门查证认定投诉事项成立的采购活动，视为不合规的采购活动。</w:t>
      </w:r>
      <w:r>
        <w:rPr>
          <w:rFonts w:hint="eastAsia" w:ascii="仿宋_GB2312" w:hAnsi="仿宋_GB2312" w:cs="仿宋_GB2312"/>
          <w:spacing w:val="10"/>
        </w:rPr>
        <w:t>结合现场调研和书面评价，暂未发现2022年部门发生采购投诉事件。因此按评分标准，该指标不扣分，得2分。</w:t>
      </w:r>
    </w:p>
    <w:p>
      <w:pPr>
        <w:widowControl w:val="0"/>
        <w:spacing w:line="560" w:lineRule="exact"/>
        <w:ind w:firstLine="640"/>
        <w:jc w:val="both"/>
        <w:rPr>
          <w:rFonts w:cs="Times New Roman"/>
          <w:kern w:val="2"/>
          <w:szCs w:val="21"/>
        </w:rPr>
      </w:pPr>
      <w:r>
        <w:rPr>
          <w:rFonts w:cs="Times New Roman"/>
          <w:kern w:val="2"/>
          <w:szCs w:val="21"/>
        </w:rPr>
        <w:t>④采购合同签订时效性</w:t>
      </w:r>
      <w:r>
        <w:rPr>
          <w:rFonts w:hint="eastAsia" w:cs="Times New Roman"/>
          <w:kern w:val="2"/>
          <w:szCs w:val="21"/>
        </w:rPr>
        <w:t>。根据部门提供的《政府采购合同情况表（汇总表）》，在时限内签订合同项目数为176个，总项目数为179个，其中韶关市文化广电旅游体育局本级3个项目未在中标通知书、成交通知书发出之日起三十日内签订合同。合同签订及时率为98.32%</w:t>
      </w:r>
      <w:r>
        <w:rPr>
          <w:rFonts w:hint="eastAsia" w:eastAsia="宋体" w:cs="Times New Roman"/>
          <w:kern w:val="2"/>
          <w:szCs w:val="21"/>
          <w:vertAlign w:val="superscript"/>
        </w:rPr>
        <w:footnoteReference w:id="9"/>
      </w:r>
      <w:r>
        <w:rPr>
          <w:rFonts w:hint="eastAsia" w:cs="Times New Roman"/>
          <w:kern w:val="2"/>
          <w:szCs w:val="21"/>
        </w:rPr>
        <w:t>。因此，该指标扣1分，得2分。</w:t>
      </w:r>
    </w:p>
    <w:p>
      <w:pPr>
        <w:widowControl w:val="0"/>
        <w:spacing w:line="560" w:lineRule="exact"/>
        <w:ind w:firstLine="640"/>
        <w:jc w:val="both"/>
        <w:rPr>
          <w:rFonts w:cs="Times New Roman"/>
          <w:kern w:val="2"/>
          <w:szCs w:val="21"/>
        </w:rPr>
      </w:pPr>
      <w:r>
        <w:rPr>
          <w:rFonts w:cs="Times New Roman"/>
          <w:kern w:val="2"/>
          <w:szCs w:val="21"/>
        </w:rPr>
        <w:t>⑤合同备案时效性</w:t>
      </w:r>
      <w:r>
        <w:rPr>
          <w:rFonts w:hint="eastAsia" w:cs="Times New Roman"/>
          <w:kern w:val="2"/>
          <w:szCs w:val="21"/>
        </w:rPr>
        <w:t>。根据部门提供的《附件7-1 政府采购合同情况表（汇总表）》，按时备案合同156个，备案公开合同数162个。其中韶关市文化广电旅游体育局未按时公开1个，韶关市体育场馆管理中心未按时公开1个，韶关市中心业余体校未按时公开4个。不满足自合同签订之日起2个工作日内在“广东省政府采购网”备案公开的规定，因此该指标扣0.5分，得0.5分。</w:t>
      </w:r>
    </w:p>
    <w:p>
      <w:pPr>
        <w:widowControl w:val="0"/>
        <w:spacing w:line="560" w:lineRule="exact"/>
        <w:ind w:firstLine="640"/>
        <w:jc w:val="both"/>
        <w:rPr>
          <w:rFonts w:cs="Times New Roman"/>
          <w:kern w:val="2"/>
          <w:szCs w:val="21"/>
        </w:rPr>
      </w:pPr>
      <w:r>
        <w:rPr>
          <w:rFonts w:cs="Times New Roman"/>
          <w:kern w:val="2"/>
          <w:szCs w:val="21"/>
        </w:rPr>
        <w:fldChar w:fldCharType="begin"/>
      </w:r>
      <w:r>
        <w:rPr>
          <w:rFonts w:cs="Times New Roman"/>
          <w:kern w:val="2"/>
          <w:szCs w:val="21"/>
        </w:rPr>
        <w:instrText xml:space="preserve"> = 6 \* GB3 \* MERGEFORMAT </w:instrText>
      </w:r>
      <w:r>
        <w:rPr>
          <w:rFonts w:cs="Times New Roman"/>
          <w:kern w:val="2"/>
          <w:szCs w:val="21"/>
        </w:rPr>
        <w:fldChar w:fldCharType="separate"/>
      </w:r>
      <w:r>
        <w:rPr>
          <w:rFonts w:cs="Times New Roman"/>
          <w:szCs w:val="21"/>
        </w:rPr>
        <w:t>⑥</w:t>
      </w:r>
      <w:r>
        <w:rPr>
          <w:rFonts w:cs="Times New Roman"/>
          <w:kern w:val="2"/>
          <w:szCs w:val="21"/>
        </w:rPr>
        <w:fldChar w:fldCharType="end"/>
      </w:r>
      <w:r>
        <w:rPr>
          <w:rFonts w:cs="Times New Roman"/>
          <w:kern w:val="2"/>
          <w:szCs w:val="21"/>
        </w:rPr>
        <w:t>采购政策效能</w:t>
      </w:r>
      <w:r>
        <w:rPr>
          <w:rFonts w:hint="eastAsia" w:cs="Times New Roman"/>
          <w:kern w:val="2"/>
          <w:szCs w:val="21"/>
        </w:rPr>
        <w:t>。根据《政府采购合同授予情况统计表_采购03表》，总实际采购金额为2282.82万元，部门按照《政府采购促进中小企业发展管理办法》要求为中小企业预留采购份额，实际面向中小企业采购金额为2277.4万元。因此，该指标不扣分，得1分</w:t>
      </w:r>
      <w:r>
        <w:rPr>
          <w:rFonts w:hint="eastAsia" w:eastAsia="宋体" w:cs="Times New Roman"/>
          <w:kern w:val="2"/>
          <w:szCs w:val="21"/>
          <w:vertAlign w:val="superscript"/>
        </w:rPr>
        <w:footnoteReference w:id="10"/>
      </w:r>
      <w:r>
        <w:rPr>
          <w:rFonts w:hint="eastAsia" w:cs="Times New Roman"/>
          <w:kern w:val="2"/>
          <w:szCs w:val="21"/>
        </w:rPr>
        <w:t>。</w:t>
      </w:r>
    </w:p>
    <w:p>
      <w:pPr>
        <w:keepNext/>
        <w:keepLines/>
        <w:numPr>
          <w:ilvl w:val="0"/>
          <w:numId w:val="2"/>
        </w:numPr>
        <w:spacing w:line="560" w:lineRule="exact"/>
        <w:ind w:firstLine="640"/>
        <w:outlineLvl w:val="3"/>
        <w:rPr>
          <w:rFonts w:cs="Times New Roman"/>
          <w:szCs w:val="24"/>
        </w:rPr>
      </w:pPr>
      <w:r>
        <w:drawing>
          <wp:anchor distT="0" distB="0" distL="114300" distR="114300" simplePos="0" relativeHeight="251666432" behindDoc="0" locked="0" layoutInCell="1" allowOverlap="1">
            <wp:simplePos x="0" y="0"/>
            <wp:positionH relativeFrom="column">
              <wp:posOffset>-9525</wp:posOffset>
            </wp:positionH>
            <wp:positionV relativeFrom="paragraph">
              <wp:posOffset>436880</wp:posOffset>
            </wp:positionV>
            <wp:extent cx="5713730" cy="1670050"/>
            <wp:effectExtent l="4445" t="4445" r="15875" b="20955"/>
            <wp:wrapTopAndBottom/>
            <wp:docPr id="25" name="图表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anchor>
        </w:drawing>
      </w:r>
      <w:r>
        <w:rPr>
          <w:rFonts w:hint="eastAsia" w:cs="Times New Roman"/>
          <w:szCs w:val="24"/>
        </w:rPr>
        <w:t>资产管理（得5.</w:t>
      </w:r>
      <w:r>
        <w:rPr>
          <w:rFonts w:cs="Times New Roman"/>
          <w:szCs w:val="24"/>
        </w:rPr>
        <w:t>5</w:t>
      </w:r>
      <w:r>
        <w:rPr>
          <w:rFonts w:hint="eastAsia" w:cs="Times New Roman"/>
          <w:szCs w:val="24"/>
        </w:rPr>
        <w:t>分）</w:t>
      </w:r>
    </w:p>
    <w:p>
      <w:pPr>
        <w:widowControl w:val="0"/>
        <w:spacing w:line="560" w:lineRule="exact"/>
        <w:ind w:firstLine="0" w:firstLineChars="0"/>
        <w:jc w:val="center"/>
        <w:rPr>
          <w:rFonts w:cs="Times New Roman"/>
          <w:kern w:val="2"/>
          <w:szCs w:val="21"/>
        </w:rPr>
      </w:pPr>
      <w:r>
        <w:rPr>
          <w:rFonts w:hint="eastAsia" w:ascii="宋体" w:hAnsi="宋体" w:eastAsia="宋体" w:cs="宋体"/>
          <w:sz w:val="24"/>
          <w:szCs w:val="24"/>
        </w:rPr>
        <w:t>图2-8资产管理三级指标得分率</w:t>
      </w:r>
    </w:p>
    <w:p>
      <w:pPr>
        <w:widowControl w:val="0"/>
        <w:spacing w:line="560" w:lineRule="exact"/>
        <w:ind w:firstLine="640"/>
        <w:jc w:val="both"/>
        <w:rPr>
          <w:rFonts w:cs="Times New Roman"/>
          <w:kern w:val="2"/>
          <w:szCs w:val="21"/>
        </w:rPr>
      </w:pPr>
      <w:r>
        <w:rPr>
          <w:rFonts w:cs="Times New Roman"/>
          <w:kern w:val="2"/>
          <w:szCs w:val="21"/>
        </w:rPr>
        <w:t>①资产配置合规性。根据《中央行政单位通用办公设备家具配置标准》、《党政机关办公用房建设标准》，台式计算机价格上限为5000元/台。</w:t>
      </w:r>
      <w:r>
        <w:rPr>
          <w:rFonts w:hint="eastAsia" w:cs="Times New Roman"/>
          <w:kern w:val="2"/>
          <w:szCs w:val="21"/>
        </w:rPr>
        <w:t>但根据市文广旅体局本级</w:t>
      </w:r>
      <w:r>
        <w:rPr>
          <w:rFonts w:cs="Times New Roman"/>
          <w:kern w:val="2"/>
          <w:szCs w:val="21"/>
        </w:rPr>
        <w:t>《固定资产盘点表》，有7台台式机购买价格高于5000元/台。因此，该指标扣0.5分，得1.5分。</w:t>
      </w:r>
    </w:p>
    <w:p>
      <w:pPr>
        <w:widowControl w:val="0"/>
        <w:spacing w:line="560" w:lineRule="exact"/>
        <w:ind w:firstLine="640"/>
        <w:jc w:val="both"/>
        <w:rPr>
          <w:rFonts w:cs="Times New Roman"/>
          <w:kern w:val="2"/>
          <w:szCs w:val="21"/>
        </w:rPr>
      </w:pPr>
      <w:r>
        <w:rPr>
          <w:rFonts w:cs="Times New Roman"/>
          <w:kern w:val="2"/>
          <w:szCs w:val="21"/>
        </w:rPr>
        <w:t>②资产收益上缴的及时性</w:t>
      </w:r>
      <w:r>
        <w:rPr>
          <w:rFonts w:hint="eastAsia" w:cs="Times New Roman"/>
          <w:kern w:val="2"/>
          <w:szCs w:val="21"/>
        </w:rPr>
        <w:t>。该指标主要核查处置收益和租金上缴是否及时的情况。经核实，部门2022年度有国有资产处置和使用收益364.5万元，均在3个月内按时上缴国库。因此，该指标不扣分，得1分。</w:t>
      </w:r>
    </w:p>
    <w:p>
      <w:pPr>
        <w:widowControl w:val="0"/>
        <w:spacing w:line="560" w:lineRule="exact"/>
        <w:ind w:firstLine="640"/>
        <w:jc w:val="both"/>
        <w:rPr>
          <w:rFonts w:cs="Times New Roman"/>
          <w:kern w:val="2"/>
          <w:szCs w:val="21"/>
        </w:rPr>
      </w:pPr>
      <w:r>
        <w:rPr>
          <w:rFonts w:cs="Times New Roman"/>
          <w:kern w:val="2"/>
          <w:szCs w:val="21"/>
        </w:rPr>
        <w:t>③资产盘点情况</w:t>
      </w:r>
      <w:r>
        <w:rPr>
          <w:rFonts w:hint="eastAsia" w:cs="Times New Roman"/>
          <w:kern w:val="2"/>
          <w:szCs w:val="21"/>
        </w:rPr>
        <w:t>。根据资产盘点要求，需每年进行一次资产盘点。经核查，2022年度部门邀请第三方单位进行了固定资产盘点并出具了年度资产报告并提出了整改意见，但部分整改意见未充分落实。经核查，部门固定资产管理仍存在以下问题：各下属单位固定资产盘点基准日不统一，具体表现为韶关市博物馆盘点基准时间2022年5月16日与韶关市图书馆盘点基准时间2022年6月30日不一致，且各单位均未对盘点结果进行说明及处理。因此，该指标扣0.5分，得0.5分。</w:t>
      </w:r>
    </w:p>
    <w:p>
      <w:pPr>
        <w:widowControl w:val="0"/>
        <w:spacing w:line="560" w:lineRule="exact"/>
        <w:ind w:firstLine="640"/>
        <w:jc w:val="both"/>
        <w:rPr>
          <w:rFonts w:cs="Times New Roman"/>
          <w:kern w:val="2"/>
          <w:szCs w:val="21"/>
        </w:rPr>
      </w:pPr>
      <w:r>
        <w:rPr>
          <w:rFonts w:cs="Times New Roman"/>
          <w:kern w:val="2"/>
          <w:szCs w:val="21"/>
        </w:rPr>
        <w:t>④数据质量</w:t>
      </w:r>
      <w:r>
        <w:rPr>
          <w:rFonts w:hint="eastAsia" w:cs="Times New Roman"/>
          <w:kern w:val="2"/>
          <w:szCs w:val="21"/>
        </w:rPr>
        <w:t>。部门固定资产编报质量有待提高。主要存在以下问题：一是部门部分固定资产未粘贴标签。经现场核查，放置于市文广旅体局基建科的部分固定资产，如办公桌、茶几、空调、木制茶水柜均未粘贴固定资产标签；位于市文广旅体局805机关党委办公室文件柜未粘贴固定资产标签，固定资产名称、规格、型号、编号、取得时间等信息不详。二是缺少固定资产交接手续。韶关市文广新局、韶关市旅游局、韶关市体育局于2019年合并为市文广旅体局，截至2022年12月31日仍未办理三所单位固定资产交接合并手续。三是市文广旅体局本级固定资产编号不统一，部门的部分固定资产编号仍延续使用单位合并前编号。经现场核查，部分固定资产标签为20位数字加符号，部分固定资产标签为5位数字加符号。因此，该指标扣1分，得1分。</w:t>
      </w:r>
    </w:p>
    <w:p>
      <w:pPr>
        <w:widowControl w:val="0"/>
        <w:spacing w:line="560" w:lineRule="exact"/>
        <w:ind w:firstLine="640"/>
        <w:jc w:val="both"/>
        <w:rPr>
          <w:rFonts w:cs="Times New Roman"/>
          <w:kern w:val="2"/>
          <w:szCs w:val="21"/>
        </w:rPr>
      </w:pPr>
      <w:r>
        <w:rPr>
          <w:rFonts w:cs="Times New Roman"/>
          <w:kern w:val="2"/>
          <w:szCs w:val="21"/>
        </w:rPr>
        <w:t>⑤资产管理合规性</w:t>
      </w:r>
      <w:r>
        <w:rPr>
          <w:rFonts w:hint="eastAsia" w:cs="Times New Roman"/>
          <w:kern w:val="2"/>
          <w:szCs w:val="21"/>
        </w:rPr>
        <w:t>。部门提供了资产管理制度汇编，制定了固定资产管理制度、会议室管理制度、办公大楼管理制度、办公用品管理制度、公务用车管理制度等国有资产管理规程。但仍发现以下问题：部门提供了《韶关市文化广电旅游体育局党组书记、局长黄宣剑同志任期履行经济责任情况审计报告》（韶审投报〔2023〕1号），报告指出2022年市文广旅体局存在部门固定资产管理不规范问题，如固定资产报废不及时，编号不统一等问题。因此，该指标扣1分，得1分。</w:t>
      </w:r>
    </w:p>
    <w:p>
      <w:pPr>
        <w:widowControl w:val="0"/>
        <w:spacing w:line="560" w:lineRule="exact"/>
        <w:ind w:firstLine="640"/>
        <w:jc w:val="both"/>
        <w:rPr>
          <w:rFonts w:cs="Times New Roman"/>
          <w:kern w:val="2"/>
          <w:szCs w:val="21"/>
        </w:rPr>
      </w:pPr>
      <w:r>
        <w:rPr>
          <w:rFonts w:cs="Times New Roman"/>
          <w:kern w:val="2"/>
          <w:szCs w:val="21"/>
        </w:rPr>
        <w:fldChar w:fldCharType="begin"/>
      </w:r>
      <w:r>
        <w:rPr>
          <w:rFonts w:cs="Times New Roman"/>
          <w:kern w:val="2"/>
          <w:szCs w:val="21"/>
        </w:rPr>
        <w:instrText xml:space="preserve"> = 6 \* GB3 \* MERGEFORMAT </w:instrText>
      </w:r>
      <w:r>
        <w:rPr>
          <w:rFonts w:cs="Times New Roman"/>
          <w:kern w:val="2"/>
          <w:szCs w:val="21"/>
        </w:rPr>
        <w:fldChar w:fldCharType="separate"/>
      </w:r>
      <w:r>
        <w:rPr>
          <w:rFonts w:cs="Times New Roman"/>
          <w:szCs w:val="21"/>
        </w:rPr>
        <w:t>⑥</w:t>
      </w:r>
      <w:r>
        <w:rPr>
          <w:rFonts w:cs="Times New Roman"/>
          <w:kern w:val="2"/>
          <w:szCs w:val="21"/>
        </w:rPr>
        <w:fldChar w:fldCharType="end"/>
      </w:r>
      <w:r>
        <w:rPr>
          <w:rFonts w:cs="Times New Roman"/>
          <w:kern w:val="2"/>
          <w:szCs w:val="21"/>
        </w:rPr>
        <w:t>固定资产利用率</w:t>
      </w:r>
      <w:r>
        <w:rPr>
          <w:rFonts w:hint="eastAsia" w:cs="Times New Roman"/>
          <w:kern w:val="2"/>
          <w:szCs w:val="21"/>
        </w:rPr>
        <w:t>。根据《市文广旅体局固定资产盘点情况表》，有20个固定资产处于闲置状态，部门固定资产利用率不高。部门总体实际在用固定资产总额为729.22万元，部门固定资产中存在399.27万元资产属于损坏不能使用状态，剔除该部分后，固定资产总额为1185.06万元，所以固定资产利用率为61.53%</w:t>
      </w:r>
      <w:r>
        <w:rPr>
          <w:rFonts w:hint="eastAsia" w:eastAsia="宋体" w:cs="Times New Roman"/>
          <w:kern w:val="2"/>
          <w:szCs w:val="21"/>
          <w:vertAlign w:val="superscript"/>
        </w:rPr>
        <w:footnoteReference w:id="11"/>
      </w:r>
      <w:r>
        <w:rPr>
          <w:rFonts w:hint="eastAsia" w:cs="Times New Roman"/>
          <w:kern w:val="2"/>
          <w:szCs w:val="21"/>
        </w:rPr>
        <w:t>。因此，按照评分标准该指标扣1.5分，得0.5分。</w:t>
      </w:r>
    </w:p>
    <w:p>
      <w:pPr>
        <w:keepNext/>
        <w:keepLines/>
        <w:numPr>
          <w:ilvl w:val="0"/>
          <w:numId w:val="2"/>
        </w:numPr>
        <w:spacing w:line="560" w:lineRule="exact"/>
        <w:ind w:firstLine="640"/>
        <w:outlineLvl w:val="3"/>
        <w:rPr>
          <w:rFonts w:cs="Times New Roman"/>
          <w:szCs w:val="24"/>
        </w:rPr>
      </w:pPr>
      <w:r>
        <w:drawing>
          <wp:anchor distT="0" distB="0" distL="114300" distR="114300" simplePos="0" relativeHeight="251664384" behindDoc="0" locked="0" layoutInCell="1" allowOverlap="1">
            <wp:simplePos x="0" y="0"/>
            <wp:positionH relativeFrom="margin">
              <wp:align>left</wp:align>
            </wp:positionH>
            <wp:positionV relativeFrom="paragraph">
              <wp:posOffset>477520</wp:posOffset>
            </wp:positionV>
            <wp:extent cx="5774055" cy="1108075"/>
            <wp:effectExtent l="4445" t="4445" r="12700" b="11430"/>
            <wp:wrapTopAndBottom/>
            <wp:docPr id="14" name="图表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anchor>
        </w:drawing>
      </w:r>
      <w:r>
        <w:rPr>
          <w:rFonts w:hint="eastAsia" w:cs="Times New Roman"/>
          <w:szCs w:val="24"/>
        </w:rPr>
        <w:t>运行成本（得5分）</w:t>
      </w:r>
    </w:p>
    <w:p>
      <w:pPr>
        <w:widowControl w:val="0"/>
        <w:spacing w:line="560" w:lineRule="exact"/>
        <w:ind w:firstLine="0" w:firstLineChars="0"/>
        <w:jc w:val="center"/>
        <w:rPr>
          <w:rFonts w:cs="Times New Roman"/>
          <w:kern w:val="2"/>
          <w:szCs w:val="21"/>
        </w:rPr>
      </w:pPr>
      <w:r>
        <w:rPr>
          <w:rFonts w:hint="eastAsia" w:ascii="宋体" w:hAnsi="宋体" w:eastAsia="宋体" w:cs="宋体"/>
          <w:sz w:val="24"/>
          <w:szCs w:val="24"/>
        </w:rPr>
        <w:t>图2-9运行成本三级指标得分率</w:t>
      </w:r>
    </w:p>
    <w:p>
      <w:pPr>
        <w:widowControl w:val="0"/>
        <w:spacing w:line="560" w:lineRule="exact"/>
        <w:ind w:firstLine="640"/>
        <w:jc w:val="both"/>
        <w:rPr>
          <w:rFonts w:cs="Times New Roman"/>
          <w:kern w:val="2"/>
          <w:szCs w:val="21"/>
        </w:rPr>
      </w:pPr>
      <w:r>
        <w:rPr>
          <w:rFonts w:cs="Times New Roman"/>
          <w:kern w:val="2"/>
          <w:szCs w:val="21"/>
        </w:rPr>
        <w:t>①经济成本控制情况。</w:t>
      </w:r>
      <w:r>
        <w:rPr>
          <w:rFonts w:hint="eastAsia" w:cs="Times New Roman"/>
          <w:spacing w:val="10"/>
        </w:rPr>
        <w:t>主要表现为</w:t>
      </w:r>
      <w:r>
        <w:rPr>
          <w:rFonts w:cs="Times New Roman"/>
          <w:kern w:val="2"/>
          <w:szCs w:val="21"/>
        </w:rPr>
        <w:t>预算编制依据不明确。根据部门整体绩效目标申报测算表，2022年度部门共913个项目，但其中有30个未注明工作预算编制依据</w:t>
      </w:r>
      <w:r>
        <w:rPr>
          <w:rFonts w:hint="eastAsia" w:cs="Times New Roman"/>
          <w:kern w:val="2"/>
          <w:szCs w:val="21"/>
        </w:rPr>
        <w:t>，其余883个工作预算测算依据也较为简单</w:t>
      </w:r>
      <w:r>
        <w:rPr>
          <w:rFonts w:cs="Times New Roman"/>
          <w:kern w:val="2"/>
          <w:szCs w:val="21"/>
        </w:rPr>
        <w:t>。</w:t>
      </w:r>
      <w:r>
        <w:rPr>
          <w:rFonts w:hint="eastAsia" w:ascii="仿宋_GB2312" w:hAnsi="仿宋_GB2312" w:cs="仿宋_GB2312"/>
          <w:spacing w:val="10"/>
          <w:szCs w:val="32"/>
        </w:rPr>
        <w:t>酌情考虑</w:t>
      </w:r>
      <w:r>
        <w:rPr>
          <w:rFonts w:cs="Times New Roman"/>
          <w:kern w:val="2"/>
          <w:szCs w:val="21"/>
        </w:rPr>
        <w:t>，该指标扣2分，得4分。</w:t>
      </w:r>
    </w:p>
    <w:p>
      <w:pPr>
        <w:widowControl w:val="0"/>
        <w:spacing w:line="560" w:lineRule="exact"/>
        <w:ind w:firstLine="640"/>
        <w:jc w:val="both"/>
        <w:rPr>
          <w:rFonts w:cs="Times New Roman"/>
          <w:szCs w:val="32"/>
        </w:rPr>
      </w:pPr>
      <w:r>
        <w:rPr>
          <w:rFonts w:cs="Times New Roman"/>
          <w:kern w:val="2"/>
          <w:szCs w:val="21"/>
        </w:rPr>
        <w:t>②</w:t>
      </w:r>
      <w:r>
        <w:rPr>
          <w:rFonts w:hint="eastAsia" w:cs="Times New Roman"/>
          <w:kern w:val="2"/>
          <w:szCs w:val="21"/>
        </w:rPr>
        <w:t>“</w:t>
      </w:r>
      <w:r>
        <w:rPr>
          <w:rFonts w:cs="Times New Roman"/>
          <w:kern w:val="2"/>
          <w:szCs w:val="21"/>
        </w:rPr>
        <w:t>三公经费</w:t>
      </w:r>
      <w:r>
        <w:rPr>
          <w:rFonts w:hint="eastAsia" w:cs="Times New Roman"/>
          <w:kern w:val="2"/>
          <w:szCs w:val="21"/>
        </w:rPr>
        <w:t>”</w:t>
      </w:r>
      <w:r>
        <w:rPr>
          <w:rFonts w:cs="Times New Roman"/>
          <w:kern w:val="2"/>
          <w:szCs w:val="21"/>
        </w:rPr>
        <w:t>控制情况</w:t>
      </w:r>
      <w:r>
        <w:rPr>
          <w:rFonts w:hint="eastAsia" w:cs="Times New Roman"/>
          <w:kern w:val="2"/>
          <w:szCs w:val="21"/>
        </w:rPr>
        <w:t>。根据部门2022年度决算表-机构运行数据表，“三公经费”实际支出数为34.59万元小于预算数为53.52万元。因此，该指标不扣分，得1分。</w:t>
      </w:r>
    </w:p>
    <w:p>
      <w:pPr>
        <w:pStyle w:val="5"/>
        <w:widowControl w:val="0"/>
        <w:numPr>
          <w:ilvl w:val="0"/>
          <w:numId w:val="3"/>
        </w:numPr>
        <w:spacing w:before="0" w:beforeLines="0" w:after="0" w:afterLines="0" w:line="560" w:lineRule="exact"/>
        <w:ind w:firstLine="640"/>
        <w:jc w:val="both"/>
        <w:rPr>
          <w:rFonts w:eastAsia="黑体" w:cs="Times New Roman"/>
          <w:b w:val="0"/>
          <w:kern w:val="44"/>
          <w:szCs w:val="20"/>
        </w:rPr>
      </w:pPr>
      <w:bookmarkStart w:id="85" w:name="_Toc8114"/>
      <w:r>
        <w:rPr>
          <w:rFonts w:eastAsia="黑体" w:cs="Times New Roman"/>
          <w:b w:val="0"/>
          <w:kern w:val="44"/>
          <w:szCs w:val="20"/>
        </w:rPr>
        <w:t>评价结论</w:t>
      </w:r>
      <w:bookmarkEnd w:id="85"/>
    </w:p>
    <w:p>
      <w:pPr>
        <w:spacing w:line="560" w:lineRule="exact"/>
        <w:ind w:firstLine="640"/>
        <w:jc w:val="both"/>
        <w:rPr>
          <w:rFonts w:cs="Times New Roman"/>
          <w:shd w:val="clear" w:color="auto" w:fill="FFFFFF"/>
        </w:rPr>
      </w:pPr>
      <w:r>
        <w:rPr>
          <w:rFonts w:hint="eastAsia" w:cs="Times New Roman"/>
          <w:shd w:val="clear" w:color="auto" w:fill="FFFFFF"/>
        </w:rPr>
        <w:t>经综合分析与评价，韶关市文化广电旅游体育局2022年度部门整体支出绩效评价总体综合评分为</w:t>
      </w:r>
      <w:r>
        <w:rPr>
          <w:rFonts w:cs="Times New Roman"/>
          <w:shd w:val="clear" w:color="auto" w:fill="FFFFFF"/>
        </w:rPr>
        <w:t>80</w:t>
      </w:r>
      <w:r>
        <w:rPr>
          <w:rFonts w:hint="eastAsia" w:cs="Times New Roman"/>
          <w:shd w:val="clear" w:color="auto" w:fill="FFFFFF"/>
        </w:rPr>
        <w:t>.</w:t>
      </w:r>
      <w:r>
        <w:rPr>
          <w:rFonts w:cs="Times New Roman"/>
          <w:shd w:val="clear" w:color="auto" w:fill="FFFFFF"/>
        </w:rPr>
        <w:t>48</w:t>
      </w:r>
      <w:r>
        <w:rPr>
          <w:rFonts w:hint="eastAsia" w:cs="Times New Roman"/>
          <w:shd w:val="clear" w:color="auto" w:fill="FFFFFF"/>
        </w:rPr>
        <w:t>分，绩效等级为“良”。</w:t>
      </w:r>
    </w:p>
    <w:p>
      <w:pPr>
        <w:widowControl w:val="0"/>
        <w:spacing w:line="560" w:lineRule="exact"/>
        <w:ind w:firstLine="640" w:firstLineChars="0"/>
        <w:jc w:val="both"/>
        <w:rPr>
          <w:rFonts w:cs="Times New Roman"/>
          <w:shd w:val="clear" w:color="auto" w:fill="FFFFFF"/>
        </w:rPr>
      </w:pPr>
      <w:r>
        <w:rPr>
          <w:rFonts w:hint="eastAsia" w:cs="Times New Roman"/>
          <w:shd w:val="clear" w:color="auto" w:fill="FFFFFF"/>
        </w:rPr>
        <w:t>履职效能方面。一是整体效能有待提升。2022年市文广旅体局</w:t>
      </w:r>
      <w:r>
        <w:rPr>
          <w:rFonts w:cs="Times New Roman"/>
          <w:kern w:val="2"/>
          <w:szCs w:val="21"/>
        </w:rPr>
        <w:t>部门整体绩效目标产出指标</w:t>
      </w:r>
      <w:r>
        <w:rPr>
          <w:rFonts w:hint="eastAsia" w:cs="Times New Roman"/>
          <w:kern w:val="2"/>
          <w:szCs w:val="21"/>
        </w:rPr>
        <w:t>及效益指标未能全部完成，</w:t>
      </w:r>
      <w:r>
        <w:rPr>
          <w:rFonts w:cs="Times New Roman"/>
          <w:kern w:val="2"/>
          <w:szCs w:val="21"/>
        </w:rPr>
        <w:t>1</w:t>
      </w:r>
      <w:r>
        <w:rPr>
          <w:rFonts w:hint="eastAsia" w:cs="Times New Roman"/>
          <w:kern w:val="2"/>
          <w:szCs w:val="21"/>
        </w:rPr>
        <w:t>个产出指标未完成，</w:t>
      </w:r>
      <w:r>
        <w:rPr>
          <w:rFonts w:cs="Times New Roman"/>
          <w:kern w:val="2"/>
          <w:szCs w:val="21"/>
        </w:rPr>
        <w:t>2</w:t>
      </w:r>
      <w:r>
        <w:rPr>
          <w:rFonts w:hint="eastAsia" w:cs="Times New Roman"/>
          <w:kern w:val="2"/>
          <w:szCs w:val="21"/>
        </w:rPr>
        <w:t>个效益指标未完成。二是专项效能未能充分凸显。</w:t>
      </w:r>
      <w:r>
        <w:rPr>
          <w:rFonts w:hint="eastAsia" w:cs="Times New Roman"/>
          <w:szCs w:val="32"/>
        </w:rPr>
        <w:t>中省资金绩效完成情况指标未全部完成，</w:t>
      </w:r>
      <w:r>
        <w:rPr>
          <w:rFonts w:cs="Times New Roman"/>
          <w:szCs w:val="32"/>
        </w:rPr>
        <w:t>4</w:t>
      </w:r>
      <w:r>
        <w:rPr>
          <w:rFonts w:hint="eastAsia" w:cs="Times New Roman"/>
          <w:szCs w:val="32"/>
        </w:rPr>
        <w:t>个指标未完成，中省资金支出进度较低，未充分发挥专项资金效益。</w:t>
      </w:r>
      <w:r>
        <w:rPr>
          <w:rFonts w:hint="eastAsia" w:cs="Times New Roman"/>
          <w:kern w:val="2"/>
          <w:szCs w:val="21"/>
        </w:rPr>
        <w:t>三是预算编制有待加强。</w:t>
      </w:r>
      <w:r>
        <w:rPr>
          <w:rFonts w:hint="eastAsia" w:cs="Times New Roman"/>
          <w:szCs w:val="32"/>
        </w:rPr>
        <w:t>2022</w:t>
      </w:r>
      <w:r>
        <w:rPr>
          <w:rFonts w:hint="eastAsia" w:cs="Times New Roman"/>
          <w:shd w:val="clear" w:color="auto" w:fill="FFFFFF"/>
        </w:rPr>
        <w:t>年市文广旅体局</w:t>
      </w:r>
      <w:r>
        <w:rPr>
          <w:rFonts w:hint="eastAsia" w:cs="Times New Roman"/>
          <w:szCs w:val="32"/>
        </w:rPr>
        <w:t>部门未开展预算项目事前绩效评估，不利于提高预算项目安排的合理可行性和经济性。</w:t>
      </w:r>
      <w:r>
        <w:rPr>
          <w:rFonts w:hint="eastAsia" w:cs="Times New Roman"/>
          <w:kern w:val="2"/>
          <w:szCs w:val="21"/>
        </w:rPr>
        <w:t>四是预算执行有待规范，部分</w:t>
      </w:r>
      <w:r>
        <w:rPr>
          <w:rFonts w:hint="eastAsia" w:cs="Times New Roman"/>
          <w:szCs w:val="32"/>
        </w:rPr>
        <w:t>财务支出不符合内控要求。</w:t>
      </w:r>
      <w:r>
        <w:rPr>
          <w:rFonts w:hint="eastAsia" w:cs="Times New Roman"/>
          <w:kern w:val="2"/>
          <w:szCs w:val="21"/>
        </w:rPr>
        <w:t>五是</w:t>
      </w:r>
      <w:r>
        <w:rPr>
          <w:rFonts w:hint="eastAsia" w:cs="Times New Roman"/>
          <w:szCs w:val="32"/>
        </w:rPr>
        <w:t>预决算公开较为合规。</w:t>
      </w:r>
      <w:r>
        <w:rPr>
          <w:rFonts w:hint="eastAsia" w:cs="Times New Roman"/>
          <w:kern w:val="2"/>
          <w:szCs w:val="21"/>
        </w:rPr>
        <w:t>六是</w:t>
      </w:r>
      <w:r>
        <w:rPr>
          <w:rFonts w:hint="eastAsia" w:cs="Times New Roman"/>
          <w:szCs w:val="32"/>
        </w:rPr>
        <w:t>绩效管理制度较为完善，</w:t>
      </w:r>
      <w:r>
        <w:rPr>
          <w:rFonts w:hint="eastAsia" w:cs="Times New Roman"/>
          <w:kern w:val="2"/>
          <w:szCs w:val="21"/>
        </w:rPr>
        <w:t>但制度执行有待加强。</w:t>
      </w:r>
    </w:p>
    <w:p>
      <w:pPr>
        <w:spacing w:line="560" w:lineRule="exact"/>
        <w:ind w:firstLine="640"/>
        <w:jc w:val="both"/>
        <w:rPr>
          <w:rFonts w:cs="Times New Roman"/>
          <w:kern w:val="2"/>
          <w:szCs w:val="21"/>
        </w:rPr>
      </w:pPr>
      <w:r>
        <w:rPr>
          <w:rFonts w:hint="eastAsia" w:cs="Times New Roman"/>
          <w:shd w:val="clear" w:color="auto" w:fill="FFFFFF"/>
        </w:rPr>
        <w:t>管理效率方面。一是采购意向公开及采购活动开展较为合规，且能凸显采购政策效能。但采购合同备案的及时性不足。二是部门制定了固定资产管理制度，资产收益及时上缴，但</w:t>
      </w:r>
      <w:r>
        <w:rPr>
          <w:rFonts w:hint="eastAsia" w:cs="Times New Roman"/>
          <w:kern w:val="2"/>
          <w:szCs w:val="21"/>
        </w:rPr>
        <w:t>固定资产编报及盘点过程有待规范，资产交接过程未完成。</w:t>
      </w:r>
      <w:r>
        <w:rPr>
          <w:rFonts w:hint="eastAsia" w:cs="Times New Roman"/>
          <w:shd w:val="clear" w:color="auto" w:fill="FFFFFF"/>
        </w:rPr>
        <w:t>三是项目运行成本的测算不够准确，</w:t>
      </w:r>
      <w:r>
        <w:rPr>
          <w:rFonts w:cs="Times New Roman"/>
          <w:kern w:val="2"/>
          <w:szCs w:val="21"/>
        </w:rPr>
        <w:t>经济成本控制</w:t>
      </w:r>
      <w:r>
        <w:rPr>
          <w:rFonts w:hint="eastAsia" w:cs="Times New Roman"/>
          <w:kern w:val="2"/>
          <w:szCs w:val="21"/>
        </w:rPr>
        <w:t>有待加强。</w:t>
      </w:r>
    </w:p>
    <w:p>
      <w:pPr>
        <w:keepNext/>
        <w:keepLines/>
        <w:numPr>
          <w:ilvl w:val="0"/>
          <w:numId w:val="4"/>
        </w:numPr>
        <w:spacing w:line="560" w:lineRule="exact"/>
        <w:ind w:firstLine="643"/>
        <w:outlineLvl w:val="0"/>
        <w:rPr>
          <w:rFonts w:eastAsia="黑体" w:cs="Times New Roman"/>
          <w:b/>
          <w:kern w:val="44"/>
          <w:szCs w:val="24"/>
        </w:rPr>
      </w:pPr>
      <w:bookmarkStart w:id="86" w:name="_Toc15085"/>
      <w:r>
        <w:rPr>
          <w:rFonts w:hint="eastAsia" w:eastAsia="黑体" w:cs="Times New Roman"/>
          <w:b/>
          <w:kern w:val="44"/>
          <w:szCs w:val="24"/>
        </w:rPr>
        <w:t>主要绩效</w:t>
      </w:r>
      <w:bookmarkEnd w:id="86"/>
    </w:p>
    <w:p>
      <w:pPr>
        <w:spacing w:line="560" w:lineRule="exact"/>
        <w:ind w:firstLine="643"/>
        <w:outlineLvl w:val="1"/>
        <w:rPr>
          <w:rFonts w:eastAsia="楷体_GB2312" w:cs="Times New Roman"/>
          <w:b/>
          <w:szCs w:val="24"/>
        </w:rPr>
      </w:pPr>
      <w:bookmarkStart w:id="87" w:name="_Toc19575"/>
      <w:r>
        <w:rPr>
          <w:rFonts w:hint="eastAsia" w:eastAsia="楷体_GB2312" w:cs="Times New Roman"/>
          <w:b/>
          <w:szCs w:val="24"/>
        </w:rPr>
        <w:t>（一）稳步推进文化繁荣发展，提高公共文化服务水平。</w:t>
      </w:r>
      <w:bookmarkEnd w:id="87"/>
    </w:p>
    <w:p>
      <w:pPr>
        <w:widowControl w:val="0"/>
        <w:spacing w:line="560" w:lineRule="exact"/>
        <w:ind w:firstLine="640"/>
        <w:jc w:val="both"/>
        <w:rPr>
          <w:rFonts w:cs="Times New Roman"/>
          <w:szCs w:val="32"/>
        </w:rPr>
      </w:pPr>
      <w:r>
        <w:rPr>
          <w:rFonts w:hint="eastAsia" w:cs="Times New Roman"/>
          <w:szCs w:val="32"/>
        </w:rPr>
        <w:t>一是积极建设文化惠民工程，举办丰富多彩的文旅体活动。</w:t>
      </w:r>
      <w:r>
        <w:rPr>
          <w:rFonts w:hint="eastAsia" w:cs="Times New Roman"/>
          <w:kern w:val="2"/>
          <w:szCs w:val="32"/>
        </w:rPr>
        <w:t>新建成10间风度书房，</w:t>
      </w:r>
      <w:r>
        <w:rPr>
          <w:rFonts w:hint="eastAsia" w:cs="Times New Roman"/>
          <w:szCs w:val="32"/>
        </w:rPr>
        <w:t>选取了熏风路分馆等5间风度书房作为试点，探索运营管理新模式，引入有实力的市场主体进驻，增加图书、文创售卖、轻饮食等功能，提供更加人性化、多样性的服务；举办了群众文化机构组织文艺活动9次，其中包括“我们的节日”系列活动，浓厚了群众文化氛围；博物馆免费开放</w:t>
      </w:r>
      <w:r>
        <w:rPr>
          <w:rFonts w:hint="eastAsia" w:cs="Times New Roman"/>
          <w:kern w:val="2"/>
          <w:szCs w:val="32"/>
        </w:rPr>
        <w:t>韶关市博物馆免费开放276天，为群众提供了良好的文化交流平台</w:t>
      </w:r>
      <w:r>
        <w:rPr>
          <w:rFonts w:hint="eastAsia" w:cs="Times New Roman"/>
          <w:szCs w:val="32"/>
        </w:rPr>
        <w:t>。通过积极开展群众文化活动，营造了群众文化氛围，推动了更高水平的群众文化公共服务体系建设。</w:t>
      </w:r>
    </w:p>
    <w:p>
      <w:pPr>
        <w:widowControl w:val="0"/>
        <w:spacing w:line="560" w:lineRule="exact"/>
        <w:ind w:firstLine="640"/>
        <w:jc w:val="both"/>
        <w:rPr>
          <w:rFonts w:cs="Times New Roman"/>
          <w:kern w:val="2"/>
          <w:szCs w:val="32"/>
        </w:rPr>
      </w:pPr>
      <w:r>
        <w:rPr>
          <w:rFonts w:hint="eastAsia" w:cs="Times New Roman"/>
          <w:szCs w:val="32"/>
        </w:rPr>
        <w:t>二是促进文艺精品创作。通过推进3个华南教育历史研学基地建设，促进了文教融合发展；创排了</w:t>
      </w:r>
      <w:r>
        <w:rPr>
          <w:rFonts w:hint="eastAsia" w:cs="Times New Roman"/>
          <w:kern w:val="2"/>
          <w:szCs w:val="32"/>
        </w:rPr>
        <w:t>重点剧目创排数量60个，并</w:t>
      </w:r>
      <w:r>
        <w:rPr>
          <w:rFonts w:hint="eastAsia" w:cs="Times New Roman"/>
          <w:szCs w:val="32"/>
        </w:rPr>
        <w:t>创排了小品《粮仓捕鼠》、采茶小戏《投石问路》《村长当官》等60多部廉政题材文艺作品；举办了</w:t>
      </w:r>
      <w:r>
        <w:rPr>
          <w:rFonts w:hint="eastAsia" w:cs="Times New Roman"/>
          <w:kern w:val="2"/>
          <w:szCs w:val="32"/>
        </w:rPr>
        <w:t>音乐舞蹈花会4次专场惠民演出，推动了惠民文化事业发展；新增省精神文明建设“五个一工程”奖作品1部</w:t>
      </w:r>
      <w:r>
        <w:rPr>
          <w:rFonts w:hint="eastAsia" w:cs="Times New Roman"/>
          <w:szCs w:val="32"/>
        </w:rPr>
        <w:t>，丰富了人民精神文化生活，浓厚了文艺氛围</w:t>
      </w:r>
      <w:r>
        <w:rPr>
          <w:rFonts w:hint="eastAsia" w:cs="Times New Roman"/>
          <w:kern w:val="2"/>
          <w:szCs w:val="32"/>
        </w:rPr>
        <w:t>。通过积极</w:t>
      </w:r>
      <w:r>
        <w:rPr>
          <w:rFonts w:hint="eastAsia" w:cs="Times New Roman"/>
          <w:szCs w:val="32"/>
        </w:rPr>
        <w:t>发展全市文艺事业，指导艺术创作生产， 扶持具有导向性代表性示范性的文艺作品，推动各门类艺术、各艺术品种发展。</w:t>
      </w:r>
    </w:p>
    <w:p>
      <w:pPr>
        <w:widowControl w:val="0"/>
        <w:spacing w:line="560" w:lineRule="exact"/>
        <w:ind w:firstLine="640"/>
        <w:jc w:val="both"/>
        <w:rPr>
          <w:rFonts w:cs="Times New Roman"/>
          <w:kern w:val="2"/>
          <w:szCs w:val="32"/>
        </w:rPr>
      </w:pPr>
      <w:r>
        <w:rPr>
          <w:rFonts w:hint="eastAsia" w:cs="Times New Roman"/>
          <w:kern w:val="2"/>
          <w:szCs w:val="32"/>
        </w:rPr>
        <w:t>三是加强文物保护利用工作。公布地下文物埋藏区5处，</w:t>
      </w:r>
      <w:r>
        <w:rPr>
          <w:rFonts w:cs="Times New Roman"/>
          <w:kern w:val="2"/>
          <w:szCs w:val="32"/>
        </w:rPr>
        <w:t>完成了韶关市第一批地下文物埋藏区划定公布工作</w:t>
      </w:r>
      <w:r>
        <w:rPr>
          <w:rFonts w:cs="Times New Roman"/>
          <w:kern w:val="2"/>
          <w:szCs w:val="32"/>
          <w:lang w:val="en"/>
        </w:rPr>
        <w:t>。</w:t>
      </w:r>
      <w:r>
        <w:rPr>
          <w:rFonts w:cs="Times New Roman"/>
          <w:kern w:val="2"/>
          <w:szCs w:val="32"/>
        </w:rPr>
        <w:t>公布了小岛埋藏区</w:t>
      </w:r>
      <w:r>
        <w:rPr>
          <w:rFonts w:hint="eastAsia" w:cs="Times New Roman"/>
          <w:kern w:val="2"/>
          <w:szCs w:val="32"/>
        </w:rPr>
        <w:t>、</w:t>
      </w:r>
      <w:r>
        <w:rPr>
          <w:rFonts w:cs="Times New Roman"/>
          <w:kern w:val="2"/>
          <w:szCs w:val="32"/>
        </w:rPr>
        <w:t>走马岗埋藏区、西河埋藏区、龙归埋藏区、马坝埋藏区等5处地下文物埋藏区</w:t>
      </w:r>
      <w:r>
        <w:rPr>
          <w:rFonts w:hint="eastAsia" w:cs="Times New Roman"/>
          <w:kern w:val="2"/>
          <w:szCs w:val="32"/>
        </w:rPr>
        <w:t>；完成了748个村（社区）综合性文化服务中心提质增效达标工作，出台了《韶关市市级非物质文化遗产代表性传承人认定与管理暂行办法》一部，通过加强文物保护利用工作，不断健全文化遗产保护传承体系。</w:t>
      </w:r>
    </w:p>
    <w:p>
      <w:pPr>
        <w:spacing w:line="560" w:lineRule="exact"/>
        <w:ind w:firstLine="643"/>
        <w:outlineLvl w:val="1"/>
        <w:rPr>
          <w:rFonts w:eastAsia="楷体_GB2312" w:cs="Times New Roman"/>
          <w:b/>
          <w:szCs w:val="24"/>
        </w:rPr>
      </w:pPr>
      <w:bookmarkStart w:id="88" w:name="_Toc10069"/>
      <w:r>
        <w:rPr>
          <w:rFonts w:hint="eastAsia" w:eastAsia="楷体_GB2312" w:cs="Times New Roman"/>
          <w:b/>
          <w:szCs w:val="24"/>
        </w:rPr>
        <w:t>（二）扎实开展旅游推介活动，激发旅游行业市场活力。</w:t>
      </w:r>
      <w:bookmarkEnd w:id="88"/>
    </w:p>
    <w:p>
      <w:pPr>
        <w:widowControl w:val="0"/>
        <w:spacing w:line="560" w:lineRule="exact"/>
        <w:ind w:firstLine="640"/>
        <w:jc w:val="both"/>
        <w:rPr>
          <w:rFonts w:cs="Times New Roman"/>
          <w:kern w:val="2"/>
          <w:szCs w:val="32"/>
        </w:rPr>
      </w:pPr>
      <w:r>
        <w:rPr>
          <w:rFonts w:hint="eastAsia" w:cs="Times New Roman"/>
          <w:kern w:val="2"/>
          <w:szCs w:val="32"/>
        </w:rPr>
        <w:t>一是旅游品牌创建成果丰硕。2022年乐昌市、新丰县成功创建为第五批广东省全域旅游示范区，</w:t>
      </w:r>
      <w:r>
        <w:rPr>
          <w:rFonts w:cs="Times New Roman"/>
          <w:kern w:val="2"/>
          <w:szCs w:val="32"/>
        </w:rPr>
        <w:t>创建</w:t>
      </w:r>
      <w:r>
        <w:rPr>
          <w:rFonts w:hint="eastAsia" w:cs="Times New Roman"/>
          <w:kern w:val="2"/>
          <w:szCs w:val="32"/>
        </w:rPr>
        <w:t>省级全域旅游</w:t>
      </w:r>
      <w:r>
        <w:rPr>
          <w:rFonts w:cs="Times New Roman"/>
          <w:kern w:val="2"/>
          <w:szCs w:val="32"/>
        </w:rPr>
        <w:t>示范区比例达80</w:t>
      </w:r>
      <w:r>
        <w:rPr>
          <w:rFonts w:hint="eastAsia" w:cs="Times New Roman"/>
          <w:kern w:val="2"/>
          <w:szCs w:val="32"/>
        </w:rPr>
        <w:t>%；仁化县石塘村被评为全国乡村旅游重点村，仁化县红色乡村旅游线路等3条线路为第三批广东省乡村旅游精品线路，打造了旅游精品路线，；韶钢工业文化园被评为国家AAA级旅游景区，文旅消费券发放完成率为100%；举办了促文旅消费活动4次，主要包括醉美金秋·不负韶华”2022韶关金秋文旅体宣传推广系列活动，同时发布2022年春节文旅优惠措施33项，五一黄金周文旅优惠措施38项，为文化旅游事业发展注入新动力。</w:t>
      </w:r>
    </w:p>
    <w:p>
      <w:pPr>
        <w:widowControl w:val="0"/>
        <w:spacing w:line="560" w:lineRule="exact"/>
        <w:ind w:firstLine="640"/>
        <w:jc w:val="both"/>
        <w:rPr>
          <w:rFonts w:cs="Times New Roman"/>
          <w:kern w:val="2"/>
          <w:szCs w:val="32"/>
        </w:rPr>
      </w:pPr>
      <w:r>
        <w:rPr>
          <w:rFonts w:hint="eastAsia" w:cs="Times New Roman"/>
          <w:kern w:val="2"/>
          <w:szCs w:val="32"/>
        </w:rPr>
        <w:t>二是扶植中小企业，优化旅游行业供给侧。出台了《韶关市促进全域旅游发展扶持办法》，发放奖补资金1056.3万元，加大了行业市场扶持力度；积极发挥线上平台优势，通过“云闪付”、“同程旅行”、“携程旅行”等平台，发放文旅体消费券1200多万元；积极争取省旅游景区纾困资金150万元和旅行社企业纾困资金220万元，扶持国家AAAA级及以上旅游景区9家，新增国家AAA级旅游景区1家、住宿企业5家，全年住宿业同比增长4.1%。通过着眼于旅游行业供给侧发展，为旅游产业带来新的消费动能。</w:t>
      </w:r>
    </w:p>
    <w:p>
      <w:pPr>
        <w:spacing w:line="560" w:lineRule="exact"/>
        <w:ind w:firstLine="643"/>
        <w:outlineLvl w:val="1"/>
        <w:rPr>
          <w:rFonts w:eastAsia="楷体_GB2312" w:cs="Times New Roman"/>
          <w:b/>
          <w:szCs w:val="24"/>
        </w:rPr>
      </w:pPr>
      <w:bookmarkStart w:id="89" w:name="_Toc31932"/>
      <w:r>
        <w:rPr>
          <w:rFonts w:hint="eastAsia" w:eastAsia="楷体_GB2312" w:cs="Times New Roman"/>
          <w:b/>
          <w:szCs w:val="24"/>
        </w:rPr>
        <w:t>（三）完成韶州体育中心建设，提升公共体育服务水平。</w:t>
      </w:r>
      <w:bookmarkEnd w:id="89"/>
    </w:p>
    <w:p>
      <w:pPr>
        <w:widowControl w:val="0"/>
        <w:spacing w:line="560" w:lineRule="exact"/>
        <w:ind w:firstLine="640"/>
        <w:jc w:val="both"/>
        <w:rPr>
          <w:rFonts w:cs="Times New Roman"/>
          <w:kern w:val="2"/>
          <w:szCs w:val="32"/>
        </w:rPr>
      </w:pPr>
      <w:r>
        <w:rPr>
          <w:rFonts w:hint="eastAsia" w:cs="Times New Roman"/>
          <w:kern w:val="2"/>
          <w:szCs w:val="32"/>
        </w:rPr>
        <w:t xml:space="preserve">一是统筹规划体育发展，指导和推进体育工作。已完成韶州体育中心建设，并完善配套设施建设，完善了群众体育公共服务体系，提升公共体育服务品质；积极参加体育赛事活动，组团参加了广东省第十六届运动会，其中运动员650名，教练员及工作人员100余人。 </w:t>
      </w:r>
    </w:p>
    <w:p>
      <w:pPr>
        <w:widowControl w:val="0"/>
        <w:spacing w:line="560" w:lineRule="exact"/>
        <w:ind w:firstLine="640"/>
        <w:jc w:val="both"/>
        <w:rPr>
          <w:rFonts w:cs="Times New Roman"/>
          <w:kern w:val="2"/>
          <w:szCs w:val="32"/>
        </w:rPr>
      </w:pPr>
      <w:r>
        <w:rPr>
          <w:rFonts w:hint="eastAsia" w:cs="Times New Roman"/>
          <w:kern w:val="2"/>
          <w:szCs w:val="32"/>
        </w:rPr>
        <w:t xml:space="preserve"> 二是制定本市群众体育发展规划，推进全民健身计划实施，指导国民体质监测工作。开展了国家体育锻炼达标测验，参加国家体育锻炼标准达标测验活动502人次。参加全民健身赛事活动2638人次，启动了2022年国民体质监测，采集体质健康状况监测样本3657例，推动了体育事业全面健康发展。</w:t>
      </w:r>
    </w:p>
    <w:p>
      <w:pPr>
        <w:widowControl w:val="0"/>
        <w:spacing w:line="560" w:lineRule="exact"/>
        <w:ind w:firstLine="640"/>
        <w:jc w:val="both"/>
        <w:rPr>
          <w:rFonts w:cs="Times New Roman"/>
          <w:kern w:val="2"/>
          <w:szCs w:val="32"/>
        </w:rPr>
      </w:pPr>
      <w:r>
        <w:rPr>
          <w:rFonts w:hint="eastAsia" w:cs="Times New Roman"/>
          <w:kern w:val="2"/>
          <w:szCs w:val="32"/>
        </w:rPr>
        <w:t>三是提升公共体育服务水平。免费开放公共体育场馆3家，确保体育场馆每天免费或低收费开放时间8小时，为群众体育提供良好的发展空间，完善了全民健身体系，推动了群众体育的健康发展，为调动居民运动积极性提供了优质资源。</w:t>
      </w:r>
    </w:p>
    <w:p>
      <w:pPr>
        <w:keepNext/>
        <w:keepLines/>
        <w:widowControl w:val="0"/>
        <w:spacing w:line="560" w:lineRule="exact"/>
        <w:ind w:firstLine="643"/>
        <w:jc w:val="both"/>
        <w:outlineLvl w:val="0"/>
        <w:rPr>
          <w:rFonts w:eastAsia="黑体" w:cs="Times New Roman"/>
          <w:b/>
          <w:kern w:val="44"/>
        </w:rPr>
      </w:pPr>
      <w:bookmarkStart w:id="90" w:name="_Toc19763"/>
      <w:r>
        <w:rPr>
          <w:rFonts w:hint="eastAsia" w:eastAsia="黑体" w:cs="Times New Roman"/>
          <w:b/>
          <w:kern w:val="44"/>
        </w:rPr>
        <w:t>五、问题</w:t>
      </w:r>
      <w:bookmarkEnd w:id="90"/>
    </w:p>
    <w:p>
      <w:pPr>
        <w:widowControl w:val="0"/>
        <w:spacing w:line="560" w:lineRule="exact"/>
        <w:ind w:firstLine="643"/>
        <w:jc w:val="both"/>
        <w:outlineLvl w:val="1"/>
        <w:rPr>
          <w:rFonts w:eastAsia="楷体_GB2312" w:cs="Times New Roman"/>
          <w:b/>
          <w:kern w:val="2"/>
          <w:szCs w:val="24"/>
        </w:rPr>
      </w:pPr>
      <w:bookmarkStart w:id="91" w:name="_Toc8631"/>
      <w:r>
        <w:rPr>
          <w:rFonts w:hint="eastAsia" w:eastAsia="楷体_GB2312" w:cs="Times New Roman"/>
          <w:b/>
          <w:kern w:val="2"/>
          <w:szCs w:val="24"/>
        </w:rPr>
        <w:t>（一）采购管理过程有待优化，采购合同备案不及时。</w:t>
      </w:r>
      <w:bookmarkEnd w:id="91"/>
    </w:p>
    <w:p>
      <w:pPr>
        <w:widowControl w:val="0"/>
        <w:spacing w:line="560" w:lineRule="exact"/>
        <w:ind w:firstLine="640"/>
        <w:jc w:val="both"/>
        <w:rPr>
          <w:rFonts w:cs="Times New Roman"/>
          <w:kern w:val="2"/>
        </w:rPr>
      </w:pPr>
      <w:r>
        <w:rPr>
          <w:rFonts w:hint="eastAsia" w:cs="Times New Roman"/>
          <w:kern w:val="2"/>
        </w:rPr>
        <w:t>一是采购合同签订不及时。按照《政府采购法》规定，预算单位与中标、成交供应商应当在中标、成交通知书发出之日起三十日内，按照采购文件确定的事项签订政府采购合同。但</w:t>
      </w:r>
      <w:r>
        <w:rPr>
          <w:rFonts w:cs="Times New Roman"/>
          <w:kern w:val="2"/>
        </w:rPr>
        <w:t>根据</w:t>
      </w:r>
      <w:r>
        <w:rPr>
          <w:rFonts w:hint="eastAsia" w:cs="Times New Roman"/>
          <w:kern w:val="2"/>
        </w:rPr>
        <w:t>部门2022年度</w:t>
      </w:r>
      <w:r>
        <w:rPr>
          <w:rFonts w:cs="Times New Roman"/>
          <w:kern w:val="2"/>
        </w:rPr>
        <w:t>《政府采购合同情况表》，</w:t>
      </w:r>
      <w:r>
        <w:rPr>
          <w:rFonts w:hint="eastAsia" w:cs="Times New Roman"/>
          <w:kern w:val="2"/>
        </w:rPr>
        <w:t>部门2022年度共签订采购合同</w:t>
      </w:r>
      <w:r>
        <w:rPr>
          <w:rFonts w:cs="Times New Roman"/>
          <w:kern w:val="2"/>
        </w:rPr>
        <w:t>项目179个，</w:t>
      </w:r>
      <w:r>
        <w:rPr>
          <w:rFonts w:hint="eastAsia" w:cs="Times New Roman"/>
          <w:kern w:val="2"/>
        </w:rPr>
        <w:t>在规定</w:t>
      </w:r>
      <w:r>
        <w:rPr>
          <w:rFonts w:cs="Times New Roman"/>
          <w:kern w:val="2"/>
        </w:rPr>
        <w:t>时限内签订合同项目数176个，其中韶关市文化广电旅游体育局本级3个项目未在在中标、成交通知书发出之日起三十日内签订合同</w:t>
      </w:r>
      <w:r>
        <w:rPr>
          <w:rFonts w:hint="eastAsia" w:cs="Times New Roman"/>
          <w:kern w:val="2"/>
        </w:rPr>
        <w:t>，增加项目实施的风险</w:t>
      </w:r>
      <w:r>
        <w:rPr>
          <w:rFonts w:cs="Times New Roman"/>
          <w:kern w:val="2"/>
        </w:rPr>
        <w:t>。</w:t>
      </w:r>
    </w:p>
    <w:p>
      <w:pPr>
        <w:spacing w:line="560" w:lineRule="exact"/>
        <w:ind w:firstLine="640"/>
        <w:jc w:val="both"/>
        <w:rPr>
          <w:rFonts w:cs="Times New Roman"/>
          <w:kern w:val="2"/>
        </w:rPr>
      </w:pPr>
      <w:r>
        <w:rPr>
          <w:rFonts w:hint="eastAsia" w:cs="Times New Roman"/>
          <w:kern w:val="2"/>
        </w:rPr>
        <w:t>二是采购</w:t>
      </w:r>
      <w:r>
        <w:rPr>
          <w:rFonts w:cs="Times New Roman"/>
          <w:kern w:val="2"/>
        </w:rPr>
        <w:t>合同备案不及时。</w:t>
      </w:r>
      <w:r>
        <w:fldChar w:fldCharType="begin"/>
      </w:r>
      <w:r>
        <w:instrText xml:space="preserve"> HYPERLINK "https://www.gov.cn/zhengce/2015-02/27/content_2822395.htm" \t "https://cn.bing.com/_blank" </w:instrText>
      </w:r>
      <w:r>
        <w:fldChar w:fldCharType="separate"/>
      </w:r>
      <w:r>
        <w:rPr>
          <w:rFonts w:hint="eastAsia" w:cs="Times New Roman"/>
          <w:kern w:val="2"/>
        </w:rPr>
        <w:t>中华人民共和国政府采购法实施条例（国务院令第658号）</w:t>
      </w:r>
      <w:r>
        <w:rPr>
          <w:rFonts w:hint="eastAsia" w:cs="Times New Roman"/>
          <w:kern w:val="2"/>
        </w:rPr>
        <w:fldChar w:fldCharType="end"/>
      </w:r>
      <w:r>
        <w:rPr>
          <w:rFonts w:cs="Times New Roman"/>
          <w:kern w:val="2"/>
        </w:rPr>
        <w:t>第五十条</w:t>
      </w:r>
      <w:r>
        <w:rPr>
          <w:rFonts w:hint="eastAsia" w:cs="Times New Roman"/>
          <w:kern w:val="2"/>
        </w:rPr>
        <w:t>规定，</w:t>
      </w:r>
      <w:r>
        <w:rPr>
          <w:rFonts w:cs="Times New Roman"/>
          <w:kern w:val="2"/>
        </w:rPr>
        <w:t xml:space="preserve"> 采购人应当自政府采购合同签订之日起2个工作日内，将政府采购合同在省级以上人民政府财政部门指定的媒体上公告</w:t>
      </w:r>
      <w:r>
        <w:rPr>
          <w:rFonts w:hint="eastAsia" w:cs="Times New Roman"/>
          <w:kern w:val="2"/>
        </w:rPr>
        <w:t>。</w:t>
      </w:r>
      <w:r>
        <w:rPr>
          <w:rFonts w:hint="eastAsia" w:eastAsia="宋体" w:cs="Times New Roman"/>
          <w:kern w:val="2"/>
          <w:sz w:val="24"/>
        </w:rPr>
        <w:t xml:space="preserve"> </w:t>
      </w:r>
      <w:r>
        <w:rPr>
          <w:rFonts w:hint="eastAsia" w:cs="Times New Roman"/>
          <w:kern w:val="2"/>
        </w:rPr>
        <w:t>但根据</w:t>
      </w:r>
      <w:r>
        <w:rPr>
          <w:rFonts w:cs="Times New Roman"/>
          <w:kern w:val="2"/>
        </w:rPr>
        <w:t>部门</w:t>
      </w:r>
      <w:r>
        <w:rPr>
          <w:rFonts w:hint="eastAsia" w:cs="Times New Roman"/>
          <w:kern w:val="2"/>
        </w:rPr>
        <w:t>2022年度</w:t>
      </w:r>
      <w:r>
        <w:rPr>
          <w:rFonts w:cs="Times New Roman"/>
          <w:kern w:val="2"/>
        </w:rPr>
        <w:t>《政府采购合同情况表》，备案公开合同数162个</w:t>
      </w:r>
      <w:r>
        <w:rPr>
          <w:rFonts w:hint="eastAsia" w:cs="Times New Roman"/>
          <w:kern w:val="2"/>
        </w:rPr>
        <w:t>，</w:t>
      </w:r>
      <w:r>
        <w:rPr>
          <w:rFonts w:cs="Times New Roman"/>
          <w:kern w:val="2"/>
        </w:rPr>
        <w:t>按时备案合同156个。</w:t>
      </w:r>
      <w:r>
        <w:rPr>
          <w:rFonts w:hint="eastAsia" w:cs="Times New Roman"/>
          <w:kern w:val="2"/>
        </w:rPr>
        <w:t>未按时备案的单位情况如下：</w:t>
      </w:r>
      <w:r>
        <w:rPr>
          <w:rFonts w:cs="Times New Roman"/>
          <w:kern w:val="2"/>
        </w:rPr>
        <w:t>韶关市文化广电旅游体育局</w:t>
      </w:r>
      <w:r>
        <w:rPr>
          <w:rFonts w:hint="eastAsia" w:cs="Times New Roman"/>
          <w:kern w:val="2"/>
        </w:rPr>
        <w:t>本级1个、</w:t>
      </w:r>
      <w:r>
        <w:rPr>
          <w:rFonts w:cs="Times New Roman"/>
          <w:kern w:val="2"/>
        </w:rPr>
        <w:t>韶关市体育场馆管理中心</w:t>
      </w:r>
      <w:r>
        <w:rPr>
          <w:rFonts w:hint="eastAsia" w:cs="Times New Roman"/>
          <w:kern w:val="2"/>
        </w:rPr>
        <w:t>1个、</w:t>
      </w:r>
      <w:r>
        <w:rPr>
          <w:rFonts w:cs="Times New Roman"/>
          <w:kern w:val="2"/>
        </w:rPr>
        <w:t>韶关市中心业余体校</w:t>
      </w:r>
      <w:r>
        <w:rPr>
          <w:rFonts w:hint="eastAsia" w:cs="Times New Roman"/>
          <w:kern w:val="2"/>
        </w:rPr>
        <w:t>4个，政策采购过程规范性有待增强</w:t>
      </w:r>
      <w:r>
        <w:rPr>
          <w:rFonts w:cs="Times New Roman"/>
          <w:kern w:val="2"/>
        </w:rPr>
        <w:t>。</w:t>
      </w:r>
    </w:p>
    <w:p>
      <w:pPr>
        <w:spacing w:line="560" w:lineRule="exact"/>
        <w:ind w:firstLine="640"/>
        <w:jc w:val="both"/>
        <w:rPr>
          <w:rFonts w:cs="Times New Roman"/>
          <w:kern w:val="2"/>
        </w:rPr>
      </w:pPr>
      <w:r>
        <w:rPr>
          <w:rFonts w:hint="eastAsia" w:cs="Times New Roman"/>
          <w:kern w:val="2"/>
        </w:rPr>
        <w:t>三是采购办公物品标准超过限额。根据《中央行政单位通用办公设备家具配置标准》，台式计算机价格上限为5000元/台，根据市文广旅体局本级《固定资产盘点表》，有7部台式机购买价格高于5000元/台，不符合办公设备配置应遵循的“强安全性、稳定性、兼容性、能耗低、维修便利”的原则。</w:t>
      </w:r>
    </w:p>
    <w:p>
      <w:pPr>
        <w:widowControl w:val="0"/>
        <w:spacing w:line="560" w:lineRule="exact"/>
        <w:ind w:firstLine="643"/>
        <w:outlineLvl w:val="1"/>
        <w:rPr>
          <w:rFonts w:eastAsia="楷体_GB2312" w:cs="Times New Roman"/>
          <w:b/>
          <w:kern w:val="2"/>
          <w:szCs w:val="24"/>
        </w:rPr>
      </w:pPr>
      <w:bookmarkStart w:id="92" w:name="_Toc27299"/>
      <w:r>
        <w:rPr>
          <w:rFonts w:eastAsia="楷体_GB2312" w:cs="Times New Roman"/>
          <w:b/>
          <w:kern w:val="2"/>
          <w:szCs w:val="24"/>
        </w:rPr>
        <w:t>（</w:t>
      </w:r>
      <w:r>
        <w:rPr>
          <w:rFonts w:hint="eastAsia" w:eastAsia="楷体_GB2312" w:cs="Times New Roman"/>
          <w:b/>
          <w:kern w:val="2"/>
          <w:szCs w:val="24"/>
        </w:rPr>
        <w:t>二</w:t>
      </w:r>
      <w:r>
        <w:rPr>
          <w:rFonts w:eastAsia="楷体_GB2312" w:cs="Times New Roman"/>
          <w:b/>
          <w:kern w:val="2"/>
          <w:szCs w:val="24"/>
        </w:rPr>
        <w:t>）</w:t>
      </w:r>
      <w:r>
        <w:rPr>
          <w:rFonts w:hint="eastAsia" w:eastAsia="楷体_GB2312" w:cs="Times New Roman"/>
          <w:b/>
          <w:kern w:val="2"/>
          <w:szCs w:val="24"/>
        </w:rPr>
        <w:t>财务管理过程不到位</w:t>
      </w:r>
      <w:r>
        <w:rPr>
          <w:rFonts w:eastAsia="楷体_GB2312" w:cs="Times New Roman"/>
          <w:b/>
          <w:kern w:val="2"/>
          <w:szCs w:val="24"/>
        </w:rPr>
        <w:t>，</w:t>
      </w:r>
      <w:r>
        <w:rPr>
          <w:rFonts w:hint="eastAsia" w:eastAsia="楷体_GB2312" w:cs="Times New Roman"/>
          <w:b/>
          <w:kern w:val="2"/>
          <w:szCs w:val="24"/>
        </w:rPr>
        <w:t>固定</w:t>
      </w:r>
      <w:r>
        <w:rPr>
          <w:rFonts w:eastAsia="楷体_GB2312" w:cs="Times New Roman"/>
          <w:b/>
          <w:kern w:val="2"/>
          <w:szCs w:val="24"/>
        </w:rPr>
        <w:t>资产管理</w:t>
      </w:r>
      <w:r>
        <w:rPr>
          <w:rFonts w:hint="eastAsia" w:eastAsia="楷体_GB2312" w:cs="Times New Roman"/>
          <w:b/>
          <w:kern w:val="2"/>
          <w:szCs w:val="24"/>
        </w:rPr>
        <w:t>不规范</w:t>
      </w:r>
      <w:r>
        <w:rPr>
          <w:rFonts w:eastAsia="楷体_GB2312" w:cs="Times New Roman"/>
          <w:b/>
          <w:kern w:val="2"/>
          <w:szCs w:val="24"/>
        </w:rPr>
        <w:t>。</w:t>
      </w:r>
      <w:bookmarkEnd w:id="92"/>
    </w:p>
    <w:p>
      <w:pPr>
        <w:widowControl w:val="0"/>
        <w:spacing w:line="560" w:lineRule="exact"/>
        <w:ind w:firstLine="640"/>
        <w:jc w:val="both"/>
        <w:rPr>
          <w:rFonts w:cs="Times New Roman"/>
          <w:kern w:val="2"/>
        </w:rPr>
      </w:pPr>
      <w:r>
        <w:rPr>
          <w:rFonts w:hint="eastAsia" w:cs="Times New Roman"/>
          <w:kern w:val="2"/>
        </w:rPr>
        <w:t>一是资金支出申请与审批程序不符合内部控制要求。如10月第15号记账凭证“文物保护单位标志版制作”后所附原始凭证，资金支出审批表中申请时间为2022年8月16日，但合同签定时间2022年8月19日，合同尚未签定就进行资金支出的审请与批复，不符合资金支出审批程度。此外，该合同支付条款为“合同签定后预付款20000元，验收合格后，余款一次性付清”，但实际一次性支付金额为29000元，未通过验收即付全款不符合合同约定，也不利于管控项目质量和风险控制。</w:t>
      </w:r>
    </w:p>
    <w:p>
      <w:pPr>
        <w:widowControl w:val="0"/>
        <w:spacing w:line="560" w:lineRule="exact"/>
        <w:ind w:firstLine="640"/>
        <w:jc w:val="both"/>
        <w:rPr>
          <w:rFonts w:cs="Times New Roman"/>
          <w:kern w:val="2"/>
        </w:rPr>
      </w:pPr>
      <w:r>
        <w:rPr>
          <w:rFonts w:hint="eastAsia" w:cs="Times New Roman"/>
          <w:kern w:val="2"/>
        </w:rPr>
        <w:t>二</w:t>
      </w:r>
      <w:r>
        <w:rPr>
          <w:rFonts w:cs="Times New Roman"/>
          <w:kern w:val="2"/>
        </w:rPr>
        <w:t>是固定资产利用率低</w:t>
      </w:r>
      <w:r>
        <w:rPr>
          <w:rFonts w:hint="eastAsia" w:cs="Times New Roman"/>
          <w:kern w:val="2"/>
        </w:rPr>
        <w:t>，固定资产报废不及时</w:t>
      </w:r>
      <w:r>
        <w:rPr>
          <w:rFonts w:cs="Times New Roman"/>
          <w:kern w:val="2"/>
        </w:rPr>
        <w:t>。根据文广旅体局部门固定资产盘点表，</w:t>
      </w:r>
      <w:r>
        <w:rPr>
          <w:rFonts w:hint="eastAsia" w:cs="Times New Roman"/>
          <w:kern w:val="2"/>
        </w:rPr>
        <w:t>部门全部</w:t>
      </w:r>
      <w:r>
        <w:rPr>
          <w:rFonts w:cs="Times New Roman"/>
          <w:kern w:val="2"/>
        </w:rPr>
        <w:t>固定资产总额1584</w:t>
      </w:r>
      <w:r>
        <w:rPr>
          <w:rFonts w:hint="eastAsia" w:cs="Times New Roman"/>
          <w:kern w:val="2"/>
        </w:rPr>
        <w:t>.</w:t>
      </w:r>
      <w:r>
        <w:rPr>
          <w:rFonts w:cs="Times New Roman"/>
          <w:kern w:val="2"/>
        </w:rPr>
        <w:t>3</w:t>
      </w:r>
      <w:r>
        <w:rPr>
          <w:rFonts w:hint="eastAsia" w:cs="Times New Roman"/>
          <w:kern w:val="2"/>
        </w:rPr>
        <w:t>3</w:t>
      </w:r>
      <w:r>
        <w:rPr>
          <w:rFonts w:cs="Times New Roman"/>
          <w:kern w:val="2"/>
        </w:rPr>
        <w:t>元</w:t>
      </w:r>
      <w:r>
        <w:rPr>
          <w:rFonts w:eastAsia="宋体" w:cs="Times New Roman"/>
          <w:kern w:val="2"/>
          <w:vertAlign w:val="superscript"/>
        </w:rPr>
        <w:footnoteReference w:id="12"/>
      </w:r>
      <w:r>
        <w:rPr>
          <w:rFonts w:cs="Times New Roman"/>
          <w:kern w:val="2"/>
        </w:rPr>
        <w:t>，部门实际在用固定资产总额729</w:t>
      </w:r>
      <w:r>
        <w:rPr>
          <w:rFonts w:hint="eastAsia" w:cs="Times New Roman"/>
          <w:kern w:val="2"/>
        </w:rPr>
        <w:t>.</w:t>
      </w:r>
      <w:r>
        <w:rPr>
          <w:rFonts w:cs="Times New Roman"/>
          <w:kern w:val="2"/>
        </w:rPr>
        <w:t>2</w:t>
      </w:r>
      <w:r>
        <w:rPr>
          <w:rFonts w:hint="eastAsia" w:cs="Times New Roman"/>
          <w:kern w:val="2"/>
        </w:rPr>
        <w:t>2</w:t>
      </w:r>
      <w:r>
        <w:rPr>
          <w:rFonts w:cs="Times New Roman"/>
          <w:kern w:val="2"/>
        </w:rPr>
        <w:t>万元，固定资产利用率仅为61.53%，</w:t>
      </w:r>
      <w:r>
        <w:rPr>
          <w:rFonts w:hint="eastAsia" w:cs="Times New Roman"/>
          <w:kern w:val="2"/>
        </w:rPr>
        <w:t>部门闲置固定资产过多</w:t>
      </w:r>
      <w:r>
        <w:rPr>
          <w:rFonts w:cs="Times New Roman"/>
          <w:kern w:val="2"/>
        </w:rPr>
        <w:t>不利于</w:t>
      </w:r>
      <w:r>
        <w:rPr>
          <w:rFonts w:hint="eastAsia" w:cs="Times New Roman"/>
          <w:kern w:val="2"/>
        </w:rPr>
        <w:t>发挥</w:t>
      </w:r>
      <w:r>
        <w:rPr>
          <w:rFonts w:cs="Times New Roman"/>
          <w:kern w:val="2"/>
        </w:rPr>
        <w:t>国有资产</w:t>
      </w:r>
      <w:r>
        <w:rPr>
          <w:rFonts w:hint="eastAsia" w:cs="Times New Roman"/>
          <w:kern w:val="2"/>
        </w:rPr>
        <w:t>使用效益，难以盘活部门固定资产</w:t>
      </w:r>
      <w:r>
        <w:rPr>
          <w:rFonts w:cs="Times New Roman"/>
          <w:kern w:val="2"/>
        </w:rPr>
        <w:t>。现场调研了解到，截至2022年底部门存在399.27万元资产属于损坏不能使用状态，但截至2022年底还未进行固定资产报废工作，实物资产长期积压、堆放，不及时进行处理，容易造成因未及时清理造成资本流失的情况。</w:t>
      </w:r>
    </w:p>
    <w:p>
      <w:pPr>
        <w:widowControl w:val="0"/>
        <w:spacing w:line="560" w:lineRule="exact"/>
        <w:ind w:firstLine="640"/>
        <w:jc w:val="both"/>
        <w:rPr>
          <w:rFonts w:cs="Times New Roman"/>
          <w:kern w:val="2"/>
        </w:rPr>
      </w:pPr>
      <w:r>
        <w:rPr>
          <w:rFonts w:hint="eastAsia" w:cs="Times New Roman"/>
          <w:kern w:val="2"/>
        </w:rPr>
        <w:t>三</w:t>
      </w:r>
      <w:r>
        <w:rPr>
          <w:rFonts w:cs="Times New Roman"/>
          <w:kern w:val="2"/>
        </w:rPr>
        <w:t>是固定资产管理不规范</w:t>
      </w:r>
      <w:r>
        <w:rPr>
          <w:rFonts w:hint="eastAsia" w:cs="Times New Roman"/>
          <w:kern w:val="2"/>
        </w:rPr>
        <w:t>，资产交接工作未完成</w:t>
      </w:r>
      <w:r>
        <w:rPr>
          <w:rFonts w:cs="Times New Roman"/>
          <w:kern w:val="2"/>
        </w:rPr>
        <w:t>。</w:t>
      </w:r>
      <w:r>
        <w:rPr>
          <w:rFonts w:hint="eastAsia" w:cs="Times New Roman"/>
          <w:kern w:val="2"/>
        </w:rPr>
        <w:t>一方面，市文广旅体</w:t>
      </w:r>
      <w:r>
        <w:rPr>
          <w:rFonts w:cs="Times New Roman"/>
          <w:kern w:val="2"/>
        </w:rPr>
        <w:t>局本级部分固定资产未粘贴</w:t>
      </w:r>
      <w:r>
        <w:rPr>
          <w:rFonts w:hint="eastAsia" w:cs="Times New Roman"/>
          <w:kern w:val="2"/>
        </w:rPr>
        <w:t>固定资产</w:t>
      </w:r>
      <w:r>
        <w:rPr>
          <w:rFonts w:cs="Times New Roman"/>
          <w:kern w:val="2"/>
        </w:rPr>
        <w:t>标签</w:t>
      </w:r>
      <w:r>
        <w:rPr>
          <w:rFonts w:hint="eastAsia" w:cs="Times New Roman"/>
          <w:kern w:val="2"/>
        </w:rPr>
        <w:t>，如</w:t>
      </w:r>
      <w:r>
        <w:rPr>
          <w:rFonts w:cs="Times New Roman"/>
          <w:kern w:val="2"/>
        </w:rPr>
        <w:t>基建科办公桌、空调、木制茶水柜</w:t>
      </w:r>
      <w:r>
        <w:rPr>
          <w:rFonts w:hint="eastAsia" w:cs="Times New Roman"/>
          <w:kern w:val="2"/>
        </w:rPr>
        <w:t>、</w:t>
      </w:r>
      <w:r>
        <w:rPr>
          <w:rFonts w:cs="Times New Roman"/>
          <w:kern w:val="2"/>
        </w:rPr>
        <w:t>机关党委办公室文件柜未粘贴固定资产标签</w:t>
      </w:r>
      <w:r>
        <w:rPr>
          <w:rFonts w:hint="eastAsia" w:cs="Times New Roman"/>
          <w:kern w:val="2"/>
        </w:rPr>
        <w:t>，其</w:t>
      </w:r>
      <w:r>
        <w:rPr>
          <w:rFonts w:cs="Times New Roman"/>
          <w:kern w:val="2"/>
        </w:rPr>
        <w:t>固定资产名称、规格型号、编号、</w:t>
      </w:r>
      <w:r>
        <w:rPr>
          <w:rFonts w:hint="eastAsia" w:cs="Times New Roman"/>
          <w:kern w:val="2"/>
        </w:rPr>
        <w:t>购置日期</w:t>
      </w:r>
      <w:r>
        <w:rPr>
          <w:rFonts w:cs="Times New Roman"/>
          <w:kern w:val="2"/>
        </w:rPr>
        <w:t>等信息不详。</w:t>
      </w:r>
      <w:r>
        <w:rPr>
          <w:rFonts w:hint="eastAsia" w:cs="Times New Roman"/>
          <w:kern w:val="2"/>
        </w:rPr>
        <w:t>另一方面，部门合并后资产交接工作未完成导致</w:t>
      </w:r>
      <w:r>
        <w:rPr>
          <w:rFonts w:cs="Times New Roman"/>
          <w:kern w:val="2"/>
        </w:rPr>
        <w:t>固定资产编号不统一</w:t>
      </w:r>
      <w:r>
        <w:rPr>
          <w:rFonts w:hint="eastAsia" w:cs="Times New Roman"/>
          <w:kern w:val="2"/>
        </w:rPr>
        <w:t>，不利于统一管理固定资产</w:t>
      </w:r>
      <w:r>
        <w:rPr>
          <w:rFonts w:cs="Times New Roman"/>
          <w:kern w:val="2"/>
        </w:rPr>
        <w:t>。2019年韶关市文广新局、韶关市旅游局、韶关市体育局合并为韶关市文广旅体局，</w:t>
      </w:r>
      <w:r>
        <w:rPr>
          <w:rFonts w:hint="eastAsia" w:cs="Times New Roman"/>
          <w:kern w:val="2"/>
        </w:rPr>
        <w:t>但</w:t>
      </w:r>
      <w:r>
        <w:rPr>
          <w:rFonts w:cs="Times New Roman"/>
          <w:kern w:val="2"/>
        </w:rPr>
        <w:t>截至</w:t>
      </w:r>
      <w:r>
        <w:rPr>
          <w:rFonts w:hint="eastAsia" w:cs="Times New Roman"/>
          <w:kern w:val="2"/>
        </w:rPr>
        <w:t>评价基准日</w:t>
      </w:r>
      <w:r>
        <w:rPr>
          <w:rFonts w:cs="Times New Roman"/>
          <w:kern w:val="2"/>
        </w:rPr>
        <w:t>，三个单位仍未办理固定资产交接合并手续。</w:t>
      </w:r>
      <w:r>
        <w:rPr>
          <w:rFonts w:hint="eastAsia" w:cs="Times New Roman"/>
          <w:kern w:val="2"/>
        </w:rPr>
        <w:t>因此，</w:t>
      </w:r>
      <w:r>
        <w:rPr>
          <w:rFonts w:cs="Times New Roman"/>
          <w:kern w:val="2"/>
        </w:rPr>
        <w:t>部门不同固定资产编号仍延续合并前编号，</w:t>
      </w:r>
      <w:r>
        <w:rPr>
          <w:rFonts w:hint="eastAsia" w:cs="Times New Roman"/>
          <w:kern w:val="2"/>
        </w:rPr>
        <w:t>如</w:t>
      </w:r>
      <w:r>
        <w:rPr>
          <w:rFonts w:cs="Times New Roman"/>
          <w:kern w:val="2"/>
        </w:rPr>
        <w:t>部分固定资产标签为20位数字加符号，部分固定资产标签为5位数字加符号</w:t>
      </w:r>
      <w:r>
        <w:rPr>
          <w:rFonts w:hint="eastAsia" w:cs="Times New Roman"/>
          <w:kern w:val="2"/>
        </w:rPr>
        <w:t>，</w:t>
      </w:r>
      <w:r>
        <w:rPr>
          <w:rFonts w:cs="Times New Roman"/>
          <w:kern w:val="2"/>
        </w:rPr>
        <w:t>未</w:t>
      </w:r>
      <w:r>
        <w:rPr>
          <w:rFonts w:hint="eastAsia" w:cs="Times New Roman"/>
          <w:kern w:val="2"/>
        </w:rPr>
        <w:t>进行</w:t>
      </w:r>
      <w:r>
        <w:rPr>
          <w:rFonts w:cs="Times New Roman"/>
          <w:kern w:val="2"/>
        </w:rPr>
        <w:t>有效合并统一</w:t>
      </w:r>
      <w:r>
        <w:rPr>
          <w:rFonts w:hint="eastAsia" w:cs="Times New Roman"/>
          <w:kern w:val="2"/>
        </w:rPr>
        <w:t>，不利于部门统一管理固定资产</w:t>
      </w:r>
      <w:r>
        <w:rPr>
          <w:rFonts w:cs="Times New Roman"/>
          <w:kern w:val="2"/>
        </w:rPr>
        <w:t>。</w:t>
      </w:r>
    </w:p>
    <w:p>
      <w:pPr>
        <w:widowControl w:val="0"/>
        <w:spacing w:line="560" w:lineRule="exact"/>
        <w:ind w:firstLine="643"/>
        <w:outlineLvl w:val="1"/>
        <w:rPr>
          <w:rFonts w:eastAsia="楷体_GB2312" w:cs="Times New Roman"/>
          <w:b/>
          <w:kern w:val="2"/>
          <w:szCs w:val="24"/>
        </w:rPr>
      </w:pPr>
      <w:bookmarkStart w:id="93" w:name="_Toc13289"/>
      <w:r>
        <w:rPr>
          <w:rFonts w:eastAsia="楷体_GB2312" w:cs="Times New Roman"/>
          <w:b/>
          <w:kern w:val="2"/>
          <w:szCs w:val="24"/>
        </w:rPr>
        <w:t>（</w:t>
      </w:r>
      <w:r>
        <w:rPr>
          <w:rFonts w:hint="eastAsia" w:eastAsia="楷体_GB2312" w:cs="Times New Roman"/>
          <w:b/>
          <w:kern w:val="2"/>
          <w:szCs w:val="24"/>
        </w:rPr>
        <w:t>三</w:t>
      </w:r>
      <w:r>
        <w:rPr>
          <w:rFonts w:eastAsia="楷体_GB2312" w:cs="Times New Roman"/>
          <w:b/>
          <w:kern w:val="2"/>
          <w:szCs w:val="24"/>
        </w:rPr>
        <w:t>）项目前期准备不充分，</w:t>
      </w:r>
      <w:r>
        <w:rPr>
          <w:rFonts w:hint="eastAsia" w:eastAsia="楷体_GB2312" w:cs="Times New Roman"/>
          <w:b/>
          <w:kern w:val="2"/>
          <w:szCs w:val="24"/>
        </w:rPr>
        <w:t>部分项目推进进度较慢</w:t>
      </w:r>
      <w:r>
        <w:rPr>
          <w:rFonts w:eastAsia="楷体_GB2312" w:cs="Times New Roman"/>
          <w:b/>
          <w:kern w:val="2"/>
          <w:szCs w:val="24"/>
        </w:rPr>
        <w:t>。</w:t>
      </w:r>
      <w:bookmarkEnd w:id="93"/>
    </w:p>
    <w:p>
      <w:pPr>
        <w:widowControl w:val="0"/>
        <w:spacing w:line="560" w:lineRule="exact"/>
        <w:ind w:firstLine="640"/>
        <w:jc w:val="both"/>
      </w:pPr>
      <w:r>
        <w:rPr>
          <w:rFonts w:hint="eastAsia" w:cs="Times New Roman"/>
          <w:kern w:val="2"/>
        </w:rPr>
        <w:t>一是项目前期准备不充分</w:t>
      </w:r>
      <w:r>
        <w:rPr>
          <w:rFonts w:cs="Times New Roman"/>
          <w:kern w:val="2"/>
        </w:rPr>
        <w:t>。</w:t>
      </w:r>
      <w:r>
        <w:rPr>
          <w:rFonts w:hint="eastAsia" w:cs="Times New Roman"/>
          <w:kern w:val="2"/>
        </w:rPr>
        <w:t>根据</w:t>
      </w:r>
      <w:r>
        <w:rPr>
          <w:rFonts w:cs="Times New Roman"/>
          <w:kern w:val="2"/>
        </w:rPr>
        <w:t>《韶关市市级重大财政支出政策和项目事前绩效评估实施办法（试行）》新增预算申请的事业发展性支出一级项目、部门预算500万元以上二级项目</w:t>
      </w:r>
      <w:r>
        <w:rPr>
          <w:rFonts w:hint="eastAsia" w:cs="Times New Roman"/>
          <w:kern w:val="2"/>
        </w:rPr>
        <w:t>需开展事前绩效评估，但调研了解到，韶州历史文化博物馆基础性装修经费 850万元未开展事前绩效工作，不利于保障项目实施的可行性和提升项目建设的经济性。</w:t>
      </w:r>
    </w:p>
    <w:p>
      <w:pPr>
        <w:widowControl w:val="0"/>
        <w:spacing w:line="560" w:lineRule="exact"/>
        <w:ind w:firstLine="640"/>
        <w:jc w:val="both"/>
        <w:rPr>
          <w:rFonts w:cs="Times New Roman"/>
          <w:kern w:val="2"/>
        </w:rPr>
      </w:pPr>
      <w:r>
        <w:rPr>
          <w:rFonts w:hint="eastAsia" w:cs="Times New Roman"/>
          <w:kern w:val="2"/>
        </w:rPr>
        <w:t>二是部分项目推进进度较为缓慢。如韶关市图书馆建设项目及岭南书院建设项目因前期准备工作不充分导致项目推动缓慢，截至2022年底项目资金未能支出。如2022年广东省航空模型锦标赛项目项目因部门年度计划安排不够合理，未有相关风险应对措施，且对于项目进度监管不足导致项目推进进度不及预期。</w:t>
      </w:r>
    </w:p>
    <w:p>
      <w:pPr>
        <w:widowControl w:val="0"/>
        <w:spacing w:line="560" w:lineRule="exact"/>
        <w:ind w:firstLine="643"/>
        <w:jc w:val="both"/>
        <w:outlineLvl w:val="1"/>
        <w:rPr>
          <w:rFonts w:eastAsia="楷体_GB2312" w:cs="Times New Roman"/>
          <w:b/>
          <w:kern w:val="2"/>
          <w:szCs w:val="24"/>
        </w:rPr>
      </w:pPr>
      <w:bookmarkStart w:id="94" w:name="_Toc17831"/>
      <w:r>
        <w:rPr>
          <w:rFonts w:hint="eastAsia" w:eastAsia="楷体_GB2312" w:cs="Times New Roman"/>
          <w:b/>
          <w:kern w:val="2"/>
          <w:szCs w:val="24"/>
        </w:rPr>
        <w:t>（四）部分项目效益未充分发挥，善美韶关旅游品牌效应未充分凸显。</w:t>
      </w:r>
      <w:bookmarkEnd w:id="94"/>
    </w:p>
    <w:p>
      <w:pPr>
        <w:widowControl w:val="0"/>
        <w:spacing w:line="560" w:lineRule="exact"/>
        <w:ind w:firstLine="640"/>
        <w:jc w:val="both"/>
        <w:rPr>
          <w:rFonts w:cs="Times New Roman"/>
          <w:kern w:val="2"/>
        </w:rPr>
      </w:pPr>
      <w:r>
        <w:rPr>
          <w:rFonts w:hint="eastAsia" w:cs="Times New Roman"/>
          <w:kern w:val="2"/>
        </w:rPr>
        <w:t>一是</w:t>
      </w:r>
      <w:r>
        <w:rPr>
          <w:rFonts w:cs="Times New Roman"/>
          <w:kern w:val="2"/>
        </w:rPr>
        <w:t>全域旅游智慧平台</w:t>
      </w:r>
      <w:r>
        <w:rPr>
          <w:rFonts w:hint="eastAsia" w:cs="Times New Roman"/>
          <w:kern w:val="2"/>
        </w:rPr>
        <w:t>项目效益未充分发挥。“</w:t>
      </w:r>
      <w:r>
        <w:rPr>
          <w:rFonts w:cs="Times New Roman"/>
          <w:kern w:val="2"/>
        </w:rPr>
        <w:t>一部手机游韶关</w:t>
      </w:r>
      <w:r>
        <w:rPr>
          <w:rFonts w:hint="eastAsia" w:cs="Times New Roman"/>
          <w:kern w:val="2"/>
        </w:rPr>
        <w:t>”平台</w:t>
      </w:r>
      <w:r>
        <w:rPr>
          <w:rFonts w:cs="Times New Roman"/>
          <w:kern w:val="2"/>
        </w:rPr>
        <w:t>的功能较为有限，</w:t>
      </w:r>
      <w:r>
        <w:rPr>
          <w:rFonts w:hint="eastAsia" w:cs="Times New Roman"/>
          <w:kern w:val="2"/>
        </w:rPr>
        <w:t>其</w:t>
      </w:r>
      <w:r>
        <w:rPr>
          <w:rFonts w:cs="Times New Roman"/>
          <w:kern w:val="2"/>
        </w:rPr>
        <w:t>对旅游数字资源的整合度不高，</w:t>
      </w:r>
      <w:r>
        <w:rPr>
          <w:rFonts w:hint="eastAsia" w:cs="Times New Roman"/>
          <w:kern w:val="2"/>
        </w:rPr>
        <w:t>该平台</w:t>
      </w:r>
      <w:r>
        <w:rPr>
          <w:rFonts w:cs="Times New Roman"/>
          <w:kern w:val="2"/>
        </w:rPr>
        <w:t>旅游信息的共享性不足，旅游个性化服务偏好和需求的提供与分析能力均较弱，群众的实际使用率不高。</w:t>
      </w:r>
      <w:r>
        <w:rPr>
          <w:rFonts w:hint="eastAsia" w:cs="Times New Roman"/>
          <w:kern w:val="2"/>
        </w:rPr>
        <w:t>与市场常见的携程、同程旅行等同类平台相比功能丰富性不足，未见项目的明显效益。</w:t>
      </w:r>
    </w:p>
    <w:p>
      <w:pPr>
        <w:widowControl w:val="0"/>
        <w:snapToGrid w:val="0"/>
        <w:spacing w:line="560" w:lineRule="exact"/>
        <w:ind w:firstLine="640"/>
        <w:jc w:val="both"/>
        <w:rPr>
          <w:rFonts w:cs="Times New Roman"/>
          <w:kern w:val="2"/>
        </w:rPr>
      </w:pPr>
      <w:r>
        <w:rPr>
          <w:rFonts w:hint="eastAsia" w:cs="Times New Roman"/>
          <w:kern w:val="2"/>
        </w:rPr>
        <w:t>二是善美韶关旅游特色未凸显，存在产业同质化现象，地方产品特色不突出。旅游发展模式同质化，盲目跟风同质宣传发展，未能全面考量本地的比较优势，也未能充分结合本地的特色文化和旅游资源。模仿其他较为相似的旅游景区的宣传方式及宣传手段并不能凸显出韶关市本地特色，无法达到旅游业宣传发展的良好效果。在旅游文化节事方面，各类旅游文化节事虽丰富但缺乏总体规划，缺少典型、盛大的品牌节事活动，难以对韶关市旅游发展带来显著推动作用；在旅游宣传体系方面，目前已有“善美”韶关城市品牌口号，但在具体善美形象或典型人物等宣传方面尚有不足，未形成深入人心的旅游“善美”标识。</w:t>
      </w:r>
    </w:p>
    <w:p>
      <w:pPr>
        <w:widowControl w:val="0"/>
        <w:spacing w:line="560" w:lineRule="exact"/>
        <w:ind w:firstLine="643"/>
        <w:jc w:val="both"/>
        <w:outlineLvl w:val="1"/>
        <w:rPr>
          <w:rFonts w:eastAsia="楷体_GB2312" w:cs="Times New Roman"/>
          <w:b/>
          <w:kern w:val="2"/>
          <w:szCs w:val="24"/>
        </w:rPr>
      </w:pPr>
      <w:bookmarkStart w:id="95" w:name="_Toc31404"/>
      <w:r>
        <w:rPr>
          <w:rFonts w:hint="eastAsia" w:eastAsia="楷体_GB2312" w:cs="Times New Roman"/>
          <w:b/>
          <w:kern w:val="2"/>
          <w:szCs w:val="24"/>
        </w:rPr>
        <w:t>（五）绩效指标设置不全面，绩效管理水平有待提升。</w:t>
      </w:r>
      <w:bookmarkEnd w:id="95"/>
    </w:p>
    <w:p>
      <w:pPr>
        <w:widowControl w:val="0"/>
        <w:spacing w:line="560" w:lineRule="exact"/>
        <w:ind w:firstLine="640"/>
        <w:jc w:val="both"/>
        <w:rPr>
          <w:rFonts w:cs="Times New Roman"/>
          <w:kern w:val="2"/>
        </w:rPr>
      </w:pPr>
      <w:r>
        <w:rPr>
          <w:rFonts w:hint="eastAsia" w:cs="Times New Roman"/>
          <w:kern w:val="2"/>
        </w:rPr>
        <w:t>一是部门绩效目标科学合理性不强。部门整体预算绩效目标与部门年度工作计划及指导部门工作的十四五规划关联性不高，产出指标均为体现“韶州体育馆项目”的数量指标和质量指标。但部门年度重点工作任务还包括文化建设、旅游发展、体育进步等等，仅设置韶州体育馆建设项目指标作为部门2022年度整体绩效指标较为片面，</w:t>
      </w:r>
      <w:r>
        <w:rPr>
          <w:rFonts w:cs="Times New Roman"/>
          <w:kern w:val="2"/>
        </w:rPr>
        <w:t>如部门作为主要责任单位的文旅体产业链招商引资工作，对于这项工作的</w:t>
      </w:r>
      <w:r>
        <w:rPr>
          <w:rFonts w:hint="eastAsia" w:cs="Times New Roman"/>
          <w:kern w:val="2"/>
        </w:rPr>
        <w:t>产出</w:t>
      </w:r>
      <w:r>
        <w:rPr>
          <w:rFonts w:cs="Times New Roman"/>
          <w:kern w:val="2"/>
        </w:rPr>
        <w:t>及效益等缺乏较为全面和明确的指标约束。</w:t>
      </w:r>
      <w:r>
        <w:rPr>
          <w:rFonts w:hint="eastAsia" w:cs="Times New Roman"/>
          <w:kern w:val="2"/>
        </w:rPr>
        <w:t xml:space="preserve">部门整体绩效目标设置全面性不足不利于发挥绩效指标指导和约束全年工作的重要作用，也不利于按照年度分解十四五规划保障其顺利完成。 </w:t>
      </w:r>
    </w:p>
    <w:p>
      <w:pPr>
        <w:widowControl w:val="0"/>
        <w:spacing w:line="560" w:lineRule="exact"/>
        <w:ind w:firstLine="640"/>
        <w:jc w:val="both"/>
        <w:rPr>
          <w:rFonts w:cs="Times New Roman"/>
          <w:kern w:val="2"/>
        </w:rPr>
      </w:pPr>
      <w:r>
        <w:rPr>
          <w:rFonts w:hint="eastAsia" w:cs="Times New Roman"/>
          <w:kern w:val="2"/>
        </w:rPr>
        <w:t>二是部门整体绩效自评报告质量待提升。</w:t>
      </w:r>
      <w:r>
        <w:rPr>
          <w:rFonts w:cs="Times New Roman"/>
          <w:kern w:val="2"/>
        </w:rPr>
        <w:t>绩效自评报告完成情况与绩效目标</w:t>
      </w:r>
      <w:r>
        <w:rPr>
          <w:rFonts w:hint="eastAsia" w:cs="Times New Roman"/>
          <w:kern w:val="2"/>
        </w:rPr>
        <w:t>年初申报表</w:t>
      </w:r>
      <w:r>
        <w:rPr>
          <w:rFonts w:cs="Times New Roman"/>
          <w:kern w:val="2"/>
        </w:rPr>
        <w:t>指标缺乏对应性</w:t>
      </w:r>
      <w:r>
        <w:rPr>
          <w:rFonts w:hint="eastAsia" w:cs="Times New Roman"/>
          <w:kern w:val="2"/>
        </w:rPr>
        <w:t>，无法比较年初绩效目标与年末完成情况的对应情况。绩效自评报告中</w:t>
      </w:r>
      <w:r>
        <w:rPr>
          <w:rFonts w:cs="Times New Roman"/>
          <w:kern w:val="2"/>
        </w:rPr>
        <w:t>对于存在问题及改进意见</w:t>
      </w:r>
      <w:r>
        <w:rPr>
          <w:rFonts w:hint="eastAsia" w:cs="Times New Roman"/>
          <w:kern w:val="2"/>
        </w:rPr>
        <w:t>不够具有针对性及本部门特色</w:t>
      </w:r>
      <w:r>
        <w:rPr>
          <w:rFonts w:cs="Times New Roman"/>
          <w:kern w:val="2"/>
        </w:rPr>
        <w:t>，</w:t>
      </w:r>
      <w:r>
        <w:rPr>
          <w:rFonts w:hint="eastAsia" w:cs="Times New Roman"/>
          <w:kern w:val="2"/>
        </w:rPr>
        <w:t>对于部门的年度目标任务如图书馆建设工作、岭南书院建设工作未按照预期情况完成的情况说明阐述不够深入具体，未有针对未完成项目的下一年度工作计划和建议。</w:t>
      </w:r>
    </w:p>
    <w:p>
      <w:pPr>
        <w:keepNext/>
        <w:keepLines/>
        <w:widowControl w:val="0"/>
        <w:spacing w:line="560" w:lineRule="exact"/>
        <w:ind w:firstLine="643"/>
        <w:jc w:val="both"/>
        <w:outlineLvl w:val="0"/>
        <w:rPr>
          <w:rFonts w:eastAsia="黑体" w:cs="Times New Roman"/>
          <w:b/>
          <w:kern w:val="44"/>
        </w:rPr>
      </w:pPr>
      <w:bookmarkStart w:id="96" w:name="_Toc17423"/>
      <w:r>
        <w:rPr>
          <w:rFonts w:hint="eastAsia" w:eastAsia="黑体" w:cs="Times New Roman"/>
          <w:b/>
          <w:kern w:val="44"/>
        </w:rPr>
        <w:t>六、建议</w:t>
      </w:r>
      <w:bookmarkEnd w:id="96"/>
    </w:p>
    <w:p>
      <w:pPr>
        <w:widowControl w:val="0"/>
        <w:spacing w:line="560" w:lineRule="exact"/>
        <w:ind w:firstLine="643"/>
        <w:jc w:val="both"/>
        <w:outlineLvl w:val="1"/>
        <w:rPr>
          <w:rFonts w:eastAsia="楷体_GB2312" w:cs="Times New Roman"/>
          <w:b/>
          <w:kern w:val="2"/>
          <w:szCs w:val="24"/>
        </w:rPr>
      </w:pPr>
      <w:bookmarkStart w:id="97" w:name="_Toc30982"/>
      <w:r>
        <w:rPr>
          <w:rFonts w:hint="eastAsia" w:eastAsia="楷体_GB2312" w:cs="Times New Roman"/>
          <w:b/>
          <w:kern w:val="2"/>
          <w:szCs w:val="24"/>
        </w:rPr>
        <w:t>（一）加强采购管理工作，建立采购台账监督项目进程。</w:t>
      </w:r>
      <w:bookmarkEnd w:id="97"/>
    </w:p>
    <w:p>
      <w:pPr>
        <w:widowControl w:val="0"/>
        <w:snapToGrid w:val="0"/>
        <w:spacing w:line="560" w:lineRule="exact"/>
        <w:ind w:firstLine="640"/>
        <w:jc w:val="both"/>
        <w:rPr>
          <w:rFonts w:cs="Times New Roman"/>
          <w:kern w:val="2"/>
          <w:szCs w:val="32"/>
        </w:rPr>
      </w:pPr>
      <w:r>
        <w:rPr>
          <w:rFonts w:hint="eastAsia" w:cs="Times New Roman"/>
          <w:kern w:val="2"/>
          <w:szCs w:val="32"/>
        </w:rPr>
        <w:t>一是建立采购台账监督项目进度。通过建立采购台账可以提高采购工作的效率和质量，推动政府采购制度的规范化和现代化。采购台账记录每个采购项目的详细信息，包括采购物品、供应商、采购金额等重要信息。采购台账对每个采购项目的进展情况进行记录和追踪，确保项目按时完成。政府部门可以根据采购台账中的信息，及时发现和解决问题，优化采购流程，提高采购工作的效率和质量。通过公开、可查看的采购台账，政府部门可以确保采购项目的信息对公众和社会各界开放，有效防止腐败和滥用职权行为的发生。台账中还可以记录采购过程中的重要决策和评审结果，便于监督部门对采购活动进行审计和监督。</w:t>
      </w:r>
    </w:p>
    <w:p>
      <w:pPr>
        <w:widowControl w:val="0"/>
        <w:snapToGrid w:val="0"/>
        <w:spacing w:line="560" w:lineRule="exact"/>
        <w:ind w:firstLine="640"/>
        <w:jc w:val="both"/>
        <w:rPr>
          <w:rFonts w:cs="Times New Roman"/>
          <w:kern w:val="2"/>
          <w:szCs w:val="32"/>
        </w:rPr>
      </w:pPr>
      <w:r>
        <w:rPr>
          <w:rFonts w:hint="eastAsia" w:cs="Times New Roman"/>
          <w:kern w:val="2"/>
          <w:szCs w:val="32"/>
        </w:rPr>
        <w:t>二是合理设置采购流程提示期。随着互联网+政府采购在全国范围内推广，在电子化采购流程环节，可以在中标、成交通知书下达后、合同签订或者备案之前设置一个时限上的警示期，提醒采购人、供应商应及时签订政府采购合同。而对于超三十日签订政府采购合同的情形，可以通过电子化流程进行规范。同时，还可以将未按时签订采购合同的采购人在政府采购管理网上进行通报批评，这样可以让采购人得到更好的约束。</w:t>
      </w:r>
    </w:p>
    <w:p>
      <w:pPr>
        <w:widowControl w:val="0"/>
        <w:spacing w:line="560" w:lineRule="exact"/>
        <w:ind w:firstLine="643"/>
        <w:jc w:val="both"/>
        <w:outlineLvl w:val="1"/>
        <w:rPr>
          <w:rFonts w:eastAsia="楷体_GB2312" w:cs="Times New Roman"/>
          <w:b/>
          <w:kern w:val="2"/>
          <w:szCs w:val="24"/>
        </w:rPr>
      </w:pPr>
      <w:bookmarkStart w:id="98" w:name="_Toc1903"/>
      <w:r>
        <w:rPr>
          <w:rFonts w:hint="eastAsia" w:eastAsia="楷体_GB2312" w:cs="Times New Roman"/>
          <w:b/>
          <w:kern w:val="2"/>
          <w:szCs w:val="24"/>
        </w:rPr>
        <w:t>（二）加强资金支出内部控制，提升资产管理规范化水平</w:t>
      </w:r>
      <w:bookmarkEnd w:id="98"/>
    </w:p>
    <w:p>
      <w:pPr>
        <w:widowControl w:val="0"/>
        <w:snapToGrid w:val="0"/>
        <w:spacing w:line="560" w:lineRule="exact"/>
        <w:ind w:firstLine="640"/>
        <w:jc w:val="both"/>
        <w:rPr>
          <w:kern w:val="2"/>
        </w:rPr>
      </w:pPr>
      <w:r>
        <w:rPr>
          <w:rFonts w:hint="eastAsia"/>
          <w:kern w:val="2"/>
        </w:rPr>
        <w:t>一是针对财务支出不符合内部控制要求的问题，首先，完善并优化资金支出的审核制度，财务</w:t>
      </w:r>
      <w:r>
        <w:rPr>
          <w:kern w:val="2"/>
        </w:rPr>
        <w:t>人员应</w:t>
      </w:r>
      <w:r>
        <w:rPr>
          <w:rFonts w:hint="eastAsia"/>
          <w:kern w:val="2"/>
        </w:rPr>
        <w:t>重视自己</w:t>
      </w:r>
      <w:r>
        <w:rPr>
          <w:kern w:val="2"/>
        </w:rPr>
        <w:t>在内控管理方面的责任与作用，提高</w:t>
      </w:r>
      <w:r>
        <w:rPr>
          <w:rFonts w:hint="eastAsia"/>
          <w:kern w:val="2"/>
        </w:rPr>
        <w:t>自身</w:t>
      </w:r>
      <w:r>
        <w:rPr>
          <w:kern w:val="2"/>
        </w:rPr>
        <w:t>财务管理水平，</w:t>
      </w:r>
      <w:r>
        <w:rPr>
          <w:rFonts w:hint="eastAsia"/>
          <w:kern w:val="2"/>
        </w:rPr>
        <w:t>定期</w:t>
      </w:r>
      <w:r>
        <w:rPr>
          <w:kern w:val="2"/>
        </w:rPr>
        <w:t>对</w:t>
      </w:r>
      <w:r>
        <w:rPr>
          <w:rFonts w:hint="eastAsia"/>
          <w:kern w:val="2"/>
        </w:rPr>
        <w:t>部门</w:t>
      </w:r>
      <w:r>
        <w:rPr>
          <w:kern w:val="2"/>
        </w:rPr>
        <w:t>内部</w:t>
      </w:r>
      <w:r>
        <w:rPr>
          <w:rFonts w:hint="eastAsia"/>
          <w:kern w:val="2"/>
        </w:rPr>
        <w:t>财务</w:t>
      </w:r>
      <w:r>
        <w:rPr>
          <w:kern w:val="2"/>
        </w:rPr>
        <w:t>管理情况进行自审</w:t>
      </w:r>
      <w:r>
        <w:rPr>
          <w:rFonts w:hint="eastAsia"/>
          <w:kern w:val="2"/>
        </w:rPr>
        <w:t>和</w:t>
      </w:r>
      <w:r>
        <w:rPr>
          <w:kern w:val="2"/>
        </w:rPr>
        <w:t>监督</w:t>
      </w:r>
      <w:r>
        <w:rPr>
          <w:rFonts w:hint="eastAsia"/>
          <w:kern w:val="2"/>
        </w:rPr>
        <w:t>。</w:t>
      </w:r>
      <w:r>
        <w:rPr>
          <w:kern w:val="2"/>
        </w:rPr>
        <w:t>不但</w:t>
      </w:r>
      <w:r>
        <w:rPr>
          <w:rFonts w:hint="eastAsia"/>
          <w:kern w:val="2"/>
        </w:rPr>
        <w:t>要</w:t>
      </w:r>
      <w:r>
        <w:rPr>
          <w:kern w:val="2"/>
        </w:rPr>
        <w:t>发挥财务人员的核算职能，还应发挥其管理职能。</w:t>
      </w:r>
      <w:r>
        <w:rPr>
          <w:rFonts w:hint="eastAsia"/>
          <w:kern w:val="2"/>
        </w:rPr>
        <w:t>其次，重视原始凭证审核工作。根据《中华人民共和国</w:t>
      </w:r>
      <w:r>
        <w:rPr>
          <w:kern w:val="2"/>
        </w:rPr>
        <w:t>会计法</w:t>
      </w:r>
      <w:r>
        <w:rPr>
          <w:rFonts w:hint="eastAsia"/>
          <w:kern w:val="2"/>
        </w:rPr>
        <w:t>》第十四</w:t>
      </w:r>
      <w:r>
        <w:rPr>
          <w:kern w:val="2"/>
        </w:rPr>
        <w:t>条</w:t>
      </w:r>
      <w:r>
        <w:rPr>
          <w:rFonts w:hint="eastAsia"/>
          <w:kern w:val="2"/>
        </w:rPr>
        <w:t>与第</w:t>
      </w:r>
      <w:r>
        <w:rPr>
          <w:kern w:val="2"/>
        </w:rPr>
        <w:t>十七条相关规定</w:t>
      </w:r>
      <w:r>
        <w:rPr>
          <w:rFonts w:hint="eastAsia"/>
          <w:kern w:val="2"/>
        </w:rPr>
        <w:t>，会计</w:t>
      </w:r>
      <w:r>
        <w:rPr>
          <w:kern w:val="2"/>
        </w:rPr>
        <w:t>人员应对原始凭证进行审核，</w:t>
      </w:r>
      <w:r>
        <w:rPr>
          <w:rFonts w:hint="eastAsia"/>
          <w:kern w:val="2"/>
        </w:rPr>
        <w:t>并</w:t>
      </w:r>
      <w:r>
        <w:rPr>
          <w:kern w:val="2"/>
        </w:rPr>
        <w:t>定期将</w:t>
      </w:r>
      <w:r>
        <w:rPr>
          <w:rFonts w:hint="eastAsia"/>
          <w:kern w:val="2"/>
        </w:rPr>
        <w:t>会计帐簿记录与实物、款项及有关资料相互核对。</w:t>
      </w:r>
      <w:r>
        <w:rPr>
          <w:kern w:val="2"/>
        </w:rPr>
        <w:t>应重视原始</w:t>
      </w:r>
      <w:r>
        <w:rPr>
          <w:rFonts w:hint="eastAsia"/>
          <w:kern w:val="2"/>
        </w:rPr>
        <w:t>凭证</w:t>
      </w:r>
      <w:r>
        <w:rPr>
          <w:kern w:val="2"/>
        </w:rPr>
        <w:t>审核工作，</w:t>
      </w:r>
      <w:r>
        <w:rPr>
          <w:rFonts w:hint="eastAsia"/>
          <w:kern w:val="2"/>
        </w:rPr>
        <w:t>会计</w:t>
      </w:r>
      <w:r>
        <w:rPr>
          <w:kern w:val="2"/>
        </w:rPr>
        <w:t>凭证应</w:t>
      </w:r>
      <w:r>
        <w:rPr>
          <w:rFonts w:hint="eastAsia"/>
          <w:kern w:val="2"/>
        </w:rPr>
        <w:t>附</w:t>
      </w:r>
      <w:r>
        <w:rPr>
          <w:kern w:val="2"/>
        </w:rPr>
        <w:t>相关支出细项</w:t>
      </w:r>
      <w:r>
        <w:rPr>
          <w:rFonts w:hint="eastAsia"/>
          <w:kern w:val="2"/>
        </w:rPr>
        <w:t>、</w:t>
      </w:r>
      <w:r>
        <w:rPr>
          <w:kern w:val="2"/>
        </w:rPr>
        <w:t>支付清单等</w:t>
      </w:r>
      <w:r>
        <w:rPr>
          <w:rFonts w:hint="eastAsia"/>
          <w:kern w:val="2"/>
        </w:rPr>
        <w:t>原始</w:t>
      </w:r>
      <w:r>
        <w:rPr>
          <w:kern w:val="2"/>
        </w:rPr>
        <w:t>凭证，</w:t>
      </w:r>
      <w:r>
        <w:rPr>
          <w:rFonts w:hint="eastAsia"/>
          <w:kern w:val="2"/>
        </w:rPr>
        <w:t>并</w:t>
      </w:r>
      <w:r>
        <w:rPr>
          <w:kern w:val="2"/>
        </w:rPr>
        <w:t>定期将相关</w:t>
      </w:r>
      <w:r>
        <w:rPr>
          <w:rFonts w:hint="eastAsia"/>
          <w:kern w:val="2"/>
        </w:rPr>
        <w:t>合同</w:t>
      </w:r>
      <w:r>
        <w:rPr>
          <w:kern w:val="2"/>
        </w:rPr>
        <w:t>资料相互核对，</w:t>
      </w:r>
      <w:r>
        <w:rPr>
          <w:rFonts w:hint="eastAsia"/>
          <w:kern w:val="2"/>
        </w:rPr>
        <w:t>以</w:t>
      </w:r>
      <w:r>
        <w:rPr>
          <w:kern w:val="2"/>
        </w:rPr>
        <w:t>保障</w:t>
      </w:r>
      <w:r>
        <w:rPr>
          <w:rFonts w:hint="eastAsia"/>
          <w:kern w:val="2"/>
        </w:rPr>
        <w:t>资金</w:t>
      </w:r>
      <w:r>
        <w:rPr>
          <w:kern w:val="2"/>
        </w:rPr>
        <w:t>支出的</w:t>
      </w:r>
      <w:r>
        <w:rPr>
          <w:rFonts w:hint="eastAsia"/>
          <w:kern w:val="2"/>
        </w:rPr>
        <w:t>准确性</w:t>
      </w:r>
      <w:r>
        <w:rPr>
          <w:kern w:val="2"/>
        </w:rPr>
        <w:t>。</w:t>
      </w:r>
    </w:p>
    <w:p>
      <w:pPr>
        <w:widowControl w:val="0"/>
        <w:snapToGrid w:val="0"/>
        <w:spacing w:line="560" w:lineRule="exact"/>
        <w:ind w:firstLine="640"/>
        <w:jc w:val="both"/>
        <w:rPr>
          <w:rFonts w:cs="Times New Roman"/>
          <w:kern w:val="2"/>
        </w:rPr>
      </w:pPr>
      <w:r>
        <w:rPr>
          <w:rFonts w:hint="eastAsia" w:cs="Times New Roman"/>
          <w:kern w:val="2"/>
        </w:rPr>
        <w:t>二是盘活部门固定资产，及时报废无法使用资产，提高资源利用效率和财务管理效益。首先，建立完善的资产管理制度和流程，明确资产的使用期限、存放位置和责任人。定期对固定资产进行跟踪和检查，发现无法使用或使用寿命已过的资产，及时淘汰老化和无法使用的资产，进行报废处理。根据资产的使用寿命和技术更新的要求，制定相应的更新计划，确保资产的科学管理和合理运行。同时，建立资产清查和登记制度，对于未贴标签的固定资产补充标签，及时更新固定资产卡片信息，保持资产信息的准确性和及时性，避免资产闲置和浪费。其次，可以进行固定资产的优化配置和再分配。通过对各部门的资产使用情况进行评估和统计，发现闲置或低效使用的资产，可以进行调整和重新分配，可以通过招标、竞价或公开出售等方式进行处置，提高资产的利用率。</w:t>
      </w:r>
    </w:p>
    <w:p>
      <w:pPr>
        <w:widowControl w:val="0"/>
        <w:snapToGrid w:val="0"/>
        <w:spacing w:line="560" w:lineRule="exact"/>
        <w:ind w:firstLine="640"/>
        <w:jc w:val="both"/>
        <w:rPr>
          <w:rFonts w:cs="Times New Roman"/>
          <w:kern w:val="2"/>
          <w:szCs w:val="32"/>
        </w:rPr>
      </w:pPr>
      <w:r>
        <w:rPr>
          <w:rFonts w:hint="eastAsia" w:cs="Times New Roman"/>
          <w:kern w:val="2"/>
        </w:rPr>
        <w:t>三是加强资产管理规范化工作。具体措施包括：落实固定资产盘点制度，定期对固定资产进行盘点，对闲置未用的固定资产及时处理或盘活，对无使用价值的资产及时申请报废处置，并进行适当的账务调整。在已建立部门资产管理台账的基础上，进一步落实科室定期申报、部门常规检查、定期清查等动态跟踪管理机制。及时粘贴固定资产标签，明确固定资产责任人制度，保证存放地点固定规范。</w:t>
      </w:r>
      <w:r>
        <w:rPr>
          <w:rFonts w:cs="Times New Roman"/>
          <w:spacing w:val="6"/>
          <w:kern w:val="2"/>
          <w:szCs w:val="32"/>
        </w:rPr>
        <w:t>加强资产管理人员</w:t>
      </w:r>
      <w:r>
        <w:rPr>
          <w:rFonts w:cs="Times New Roman"/>
          <w:kern w:val="2"/>
          <w:szCs w:val="32"/>
        </w:rPr>
        <w:t>培训、提升资产管理人员业务能力，提高及时对固定资产进行规范化管理的意识。</w:t>
      </w:r>
    </w:p>
    <w:p>
      <w:pPr>
        <w:widowControl w:val="0"/>
        <w:spacing w:line="560" w:lineRule="exact"/>
        <w:ind w:firstLine="643"/>
        <w:jc w:val="both"/>
        <w:outlineLvl w:val="1"/>
        <w:rPr>
          <w:rFonts w:eastAsia="楷体_GB2312" w:cs="Times New Roman"/>
          <w:b/>
          <w:kern w:val="2"/>
          <w:szCs w:val="24"/>
        </w:rPr>
      </w:pPr>
      <w:bookmarkStart w:id="99" w:name="_Toc29239"/>
      <w:r>
        <w:rPr>
          <w:rFonts w:hint="eastAsia" w:eastAsia="楷体_GB2312" w:cs="Times New Roman"/>
          <w:b/>
          <w:kern w:val="2"/>
          <w:szCs w:val="24"/>
        </w:rPr>
        <w:t>（三）加强项目前期论证，</w:t>
      </w:r>
      <w:bookmarkEnd w:id="99"/>
      <w:r>
        <w:rPr>
          <w:rFonts w:hint="eastAsia" w:eastAsia="楷体_GB2312" w:cs="Times New Roman"/>
          <w:b/>
          <w:kern w:val="2"/>
          <w:szCs w:val="24"/>
        </w:rPr>
        <w:t>加快推进项目完成进度</w:t>
      </w:r>
    </w:p>
    <w:p>
      <w:pPr>
        <w:widowControl w:val="0"/>
        <w:spacing w:line="560" w:lineRule="exact"/>
        <w:ind w:firstLine="640"/>
        <w:jc w:val="both"/>
        <w:rPr>
          <w:rFonts w:cs="Times New Roman"/>
          <w:kern w:val="2"/>
          <w:szCs w:val="32"/>
        </w:rPr>
      </w:pPr>
      <w:r>
        <w:rPr>
          <w:rFonts w:hint="eastAsia" w:cs="Times New Roman"/>
          <w:kern w:val="2"/>
        </w:rPr>
        <w:t>一是强化预算编制的前期论证工作，做好事前评估工作。在项目预算编制方面，各业务科室应合理考虑项目往年支出情况，结合本年度重点工作任务，汇总、分析、比较，测算各项目支出的基准值。如图书馆建设及岭南书院建设需结合项目年度工作计划及实际报批情况等进行综合测算预算资金；体育赛事</w:t>
      </w:r>
      <w:r>
        <w:rPr>
          <w:rFonts w:cs="Times New Roman"/>
          <w:kern w:val="2"/>
          <w:szCs w:val="32"/>
        </w:rPr>
        <w:t>经费应结合参考过去几年的值，</w:t>
      </w:r>
      <w:r>
        <w:rPr>
          <w:rFonts w:hint="eastAsia" w:cs="Times New Roman"/>
          <w:kern w:val="2"/>
          <w:szCs w:val="32"/>
        </w:rPr>
        <w:t>并</w:t>
      </w:r>
      <w:r>
        <w:rPr>
          <w:rFonts w:cs="Times New Roman"/>
          <w:kern w:val="2"/>
          <w:szCs w:val="32"/>
        </w:rPr>
        <w:t>注</w:t>
      </w:r>
      <w:r>
        <w:rPr>
          <w:rFonts w:hint="eastAsia" w:cs="Times New Roman"/>
          <w:kern w:val="2"/>
          <w:szCs w:val="32"/>
        </w:rPr>
        <w:t>参赛人员及参赛计划等</w:t>
      </w:r>
      <w:r>
        <w:rPr>
          <w:rFonts w:cs="Times New Roman"/>
          <w:kern w:val="2"/>
          <w:szCs w:val="32"/>
        </w:rPr>
        <w:t>主要变量。</w:t>
      </w:r>
      <w:r>
        <w:rPr>
          <w:rFonts w:hint="eastAsia" w:cs="Times New Roman"/>
          <w:kern w:val="2"/>
          <w:szCs w:val="32"/>
        </w:rPr>
        <w:t>在项目实施可行性方面，</w:t>
      </w:r>
      <w:r>
        <w:rPr>
          <w:rFonts w:cs="Times New Roman"/>
          <w:kern w:val="2"/>
          <w:szCs w:val="32"/>
        </w:rPr>
        <w:t>做好项目实施计划方案，提早工作部署，以便提前做好项目前期的设计和招投标工作，预算批复后能迅速开展项目施工</w:t>
      </w:r>
      <w:r>
        <w:rPr>
          <w:rFonts w:hint="eastAsia" w:cs="Times New Roman"/>
          <w:kern w:val="2"/>
          <w:szCs w:val="32"/>
        </w:rPr>
        <w:t>。前期充分做好做实调研工作，做好需求分析，理顺项目工作流程，制定风险应对措施，制定保障措施推动项目顺利实施。</w:t>
      </w:r>
    </w:p>
    <w:p>
      <w:pPr>
        <w:widowControl w:val="0"/>
        <w:spacing w:line="560" w:lineRule="exact"/>
        <w:ind w:firstLine="640"/>
        <w:jc w:val="both"/>
        <w:rPr>
          <w:rFonts w:cs="Times New Roman"/>
          <w:kern w:val="2"/>
          <w:szCs w:val="32"/>
        </w:rPr>
      </w:pPr>
      <w:r>
        <w:rPr>
          <w:rFonts w:hint="eastAsia" w:cs="Times New Roman"/>
          <w:kern w:val="2"/>
        </w:rPr>
        <w:t>二是建立资金支出进度台账，跟进项目资金支付情况。将支出任务分解落实到具体业务科室和个人，各业务科室及个人及时向市文广旅体局反馈项目进展情况。</w:t>
      </w:r>
      <w:r>
        <w:rPr>
          <w:rFonts w:hint="eastAsia" w:cs="Times New Roman"/>
          <w:kern w:val="2"/>
          <w:szCs w:val="32"/>
        </w:rPr>
        <w:t>在</w:t>
      </w:r>
      <w:r>
        <w:rPr>
          <w:rFonts w:cs="Times New Roman"/>
          <w:kern w:val="2"/>
          <w:szCs w:val="32"/>
        </w:rPr>
        <w:t>预算批复后，实时关注各项目实施进程，根据实施进程完成阶段性验收和资金及时支付，避免出现年底资金沉淀的情况。</w:t>
      </w:r>
      <w:r>
        <w:rPr>
          <w:rFonts w:hint="eastAsia" w:cs="Times New Roman"/>
          <w:kern w:val="2"/>
        </w:rPr>
        <w:t>对当年确定无法执行的项目，按规定程序及时调整预算，将资金调剂用于</w:t>
      </w:r>
      <w:r>
        <w:rPr>
          <w:rFonts w:cs="Times New Roman"/>
          <w:kern w:val="2"/>
          <w:szCs w:val="32"/>
        </w:rPr>
        <w:t>当年急需</w:t>
      </w:r>
      <w:r>
        <w:rPr>
          <w:rFonts w:hint="eastAsia" w:cs="Times New Roman"/>
          <w:kern w:val="2"/>
          <w:szCs w:val="32"/>
        </w:rPr>
        <w:t>资金</w:t>
      </w:r>
      <w:r>
        <w:rPr>
          <w:rFonts w:cs="Times New Roman"/>
          <w:kern w:val="2"/>
          <w:szCs w:val="32"/>
        </w:rPr>
        <w:t>的项目</w:t>
      </w:r>
      <w:r>
        <w:rPr>
          <w:rFonts w:hint="eastAsia" w:cs="Times New Roman"/>
          <w:kern w:val="2"/>
          <w:szCs w:val="32"/>
        </w:rPr>
        <w:t>或</w:t>
      </w:r>
      <w:r>
        <w:rPr>
          <w:rFonts w:cs="Times New Roman"/>
          <w:kern w:val="2"/>
          <w:szCs w:val="32"/>
        </w:rPr>
        <w:t>其他有条件实施的项目，提高资金使用效率，避免财政资金沉淀、闲置。</w:t>
      </w:r>
    </w:p>
    <w:p>
      <w:pPr>
        <w:widowControl w:val="0"/>
        <w:spacing w:line="560" w:lineRule="exact"/>
        <w:ind w:firstLine="643"/>
        <w:jc w:val="both"/>
        <w:outlineLvl w:val="1"/>
        <w:rPr>
          <w:rFonts w:eastAsia="楷体_GB2312" w:cs="Times New Roman"/>
          <w:b/>
          <w:kern w:val="2"/>
          <w:szCs w:val="24"/>
        </w:rPr>
      </w:pPr>
      <w:bookmarkStart w:id="100" w:name="_Toc22019"/>
      <w:r>
        <w:rPr>
          <w:rFonts w:hint="eastAsia" w:eastAsia="楷体_GB2312" w:cs="Times New Roman"/>
          <w:b/>
          <w:kern w:val="2"/>
          <w:szCs w:val="24"/>
        </w:rPr>
        <w:t>（四）打造精品旅游平台功能，发挥旅游平台的特色作用</w:t>
      </w:r>
      <w:bookmarkEnd w:id="100"/>
    </w:p>
    <w:p>
      <w:pPr>
        <w:widowControl w:val="0"/>
        <w:snapToGrid w:val="0"/>
        <w:spacing w:line="560" w:lineRule="exact"/>
        <w:ind w:firstLine="640"/>
        <w:jc w:val="both"/>
        <w:rPr>
          <w:rFonts w:cs="Times New Roman"/>
          <w:kern w:val="2"/>
        </w:rPr>
      </w:pPr>
      <w:r>
        <w:rPr>
          <w:rFonts w:hint="eastAsia" w:cs="Times New Roman"/>
          <w:kern w:val="2"/>
        </w:rPr>
        <w:t>一是要积极促进韶关旅</w:t>
      </w:r>
      <w:r>
        <w:rPr>
          <w:rFonts w:cs="Times New Roman"/>
          <w:kern w:val="2"/>
        </w:rPr>
        <w:t>游业的产业转型升级，探索新的旅游产业发展模式，或充分挖掘现有的旅游资源， 或不断推出新的旅游产品、开拓新的旅游市场，为传统旅游产业注入新的要素和活力。</w:t>
      </w:r>
      <w:r>
        <w:rPr>
          <w:rFonts w:hint="eastAsia" w:cs="Times New Roman"/>
          <w:kern w:val="2"/>
        </w:rPr>
        <w:t>对于全域旅游智慧平台的建设，相关部门应尽快理清政府公共服务与市场旅游信息服务边界，摒弃大而全的思维，着重于地区旅游形象和资源宣传推广、旅游公共服务设施与项目指引、旅游市场信息搜集以及旅游市场监管等功能。</w:t>
      </w:r>
    </w:p>
    <w:p>
      <w:pPr>
        <w:widowControl w:val="0"/>
        <w:snapToGrid w:val="0"/>
        <w:spacing w:line="560" w:lineRule="exact"/>
        <w:ind w:firstLine="640"/>
        <w:jc w:val="both"/>
        <w:rPr>
          <w:rFonts w:cs="Times New Roman"/>
          <w:kern w:val="2"/>
        </w:rPr>
      </w:pPr>
      <w:r>
        <w:rPr>
          <w:rFonts w:hint="eastAsia" w:cs="Times New Roman"/>
          <w:kern w:val="2"/>
        </w:rPr>
        <w:t>二是应侧重韶关文旅体需重点突破的方向进行指标设置，扶持项目预算安排，如进一步深化细化“善美韶关”形象识别系统，大力发展自媒体和新媒体传播，推进人工智能、大数据、物联网、5G等数字产业化应用，提高文旅体产业发展信息搜信息搜集能力，提高决策科学性，努力引入一两个文旅头部企业，依托丹霞山、南华寺、珠玑巷等文化旅游资源，不断开发文旅新产品，做大做强韶关文化旅游品牌。</w:t>
      </w:r>
    </w:p>
    <w:p>
      <w:pPr>
        <w:snapToGrid w:val="0"/>
        <w:spacing w:line="560" w:lineRule="exact"/>
        <w:ind w:firstLine="640"/>
        <w:jc w:val="both"/>
        <w:rPr>
          <w:rFonts w:cs="Times New Roman"/>
          <w:kern w:val="2"/>
        </w:rPr>
      </w:pPr>
      <w:r>
        <w:rPr>
          <w:rFonts w:hint="eastAsia" w:cs="Times New Roman"/>
          <w:kern w:val="2"/>
        </w:rPr>
        <w:t>三是应当明确善美韶关旅游品牌的发展路径。首先，应当制定详细的发展规划，积极融入区域旅游发展。结合自身的区位交通、资源禀赋、优势产业、经济基础以及建设规模等各方面条件，确定旅游核心吸引物。其次，应当引导旅游业态错位发展，促进产业协同发展，依托地区特色推出旅游文创周边，强化品牌意识形态，做大做实有效宣传。再次，健全韶关旅游基本服务功能，强化善美韶关品牌口碑。以旅游化、科技化的手段创新提升旅游功能，使得整体环境更加净化、绿化、 美化，整体服务体验更加舒服舒适舒心，整体休闲氛围更加宜居宜业宜游，服务于本地 居民和游客的休闲度假需求。</w:t>
      </w:r>
    </w:p>
    <w:p>
      <w:pPr>
        <w:widowControl w:val="0"/>
        <w:spacing w:line="560" w:lineRule="exact"/>
        <w:ind w:firstLine="643"/>
        <w:jc w:val="both"/>
        <w:outlineLvl w:val="1"/>
        <w:rPr>
          <w:rFonts w:eastAsia="楷体_GB2312" w:cs="Times New Roman"/>
          <w:b/>
          <w:kern w:val="2"/>
          <w:szCs w:val="24"/>
        </w:rPr>
      </w:pPr>
      <w:bookmarkStart w:id="101" w:name="_Toc19361"/>
      <w:r>
        <w:rPr>
          <w:rFonts w:hint="eastAsia" w:eastAsia="楷体_GB2312" w:cs="Times New Roman"/>
          <w:b/>
          <w:kern w:val="2"/>
          <w:szCs w:val="24"/>
        </w:rPr>
        <w:t>（五）科学合理制定部门整体绩效目标，提高绩效管理水平。</w:t>
      </w:r>
      <w:bookmarkEnd w:id="101"/>
    </w:p>
    <w:p>
      <w:pPr>
        <w:widowControl w:val="0"/>
        <w:spacing w:line="560" w:lineRule="exact"/>
        <w:ind w:firstLine="640"/>
        <w:jc w:val="both"/>
        <w:rPr>
          <w:kern w:val="2"/>
        </w:rPr>
      </w:pPr>
      <w:r>
        <w:rPr>
          <w:rFonts w:hint="eastAsia" w:cs="Times New Roman"/>
          <w:kern w:val="2"/>
        </w:rPr>
        <w:t>以财政支出计划对标部门中长期工作规划，以部门中长期发展规划预期目标和指标为基础，编制部门财政支出中期绩效目标、制定部门三年财政支出规划，为部门整体支出年度预算提供导向性框架。加深对绩效目标和绩效指标基本框架的学习和理解。基于预算绩效管理内涵，合理设定预算绩效目标，发挥部门整体绩效目标对部门整体财政支出进行全面的绩效考核及提升部门履职成效的作用。市文广旅体局</w:t>
      </w:r>
      <w:r>
        <w:rPr>
          <w:rFonts w:hint="eastAsia"/>
          <w:kern w:val="2"/>
        </w:rPr>
        <w:t>2022年度</w:t>
      </w:r>
      <w:r>
        <w:rPr>
          <w:kern w:val="2"/>
        </w:rPr>
        <w:t>共</w:t>
      </w:r>
      <w:r>
        <w:rPr>
          <w:rFonts w:hint="eastAsia"/>
          <w:kern w:val="2"/>
        </w:rPr>
        <w:t>8个</w:t>
      </w:r>
      <w:r>
        <w:rPr>
          <w:kern w:val="2"/>
        </w:rPr>
        <w:t>主要支出任务，可根据</w:t>
      </w:r>
      <w:r>
        <w:rPr>
          <w:rFonts w:hint="eastAsia"/>
          <w:kern w:val="2"/>
        </w:rPr>
        <w:t>8个</w:t>
      </w:r>
      <w:r>
        <w:rPr>
          <w:kern w:val="2"/>
        </w:rPr>
        <w:t>主要支出任务</w:t>
      </w:r>
      <w:r>
        <w:rPr>
          <w:rFonts w:hint="eastAsia"/>
          <w:kern w:val="2"/>
        </w:rPr>
        <w:t>分别</w:t>
      </w:r>
      <w:r>
        <w:rPr>
          <w:kern w:val="2"/>
        </w:rPr>
        <w:t>设置相应指标，</w:t>
      </w:r>
      <w:r>
        <w:rPr>
          <w:rFonts w:hint="eastAsia"/>
          <w:kern w:val="2"/>
        </w:rPr>
        <w:t>具体指标设置可参考表2-1。将8个</w:t>
      </w:r>
      <w:r>
        <w:rPr>
          <w:kern w:val="2"/>
        </w:rPr>
        <w:t>主要支出任务根据其支出内容和项目特点分别设置相应的绩效</w:t>
      </w:r>
      <w:r>
        <w:rPr>
          <w:rFonts w:hint="eastAsia"/>
          <w:kern w:val="2"/>
        </w:rPr>
        <w:t>指标</w:t>
      </w:r>
      <w:r>
        <w:rPr>
          <w:kern w:val="2"/>
        </w:rPr>
        <w:t>后，将其进行整理归纳形成</w:t>
      </w:r>
      <w:r>
        <w:rPr>
          <w:rFonts w:hint="eastAsia"/>
          <w:kern w:val="2"/>
        </w:rPr>
        <w:t>部门</w:t>
      </w:r>
      <w:r>
        <w:rPr>
          <w:kern w:val="2"/>
        </w:rPr>
        <w:t>整体支出的绩效</w:t>
      </w:r>
      <w:r>
        <w:rPr>
          <w:rFonts w:hint="eastAsia"/>
          <w:kern w:val="2"/>
        </w:rPr>
        <w:t>指标，</w:t>
      </w:r>
      <w:r>
        <w:rPr>
          <w:kern w:val="2"/>
        </w:rPr>
        <w:t>以保证</w:t>
      </w:r>
      <w:r>
        <w:rPr>
          <w:rFonts w:hint="eastAsia"/>
          <w:kern w:val="2"/>
        </w:rPr>
        <w:t>部门</w:t>
      </w:r>
      <w:r>
        <w:rPr>
          <w:kern w:val="2"/>
        </w:rPr>
        <w:t>整体支出绩效目标的完整性、</w:t>
      </w:r>
      <w:r>
        <w:rPr>
          <w:rFonts w:hint="eastAsia"/>
          <w:kern w:val="2"/>
        </w:rPr>
        <w:t>科学性</w:t>
      </w:r>
      <w:r>
        <w:rPr>
          <w:kern w:val="2"/>
        </w:rPr>
        <w:t>和合理性。</w:t>
      </w:r>
    </w:p>
    <w:p>
      <w:pPr>
        <w:pStyle w:val="2"/>
      </w:pPr>
    </w:p>
    <w:p>
      <w:pPr>
        <w:pStyle w:val="25"/>
        <w:spacing w:line="560" w:lineRule="exact"/>
        <w:ind w:left="0" w:firstLine="640" w:firstLineChars="200"/>
        <w:rPr>
          <w:rFonts w:ascii="Times New Roman" w:hAnsi="Times New Roman" w:eastAsia="仿宋_GB2312"/>
          <w:smallCaps w:val="0"/>
          <w:sz w:val="32"/>
          <w:szCs w:val="32"/>
        </w:rPr>
      </w:pPr>
    </w:p>
    <w:p>
      <w:pPr>
        <w:pStyle w:val="25"/>
        <w:ind w:left="1920" w:leftChars="200" w:hanging="1280" w:hangingChars="400"/>
        <w:rPr>
          <w:rFonts w:ascii="Times New Roman" w:hAnsi="Times New Roman" w:eastAsia="仿宋_GB2312"/>
          <w:smallCaps w:val="0"/>
          <w:sz w:val="32"/>
          <w:szCs w:val="32"/>
        </w:rPr>
      </w:pPr>
      <w:r>
        <w:rPr>
          <w:rFonts w:hint="eastAsia" w:ascii="Times New Roman" w:hAnsi="Times New Roman" w:eastAsia="仿宋_GB2312"/>
          <w:smallCaps w:val="0"/>
          <w:sz w:val="32"/>
          <w:szCs w:val="32"/>
        </w:rPr>
        <w:t>附件：1.韶关市文化广电旅游体育局2022年度部门整体支出绩效评价指标评分表</w:t>
      </w:r>
    </w:p>
    <w:p>
      <w:pPr>
        <w:ind w:firstLine="1600" w:firstLineChars="500"/>
        <w:rPr>
          <w:rFonts w:cs="Times New Roman"/>
          <w:szCs w:val="32"/>
        </w:rPr>
        <w:sectPr>
          <w:footerReference r:id="rId18" w:type="default"/>
          <w:pgSz w:w="11907" w:h="16839"/>
          <w:pgMar w:top="1417" w:right="1191" w:bottom="1077" w:left="1417" w:header="550" w:footer="437" w:gutter="0"/>
          <w:pgNumType w:fmt="numberInDash" w:start="1"/>
          <w:cols w:space="0" w:num="1"/>
          <w:docGrid w:linePitch="360" w:charSpace="0"/>
        </w:sectPr>
      </w:pPr>
      <w:r>
        <w:rPr>
          <w:rFonts w:hint="eastAsia" w:cs="Times New Roman"/>
          <w:szCs w:val="32"/>
        </w:rPr>
        <w:t>2.评价小组成员名</w:t>
      </w:r>
    </w:p>
    <w:bookmarkEnd w:id="14"/>
    <w:bookmarkEnd w:id="79"/>
    <w:bookmarkEnd w:id="80"/>
    <w:bookmarkEnd w:id="81"/>
    <w:bookmarkEnd w:id="82"/>
    <w:bookmarkEnd w:id="83"/>
    <w:bookmarkEnd w:id="84"/>
    <w:p>
      <w:pPr>
        <w:pStyle w:val="5"/>
        <w:spacing w:before="0" w:beforeLines="0" w:after="0" w:afterLines="0"/>
        <w:ind w:firstLine="0" w:firstLineChars="0"/>
        <w:rPr>
          <w:rFonts w:ascii="CESI黑体-GB2312" w:hAnsi="CESI黑体-GB2312" w:eastAsia="CESI黑体-GB2312" w:cs="CESI黑体-GB2312"/>
          <w:b w:val="0"/>
          <w:bCs w:val="0"/>
          <w:kern w:val="2"/>
          <w:szCs w:val="20"/>
        </w:rPr>
      </w:pPr>
      <w:bookmarkStart w:id="102" w:name="_Toc1885"/>
      <w:bookmarkStart w:id="103" w:name="_Toc8049"/>
      <w:bookmarkStart w:id="104" w:name="_Toc11607"/>
      <w:bookmarkStart w:id="105" w:name="_Toc31569"/>
      <w:bookmarkStart w:id="106" w:name="_Toc4"/>
      <w:bookmarkStart w:id="107" w:name="_Hlk116997921"/>
      <w:r>
        <w:rPr>
          <w:rFonts w:hint="eastAsia" w:ascii="CESI黑体-GB2312" w:hAnsi="CESI黑体-GB2312" w:eastAsia="CESI黑体-GB2312" w:cs="CESI黑体-GB2312"/>
          <w:b w:val="0"/>
          <w:bCs w:val="0"/>
          <w:kern w:val="2"/>
          <w:szCs w:val="20"/>
        </w:rPr>
        <w:t>附件1</w:t>
      </w:r>
      <w:bookmarkEnd w:id="102"/>
      <w:bookmarkEnd w:id="103"/>
      <w:bookmarkEnd w:id="104"/>
      <w:bookmarkEnd w:id="105"/>
      <w:bookmarkEnd w:id="106"/>
      <w:r>
        <w:rPr>
          <w:rFonts w:hint="eastAsia" w:ascii="CESI黑体-GB2312" w:hAnsi="CESI黑体-GB2312" w:eastAsia="CESI黑体-GB2312" w:cs="CESI黑体-GB2312"/>
          <w:b w:val="0"/>
          <w:bCs w:val="0"/>
          <w:kern w:val="2"/>
          <w:szCs w:val="20"/>
        </w:rPr>
        <w:t>-1</w:t>
      </w:r>
    </w:p>
    <w:p>
      <w:pPr>
        <w:widowControl w:val="0"/>
        <w:spacing w:line="560" w:lineRule="exact"/>
        <w:ind w:firstLine="640"/>
        <w:jc w:val="center"/>
        <w:rPr>
          <w:rFonts w:ascii="CESI宋体-GB2312" w:hAnsi="CESI宋体-GB2312" w:eastAsia="CESI宋体-GB2312" w:cs="CESI宋体-GB2312"/>
          <w:b/>
          <w:bCs/>
          <w:kern w:val="2"/>
        </w:rPr>
      </w:pPr>
      <w:r>
        <w:rPr>
          <w:rFonts w:hint="eastAsia" w:ascii="CESI宋体-GB2312" w:hAnsi="CESI宋体-GB2312" w:eastAsia="CESI宋体-GB2312" w:cs="CESI宋体-GB2312"/>
          <w:b/>
          <w:bCs/>
          <w:kern w:val="2"/>
        </w:rPr>
        <w:t>韶关市文化广电旅游体育局2022年度部门整体支出绩效评价指标评分表</w:t>
      </w:r>
      <w:bookmarkEnd w:id="107"/>
    </w:p>
    <w:tbl>
      <w:tblPr>
        <w:tblStyle w:val="30"/>
        <w:tblW w:w="15238" w:type="dxa"/>
        <w:jc w:val="center"/>
        <w:tblLayout w:type="autofit"/>
        <w:tblCellMar>
          <w:top w:w="0" w:type="dxa"/>
          <w:left w:w="108" w:type="dxa"/>
          <w:bottom w:w="0" w:type="dxa"/>
          <w:right w:w="108" w:type="dxa"/>
        </w:tblCellMar>
      </w:tblPr>
      <w:tblGrid>
        <w:gridCol w:w="778"/>
        <w:gridCol w:w="705"/>
        <w:gridCol w:w="1335"/>
        <w:gridCol w:w="762"/>
        <w:gridCol w:w="5100"/>
        <w:gridCol w:w="828"/>
        <w:gridCol w:w="5730"/>
      </w:tblGrid>
      <w:tr>
        <w:tblPrEx>
          <w:tblCellMar>
            <w:top w:w="0" w:type="dxa"/>
            <w:left w:w="108" w:type="dxa"/>
            <w:bottom w:w="0" w:type="dxa"/>
            <w:right w:w="108" w:type="dxa"/>
          </w:tblCellMar>
        </w:tblPrEx>
        <w:trPr>
          <w:trHeight w:val="249" w:hRule="atLeast"/>
          <w:tblHeader/>
          <w:jc w:val="center"/>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lang w:bidi="ar"/>
              </w:rPr>
              <w:t>一级指标</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lang w:bidi="ar"/>
              </w:rPr>
              <w:t>二级指标</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lang w:bidi="ar"/>
              </w:rPr>
              <w:t>三级指标</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lang w:bidi="ar"/>
              </w:rPr>
              <w:t>分值</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lang w:bidi="ar"/>
              </w:rPr>
              <w:t>评分标准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lang w:bidi="ar"/>
              </w:rPr>
              <w:t>分值</w:t>
            </w:r>
          </w:p>
        </w:tc>
        <w:tc>
          <w:tcPr>
            <w:tcW w:w="57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lang w:bidi="ar"/>
              </w:rPr>
              <w:t>评分依据</w:t>
            </w:r>
          </w:p>
        </w:tc>
      </w:tr>
      <w:tr>
        <w:tblPrEx>
          <w:tblCellMar>
            <w:top w:w="0" w:type="dxa"/>
            <w:left w:w="108" w:type="dxa"/>
            <w:bottom w:w="0" w:type="dxa"/>
            <w:right w:w="108" w:type="dxa"/>
          </w:tblCellMar>
        </w:tblPrEx>
        <w:trPr>
          <w:trHeight w:val="249" w:hRule="atLeast"/>
          <w:jc w:val="center"/>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履职效能</w:t>
            </w:r>
          </w:p>
        </w:tc>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整体效能</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部门整体绩效目标产出指标完成情况</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10</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根据部门职能、整体绩效目标申报表、《2021年工作总结及2022年工作打算的报告》、《市委常委会 2022 年工作要点》、《十四五规划》等设置产出指标，共20个，每个指标0.5分，根据材料核查情况每完成一个任务得0.5分，未完成年初目标值不得分，非量化产出指标的得分需提供详细的书面评分依据。</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该指标得分为20个指标得分汇总。</w:t>
            </w:r>
            <w:r>
              <w:rPr>
                <w:rFonts w:hint="eastAsia" w:ascii="宋体" w:hAnsi="宋体" w:eastAsia="宋体" w:cs="宋体"/>
                <w:color w:val="000000"/>
                <w:sz w:val="21"/>
                <w:szCs w:val="21"/>
                <w:lang w:bidi="ar"/>
              </w:rPr>
              <w:br w:type="textWrapping"/>
            </w:r>
            <w:r>
              <w:rPr>
                <w:rFonts w:hint="eastAsia" w:ascii="宋体" w:hAnsi="宋体" w:eastAsia="宋体" w:cs="宋体"/>
                <w:b/>
                <w:bCs/>
                <w:color w:val="000000"/>
                <w:sz w:val="21"/>
                <w:szCs w:val="21"/>
                <w:lang w:bidi="ar"/>
              </w:rPr>
              <w:t>部门整体绩效目标产出指标完成情况具体考核指标表见附件1-2。</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rPr>
              <w:t>9.5</w:t>
            </w:r>
          </w:p>
        </w:tc>
        <w:tc>
          <w:tcPr>
            <w:tcW w:w="57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根据部门职能、整体绩效目标申报表、2022年工作计划、“十四五规划”等设置文化、旅游、体育等重点工作任务，共设置产出指标20个，具体指标见附件1-2。经核查已完成指标共1</w:t>
            </w:r>
            <w:r>
              <w:rPr>
                <w:rFonts w:ascii="宋体" w:hAnsi="宋体" w:eastAsia="宋体" w:cs="宋体"/>
                <w:color w:val="000000"/>
                <w:sz w:val="21"/>
                <w:szCs w:val="21"/>
                <w:lang w:bidi="ar"/>
              </w:rPr>
              <w:t>9</w:t>
            </w:r>
            <w:r>
              <w:rPr>
                <w:rFonts w:hint="eastAsia" w:ascii="宋体" w:hAnsi="宋体" w:eastAsia="宋体" w:cs="宋体"/>
                <w:color w:val="000000"/>
                <w:sz w:val="21"/>
                <w:szCs w:val="21"/>
                <w:lang w:bidi="ar"/>
              </w:rPr>
              <w:t>个，未完成指标</w:t>
            </w:r>
            <w:r>
              <w:rPr>
                <w:rFonts w:ascii="宋体" w:hAnsi="宋体" w:eastAsia="宋体" w:cs="宋体"/>
                <w:color w:val="000000"/>
                <w:sz w:val="21"/>
                <w:szCs w:val="21"/>
                <w:lang w:bidi="ar"/>
              </w:rPr>
              <w:t>1</w:t>
            </w:r>
            <w:r>
              <w:rPr>
                <w:rFonts w:hint="eastAsia" w:ascii="宋体" w:hAnsi="宋体" w:eastAsia="宋体" w:cs="宋体"/>
                <w:color w:val="000000"/>
                <w:sz w:val="21"/>
                <w:szCs w:val="21"/>
                <w:lang w:bidi="ar"/>
              </w:rPr>
              <w:t>个。未完成的指标为“体育馆工程验收通过率”，共扣</w:t>
            </w:r>
            <w:r>
              <w:rPr>
                <w:rFonts w:ascii="宋体" w:hAnsi="宋体" w:eastAsia="宋体" w:cs="宋体"/>
                <w:color w:val="000000"/>
                <w:sz w:val="21"/>
                <w:szCs w:val="21"/>
                <w:lang w:bidi="ar"/>
              </w:rPr>
              <w:t>0.5</w:t>
            </w:r>
            <w:r>
              <w:rPr>
                <w:rFonts w:hint="eastAsia" w:ascii="宋体" w:hAnsi="宋体" w:eastAsia="宋体" w:cs="宋体"/>
                <w:color w:val="000000"/>
                <w:sz w:val="21"/>
                <w:szCs w:val="21"/>
                <w:lang w:bidi="ar"/>
              </w:rPr>
              <w:t>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因此该指标得</w:t>
            </w:r>
            <w:r>
              <w:rPr>
                <w:rFonts w:ascii="宋体" w:hAnsi="宋体" w:eastAsia="宋体" w:cs="宋体"/>
                <w:color w:val="000000"/>
                <w:sz w:val="21"/>
                <w:szCs w:val="21"/>
                <w:lang w:bidi="ar"/>
              </w:rPr>
              <w:t>9.5</w:t>
            </w:r>
            <w:r>
              <w:rPr>
                <w:rFonts w:hint="eastAsia" w:ascii="宋体" w:hAnsi="宋体" w:eastAsia="宋体" w:cs="宋体"/>
                <w:color w:val="000000"/>
                <w:sz w:val="21"/>
                <w:szCs w:val="21"/>
                <w:lang w:bidi="ar"/>
              </w:rPr>
              <w:t>分，具体见附件1-2的各指标计划及完成情况。</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因此，该指标得分=</w:t>
            </w:r>
            <w:r>
              <w:rPr>
                <w:rFonts w:ascii="宋体" w:hAnsi="宋体" w:eastAsia="宋体" w:cs="宋体"/>
                <w:color w:val="000000"/>
                <w:sz w:val="21"/>
                <w:szCs w:val="21"/>
                <w:lang w:bidi="ar"/>
              </w:rPr>
              <w:t>10</w:t>
            </w:r>
            <w:r>
              <w:rPr>
                <w:rFonts w:hint="eastAsia" w:ascii="宋体" w:hAnsi="宋体" w:eastAsia="宋体" w:cs="宋体"/>
                <w:color w:val="000000"/>
                <w:sz w:val="21"/>
                <w:szCs w:val="21"/>
                <w:lang w:bidi="ar"/>
              </w:rPr>
              <w:t>*</w:t>
            </w:r>
            <w:r>
              <w:rPr>
                <w:rFonts w:ascii="宋体" w:hAnsi="宋体" w:eastAsia="宋体" w:cs="宋体"/>
                <w:color w:val="000000"/>
                <w:sz w:val="21"/>
                <w:szCs w:val="21"/>
                <w:lang w:bidi="ar"/>
              </w:rPr>
              <w:t>19/20</w:t>
            </w:r>
            <w:r>
              <w:rPr>
                <w:rFonts w:hint="eastAsia" w:ascii="宋体" w:hAnsi="宋体" w:eastAsia="宋体" w:cs="宋体"/>
                <w:color w:val="000000"/>
                <w:sz w:val="21"/>
                <w:szCs w:val="21"/>
                <w:lang w:bidi="ar"/>
              </w:rPr>
              <w:t>=</w:t>
            </w:r>
            <w:r>
              <w:rPr>
                <w:rFonts w:ascii="宋体" w:hAnsi="宋体" w:eastAsia="宋体" w:cs="宋体"/>
                <w:color w:val="000000"/>
                <w:sz w:val="21"/>
                <w:szCs w:val="21"/>
                <w:lang w:bidi="ar"/>
              </w:rPr>
              <w:t>9.5</w:t>
            </w:r>
            <w:r>
              <w:rPr>
                <w:rFonts w:hint="eastAsia" w:ascii="宋体" w:hAnsi="宋体" w:eastAsia="宋体" w:cs="宋体"/>
                <w:color w:val="000000"/>
                <w:sz w:val="21"/>
                <w:szCs w:val="21"/>
                <w:lang w:bidi="ar"/>
              </w:rPr>
              <w:t>分。</w:t>
            </w:r>
          </w:p>
        </w:tc>
      </w:tr>
      <w:tr>
        <w:tblPrEx>
          <w:tblCellMar>
            <w:top w:w="0" w:type="dxa"/>
            <w:left w:w="108" w:type="dxa"/>
            <w:bottom w:w="0" w:type="dxa"/>
            <w:right w:w="108" w:type="dxa"/>
          </w:tblCellMar>
        </w:tblPrEx>
        <w:trPr>
          <w:trHeight w:val="249"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部门整体绩效目标效益指标完成情况</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10</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根据部门职能、整体绩效目标申报表、《2021年工作总结及2022年工作打算的报告》、《市委常委会 2022 年工作要点》、《十四五规划》等设置效益指标，共10个，每个指标1分，根据材料核查情况每完成一个任务得1分，未完成年初目标值不得分，非量化产出指标的得分需提供详细的书面评分依据。</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该指标得分为10个指标得分汇总。</w:t>
            </w:r>
            <w:r>
              <w:rPr>
                <w:rFonts w:hint="eastAsia" w:ascii="宋体" w:hAnsi="宋体" w:eastAsia="宋体" w:cs="宋体"/>
                <w:color w:val="000000"/>
                <w:sz w:val="21"/>
                <w:szCs w:val="21"/>
                <w:lang w:bidi="ar"/>
              </w:rPr>
              <w:br w:type="textWrapping"/>
            </w:r>
            <w:r>
              <w:rPr>
                <w:rFonts w:hint="eastAsia" w:ascii="宋体" w:hAnsi="宋体" w:eastAsia="宋体" w:cs="宋体"/>
                <w:b/>
                <w:bCs/>
                <w:color w:val="000000"/>
                <w:sz w:val="21"/>
                <w:szCs w:val="21"/>
                <w:lang w:bidi="ar"/>
              </w:rPr>
              <w:t>部门整体绩效目标效益指标完成情况具体考核指标表见附件1-3。</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lang w:bidi="ar"/>
              </w:rPr>
              <w:t>8</w:t>
            </w:r>
          </w:p>
        </w:tc>
        <w:tc>
          <w:tcPr>
            <w:tcW w:w="57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根据部门职能、整体绩效目标申报表、2022年工作计划、“十四五规划”等设置文化、旅游、体育等重点工作任务，共设置效益指标10个，具体指标见附件1-3。其中已完成指标</w:t>
            </w:r>
            <w:r>
              <w:rPr>
                <w:rFonts w:ascii="宋体" w:hAnsi="宋体" w:eastAsia="宋体" w:cs="宋体"/>
                <w:color w:val="000000"/>
                <w:sz w:val="21"/>
                <w:szCs w:val="21"/>
                <w:lang w:bidi="ar"/>
              </w:rPr>
              <w:t>8</w:t>
            </w:r>
            <w:r>
              <w:rPr>
                <w:rFonts w:hint="eastAsia" w:ascii="宋体" w:hAnsi="宋体" w:eastAsia="宋体" w:cs="宋体"/>
                <w:color w:val="000000"/>
                <w:sz w:val="21"/>
                <w:szCs w:val="21"/>
                <w:lang w:bidi="ar"/>
              </w:rPr>
              <w:t>个，</w:t>
            </w:r>
            <w:r>
              <w:rPr>
                <w:rFonts w:ascii="宋体" w:hAnsi="宋体" w:eastAsia="宋体" w:cs="宋体"/>
                <w:color w:val="000000"/>
                <w:sz w:val="21"/>
                <w:szCs w:val="21"/>
                <w:lang w:bidi="ar"/>
              </w:rPr>
              <w:t>2</w:t>
            </w:r>
            <w:r>
              <w:rPr>
                <w:rFonts w:hint="eastAsia" w:ascii="宋体" w:hAnsi="宋体" w:eastAsia="宋体" w:cs="宋体"/>
                <w:color w:val="000000"/>
                <w:sz w:val="21"/>
                <w:szCs w:val="21"/>
                <w:lang w:bidi="ar"/>
              </w:rPr>
              <w:t>个效益指标未完成，分别是：全年旅游收入增长情况、全年限额以上住宿企业营业额增长情况。</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因此，该指标得分=1*</w:t>
            </w:r>
            <w:r>
              <w:rPr>
                <w:rFonts w:ascii="宋体" w:hAnsi="宋体" w:eastAsia="宋体" w:cs="宋体"/>
                <w:color w:val="000000"/>
                <w:sz w:val="21"/>
                <w:szCs w:val="21"/>
                <w:lang w:bidi="ar"/>
              </w:rPr>
              <w:t>8</w:t>
            </w:r>
            <w:r>
              <w:rPr>
                <w:rFonts w:hint="eastAsia" w:ascii="宋体" w:hAnsi="宋体" w:eastAsia="宋体" w:cs="宋体"/>
                <w:color w:val="000000"/>
                <w:sz w:val="21"/>
                <w:szCs w:val="21"/>
                <w:lang w:bidi="ar"/>
              </w:rPr>
              <w:t>=</w:t>
            </w:r>
            <w:r>
              <w:rPr>
                <w:rFonts w:ascii="宋体" w:hAnsi="宋体" w:eastAsia="宋体" w:cs="宋体"/>
                <w:color w:val="000000"/>
                <w:sz w:val="21"/>
                <w:szCs w:val="21"/>
                <w:lang w:bidi="ar"/>
              </w:rPr>
              <w:t>8</w:t>
            </w:r>
            <w:r>
              <w:rPr>
                <w:rFonts w:hint="eastAsia" w:ascii="宋体" w:hAnsi="宋体" w:eastAsia="宋体" w:cs="宋体"/>
                <w:color w:val="000000"/>
                <w:sz w:val="21"/>
                <w:szCs w:val="21"/>
                <w:lang w:bidi="ar"/>
              </w:rPr>
              <w:t>分。</w:t>
            </w:r>
          </w:p>
        </w:tc>
      </w:tr>
      <w:tr>
        <w:tblPrEx>
          <w:tblCellMar>
            <w:top w:w="0" w:type="dxa"/>
            <w:left w:w="108" w:type="dxa"/>
            <w:bottom w:w="0" w:type="dxa"/>
            <w:right w:w="108" w:type="dxa"/>
          </w:tblCellMar>
        </w:tblPrEx>
        <w:trPr>
          <w:trHeight w:val="249"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专项效能</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中省资金绩效完成</w:t>
            </w:r>
            <w:r>
              <w:rPr>
                <w:rFonts w:hint="eastAsia" w:ascii="宋体" w:hAnsi="宋体" w:eastAsia="宋体" w:cs="宋体"/>
                <w:color w:val="000000"/>
                <w:sz w:val="21"/>
                <w:szCs w:val="21"/>
              </w:rPr>
              <w:t>情况</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20</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根据中央和省市相关专项资金管理办法及下达任务数、部门重点工作任务等设置中省资金绩效完成情况，共20个，每个指标1分，根据材料核查情况每完成一个任务得1分，未完成任务不得分，非量化产出指标的得分需提供详细的书面评分依据。</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该指标得分为20个指标得分汇总。</w:t>
            </w:r>
            <w:r>
              <w:rPr>
                <w:rFonts w:hint="eastAsia" w:ascii="宋体" w:hAnsi="宋体" w:eastAsia="宋体" w:cs="宋体"/>
                <w:color w:val="000000"/>
                <w:sz w:val="21"/>
                <w:szCs w:val="21"/>
                <w:lang w:bidi="ar"/>
              </w:rPr>
              <w:br w:type="textWrapping"/>
            </w:r>
            <w:r>
              <w:rPr>
                <w:rFonts w:hint="eastAsia" w:ascii="宋体" w:hAnsi="宋体" w:eastAsia="宋体" w:cs="宋体"/>
                <w:b/>
                <w:bCs/>
                <w:color w:val="000000"/>
                <w:sz w:val="21"/>
                <w:szCs w:val="21"/>
                <w:lang w:bidi="ar"/>
              </w:rPr>
              <w:t>中省资金绩效完成情况具体考核指标表见附件1-4。</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r>
              <w:rPr>
                <w:rFonts w:ascii="宋体" w:hAnsi="宋体" w:eastAsia="宋体" w:cs="宋体"/>
                <w:color w:val="000000"/>
                <w:sz w:val="21"/>
                <w:szCs w:val="21"/>
                <w:lang w:bidi="ar"/>
              </w:rPr>
              <w:t>6</w:t>
            </w:r>
          </w:p>
        </w:tc>
        <w:tc>
          <w:tcPr>
            <w:tcW w:w="57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根据中央和省市相关专项资金管理办法及下达任务数结合部门重点工作任务等内容，设置中省资金绩效完成情况指标共20个[ 具体指标见附件1-4。]。其中已完成指标1</w:t>
            </w:r>
            <w:r>
              <w:rPr>
                <w:rFonts w:ascii="宋体" w:hAnsi="宋体" w:eastAsia="宋体" w:cs="宋体"/>
                <w:color w:val="000000"/>
                <w:sz w:val="21"/>
                <w:szCs w:val="21"/>
                <w:lang w:bidi="ar"/>
              </w:rPr>
              <w:t>6</w:t>
            </w:r>
            <w:r>
              <w:rPr>
                <w:rFonts w:hint="eastAsia" w:ascii="宋体" w:hAnsi="宋体" w:eastAsia="宋体" w:cs="宋体"/>
                <w:color w:val="000000"/>
                <w:sz w:val="21"/>
                <w:szCs w:val="21"/>
                <w:lang w:bidi="ar"/>
              </w:rPr>
              <w:t>个，</w:t>
            </w:r>
            <w:r>
              <w:rPr>
                <w:rFonts w:ascii="宋体" w:hAnsi="宋体" w:eastAsia="宋体" w:cs="宋体"/>
                <w:color w:val="000000"/>
                <w:sz w:val="21"/>
                <w:szCs w:val="21"/>
                <w:lang w:bidi="ar"/>
              </w:rPr>
              <w:t>4</w:t>
            </w:r>
            <w:r>
              <w:rPr>
                <w:rFonts w:hint="eastAsia" w:ascii="宋体" w:hAnsi="宋体" w:eastAsia="宋体" w:cs="宋体"/>
                <w:color w:val="000000"/>
                <w:sz w:val="21"/>
                <w:szCs w:val="21"/>
                <w:lang w:bidi="ar"/>
              </w:rPr>
              <w:t>个指标未完成，未完成指标情况是：“全民健身赛事活动按时完成率”“完成岭南书院建设”“组织开展群文活动次数”未完成预期目标。“每个行政村戏曲进乡村活动数量”指标未能提供佐证材料证明其已全部完成。因此，该指标扣</w:t>
            </w:r>
            <w:r>
              <w:rPr>
                <w:rFonts w:ascii="宋体" w:hAnsi="宋体" w:eastAsia="宋体" w:cs="宋体"/>
                <w:color w:val="000000"/>
                <w:sz w:val="21"/>
                <w:szCs w:val="21"/>
                <w:lang w:bidi="ar"/>
              </w:rPr>
              <w:t>4</w:t>
            </w:r>
            <w:r>
              <w:rPr>
                <w:rFonts w:hint="eastAsia" w:ascii="宋体" w:hAnsi="宋体" w:eastAsia="宋体" w:cs="宋体"/>
                <w:color w:val="000000"/>
                <w:sz w:val="21"/>
                <w:szCs w:val="21"/>
                <w:lang w:bidi="ar"/>
              </w:rPr>
              <w:t>分，得1</w:t>
            </w:r>
            <w:r>
              <w:rPr>
                <w:rFonts w:ascii="宋体" w:hAnsi="宋体" w:eastAsia="宋体" w:cs="宋体"/>
                <w:color w:val="000000"/>
                <w:sz w:val="21"/>
                <w:szCs w:val="21"/>
                <w:lang w:bidi="ar"/>
              </w:rPr>
              <w:t>6</w:t>
            </w:r>
            <w:r>
              <w:rPr>
                <w:rFonts w:hint="eastAsia" w:ascii="宋体" w:hAnsi="宋体" w:eastAsia="宋体" w:cs="宋体"/>
                <w:color w:val="000000"/>
                <w:sz w:val="21"/>
                <w:szCs w:val="21"/>
                <w:lang w:bidi="ar"/>
              </w:rPr>
              <w:t>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具体见附件1-4各指标计划及完成情况。</w:t>
            </w:r>
          </w:p>
        </w:tc>
      </w:tr>
      <w:tr>
        <w:tblPrEx>
          <w:tblCellMar>
            <w:top w:w="0" w:type="dxa"/>
            <w:left w:w="108" w:type="dxa"/>
            <w:bottom w:w="0" w:type="dxa"/>
            <w:right w:w="108" w:type="dxa"/>
          </w:tblCellMar>
        </w:tblPrEx>
        <w:trPr>
          <w:trHeight w:val="249"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中省资金支出率</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5</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 首先计算各专项资金（政策任务）支出进度=（各专项资金预算支出数÷专项资金下达（安排）数）×100%。</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2.再计算部门主管专项资金综合支出进度=按照部门当年度各专项资金额度占部门所有专项资金额度的比重，对各专项资金支出进度进行加权平均。</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3.本指标综合得分=部门主管专项资金综合支出进度×本指标分值。</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lang w:bidi="ar"/>
              </w:rPr>
              <w:t>3.85</w:t>
            </w:r>
          </w:p>
        </w:tc>
        <w:tc>
          <w:tcPr>
            <w:tcW w:w="57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根据《2022年度市文广旅体局中省资金情况统计表》，专项资金下达数为51623185.98元，专项资金预算支出数27748577.56元，支出进度为53.75%。</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本指标综合得分=部门主管专项资金综合支出进度×本指标分值=53.75%*5=2.69分。考虑到该部分资金已申请支付，因此酌情按5</w:t>
            </w:r>
            <w:r>
              <w:rPr>
                <w:rFonts w:ascii="宋体" w:hAnsi="宋体" w:eastAsia="宋体" w:cs="宋体"/>
                <w:color w:val="000000"/>
                <w:sz w:val="21"/>
                <w:szCs w:val="21"/>
                <w:lang w:bidi="ar"/>
              </w:rPr>
              <w:t>0</w:t>
            </w:r>
            <w:r>
              <w:rPr>
                <w:rFonts w:hint="eastAsia" w:ascii="宋体" w:hAnsi="宋体" w:eastAsia="宋体" w:cs="宋体"/>
                <w:color w:val="000000"/>
                <w:sz w:val="21"/>
                <w:szCs w:val="21"/>
                <w:lang w:bidi="ar"/>
              </w:rPr>
              <w:t>%扣分，即该项指标得分为5-（2</w:t>
            </w:r>
            <w:r>
              <w:rPr>
                <w:rFonts w:ascii="宋体" w:hAnsi="宋体" w:eastAsia="宋体" w:cs="宋体"/>
                <w:color w:val="000000"/>
                <w:sz w:val="21"/>
                <w:szCs w:val="21"/>
                <w:lang w:bidi="ar"/>
              </w:rPr>
              <w:t>.31</w:t>
            </w:r>
            <w:r>
              <w:rPr>
                <w:rFonts w:hint="eastAsia" w:ascii="宋体" w:hAnsi="宋体" w:eastAsia="宋体" w:cs="宋体"/>
                <w:color w:val="000000"/>
                <w:sz w:val="21"/>
                <w:szCs w:val="21"/>
                <w:lang w:bidi="ar"/>
              </w:rPr>
              <w:t>）5</w:t>
            </w:r>
            <w:r>
              <w:rPr>
                <w:rFonts w:ascii="宋体" w:hAnsi="宋体" w:eastAsia="宋体" w:cs="宋体"/>
                <w:color w:val="000000"/>
                <w:sz w:val="21"/>
                <w:szCs w:val="21"/>
                <w:lang w:bidi="ar"/>
              </w:rPr>
              <w:t>0</w:t>
            </w:r>
            <w:r>
              <w:rPr>
                <w:rFonts w:hint="eastAsia" w:ascii="宋体" w:hAnsi="宋体" w:eastAsia="宋体" w:cs="宋体"/>
                <w:color w:val="000000"/>
                <w:sz w:val="21"/>
                <w:szCs w:val="21"/>
                <w:lang w:bidi="ar"/>
              </w:rPr>
              <w:t>%=</w:t>
            </w:r>
            <w:r>
              <w:rPr>
                <w:rFonts w:ascii="宋体" w:hAnsi="宋体" w:eastAsia="宋体" w:cs="宋体"/>
                <w:color w:val="000000"/>
                <w:sz w:val="21"/>
                <w:szCs w:val="21"/>
                <w:lang w:bidi="ar"/>
              </w:rPr>
              <w:t>3.845</w:t>
            </w:r>
            <w:r>
              <w:rPr>
                <w:rFonts w:hint="eastAsia" w:ascii="宋体" w:hAnsi="宋体" w:eastAsia="宋体" w:cs="宋体"/>
                <w:color w:val="000000"/>
                <w:sz w:val="21"/>
                <w:szCs w:val="21"/>
                <w:lang w:bidi="ar"/>
              </w:rPr>
              <w:t>分。</w:t>
            </w:r>
          </w:p>
        </w:tc>
      </w:tr>
      <w:tr>
        <w:tblPrEx>
          <w:tblCellMar>
            <w:top w:w="0" w:type="dxa"/>
            <w:left w:w="108" w:type="dxa"/>
            <w:bottom w:w="0" w:type="dxa"/>
            <w:right w:w="108" w:type="dxa"/>
          </w:tblCellMar>
        </w:tblPrEx>
        <w:trPr>
          <w:trHeight w:val="249" w:hRule="atLeast"/>
          <w:jc w:val="center"/>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管理效率</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预算编制</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预算项目事前绩效</w:t>
            </w:r>
            <w:r>
              <w:rPr>
                <w:rFonts w:hint="eastAsia" w:ascii="宋体" w:hAnsi="宋体" w:eastAsia="宋体" w:cs="宋体"/>
                <w:color w:val="000000"/>
                <w:sz w:val="21"/>
                <w:szCs w:val="21"/>
              </w:rPr>
              <w:t>评估</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5</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预算入库项目，指新增预算申请的事业发展性支出一级项目、部门预算500万元以上二级项目。</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检查部门申请新增预算的项目是否按要求的范围开展绩效评估，是否按《指南》的程序和内容开展工作，评分采用扣分法。</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1.应评估项目超过3个的，有1项没有开展评估，扣0.3分，扣完为止。</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2.应评估项目3个以内的，有1项没有开展评估，扣0.5分，扣完为止。</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4.7</w:t>
            </w:r>
          </w:p>
        </w:tc>
        <w:tc>
          <w:tcPr>
            <w:tcW w:w="57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单位提供了2022年项目事前绩效预算评估报告，对项目立项的必要性、合理性、申报金额的测算进行论证评审,主要项目包括韶州体育中心事前绩效评估报告、文广旅体发展专项资金项目评估报告等。</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据核查了解，部门2022年应评估项目包括韶州历史文化博物馆基础性装修经费850万元，但未见事前评估报告，扣0.3分，该指标得4.7分。</w:t>
            </w:r>
          </w:p>
        </w:tc>
      </w:tr>
      <w:tr>
        <w:tblPrEx>
          <w:tblCellMar>
            <w:top w:w="0" w:type="dxa"/>
            <w:left w:w="108" w:type="dxa"/>
            <w:bottom w:w="0" w:type="dxa"/>
            <w:right w:w="108" w:type="dxa"/>
          </w:tblCellMar>
        </w:tblPrEx>
        <w:trPr>
          <w:trHeight w:val="249"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预算执行</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预算编制约束性</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6</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1.本指标综合得分=（1-预算调剂发生率）×分值×60%+（1-年中追加资金占比率）×分值×40%。</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2.预算调剂发生率，考核预算执行过程中,非因中央和省、市政策调整或发生自然灾害等不可抗力因素,部门要求调剂预算资金情况,包括预算科目、级次、项目调剂。</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3.年中追加资金占比率，考核非因新出台的统一政策（如年中增人增编经费、中央追加资金、非本部门主管的专项资金），当年度年中追加资金占比情况。</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4.各基础数据与机关绩效考核口径一致。</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5.93</w:t>
            </w:r>
          </w:p>
        </w:tc>
        <w:tc>
          <w:tcPr>
            <w:tcW w:w="57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本指标综合得分=（1-预算调剂发生率）×分值×60%+（1-年中追加资金占比率）×分值×40%=（1-380.3497/21034.15）*60%*6+(1-0)*40%*6=5.93分。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备注：剔除不列入本级预算数情况、年中增人增编经费、中央和省追加资金、非本部门主管的专项资金，部门2022年度涉及资金调剂共380.3497万元。</w:t>
            </w:r>
          </w:p>
        </w:tc>
      </w:tr>
      <w:tr>
        <w:tblPrEx>
          <w:tblCellMar>
            <w:top w:w="0" w:type="dxa"/>
            <w:left w:w="108" w:type="dxa"/>
            <w:bottom w:w="0" w:type="dxa"/>
            <w:right w:w="108" w:type="dxa"/>
          </w:tblCellMar>
        </w:tblPrEx>
        <w:trPr>
          <w:trHeight w:val="249"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财务管理</w:t>
            </w:r>
            <w:r>
              <w:rPr>
                <w:rFonts w:hint="eastAsia" w:ascii="宋体" w:hAnsi="宋体" w:eastAsia="宋体" w:cs="宋体"/>
                <w:color w:val="000000"/>
                <w:sz w:val="21"/>
                <w:szCs w:val="21"/>
                <w:lang w:bidi="ar"/>
              </w:rPr>
              <w:t>合规性</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9</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支出范围、程序、用途、核算应符合国家财经法规和财务管理制度及有关专项资金管理办法的规定，采取扣分法评分：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1.明确指出问题和处理意见的（具体根据审计（以部门预算审计和专项审计为主）和财会监督意见），并限期整改的，1项扣0.5分。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2.未明确处理意见,属于因主管部门制度设计缺陷或失职等造成资金套取、冒领、挪用的，1项扣0.5分。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3.连续两年对因业务主管部门责任引发的同一问题提出意见,或主管部门未落实相关审计和财会监督整改意见的,1项扣1分。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4.评价中发现的支出范围、程序、用途、核算不符合国家财经法规和财务管理制度及有关专项资金管理办法的规定的情况，发现一项扣0.5分。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根据上述扣分情况扣完为止，审计提出的下达期限、资产管理、采购等合规性在相应指标扣分，在此项指标不重复扣分。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lang w:bidi="ar"/>
              </w:rPr>
              <w:t>6.5</w:t>
            </w:r>
          </w:p>
        </w:tc>
        <w:tc>
          <w:tcPr>
            <w:tcW w:w="57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1.部门提供了《韶关市文化广电旅游体育局党组书记、局长黄宣剑同志任期履行经济责任情况审计报告》韶审投报〔2023〕1号，其中有关2022年度财务管理的问题有：</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（1）市文广旅体局内部控制管理不规范，财务机构同时兼任内审职责，不相容岗位未有效分离；</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（2）市文广旅体局未及时清理长期往来款项，涉及金额1028.6万元；</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（3）文广旅体局2021年、2022年党费收支计划未经党组会议审议。以上扣1.5分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2.资金支出申请与审批程序符合内部控制要求。</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3.《韶关市文化广电旅游体育局党组书记、局长黄宣剑同志任期履行经济责任情况审计报告》韶审投报〔2023〕1号和第三方出具的固定资产清查报告提出了部门固定资产管理存在不规范的问题，连续两年对因业务主管部门责任引发的同一问题提出意见，但截至现场核查日，部门主管部门未落实相关整改意见，扣1分。</w:t>
            </w:r>
          </w:p>
        </w:tc>
      </w:tr>
      <w:tr>
        <w:tblPrEx>
          <w:tblCellMar>
            <w:top w:w="0" w:type="dxa"/>
            <w:left w:w="108" w:type="dxa"/>
            <w:bottom w:w="0" w:type="dxa"/>
            <w:right w:w="108" w:type="dxa"/>
          </w:tblCellMar>
        </w:tblPrEx>
        <w:trPr>
          <w:trHeight w:val="249"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信息公开</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预决算公开合规性</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2</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预算、决算公开合规性各占50%,对未公开预算或决算的非涉密部门，得0分。已公开部门预决算的,分别从及时性（10%）、规范性（40%）2个方面考核：一是非涉密部门在财政部门批复本部门预决算后, 20日内向社会公开的得10%分值,未及时公开的得0分。二是根据公开规范性检查指标计算得分,即：公开工作合规指标数量÷检查指标数量×40%分值。</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2</w:t>
            </w:r>
          </w:p>
        </w:tc>
        <w:tc>
          <w:tcPr>
            <w:tcW w:w="57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1.根据韶财预〔2022〕4号文，预算批复时间为2022/1/28，部门及下属单位预算报告公开时间为2022/2/8-/2022/2/13，部门在批复预算20日内预算公开；</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2.2021年决算在部门官网公开，未发现规范性问题。</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综上，该指标不扣分，得2分。</w:t>
            </w:r>
          </w:p>
        </w:tc>
      </w:tr>
      <w:tr>
        <w:tblPrEx>
          <w:tblCellMar>
            <w:top w:w="0" w:type="dxa"/>
            <w:left w:w="108" w:type="dxa"/>
            <w:bottom w:w="0" w:type="dxa"/>
            <w:right w:w="108" w:type="dxa"/>
          </w:tblCellMar>
        </w:tblPrEx>
        <w:trPr>
          <w:trHeight w:val="249"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绩效信息公开情况</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指绩效目标、绩效自评资料按规定在单位网站公开情况。</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1.绩效目标在规定时间公开的，得满分，否则不得分；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2.绩效自评资料在规定时间公开的，得满分，否则不得分。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3.目标公开情况和自评资料公开情况得分各占50%，计算出本指标的综合得分。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lang w:bidi="ar"/>
              </w:rPr>
              <w:t>1</w:t>
            </w:r>
          </w:p>
        </w:tc>
        <w:tc>
          <w:tcPr>
            <w:tcW w:w="57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1.绩效目标已在规定时间内进行公开，得0.5分；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2.绩效自评资料已进行公开，得0.5分。</w:t>
            </w:r>
          </w:p>
        </w:tc>
      </w:tr>
      <w:tr>
        <w:tblPrEx>
          <w:tblCellMar>
            <w:top w:w="0" w:type="dxa"/>
            <w:left w:w="108" w:type="dxa"/>
            <w:bottom w:w="0" w:type="dxa"/>
            <w:right w:w="108" w:type="dxa"/>
          </w:tblCellMar>
        </w:tblPrEx>
        <w:trPr>
          <w:trHeight w:val="249"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绩效管理</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绩效管理制度建设</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2</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1.部门出台对本级使用资金管理制度明确绩效要求的，得满分，否则不得分。绩效要求应包含绩效目标管理、绩效运行监控、绩效评价管理和评价结果应用等方面。</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2.部门主管专项资金印发管理办法，并体现绩效管理要求的，得满分，否则不得分。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3.部门出台制度明确机关各科室、机关与下属单位的绩效职责分工要求的，得满分，否则不得分。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4.制度形式可以为专门规定，也可以是综合制度。内容有缺漏的，酌情扣分。以上三项得分分别占30%、30%和40%，计算出本指标的综合得分。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2</w:t>
            </w:r>
          </w:p>
        </w:tc>
        <w:tc>
          <w:tcPr>
            <w:tcW w:w="57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单位制定了制度汇编，包括了《预算绩效管理办法（试行）》，绩效要求包含了绩效目标管理、绩效运行监控、绩效评价管理和评价结果应用等方面；制度明确了各部门分工，基建科负责局机关及直属各单位预算绩效管理组织、指导，并协调、配合财政部门做好相关工作。局机关各业务科室及直属各单位是绩效管理的工作主体，负责局的预算绩效管理的具体实施。</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因此，该指标得2分。</w:t>
            </w:r>
          </w:p>
        </w:tc>
      </w:tr>
      <w:tr>
        <w:tblPrEx>
          <w:tblCellMar>
            <w:top w:w="0" w:type="dxa"/>
            <w:left w:w="108" w:type="dxa"/>
            <w:bottom w:w="0" w:type="dxa"/>
            <w:right w:w="108" w:type="dxa"/>
          </w:tblCellMar>
        </w:tblPrEx>
        <w:trPr>
          <w:trHeight w:val="249"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绩效管理制度执行</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3</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1.根据评价部门整体预算绩效目标和项目绩效目标编报质量评分。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2.根据部门自评复核等级情况评分。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3.以上两项内容评分各占50%。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2</w:t>
            </w:r>
          </w:p>
        </w:tc>
        <w:tc>
          <w:tcPr>
            <w:tcW w:w="57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1.根据评价部门整体预算绩效目标和项目绩效目标编报情况，发现以下问题：</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1）部门整体预算绩效目标设置未能体现年度重点工作任务，不易分解成具体指标。整体绩效目标中的产出指标均为体现“韶州体育馆建设”的数量指标和质量指标，未有反映其他工作任务和项目的指标，指标设置不够全面完整。</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（2）部门整体绩效目标中未设置满意度指标。以上扣0.5分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2.部门自评复核等级一般，自评报告中绩效目标及完成情况对应不够清晰，问题和建议不够具体，扣0.5分。</w:t>
            </w:r>
          </w:p>
        </w:tc>
      </w:tr>
      <w:tr>
        <w:tblPrEx>
          <w:tblCellMar>
            <w:top w:w="0" w:type="dxa"/>
            <w:left w:w="108" w:type="dxa"/>
            <w:bottom w:w="0" w:type="dxa"/>
            <w:right w:w="108" w:type="dxa"/>
          </w:tblCellMar>
        </w:tblPrEx>
        <w:trPr>
          <w:trHeight w:val="312"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采购管理</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采购意向公开合规性</w:t>
            </w:r>
          </w:p>
        </w:tc>
        <w:tc>
          <w:tcPr>
            <w:tcW w:w="7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2</w:t>
            </w:r>
          </w:p>
        </w:tc>
        <w:tc>
          <w:tcPr>
            <w:tcW w:w="51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采购意向100%公开的得满分，否则不得分。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采购意向公开时限，原则不得晚于采购活动开始前30日。纳入部门预算支出范围的采购项目，预算单位应当在部门预算批复后40日内，在政府采购系统填报采购意向要素，各主管预算部门通过政府采购系统汇总本部门、本系统所有预算单位的采购意向（涉密信息除外）后，在部门预算批复后60日内予以公开。符合规定的，得满分，否则不得分。</w:t>
            </w:r>
          </w:p>
        </w:tc>
        <w:tc>
          <w:tcPr>
            <w:tcW w:w="8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2</w:t>
            </w:r>
          </w:p>
        </w:tc>
        <w:tc>
          <w:tcPr>
            <w:tcW w:w="57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部门采购意向均在政府采购网站公开。</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现场座谈了解到采购意向公开及时，未发现未按照要求进行公开的情况。</w:t>
            </w:r>
          </w:p>
        </w:tc>
      </w:tr>
      <w:tr>
        <w:tblPrEx>
          <w:tblCellMar>
            <w:top w:w="0" w:type="dxa"/>
            <w:left w:w="108" w:type="dxa"/>
            <w:bottom w:w="0" w:type="dxa"/>
            <w:right w:w="108" w:type="dxa"/>
          </w:tblCellMar>
        </w:tblPrEx>
        <w:trPr>
          <w:trHeight w:val="312"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5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ascii="宋体" w:hAnsi="宋体" w:eastAsia="宋体" w:cs="宋体"/>
                <w:color w:val="000000"/>
                <w:sz w:val="21"/>
                <w:szCs w:val="21"/>
              </w:rPr>
            </w:pPr>
          </w:p>
        </w:tc>
        <w:tc>
          <w:tcPr>
            <w:tcW w:w="8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57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ascii="宋体" w:hAnsi="宋体" w:eastAsia="宋体" w:cs="宋体"/>
                <w:color w:val="000000"/>
                <w:sz w:val="21"/>
                <w:szCs w:val="21"/>
              </w:rPr>
            </w:pPr>
          </w:p>
        </w:tc>
      </w:tr>
      <w:tr>
        <w:tblPrEx>
          <w:tblCellMar>
            <w:top w:w="0" w:type="dxa"/>
            <w:left w:w="108" w:type="dxa"/>
            <w:bottom w:w="0" w:type="dxa"/>
            <w:right w:w="108" w:type="dxa"/>
          </w:tblCellMar>
        </w:tblPrEx>
        <w:trPr>
          <w:trHeight w:val="249"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采购内控制度建设</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部门建立政府采购内部控制管理制度并报财政部门备案的，得1分，否则不得分。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lang w:bidi="ar"/>
              </w:rPr>
              <w:t>1</w:t>
            </w:r>
          </w:p>
        </w:tc>
        <w:tc>
          <w:tcPr>
            <w:tcW w:w="57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部门建立政府采购内部控制管理制度并报财政部门备案，得1分。</w:t>
            </w:r>
          </w:p>
        </w:tc>
      </w:tr>
      <w:tr>
        <w:tblPrEx>
          <w:tblCellMar>
            <w:top w:w="0" w:type="dxa"/>
            <w:left w:w="108" w:type="dxa"/>
            <w:bottom w:w="0" w:type="dxa"/>
            <w:right w:w="108" w:type="dxa"/>
          </w:tblCellMar>
        </w:tblPrEx>
        <w:trPr>
          <w:trHeight w:val="249"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采购活动合规性</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2</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采购投诉处理，经财政部门查证认定投诉事项成立的，发现1例扣1分，扣完为止。</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2</w:t>
            </w:r>
          </w:p>
        </w:tc>
        <w:tc>
          <w:tcPr>
            <w:tcW w:w="57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经核实，部门2022年度暂未出现采购投诉情况，得2分。</w:t>
            </w:r>
          </w:p>
        </w:tc>
      </w:tr>
      <w:tr>
        <w:tblPrEx>
          <w:tblCellMar>
            <w:top w:w="0" w:type="dxa"/>
            <w:left w:w="108" w:type="dxa"/>
            <w:bottom w:w="0" w:type="dxa"/>
            <w:right w:w="108" w:type="dxa"/>
          </w:tblCellMar>
        </w:tblPrEx>
        <w:trPr>
          <w:trHeight w:val="249"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采购合同签订时效性</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3</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1.预算单位与中标、成交供应商应当在中标、成交通知书发出之日起三十日内，按照采购文件确定的事项签订政府采购合同。</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2.合同签订及时率=在规定时限内签订合同项目数/总项目数。</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合同签订及时率=100%，得3分；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90%≤合同签订及时率&lt;100%，得2分；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80%≤合同签订及时率&lt;90%，得1分；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合同签订及时率&lt;80%，不得分。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2</w:t>
            </w:r>
          </w:p>
        </w:tc>
        <w:tc>
          <w:tcPr>
            <w:tcW w:w="57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1.根据部门提供的《附件7-1 政府采购合同情况表（汇总表）》，时限内签订合同项目数176个，总项目数179个，其中韶关市文化广电旅游体育局本级3个项目未在在中标、成交通知书发出之日起三十日内签订合同。</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2.合同签订及时率=在规定时限内签订合同项目数/总项目数=176/179=98.32%,得2分。</w:t>
            </w:r>
          </w:p>
        </w:tc>
      </w:tr>
      <w:tr>
        <w:tblPrEx>
          <w:tblCellMar>
            <w:top w:w="0" w:type="dxa"/>
            <w:left w:w="108" w:type="dxa"/>
            <w:bottom w:w="0" w:type="dxa"/>
            <w:right w:w="108" w:type="dxa"/>
          </w:tblCellMar>
        </w:tblPrEx>
        <w:trPr>
          <w:trHeight w:val="249"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合同备案时效性</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合同备案公开，自合同签订之日起2个工作日内在“广东省政府采购网” 备案公开，符合规定的得满分，否则不得分。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57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根据部门提供的《附件7-1 政府采购合同情况表（汇总表）》，按时备案合同156个，备案公开合同数162个。其中韶关市文化广电旅游体育局未按时公开1个，韶关市体育场馆管理中心未按时公开1个，韶关市中心业余体校未按时公开4个。</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不满足自合同签订之日起2个工作日内在“广东省政府采购网” 备案公开的规定，因此该指标得0.5分。</w:t>
            </w:r>
          </w:p>
        </w:tc>
      </w:tr>
      <w:tr>
        <w:tblPrEx>
          <w:tblCellMar>
            <w:top w:w="0" w:type="dxa"/>
            <w:left w:w="108" w:type="dxa"/>
            <w:bottom w:w="0" w:type="dxa"/>
            <w:right w:w="108" w:type="dxa"/>
          </w:tblCellMar>
        </w:tblPrEx>
        <w:trPr>
          <w:trHeight w:val="249"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采购</w:t>
            </w:r>
            <w:r>
              <w:rPr>
                <w:rFonts w:hint="eastAsia" w:ascii="宋体" w:hAnsi="宋体" w:eastAsia="宋体" w:cs="宋体"/>
                <w:color w:val="000000"/>
                <w:sz w:val="21"/>
                <w:szCs w:val="21"/>
              </w:rPr>
              <w:t>政策</w:t>
            </w:r>
            <w:r>
              <w:rPr>
                <w:rFonts w:hint="eastAsia" w:ascii="宋体" w:hAnsi="宋体" w:eastAsia="宋体" w:cs="宋体"/>
                <w:color w:val="000000"/>
                <w:sz w:val="21"/>
                <w:szCs w:val="21"/>
                <w:lang w:bidi="ar"/>
              </w:rPr>
              <w:t>效能</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按照《政府采购促进中小企业发展管理办法》要求为中小企业预留采购份额。数值=（实际面向中小企业采购金额合计数/预算编制时部门预留金额合计数）×100%。</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评分=数值×分值。</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57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根据部门提供《政府采购合同授予情况统计表_韶关市文化广电旅游体育局 [00694660-6] 采购03表》，部门按照按照《政府采购促进中小企业发展管理办法》要求为中小企业预留采购份额。</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数值=（实际面向中小企业采购金额合计数/预算编制时部门预留金额合计数）×100%。</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评分=数值×分值。</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实际面向中小企业采购金额=2277.4万元，总实际采购金额2282.82万元，得1分。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=2277.4/2282.82=0.9976分。</w:t>
            </w:r>
          </w:p>
        </w:tc>
      </w:tr>
      <w:tr>
        <w:tblPrEx>
          <w:tblCellMar>
            <w:top w:w="0" w:type="dxa"/>
            <w:left w:w="108" w:type="dxa"/>
            <w:bottom w:w="0" w:type="dxa"/>
            <w:right w:w="108" w:type="dxa"/>
          </w:tblCellMar>
        </w:tblPrEx>
        <w:trPr>
          <w:trHeight w:val="249"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资产管理</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资产</w:t>
            </w:r>
            <w:r>
              <w:rPr>
                <w:rFonts w:hint="eastAsia" w:ascii="宋体" w:hAnsi="宋体" w:eastAsia="宋体" w:cs="宋体"/>
                <w:color w:val="000000"/>
                <w:sz w:val="21"/>
                <w:szCs w:val="21"/>
              </w:rPr>
              <w:t>配置</w:t>
            </w:r>
            <w:r>
              <w:rPr>
                <w:rFonts w:hint="eastAsia" w:ascii="宋体" w:hAnsi="宋体" w:eastAsia="宋体" w:cs="宋体"/>
                <w:color w:val="000000"/>
                <w:sz w:val="21"/>
                <w:szCs w:val="21"/>
                <w:lang w:bidi="ar"/>
              </w:rPr>
              <w:t>合规性</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2</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符合标准的，得2分，发现一项（类）不符的，扣1分，扣完为止。</w:t>
            </w:r>
          </w:p>
        </w:tc>
        <w:tc>
          <w:tcPr>
            <w:tcW w:w="828"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1.5</w:t>
            </w:r>
          </w:p>
        </w:tc>
        <w:tc>
          <w:tcPr>
            <w:tcW w:w="5730"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部门提供了《党政机关办公用房建设标准》以及办公大楼各房间信息。</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根据《中央行政单位通用办公设备家具配置标准》，台式计算机价格上限为5000元/台，根据局本级提供的《固定资产盘点表》，有7台式机购买价格高于5000元/台。扣0.5分。</w:t>
            </w:r>
          </w:p>
        </w:tc>
      </w:tr>
      <w:tr>
        <w:tblPrEx>
          <w:tblCellMar>
            <w:top w:w="0" w:type="dxa"/>
            <w:left w:w="108" w:type="dxa"/>
            <w:bottom w:w="0" w:type="dxa"/>
            <w:right w:w="108" w:type="dxa"/>
          </w:tblCellMar>
        </w:tblPrEx>
        <w:trPr>
          <w:trHeight w:val="249"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资产收益上缴的</w:t>
            </w:r>
            <w:r>
              <w:rPr>
                <w:rFonts w:hint="eastAsia" w:ascii="宋体" w:hAnsi="宋体" w:eastAsia="宋体" w:cs="宋体"/>
                <w:color w:val="000000"/>
                <w:sz w:val="21"/>
                <w:szCs w:val="21"/>
              </w:rPr>
              <w:t>及时</w:t>
            </w:r>
            <w:r>
              <w:rPr>
                <w:rFonts w:hint="eastAsia" w:ascii="宋体" w:hAnsi="宋体" w:eastAsia="宋体" w:cs="宋体"/>
                <w:color w:val="000000"/>
                <w:sz w:val="21"/>
                <w:szCs w:val="21"/>
                <w:lang w:bidi="ar"/>
              </w:rPr>
              <w:t>性</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5100" w:type="dxa"/>
            <w:tcBorders>
              <w:top w:val="single" w:color="000000" w:sz="4" w:space="0"/>
              <w:left w:val="single" w:color="000000" w:sz="4" w:space="0"/>
              <w:bottom w:val="single" w:color="000000" w:sz="4" w:space="0"/>
              <w:right w:val="single" w:color="auto"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检查处置收益和租金上缴是否及时（高校可自留的资金除外）。存在长期（超过3个月）未上缴的，每1笔扣0.5分，扣完为止。</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573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部门2022年度有国有资产处置和使用收益364.5万元，均已按时上缴国库。</w:t>
            </w:r>
          </w:p>
        </w:tc>
      </w:tr>
      <w:tr>
        <w:tblPrEx>
          <w:tblCellMar>
            <w:top w:w="0" w:type="dxa"/>
            <w:left w:w="108" w:type="dxa"/>
            <w:bottom w:w="0" w:type="dxa"/>
            <w:right w:w="108" w:type="dxa"/>
          </w:tblCellMar>
        </w:tblPrEx>
        <w:trPr>
          <w:trHeight w:val="249"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资产盘点情况</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5100" w:type="dxa"/>
            <w:tcBorders>
              <w:top w:val="single" w:color="000000" w:sz="4" w:space="0"/>
              <w:left w:val="single" w:color="000000" w:sz="4" w:space="0"/>
              <w:bottom w:val="single" w:color="000000" w:sz="4" w:space="0"/>
              <w:right w:val="single" w:color="auto"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每年进行一次资产盘点，并完成结果处理的，得1分。未进行盘点的，不得分。</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573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2022年度部门邀请第三方单位固定资产盘点，出具年度资产报告，部门根据年度资产报告进行相关处理，但部分整改意见未充分落实，</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仍出现以下问题：各下属单位固定资产盘点基准日不统一。市博物馆盘点基准时间为2022年5月16日、图书馆盘点基准时间为2022年6月30日，各单位均未对盘点结果进行说明，未进行进行盘点结果处理。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综上，该指标得0.5分。</w:t>
            </w:r>
          </w:p>
        </w:tc>
      </w:tr>
      <w:tr>
        <w:tblPrEx>
          <w:tblCellMar>
            <w:top w:w="0" w:type="dxa"/>
            <w:left w:w="108" w:type="dxa"/>
            <w:bottom w:w="0" w:type="dxa"/>
            <w:right w:w="108" w:type="dxa"/>
          </w:tblCellMar>
        </w:tblPrEx>
        <w:trPr>
          <w:trHeight w:val="249"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数据质量</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2</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部门（单位）行政事业性国有资产年报数据完整、准确，核实性问题均能提供有效、真实的说明，且资产账与财务账、资产实体相符的，得2分；否则酌情扣分。</w:t>
            </w:r>
          </w:p>
        </w:tc>
        <w:tc>
          <w:tcPr>
            <w:tcW w:w="828"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5730"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市文广旅体局本级部分固定资产未粘贴标签。现场核查抽查部分固定资产，放置于803基建科办公桌、茶几、空调、木制茶水柜均未粘贴固定资产标签；位于805机关党委办公室文件柜未粘贴固定资产标签。上述固定资产名称、规格、型号、编号、取得时间等信息不详。</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2.局本级固定资产编号不统一。部门不同固定资产编号仍延续合并前编号，未有效合并统一。现场核查固定资产，部分固定资产标签为20位数字加符号，部分固定资产标签为5位数字加符号。</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3.2019年市文广新局、旅游局、体育局合并为市文广旅体局，截至2022年12月31日三个单位仍未办理固定资产交接合并手续。</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4.2022年12月31日资产负债表固定资产原值数1814.60万元与系统中导出的固定资产清单数不一致。局本级提供的固定资产盘点表，固定资产盘亏数量562件，盘亏金额为365.80万元。</w:t>
            </w:r>
          </w:p>
        </w:tc>
      </w:tr>
      <w:tr>
        <w:tblPrEx>
          <w:tblCellMar>
            <w:top w:w="0" w:type="dxa"/>
            <w:left w:w="108" w:type="dxa"/>
            <w:bottom w:w="0" w:type="dxa"/>
            <w:right w:w="108" w:type="dxa"/>
          </w:tblCellMar>
        </w:tblPrEx>
        <w:trPr>
          <w:trHeight w:val="249"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资产管理合规性</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2</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1.有无行政事业性国有资产管理内部管理规程；如无，扣0.5分。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2.在各类巡视、审计、监督检查工作中如发现资产管理存在问题的，每发现1次扣0.5分，扣完为止。</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57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1.部门提供了制度汇编，制定了固定资产管理制度、会议室管理制度、办公大楼管理制度、办公用品管理制度、公务用车管理制度等国有资产管理规程。</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2.部门提供了《韶关市文化广电旅游体育局党组书记、局长黄宣剑同志任期履行经济责任情况审计报告》韶审投报〔2023〕1号，其中有关2022年度资产管理的问题有市文广旅体局固定资产管理不规范，如固定资产编号不统一，未及时报废固定资产等。</w:t>
            </w:r>
          </w:p>
        </w:tc>
      </w:tr>
      <w:tr>
        <w:tblPrEx>
          <w:tblCellMar>
            <w:top w:w="0" w:type="dxa"/>
            <w:left w:w="108" w:type="dxa"/>
            <w:bottom w:w="0" w:type="dxa"/>
            <w:right w:w="108" w:type="dxa"/>
          </w:tblCellMar>
        </w:tblPrEx>
        <w:trPr>
          <w:trHeight w:val="249"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固定资产利用率</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2</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部门（单位）实际在用固定资产总额与所有固定资产总额的比例。</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1.比率≥90%的，得2分；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2.90%＞比率≥75%的，得1分；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3.75%＞比率≥60%的，得0.5分；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4.比率＜60%的，得0分。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57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1.固定资产利用率=部门（单位）实际在用固定资产总额/所有固定资产总额=7292166.58/(15843259.62-3992667.82)*100%=61.53%。</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备注：部门固定资产中存在3992667.82元资产属于损坏不能使用状态，因此在计算固定资产总额时剔除该部分，得0.5分。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2.根据《市文广旅体局固定资产盘点情况表》，部门（单位）实际在用固定资产总额与所有固定资产总额的比例=20个处于闲置状态。</w:t>
            </w:r>
          </w:p>
        </w:tc>
      </w:tr>
      <w:tr>
        <w:tblPrEx>
          <w:tblCellMar>
            <w:top w:w="0" w:type="dxa"/>
            <w:left w:w="108" w:type="dxa"/>
            <w:bottom w:w="0" w:type="dxa"/>
            <w:right w:w="108" w:type="dxa"/>
          </w:tblCellMar>
        </w:tblPrEx>
        <w:trPr>
          <w:trHeight w:val="249"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运行成本</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经济成本控制情况</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6</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1.相关工作预算编制依据较为明确的，得3分；</w:t>
            </w:r>
            <w:r>
              <w:rPr>
                <w:rFonts w:hint="eastAsia" w:ascii="宋体" w:hAnsi="宋体" w:eastAsia="宋体" w:cs="宋体"/>
                <w:color w:val="000000"/>
                <w:sz w:val="21"/>
                <w:szCs w:val="21"/>
                <w:lang w:bidi="ar"/>
              </w:rPr>
              <w:br w:type="textWrapping"/>
            </w:r>
            <w:r>
              <w:rPr>
                <w:rFonts w:hint="eastAsia" w:ascii="宋体" w:hAnsi="宋体" w:eastAsia="宋体" w:cs="宋体"/>
                <w:color w:val="000000"/>
                <w:sz w:val="21"/>
                <w:szCs w:val="21"/>
                <w:lang w:bidi="ar"/>
              </w:rPr>
              <w:t>2.相关工作</w:t>
            </w:r>
            <w:bookmarkStart w:id="115" w:name="_GoBack"/>
            <w:bookmarkEnd w:id="115"/>
            <w:r>
              <w:rPr>
                <w:rFonts w:hint="eastAsia" w:ascii="宋体" w:hAnsi="宋体" w:eastAsia="宋体" w:cs="宋体"/>
                <w:color w:val="000000"/>
                <w:sz w:val="21"/>
                <w:szCs w:val="21"/>
                <w:lang w:bidi="ar"/>
              </w:rPr>
              <w:t>成本与市场价格、行业标准、其他地市的同类项目相比较为合理的得3分。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4</w:t>
            </w:r>
          </w:p>
        </w:tc>
        <w:tc>
          <w:tcPr>
            <w:tcW w:w="57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根据部门整体绩效目标申报测算表，部门共913个项目，但30个未注明工作预算比值依据，883个项目虽有预算测算但较为简单，预算编制依据不够明确具体。综上，该指标酌情扣2分。</w:t>
            </w:r>
          </w:p>
        </w:tc>
      </w:tr>
      <w:tr>
        <w:tblPrEx>
          <w:tblCellMar>
            <w:top w:w="0" w:type="dxa"/>
            <w:left w:w="108" w:type="dxa"/>
            <w:bottom w:w="0" w:type="dxa"/>
            <w:right w:w="108" w:type="dxa"/>
          </w:tblCellMar>
        </w:tblPrEx>
        <w:trPr>
          <w:trHeight w:val="249" w:hRule="atLeast"/>
          <w:jc w:val="center"/>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“三公”经费控制情况</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“三公”经费实际支出数（</w:t>
            </w:r>
            <w:r>
              <w:rPr>
                <w:rFonts w:hint="eastAsia" w:ascii="宋体" w:hAnsi="宋体" w:eastAsia="宋体" w:cs="宋体"/>
                <w:b/>
                <w:bCs/>
                <w:color w:val="000000"/>
                <w:sz w:val="21"/>
                <w:szCs w:val="21"/>
                <w:lang w:bidi="ar"/>
              </w:rPr>
              <w:t>按照经济科目计算</w:t>
            </w:r>
            <w:r>
              <w:rPr>
                <w:rFonts w:hint="eastAsia" w:ascii="宋体" w:hAnsi="宋体" w:eastAsia="宋体" w:cs="宋体"/>
                <w:color w:val="000000"/>
                <w:sz w:val="21"/>
                <w:szCs w:val="21"/>
                <w:lang w:bidi="ar"/>
              </w:rPr>
              <w:t>）≤预算安排的“三公”经费数（</w:t>
            </w:r>
            <w:r>
              <w:rPr>
                <w:rFonts w:hint="eastAsia" w:ascii="宋体" w:hAnsi="宋体" w:eastAsia="宋体" w:cs="宋体"/>
                <w:b/>
                <w:bCs/>
                <w:color w:val="000000"/>
                <w:sz w:val="21"/>
                <w:szCs w:val="21"/>
                <w:lang w:bidi="ar"/>
              </w:rPr>
              <w:t>按照预算公开金额取数</w:t>
            </w:r>
            <w:r>
              <w:rPr>
                <w:rFonts w:hint="eastAsia" w:ascii="宋体" w:hAnsi="宋体" w:eastAsia="宋体" w:cs="宋体"/>
                <w:color w:val="000000"/>
                <w:sz w:val="21"/>
                <w:szCs w:val="21"/>
                <w:lang w:bidi="ar"/>
              </w:rPr>
              <w:t>），符合要求的得满分，不符合要求的不得分。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57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根据部门2022年度决算表-机构运行数据表，“三公经费”实际支出数为345927.78元，“三公经费”预算数为535200元，“三公”经费实际支出数≤预算安排的“三公”经费数，得1分。</w:t>
            </w:r>
          </w:p>
        </w:tc>
      </w:tr>
      <w:tr>
        <w:tblPrEx>
          <w:tblCellMar>
            <w:top w:w="0" w:type="dxa"/>
            <w:left w:w="108" w:type="dxa"/>
            <w:bottom w:w="0" w:type="dxa"/>
            <w:right w:w="108" w:type="dxa"/>
          </w:tblCellMar>
        </w:tblPrEx>
        <w:trPr>
          <w:trHeight w:val="249" w:hRule="atLeast"/>
          <w:jc w:val="center"/>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合计</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100</w:t>
            </w:r>
          </w:p>
        </w:tc>
        <w:tc>
          <w:tcPr>
            <w:tcW w:w="5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lang w:bidi="ar"/>
              </w:rPr>
              <w:t>80.48</w:t>
            </w:r>
          </w:p>
        </w:tc>
        <w:tc>
          <w:tcPr>
            <w:tcW w:w="57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w:t>
            </w:r>
          </w:p>
        </w:tc>
      </w:tr>
    </w:tbl>
    <w:p>
      <w:pPr>
        <w:pStyle w:val="2"/>
      </w:pPr>
    </w:p>
    <w:p>
      <w:pPr>
        <w:pStyle w:val="2"/>
      </w:pPr>
    </w:p>
    <w:p>
      <w:pPr>
        <w:pStyle w:val="2"/>
        <w:ind w:firstLine="0" w:firstLineChars="0"/>
        <w:sectPr>
          <w:type w:val="continuous"/>
          <w:pgSz w:w="16839" w:h="11907" w:orient="landscape"/>
          <w:pgMar w:top="850" w:right="1021" w:bottom="850" w:left="1134" w:header="550" w:footer="210" w:gutter="0"/>
          <w:pgNumType w:fmt="numberInDash"/>
          <w:cols w:space="0" w:num="1"/>
          <w:docGrid w:linePitch="360" w:charSpace="0"/>
        </w:sectPr>
      </w:pPr>
    </w:p>
    <w:p>
      <w:pPr>
        <w:pStyle w:val="5"/>
        <w:spacing w:before="0" w:beforeLines="0" w:after="0" w:afterLines="0"/>
        <w:ind w:firstLine="0" w:firstLineChars="0"/>
        <w:rPr>
          <w:rFonts w:ascii="CESI黑体-GB2312" w:hAnsi="CESI黑体-GB2312" w:eastAsia="CESI黑体-GB2312" w:cs="CESI黑体-GB2312"/>
          <w:b w:val="0"/>
          <w:bCs w:val="0"/>
          <w:kern w:val="2"/>
          <w:szCs w:val="20"/>
        </w:rPr>
      </w:pPr>
      <w:bookmarkStart w:id="108" w:name="_Toc15878"/>
      <w:bookmarkStart w:id="109" w:name="_Toc54077328"/>
      <w:bookmarkStart w:id="110" w:name="_Toc6152"/>
      <w:bookmarkStart w:id="111" w:name="_Toc12969"/>
      <w:bookmarkStart w:id="112" w:name="_Toc117542380"/>
      <w:r>
        <w:rPr>
          <w:rFonts w:hint="eastAsia" w:ascii="CESI黑体-GB2312" w:hAnsi="CESI黑体-GB2312" w:eastAsia="CESI黑体-GB2312" w:cs="CESI黑体-GB2312"/>
          <w:b w:val="0"/>
          <w:bCs w:val="0"/>
          <w:kern w:val="2"/>
          <w:szCs w:val="20"/>
        </w:rPr>
        <w:t xml:space="preserve">附件1-2 </w:t>
      </w:r>
    </w:p>
    <w:p>
      <w:pPr>
        <w:widowControl w:val="0"/>
        <w:spacing w:line="560" w:lineRule="exact"/>
        <w:ind w:firstLine="640"/>
        <w:jc w:val="center"/>
        <w:rPr>
          <w:rFonts w:ascii="CESI宋体-GB2312" w:hAnsi="CESI宋体-GB2312" w:eastAsia="CESI宋体-GB2312" w:cs="CESI宋体-GB2312"/>
          <w:b/>
          <w:bCs/>
          <w:kern w:val="2"/>
        </w:rPr>
      </w:pPr>
      <w:r>
        <w:rPr>
          <w:rFonts w:hint="eastAsia" w:ascii="CESI宋体-GB2312" w:hAnsi="CESI宋体-GB2312" w:eastAsia="CESI宋体-GB2312" w:cs="CESI宋体-GB2312"/>
          <w:b/>
          <w:bCs/>
          <w:kern w:val="2"/>
        </w:rPr>
        <w:t>部门整体绩效目标产出指标完成情况</w:t>
      </w:r>
    </w:p>
    <w:tbl>
      <w:tblPr>
        <w:tblStyle w:val="30"/>
        <w:tblW w:w="14640" w:type="dxa"/>
        <w:jc w:val="center"/>
        <w:tblLayout w:type="fixed"/>
        <w:tblCellMar>
          <w:top w:w="0" w:type="dxa"/>
          <w:left w:w="108" w:type="dxa"/>
          <w:bottom w:w="0" w:type="dxa"/>
          <w:right w:w="108" w:type="dxa"/>
        </w:tblCellMar>
      </w:tblPr>
      <w:tblGrid>
        <w:gridCol w:w="973"/>
        <w:gridCol w:w="1693"/>
        <w:gridCol w:w="6827"/>
        <w:gridCol w:w="942"/>
        <w:gridCol w:w="816"/>
        <w:gridCol w:w="1283"/>
        <w:gridCol w:w="2106"/>
      </w:tblGrid>
      <w:tr>
        <w:tblPrEx>
          <w:tblCellMar>
            <w:top w:w="0" w:type="dxa"/>
            <w:left w:w="108" w:type="dxa"/>
            <w:bottom w:w="0" w:type="dxa"/>
            <w:right w:w="108" w:type="dxa"/>
          </w:tblCellMar>
        </w:tblPrEx>
        <w:trPr>
          <w:trHeight w:val="249" w:hRule="atLeast"/>
          <w:jc w:val="center"/>
        </w:trPr>
        <w:tc>
          <w:tcPr>
            <w:tcW w:w="97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lang w:bidi="ar"/>
              </w:rPr>
              <w:t>序号</w:t>
            </w:r>
          </w:p>
        </w:tc>
        <w:tc>
          <w:tcPr>
            <w:tcW w:w="169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lang w:bidi="ar"/>
              </w:rPr>
              <w:t>二级指标</w:t>
            </w:r>
          </w:p>
        </w:tc>
        <w:tc>
          <w:tcPr>
            <w:tcW w:w="6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lang w:bidi="ar"/>
              </w:rPr>
              <w:t>三级指标</w:t>
            </w:r>
          </w:p>
        </w:tc>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lang w:bidi="ar"/>
              </w:rPr>
              <w:t>权重</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lang w:bidi="ar"/>
              </w:rPr>
              <w:t>评分</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lang w:bidi="ar"/>
              </w:rPr>
              <w:t>计划完成值</w:t>
            </w:r>
          </w:p>
        </w:tc>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lang w:bidi="ar"/>
              </w:rPr>
              <w:t>第三方评价完成值</w:t>
            </w:r>
          </w:p>
        </w:tc>
      </w:tr>
      <w:tr>
        <w:tblPrEx>
          <w:tblCellMar>
            <w:top w:w="0" w:type="dxa"/>
            <w:left w:w="108" w:type="dxa"/>
            <w:bottom w:w="0" w:type="dxa"/>
            <w:right w:w="108" w:type="dxa"/>
          </w:tblCellMar>
        </w:tblPrEx>
        <w:trPr>
          <w:trHeight w:val="249" w:hRule="atLeast"/>
          <w:jc w:val="center"/>
        </w:trPr>
        <w:tc>
          <w:tcPr>
            <w:tcW w:w="97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169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产出数量</w:t>
            </w:r>
          </w:p>
        </w:tc>
        <w:tc>
          <w:tcPr>
            <w:tcW w:w="6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建成韶州体育中心数量</w:t>
            </w:r>
          </w:p>
        </w:tc>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1个</w:t>
            </w:r>
          </w:p>
        </w:tc>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1个</w:t>
            </w:r>
          </w:p>
        </w:tc>
      </w:tr>
      <w:tr>
        <w:tblPrEx>
          <w:tblCellMar>
            <w:top w:w="0" w:type="dxa"/>
            <w:left w:w="108" w:type="dxa"/>
            <w:bottom w:w="0" w:type="dxa"/>
            <w:right w:w="108" w:type="dxa"/>
          </w:tblCellMar>
        </w:tblPrEx>
        <w:trPr>
          <w:trHeight w:val="249" w:hRule="atLeast"/>
          <w:jc w:val="center"/>
        </w:trPr>
        <w:tc>
          <w:tcPr>
            <w:tcW w:w="97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2</w:t>
            </w:r>
          </w:p>
        </w:tc>
        <w:tc>
          <w:tcPr>
            <w:tcW w:w="169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产出数量</w:t>
            </w:r>
          </w:p>
        </w:tc>
        <w:tc>
          <w:tcPr>
            <w:tcW w:w="6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组团参加广东省第十六届运动会</w:t>
            </w:r>
          </w:p>
        </w:tc>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700人</w:t>
            </w:r>
          </w:p>
        </w:tc>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750人</w:t>
            </w:r>
          </w:p>
        </w:tc>
      </w:tr>
      <w:tr>
        <w:tblPrEx>
          <w:tblCellMar>
            <w:top w:w="0" w:type="dxa"/>
            <w:left w:w="108" w:type="dxa"/>
            <w:bottom w:w="0" w:type="dxa"/>
            <w:right w:w="108" w:type="dxa"/>
          </w:tblCellMar>
        </w:tblPrEx>
        <w:trPr>
          <w:trHeight w:val="249" w:hRule="atLeast"/>
          <w:jc w:val="center"/>
        </w:trPr>
        <w:tc>
          <w:tcPr>
            <w:tcW w:w="97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3</w:t>
            </w:r>
          </w:p>
        </w:tc>
        <w:tc>
          <w:tcPr>
            <w:tcW w:w="169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产出数量</w:t>
            </w:r>
          </w:p>
        </w:tc>
        <w:tc>
          <w:tcPr>
            <w:tcW w:w="6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音乐舞蹈花会惠民演出数量</w:t>
            </w:r>
          </w:p>
        </w:tc>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≥1场</w:t>
            </w:r>
          </w:p>
        </w:tc>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4场</w:t>
            </w:r>
          </w:p>
        </w:tc>
      </w:tr>
      <w:tr>
        <w:tblPrEx>
          <w:tblCellMar>
            <w:top w:w="0" w:type="dxa"/>
            <w:left w:w="108" w:type="dxa"/>
            <w:bottom w:w="0" w:type="dxa"/>
            <w:right w:w="108" w:type="dxa"/>
          </w:tblCellMar>
        </w:tblPrEx>
        <w:trPr>
          <w:trHeight w:val="249" w:hRule="atLeast"/>
          <w:jc w:val="center"/>
        </w:trPr>
        <w:tc>
          <w:tcPr>
            <w:tcW w:w="97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4</w:t>
            </w:r>
          </w:p>
        </w:tc>
        <w:tc>
          <w:tcPr>
            <w:tcW w:w="169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产出数量</w:t>
            </w:r>
          </w:p>
        </w:tc>
        <w:tc>
          <w:tcPr>
            <w:tcW w:w="6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新建风度书房数量</w:t>
            </w:r>
          </w:p>
        </w:tc>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10间</w:t>
            </w:r>
          </w:p>
        </w:tc>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10间</w:t>
            </w:r>
          </w:p>
        </w:tc>
      </w:tr>
      <w:tr>
        <w:tblPrEx>
          <w:tblCellMar>
            <w:top w:w="0" w:type="dxa"/>
            <w:left w:w="108" w:type="dxa"/>
            <w:bottom w:w="0" w:type="dxa"/>
            <w:right w:w="108" w:type="dxa"/>
          </w:tblCellMar>
        </w:tblPrEx>
        <w:trPr>
          <w:trHeight w:val="249" w:hRule="atLeast"/>
          <w:jc w:val="center"/>
        </w:trPr>
        <w:tc>
          <w:tcPr>
            <w:tcW w:w="97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5</w:t>
            </w:r>
          </w:p>
        </w:tc>
        <w:tc>
          <w:tcPr>
            <w:tcW w:w="169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产出数量</w:t>
            </w:r>
          </w:p>
        </w:tc>
        <w:tc>
          <w:tcPr>
            <w:tcW w:w="6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加快图书馆推进项目建设有关工作</w:t>
            </w:r>
          </w:p>
        </w:tc>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lang w:bidi="ar"/>
              </w:rPr>
              <w:t>0.5</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宋体" w:hAnsi="宋体" w:eastAsia="宋体" w:cs="宋体"/>
                <w:color w:val="000000"/>
                <w:sz w:val="21"/>
                <w:szCs w:val="21"/>
                <w:lang w:bidi="ar"/>
              </w:rPr>
            </w:pPr>
            <w:r>
              <w:rPr>
                <w:rFonts w:hint="eastAsia" w:ascii="宋体" w:hAnsi="宋体" w:eastAsia="宋体" w:cs="宋体"/>
                <w:color w:val="000000"/>
                <w:sz w:val="21"/>
                <w:szCs w:val="21"/>
                <w:lang w:bidi="ar"/>
              </w:rPr>
              <w:t>加快推进</w:t>
            </w:r>
          </w:p>
        </w:tc>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已按照市委市政府的批示精神推进</w:t>
            </w:r>
          </w:p>
        </w:tc>
      </w:tr>
      <w:tr>
        <w:tblPrEx>
          <w:tblCellMar>
            <w:top w:w="0" w:type="dxa"/>
            <w:left w:w="108" w:type="dxa"/>
            <w:bottom w:w="0" w:type="dxa"/>
            <w:right w:w="108" w:type="dxa"/>
          </w:tblCellMar>
        </w:tblPrEx>
        <w:trPr>
          <w:trHeight w:val="249" w:hRule="atLeast"/>
          <w:jc w:val="center"/>
        </w:trPr>
        <w:tc>
          <w:tcPr>
            <w:tcW w:w="97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6</w:t>
            </w:r>
          </w:p>
        </w:tc>
        <w:tc>
          <w:tcPr>
            <w:tcW w:w="169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产出数量</w:t>
            </w:r>
          </w:p>
        </w:tc>
        <w:tc>
          <w:tcPr>
            <w:tcW w:w="6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举办丰富多彩的文旅体活动次数</w:t>
            </w:r>
          </w:p>
        </w:tc>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＞80场</w:t>
            </w:r>
          </w:p>
        </w:tc>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＞80场</w:t>
            </w:r>
          </w:p>
        </w:tc>
      </w:tr>
      <w:tr>
        <w:tblPrEx>
          <w:tblCellMar>
            <w:top w:w="0" w:type="dxa"/>
            <w:left w:w="108" w:type="dxa"/>
            <w:bottom w:w="0" w:type="dxa"/>
            <w:right w:w="108" w:type="dxa"/>
          </w:tblCellMar>
        </w:tblPrEx>
        <w:trPr>
          <w:trHeight w:val="249" w:hRule="atLeast"/>
          <w:jc w:val="center"/>
        </w:trPr>
        <w:tc>
          <w:tcPr>
            <w:tcW w:w="97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7</w:t>
            </w:r>
          </w:p>
        </w:tc>
        <w:tc>
          <w:tcPr>
            <w:tcW w:w="169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产出数量</w:t>
            </w:r>
          </w:p>
        </w:tc>
        <w:tc>
          <w:tcPr>
            <w:tcW w:w="6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抓好重点剧目创排数量</w:t>
            </w:r>
          </w:p>
        </w:tc>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60</w:t>
            </w:r>
          </w:p>
        </w:tc>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60</w:t>
            </w:r>
          </w:p>
        </w:tc>
      </w:tr>
      <w:tr>
        <w:tblPrEx>
          <w:tblCellMar>
            <w:top w:w="0" w:type="dxa"/>
            <w:left w:w="108" w:type="dxa"/>
            <w:bottom w:w="0" w:type="dxa"/>
            <w:right w:w="108" w:type="dxa"/>
          </w:tblCellMar>
        </w:tblPrEx>
        <w:trPr>
          <w:trHeight w:val="249" w:hRule="atLeast"/>
          <w:jc w:val="center"/>
        </w:trPr>
        <w:tc>
          <w:tcPr>
            <w:tcW w:w="97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8</w:t>
            </w:r>
          </w:p>
        </w:tc>
        <w:tc>
          <w:tcPr>
            <w:tcW w:w="169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产出数量</w:t>
            </w:r>
          </w:p>
        </w:tc>
        <w:tc>
          <w:tcPr>
            <w:tcW w:w="6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新增省精神文明建设“五个一工程”奖作品</w:t>
            </w:r>
          </w:p>
        </w:tc>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1部</w:t>
            </w:r>
          </w:p>
        </w:tc>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1部</w:t>
            </w:r>
          </w:p>
        </w:tc>
      </w:tr>
      <w:tr>
        <w:tblPrEx>
          <w:tblCellMar>
            <w:top w:w="0" w:type="dxa"/>
            <w:left w:w="108" w:type="dxa"/>
            <w:bottom w:w="0" w:type="dxa"/>
            <w:right w:w="108" w:type="dxa"/>
          </w:tblCellMar>
        </w:tblPrEx>
        <w:trPr>
          <w:trHeight w:val="249" w:hRule="atLeast"/>
          <w:jc w:val="center"/>
        </w:trPr>
        <w:tc>
          <w:tcPr>
            <w:tcW w:w="97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9</w:t>
            </w:r>
          </w:p>
        </w:tc>
        <w:tc>
          <w:tcPr>
            <w:tcW w:w="169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产出数量</w:t>
            </w:r>
          </w:p>
        </w:tc>
        <w:tc>
          <w:tcPr>
            <w:tcW w:w="6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出台《韶关市市级非物质文化遗产代表性传承人认定与管理暂行办法》</w:t>
            </w:r>
          </w:p>
        </w:tc>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1项</w:t>
            </w:r>
          </w:p>
        </w:tc>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1项</w:t>
            </w:r>
          </w:p>
        </w:tc>
      </w:tr>
      <w:tr>
        <w:tblPrEx>
          <w:tblCellMar>
            <w:top w:w="0" w:type="dxa"/>
            <w:left w:w="108" w:type="dxa"/>
            <w:bottom w:w="0" w:type="dxa"/>
            <w:right w:w="108" w:type="dxa"/>
          </w:tblCellMar>
        </w:tblPrEx>
        <w:trPr>
          <w:trHeight w:val="249" w:hRule="atLeast"/>
          <w:jc w:val="center"/>
        </w:trPr>
        <w:tc>
          <w:tcPr>
            <w:tcW w:w="97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10</w:t>
            </w:r>
          </w:p>
        </w:tc>
        <w:tc>
          <w:tcPr>
            <w:tcW w:w="169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产出数量</w:t>
            </w:r>
          </w:p>
        </w:tc>
        <w:tc>
          <w:tcPr>
            <w:tcW w:w="6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市级以上文物保护单位保存现状进行全面摸底完成率</w:t>
            </w:r>
          </w:p>
        </w:tc>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100%</w:t>
            </w:r>
          </w:p>
        </w:tc>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100%</w:t>
            </w:r>
          </w:p>
        </w:tc>
      </w:tr>
      <w:tr>
        <w:tblPrEx>
          <w:tblCellMar>
            <w:top w:w="0" w:type="dxa"/>
            <w:left w:w="108" w:type="dxa"/>
            <w:bottom w:w="0" w:type="dxa"/>
            <w:right w:w="108" w:type="dxa"/>
          </w:tblCellMar>
        </w:tblPrEx>
        <w:trPr>
          <w:trHeight w:val="249" w:hRule="atLeast"/>
          <w:jc w:val="center"/>
        </w:trPr>
        <w:tc>
          <w:tcPr>
            <w:tcW w:w="97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11</w:t>
            </w:r>
          </w:p>
        </w:tc>
        <w:tc>
          <w:tcPr>
            <w:tcW w:w="169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产出数量</w:t>
            </w:r>
          </w:p>
        </w:tc>
        <w:tc>
          <w:tcPr>
            <w:tcW w:w="6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公布地下文物埋藏区</w:t>
            </w:r>
          </w:p>
        </w:tc>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5处</w:t>
            </w:r>
          </w:p>
        </w:tc>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5处</w:t>
            </w:r>
          </w:p>
        </w:tc>
      </w:tr>
      <w:tr>
        <w:tblPrEx>
          <w:tblCellMar>
            <w:top w:w="0" w:type="dxa"/>
            <w:left w:w="108" w:type="dxa"/>
            <w:bottom w:w="0" w:type="dxa"/>
            <w:right w:w="108" w:type="dxa"/>
          </w:tblCellMar>
        </w:tblPrEx>
        <w:trPr>
          <w:trHeight w:val="249" w:hRule="atLeast"/>
          <w:jc w:val="center"/>
        </w:trPr>
        <w:tc>
          <w:tcPr>
            <w:tcW w:w="97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12</w:t>
            </w:r>
          </w:p>
        </w:tc>
        <w:tc>
          <w:tcPr>
            <w:tcW w:w="169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产出数量</w:t>
            </w:r>
          </w:p>
        </w:tc>
        <w:tc>
          <w:tcPr>
            <w:tcW w:w="6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推进华南教育历史研学基地建设。</w:t>
            </w:r>
          </w:p>
        </w:tc>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6项</w:t>
            </w:r>
          </w:p>
        </w:tc>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6项</w:t>
            </w:r>
          </w:p>
        </w:tc>
      </w:tr>
      <w:tr>
        <w:tblPrEx>
          <w:tblCellMar>
            <w:top w:w="0" w:type="dxa"/>
            <w:left w:w="108" w:type="dxa"/>
            <w:bottom w:w="0" w:type="dxa"/>
            <w:right w:w="108" w:type="dxa"/>
          </w:tblCellMar>
        </w:tblPrEx>
        <w:trPr>
          <w:trHeight w:val="249" w:hRule="atLeast"/>
          <w:jc w:val="center"/>
        </w:trPr>
        <w:tc>
          <w:tcPr>
            <w:tcW w:w="97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13</w:t>
            </w:r>
          </w:p>
        </w:tc>
        <w:tc>
          <w:tcPr>
            <w:tcW w:w="169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产出数量</w:t>
            </w:r>
          </w:p>
        </w:tc>
        <w:tc>
          <w:tcPr>
            <w:tcW w:w="6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推动全域旅游示范区创建工作（指导乳源创建国家全域旅游示范区，乐昌、新丰创建省级全域旅游示范区）</w:t>
            </w:r>
          </w:p>
        </w:tc>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3个</w:t>
            </w:r>
          </w:p>
        </w:tc>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8个</w:t>
            </w:r>
          </w:p>
        </w:tc>
      </w:tr>
      <w:tr>
        <w:tblPrEx>
          <w:tblCellMar>
            <w:top w:w="0" w:type="dxa"/>
            <w:left w:w="108" w:type="dxa"/>
            <w:bottom w:w="0" w:type="dxa"/>
            <w:right w:w="108" w:type="dxa"/>
          </w:tblCellMar>
        </w:tblPrEx>
        <w:trPr>
          <w:trHeight w:val="249" w:hRule="atLeast"/>
          <w:jc w:val="center"/>
        </w:trPr>
        <w:tc>
          <w:tcPr>
            <w:tcW w:w="97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14</w:t>
            </w:r>
          </w:p>
        </w:tc>
        <w:tc>
          <w:tcPr>
            <w:tcW w:w="169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产出数量</w:t>
            </w:r>
          </w:p>
        </w:tc>
        <w:tc>
          <w:tcPr>
            <w:tcW w:w="6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邀请粤港澳大湾区城市旅行社及媒体代表来韶采风次数</w:t>
            </w:r>
          </w:p>
        </w:tc>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3批次</w:t>
            </w:r>
          </w:p>
        </w:tc>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3批次</w:t>
            </w:r>
          </w:p>
        </w:tc>
      </w:tr>
      <w:tr>
        <w:tblPrEx>
          <w:tblCellMar>
            <w:top w:w="0" w:type="dxa"/>
            <w:left w:w="108" w:type="dxa"/>
            <w:bottom w:w="0" w:type="dxa"/>
            <w:right w:w="108" w:type="dxa"/>
          </w:tblCellMar>
        </w:tblPrEx>
        <w:trPr>
          <w:trHeight w:val="249" w:hRule="atLeast"/>
          <w:jc w:val="center"/>
        </w:trPr>
        <w:tc>
          <w:tcPr>
            <w:tcW w:w="97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15</w:t>
            </w:r>
          </w:p>
        </w:tc>
        <w:tc>
          <w:tcPr>
            <w:tcW w:w="169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产出数量</w:t>
            </w:r>
          </w:p>
        </w:tc>
        <w:tc>
          <w:tcPr>
            <w:tcW w:w="6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组织文旅推广韶关文化团队到东莞演出场数</w:t>
            </w:r>
          </w:p>
        </w:tc>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15 场</w:t>
            </w:r>
          </w:p>
        </w:tc>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r>
              <w:rPr>
                <w:rFonts w:ascii="宋体" w:hAnsi="宋体" w:eastAsia="宋体" w:cs="宋体"/>
                <w:color w:val="000000"/>
                <w:sz w:val="21"/>
                <w:szCs w:val="21"/>
                <w:lang w:bidi="ar"/>
              </w:rPr>
              <w:t>5</w:t>
            </w:r>
            <w:r>
              <w:rPr>
                <w:rFonts w:hint="eastAsia" w:ascii="宋体" w:hAnsi="宋体" w:eastAsia="宋体" w:cs="宋体"/>
                <w:color w:val="000000"/>
                <w:sz w:val="21"/>
                <w:szCs w:val="21"/>
                <w:lang w:bidi="ar"/>
              </w:rPr>
              <w:t>场</w:t>
            </w:r>
          </w:p>
        </w:tc>
      </w:tr>
      <w:tr>
        <w:tblPrEx>
          <w:tblCellMar>
            <w:top w:w="0" w:type="dxa"/>
            <w:left w:w="108" w:type="dxa"/>
            <w:bottom w:w="0" w:type="dxa"/>
            <w:right w:w="108" w:type="dxa"/>
          </w:tblCellMar>
        </w:tblPrEx>
        <w:trPr>
          <w:trHeight w:val="249" w:hRule="atLeast"/>
          <w:jc w:val="center"/>
        </w:trPr>
        <w:tc>
          <w:tcPr>
            <w:tcW w:w="97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16</w:t>
            </w:r>
          </w:p>
        </w:tc>
        <w:tc>
          <w:tcPr>
            <w:tcW w:w="169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产出数量</w:t>
            </w:r>
          </w:p>
        </w:tc>
        <w:tc>
          <w:tcPr>
            <w:tcW w:w="6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新增红色旅游线路入选省级乡村旅游精品线路</w:t>
            </w:r>
          </w:p>
        </w:tc>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 xml:space="preserve"> 1 条</w:t>
            </w:r>
          </w:p>
        </w:tc>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1条</w:t>
            </w:r>
          </w:p>
        </w:tc>
      </w:tr>
      <w:tr>
        <w:tblPrEx>
          <w:tblCellMar>
            <w:top w:w="0" w:type="dxa"/>
            <w:left w:w="108" w:type="dxa"/>
            <w:bottom w:w="0" w:type="dxa"/>
            <w:right w:w="108" w:type="dxa"/>
          </w:tblCellMar>
        </w:tblPrEx>
        <w:trPr>
          <w:trHeight w:val="249" w:hRule="atLeast"/>
          <w:jc w:val="center"/>
        </w:trPr>
        <w:tc>
          <w:tcPr>
            <w:tcW w:w="97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17</w:t>
            </w:r>
          </w:p>
        </w:tc>
        <w:tc>
          <w:tcPr>
            <w:tcW w:w="169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产出质量</w:t>
            </w:r>
          </w:p>
        </w:tc>
        <w:tc>
          <w:tcPr>
            <w:tcW w:w="6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体育馆工程验收通过率</w:t>
            </w:r>
          </w:p>
        </w:tc>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100%</w:t>
            </w:r>
          </w:p>
        </w:tc>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未完成验收</w:t>
            </w:r>
          </w:p>
        </w:tc>
      </w:tr>
      <w:tr>
        <w:tblPrEx>
          <w:tblCellMar>
            <w:top w:w="0" w:type="dxa"/>
            <w:left w:w="108" w:type="dxa"/>
            <w:bottom w:w="0" w:type="dxa"/>
            <w:right w:w="108" w:type="dxa"/>
          </w:tblCellMar>
        </w:tblPrEx>
        <w:trPr>
          <w:trHeight w:val="249" w:hRule="atLeast"/>
          <w:jc w:val="center"/>
        </w:trPr>
        <w:tc>
          <w:tcPr>
            <w:tcW w:w="97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18</w:t>
            </w:r>
          </w:p>
        </w:tc>
        <w:tc>
          <w:tcPr>
            <w:tcW w:w="169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产出质量</w:t>
            </w:r>
          </w:p>
        </w:tc>
        <w:tc>
          <w:tcPr>
            <w:tcW w:w="6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地下停车场装饰装修工程完成率</w:t>
            </w:r>
          </w:p>
        </w:tc>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lang w:bidi="ar"/>
              </w:rPr>
              <w:t>0.5</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100%</w:t>
            </w:r>
          </w:p>
        </w:tc>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1</w:t>
            </w:r>
            <w:r>
              <w:rPr>
                <w:rFonts w:ascii="宋体" w:hAnsi="宋体" w:eastAsia="宋体" w:cs="宋体"/>
                <w:color w:val="000000"/>
                <w:sz w:val="21"/>
                <w:szCs w:val="21"/>
              </w:rPr>
              <w:t>00</w:t>
            </w:r>
            <w:r>
              <w:rPr>
                <w:rFonts w:hint="eastAsia" w:ascii="宋体" w:hAnsi="宋体" w:eastAsia="宋体" w:cs="宋体"/>
                <w:color w:val="000000"/>
                <w:sz w:val="21"/>
                <w:szCs w:val="21"/>
              </w:rPr>
              <w:t>%</w:t>
            </w:r>
          </w:p>
        </w:tc>
      </w:tr>
      <w:tr>
        <w:tblPrEx>
          <w:tblCellMar>
            <w:top w:w="0" w:type="dxa"/>
            <w:left w:w="108" w:type="dxa"/>
            <w:bottom w:w="0" w:type="dxa"/>
            <w:right w:w="108" w:type="dxa"/>
          </w:tblCellMar>
        </w:tblPrEx>
        <w:trPr>
          <w:trHeight w:val="249" w:hRule="atLeast"/>
          <w:jc w:val="center"/>
        </w:trPr>
        <w:tc>
          <w:tcPr>
            <w:tcW w:w="97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19</w:t>
            </w:r>
          </w:p>
        </w:tc>
        <w:tc>
          <w:tcPr>
            <w:tcW w:w="169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产出质量</w:t>
            </w:r>
          </w:p>
        </w:tc>
        <w:tc>
          <w:tcPr>
            <w:tcW w:w="6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体质监测任务达标率</w:t>
            </w:r>
          </w:p>
        </w:tc>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93%</w:t>
            </w:r>
          </w:p>
        </w:tc>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93%</w:t>
            </w:r>
          </w:p>
        </w:tc>
      </w:tr>
      <w:tr>
        <w:tblPrEx>
          <w:tblCellMar>
            <w:top w:w="0" w:type="dxa"/>
            <w:left w:w="108" w:type="dxa"/>
            <w:bottom w:w="0" w:type="dxa"/>
            <w:right w:w="108" w:type="dxa"/>
          </w:tblCellMar>
        </w:tblPrEx>
        <w:trPr>
          <w:trHeight w:val="249" w:hRule="atLeast"/>
          <w:jc w:val="center"/>
        </w:trPr>
        <w:tc>
          <w:tcPr>
            <w:tcW w:w="97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20</w:t>
            </w:r>
          </w:p>
        </w:tc>
        <w:tc>
          <w:tcPr>
            <w:tcW w:w="169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产出时效</w:t>
            </w:r>
          </w:p>
        </w:tc>
        <w:tc>
          <w:tcPr>
            <w:tcW w:w="6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eastAsia="宋体" w:cs="Times New Roman"/>
                <w:sz w:val="21"/>
                <w:szCs w:val="21"/>
                <w:lang w:bidi="ar"/>
              </w:rPr>
              <w:t>推进韶州历史文化博物馆布展</w:t>
            </w:r>
          </w:p>
        </w:tc>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0.5</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lang w:bidi="ar"/>
              </w:rPr>
              <w:t>0.5</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eastAsia="宋体" w:cs="Times New Roman"/>
                <w:sz w:val="21"/>
                <w:szCs w:val="21"/>
                <w:lang w:bidi="ar"/>
              </w:rPr>
            </w:pPr>
            <w:r>
              <w:rPr>
                <w:rFonts w:hint="eastAsia" w:eastAsia="宋体" w:cs="Times New Roman"/>
                <w:sz w:val="21"/>
                <w:szCs w:val="21"/>
                <w:lang w:bidi="ar"/>
              </w:rPr>
              <w:t>积极推动</w:t>
            </w:r>
          </w:p>
        </w:tc>
        <w:tc>
          <w:tcPr>
            <w:tcW w:w="210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eastAsia="宋体" w:cs="Times New Roman"/>
                <w:sz w:val="21"/>
                <w:szCs w:val="21"/>
              </w:rPr>
            </w:pPr>
            <w:r>
              <w:rPr>
                <w:rFonts w:hint="eastAsia" w:eastAsia="宋体" w:cs="Times New Roman"/>
                <w:sz w:val="21"/>
                <w:szCs w:val="21"/>
              </w:rPr>
              <w:t>积极推动</w:t>
            </w:r>
          </w:p>
        </w:tc>
      </w:tr>
      <w:tr>
        <w:tblPrEx>
          <w:tblCellMar>
            <w:top w:w="0" w:type="dxa"/>
            <w:left w:w="108" w:type="dxa"/>
            <w:bottom w:w="0" w:type="dxa"/>
            <w:right w:w="108" w:type="dxa"/>
          </w:tblCellMar>
        </w:tblPrEx>
        <w:trPr>
          <w:trHeight w:val="249" w:hRule="atLeast"/>
          <w:jc w:val="center"/>
        </w:trPr>
        <w:tc>
          <w:tcPr>
            <w:tcW w:w="9493"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合计</w:t>
            </w:r>
          </w:p>
        </w:tc>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lang w:bidi="ar"/>
              </w:rPr>
              <w:t>9.5</w:t>
            </w:r>
          </w:p>
        </w:tc>
        <w:tc>
          <w:tcPr>
            <w:tcW w:w="128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w:t>
            </w:r>
          </w:p>
        </w:tc>
        <w:tc>
          <w:tcPr>
            <w:tcW w:w="2106"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w:t>
            </w:r>
          </w:p>
        </w:tc>
      </w:tr>
    </w:tbl>
    <w:p>
      <w:pPr>
        <w:pStyle w:val="2"/>
        <w:ind w:firstLine="0" w:firstLineChars="0"/>
      </w:pPr>
    </w:p>
    <w:p>
      <w:pPr>
        <w:ind w:firstLine="640"/>
        <w:rPr>
          <w:rFonts w:eastAsia="黑体" w:cs="Times New Roman"/>
          <w:kern w:val="2"/>
          <w:szCs w:val="20"/>
        </w:rPr>
      </w:pPr>
      <w:bookmarkStart w:id="113" w:name="_Toc32500"/>
      <w:r>
        <w:rPr>
          <w:rFonts w:eastAsia="黑体" w:cs="Times New Roman"/>
          <w:kern w:val="2"/>
          <w:szCs w:val="20"/>
        </w:rPr>
        <w:br w:type="page"/>
      </w:r>
    </w:p>
    <w:p>
      <w:pPr>
        <w:pStyle w:val="5"/>
        <w:spacing w:before="0" w:beforeLines="0" w:after="0" w:afterLines="0"/>
        <w:ind w:firstLine="0" w:firstLineChars="0"/>
        <w:rPr>
          <w:rFonts w:ascii="CESI黑体-GB2312" w:hAnsi="CESI黑体-GB2312" w:eastAsia="CESI黑体-GB2312" w:cs="CESI黑体-GB2312"/>
          <w:b w:val="0"/>
          <w:bCs w:val="0"/>
          <w:kern w:val="2"/>
          <w:szCs w:val="20"/>
        </w:rPr>
      </w:pPr>
      <w:r>
        <w:rPr>
          <w:rFonts w:hint="eastAsia" w:ascii="CESI黑体-GB2312" w:hAnsi="CESI黑体-GB2312" w:eastAsia="CESI黑体-GB2312" w:cs="CESI黑体-GB2312"/>
          <w:b w:val="0"/>
          <w:bCs w:val="0"/>
          <w:kern w:val="2"/>
          <w:szCs w:val="20"/>
        </w:rPr>
        <w:t xml:space="preserve">附件1-3 </w:t>
      </w:r>
    </w:p>
    <w:p>
      <w:pPr>
        <w:widowControl w:val="0"/>
        <w:spacing w:line="560" w:lineRule="exact"/>
        <w:ind w:firstLine="640"/>
        <w:jc w:val="center"/>
        <w:rPr>
          <w:rFonts w:ascii="CESI宋体-GB2312" w:hAnsi="CESI宋体-GB2312" w:eastAsia="CESI宋体-GB2312" w:cs="CESI宋体-GB2312"/>
          <w:b/>
          <w:bCs/>
          <w:kern w:val="2"/>
        </w:rPr>
      </w:pPr>
      <w:r>
        <w:rPr>
          <w:rFonts w:hint="eastAsia" w:ascii="CESI宋体-GB2312" w:hAnsi="CESI宋体-GB2312" w:eastAsia="CESI宋体-GB2312" w:cs="CESI宋体-GB2312"/>
          <w:b/>
          <w:bCs/>
          <w:kern w:val="2"/>
        </w:rPr>
        <w:t>部门整体绩效目标效益指标完成情况</w:t>
      </w:r>
    </w:p>
    <w:tbl>
      <w:tblPr>
        <w:tblStyle w:val="30"/>
        <w:tblW w:w="0" w:type="auto"/>
        <w:tblInd w:w="96" w:type="dxa"/>
        <w:tblLayout w:type="fixed"/>
        <w:tblCellMar>
          <w:top w:w="0" w:type="dxa"/>
          <w:left w:w="108" w:type="dxa"/>
          <w:bottom w:w="0" w:type="dxa"/>
          <w:right w:w="108" w:type="dxa"/>
        </w:tblCellMar>
      </w:tblPr>
      <w:tblGrid>
        <w:gridCol w:w="1047"/>
        <w:gridCol w:w="1229"/>
        <w:gridCol w:w="3639"/>
        <w:gridCol w:w="1188"/>
        <w:gridCol w:w="1277"/>
        <w:gridCol w:w="2962"/>
        <w:gridCol w:w="2494"/>
      </w:tblGrid>
      <w:tr>
        <w:tblPrEx>
          <w:tblCellMar>
            <w:top w:w="0" w:type="dxa"/>
            <w:left w:w="108" w:type="dxa"/>
            <w:bottom w:w="0" w:type="dxa"/>
            <w:right w:w="108" w:type="dxa"/>
          </w:tblCellMar>
        </w:tblPrEx>
        <w:trPr>
          <w:trHeight w:val="552" w:hRule="atLeast"/>
        </w:trPr>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lang w:bidi="ar"/>
              </w:rPr>
              <w:t>序号</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lang w:bidi="ar"/>
              </w:rPr>
              <w:t>二级指标</w:t>
            </w:r>
          </w:p>
        </w:tc>
        <w:tc>
          <w:tcPr>
            <w:tcW w:w="3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lang w:bidi="ar"/>
              </w:rPr>
              <w:t>三级指标</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lang w:bidi="ar"/>
              </w:rPr>
              <w:t>权重</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lang w:bidi="ar"/>
              </w:rPr>
              <w:t>评分</w:t>
            </w:r>
          </w:p>
        </w:tc>
        <w:tc>
          <w:tcPr>
            <w:tcW w:w="29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lang w:bidi="ar"/>
              </w:rPr>
              <w:t>目标值</w:t>
            </w:r>
          </w:p>
        </w:tc>
        <w:tc>
          <w:tcPr>
            <w:tcW w:w="249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lang w:bidi="ar"/>
              </w:rPr>
              <w:t>全年实际完成值</w:t>
            </w:r>
          </w:p>
        </w:tc>
      </w:tr>
      <w:tr>
        <w:tblPrEx>
          <w:tblCellMar>
            <w:top w:w="0" w:type="dxa"/>
            <w:left w:w="108" w:type="dxa"/>
            <w:bottom w:w="0" w:type="dxa"/>
            <w:right w:w="108" w:type="dxa"/>
          </w:tblCellMar>
        </w:tblPrEx>
        <w:trPr>
          <w:trHeight w:val="681" w:hRule="atLeast"/>
        </w:trPr>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12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经济效益</w:t>
            </w:r>
          </w:p>
        </w:tc>
        <w:tc>
          <w:tcPr>
            <w:tcW w:w="3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全年旅游收入增长情况</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w:t>
            </w:r>
          </w:p>
        </w:tc>
        <w:tc>
          <w:tcPr>
            <w:tcW w:w="29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较上年增长</w:t>
            </w:r>
          </w:p>
        </w:tc>
        <w:tc>
          <w:tcPr>
            <w:tcW w:w="249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同比下降18.48%</w:t>
            </w:r>
          </w:p>
        </w:tc>
      </w:tr>
      <w:tr>
        <w:tblPrEx>
          <w:tblCellMar>
            <w:top w:w="0" w:type="dxa"/>
            <w:left w:w="108" w:type="dxa"/>
            <w:bottom w:w="0" w:type="dxa"/>
            <w:right w:w="108" w:type="dxa"/>
          </w:tblCellMar>
        </w:tblPrEx>
        <w:trPr>
          <w:trHeight w:val="681" w:hRule="atLeast"/>
        </w:trPr>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2</w:t>
            </w:r>
          </w:p>
        </w:tc>
        <w:tc>
          <w:tcPr>
            <w:tcW w:w="12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3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全年限额以上住宿企业营业额增长情况</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0</w:t>
            </w:r>
          </w:p>
        </w:tc>
        <w:tc>
          <w:tcPr>
            <w:tcW w:w="29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较上年增长</w:t>
            </w:r>
          </w:p>
        </w:tc>
        <w:tc>
          <w:tcPr>
            <w:tcW w:w="249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同比下降7.1%</w:t>
            </w:r>
          </w:p>
        </w:tc>
      </w:tr>
      <w:tr>
        <w:tblPrEx>
          <w:tblCellMar>
            <w:top w:w="0" w:type="dxa"/>
            <w:left w:w="108" w:type="dxa"/>
            <w:bottom w:w="0" w:type="dxa"/>
            <w:right w:w="108" w:type="dxa"/>
          </w:tblCellMar>
        </w:tblPrEx>
        <w:trPr>
          <w:trHeight w:val="681" w:hRule="atLeast"/>
        </w:trPr>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3</w:t>
            </w:r>
          </w:p>
        </w:tc>
        <w:tc>
          <w:tcPr>
            <w:tcW w:w="12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3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全年住宿业增加值同比增长情况</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29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较上年增长</w:t>
            </w:r>
          </w:p>
        </w:tc>
        <w:tc>
          <w:tcPr>
            <w:tcW w:w="249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同比增长4.1%</w:t>
            </w:r>
          </w:p>
        </w:tc>
      </w:tr>
      <w:tr>
        <w:tblPrEx>
          <w:tblCellMar>
            <w:top w:w="0" w:type="dxa"/>
            <w:left w:w="108" w:type="dxa"/>
            <w:bottom w:w="0" w:type="dxa"/>
            <w:right w:w="108" w:type="dxa"/>
          </w:tblCellMar>
        </w:tblPrEx>
        <w:trPr>
          <w:trHeight w:val="467" w:hRule="atLeast"/>
        </w:trPr>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4</w:t>
            </w:r>
          </w:p>
        </w:tc>
        <w:tc>
          <w:tcPr>
            <w:tcW w:w="12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社会效益</w:t>
            </w:r>
          </w:p>
        </w:tc>
        <w:tc>
          <w:tcPr>
            <w:tcW w:w="3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提升公共图书馆人均公共藏书量</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29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较上年增长</w:t>
            </w:r>
          </w:p>
        </w:tc>
        <w:tc>
          <w:tcPr>
            <w:tcW w:w="249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较上年增长</w:t>
            </w:r>
          </w:p>
        </w:tc>
      </w:tr>
      <w:tr>
        <w:tblPrEx>
          <w:tblCellMar>
            <w:top w:w="0" w:type="dxa"/>
            <w:left w:w="108" w:type="dxa"/>
            <w:bottom w:w="0" w:type="dxa"/>
            <w:right w:w="108" w:type="dxa"/>
          </w:tblCellMar>
        </w:tblPrEx>
        <w:trPr>
          <w:trHeight w:val="467" w:hRule="atLeast"/>
        </w:trPr>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5</w:t>
            </w:r>
          </w:p>
        </w:tc>
        <w:tc>
          <w:tcPr>
            <w:tcW w:w="12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3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提升公共文化场所等免费开放率</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29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100%</w:t>
            </w:r>
          </w:p>
        </w:tc>
        <w:tc>
          <w:tcPr>
            <w:tcW w:w="249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100%</w:t>
            </w:r>
          </w:p>
        </w:tc>
      </w:tr>
      <w:tr>
        <w:tblPrEx>
          <w:tblCellMar>
            <w:top w:w="0" w:type="dxa"/>
            <w:left w:w="108" w:type="dxa"/>
            <w:bottom w:w="0" w:type="dxa"/>
            <w:right w:w="108" w:type="dxa"/>
          </w:tblCellMar>
        </w:tblPrEx>
        <w:trPr>
          <w:trHeight w:val="467" w:hRule="atLeast"/>
        </w:trPr>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6</w:t>
            </w:r>
          </w:p>
        </w:tc>
        <w:tc>
          <w:tcPr>
            <w:tcW w:w="12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3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全民健身工程及健身路径覆盖率</w:t>
            </w:r>
          </w:p>
        </w:tc>
        <w:tc>
          <w:tcPr>
            <w:tcW w:w="1188" w:type="dxa"/>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1277" w:type="dxa"/>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2962" w:type="dxa"/>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构建15分钟健身圈</w:t>
            </w:r>
          </w:p>
        </w:tc>
        <w:tc>
          <w:tcPr>
            <w:tcW w:w="2494" w:type="dxa"/>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构建15分钟健身圈</w:t>
            </w:r>
          </w:p>
        </w:tc>
      </w:tr>
      <w:tr>
        <w:tblPrEx>
          <w:tblCellMar>
            <w:top w:w="0" w:type="dxa"/>
            <w:left w:w="108" w:type="dxa"/>
            <w:bottom w:w="0" w:type="dxa"/>
            <w:right w:w="108" w:type="dxa"/>
          </w:tblCellMar>
        </w:tblPrEx>
        <w:trPr>
          <w:trHeight w:val="467" w:hRule="atLeast"/>
        </w:trPr>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7</w:t>
            </w:r>
          </w:p>
        </w:tc>
        <w:tc>
          <w:tcPr>
            <w:tcW w:w="12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3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提升公共体育场地设施开放率</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29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100%</w:t>
            </w:r>
          </w:p>
        </w:tc>
        <w:tc>
          <w:tcPr>
            <w:tcW w:w="249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100%</w:t>
            </w:r>
          </w:p>
        </w:tc>
      </w:tr>
      <w:tr>
        <w:tblPrEx>
          <w:tblCellMar>
            <w:top w:w="0" w:type="dxa"/>
            <w:left w:w="108" w:type="dxa"/>
            <w:bottom w:w="0" w:type="dxa"/>
            <w:right w:w="108" w:type="dxa"/>
          </w:tblCellMar>
        </w:tblPrEx>
        <w:trPr>
          <w:trHeight w:val="681" w:hRule="atLeast"/>
        </w:trPr>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8</w:t>
            </w:r>
          </w:p>
        </w:tc>
        <w:tc>
          <w:tcPr>
            <w:tcW w:w="12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3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有效净化市场环境</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12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2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无安全播出事故</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无安全播出事故</w:t>
            </w:r>
          </w:p>
        </w:tc>
      </w:tr>
      <w:tr>
        <w:tblPrEx>
          <w:tblCellMar>
            <w:top w:w="0" w:type="dxa"/>
            <w:left w:w="108" w:type="dxa"/>
            <w:bottom w:w="0" w:type="dxa"/>
            <w:right w:w="108" w:type="dxa"/>
          </w:tblCellMar>
        </w:tblPrEx>
        <w:trPr>
          <w:trHeight w:val="467" w:hRule="atLeast"/>
        </w:trPr>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9</w:t>
            </w:r>
          </w:p>
        </w:tc>
        <w:tc>
          <w:tcPr>
            <w:tcW w:w="12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3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提升韶关旅游知名度</w:t>
            </w: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12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2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有效提升</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有效提升</w:t>
            </w:r>
          </w:p>
        </w:tc>
      </w:tr>
      <w:tr>
        <w:tblPrEx>
          <w:tblCellMar>
            <w:top w:w="0" w:type="dxa"/>
            <w:left w:w="108" w:type="dxa"/>
            <w:bottom w:w="0" w:type="dxa"/>
            <w:right w:w="108" w:type="dxa"/>
          </w:tblCellMar>
        </w:tblPrEx>
        <w:trPr>
          <w:trHeight w:val="681" w:hRule="atLeast"/>
        </w:trPr>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10</w:t>
            </w:r>
          </w:p>
        </w:tc>
        <w:tc>
          <w:tcPr>
            <w:tcW w:w="12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1"/>
                <w:szCs w:val="21"/>
              </w:rPr>
            </w:pPr>
          </w:p>
        </w:tc>
        <w:tc>
          <w:tcPr>
            <w:tcW w:w="36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提升韶关旅游住宿品质</w:t>
            </w: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ascii="宋体" w:hAnsi="宋体" w:eastAsia="宋体" w:cs="宋体"/>
                <w:color w:val="000000"/>
                <w:sz w:val="21"/>
                <w:szCs w:val="21"/>
                <w:lang w:bidi="ar"/>
              </w:rPr>
              <w:t>1</w:t>
            </w:r>
          </w:p>
        </w:tc>
        <w:tc>
          <w:tcPr>
            <w:tcW w:w="296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每年平均新增16家星级民宿</w:t>
            </w:r>
          </w:p>
        </w:tc>
        <w:tc>
          <w:tcPr>
            <w:tcW w:w="249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新增1</w:t>
            </w:r>
            <w:r>
              <w:rPr>
                <w:rFonts w:ascii="宋体" w:hAnsi="宋体" w:eastAsia="宋体" w:cs="宋体"/>
                <w:color w:val="000000"/>
                <w:sz w:val="21"/>
                <w:szCs w:val="21"/>
                <w:lang w:bidi="ar"/>
              </w:rPr>
              <w:t>6</w:t>
            </w:r>
            <w:r>
              <w:rPr>
                <w:rFonts w:hint="eastAsia" w:ascii="宋体" w:hAnsi="宋体" w:eastAsia="宋体" w:cs="宋体"/>
                <w:color w:val="000000"/>
                <w:sz w:val="21"/>
                <w:szCs w:val="21"/>
                <w:lang w:bidi="ar"/>
              </w:rPr>
              <w:t>家星级民宿</w:t>
            </w:r>
          </w:p>
        </w:tc>
      </w:tr>
      <w:tr>
        <w:tblPrEx>
          <w:tblCellMar>
            <w:top w:w="0" w:type="dxa"/>
            <w:left w:w="108" w:type="dxa"/>
            <w:bottom w:w="0" w:type="dxa"/>
            <w:right w:w="108" w:type="dxa"/>
          </w:tblCellMar>
        </w:tblPrEx>
        <w:trPr>
          <w:trHeight w:val="527" w:hRule="atLeast"/>
        </w:trPr>
        <w:tc>
          <w:tcPr>
            <w:tcW w:w="59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42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合计</w:t>
            </w: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42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10</w:t>
            </w:r>
          </w:p>
        </w:tc>
        <w:tc>
          <w:tcPr>
            <w:tcW w:w="12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420"/>
              <w:jc w:val="both"/>
              <w:textAlignment w:val="center"/>
              <w:rPr>
                <w:rFonts w:ascii="宋体" w:hAnsi="宋体" w:eastAsia="宋体" w:cs="宋体"/>
                <w:color w:val="000000"/>
                <w:sz w:val="21"/>
                <w:szCs w:val="21"/>
              </w:rPr>
            </w:pPr>
            <w:r>
              <w:rPr>
                <w:rFonts w:ascii="宋体" w:hAnsi="宋体" w:eastAsia="宋体" w:cs="宋体"/>
                <w:color w:val="000000"/>
                <w:sz w:val="21"/>
                <w:szCs w:val="21"/>
                <w:lang w:bidi="ar"/>
              </w:rPr>
              <w:t>8</w:t>
            </w:r>
          </w:p>
        </w:tc>
        <w:tc>
          <w:tcPr>
            <w:tcW w:w="2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42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42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lang w:bidi="ar"/>
              </w:rPr>
              <w:t>-</w:t>
            </w:r>
          </w:p>
        </w:tc>
      </w:tr>
    </w:tbl>
    <w:p>
      <w:pPr>
        <w:pStyle w:val="2"/>
        <w:ind w:firstLine="0" w:firstLineChars="0"/>
      </w:pPr>
    </w:p>
    <w:p>
      <w:pPr>
        <w:rPr>
          <w:rFonts w:hint="eastAsia" w:ascii="CESI黑体-GB2312" w:hAnsi="CESI黑体-GB2312" w:eastAsia="CESI黑体-GB2312" w:cs="CESI黑体-GB2312"/>
          <w:b w:val="0"/>
          <w:bCs w:val="0"/>
          <w:kern w:val="2"/>
          <w:szCs w:val="20"/>
        </w:rPr>
      </w:pPr>
      <w:r>
        <w:rPr>
          <w:rFonts w:hint="eastAsia" w:ascii="CESI黑体-GB2312" w:hAnsi="CESI黑体-GB2312" w:eastAsia="CESI黑体-GB2312" w:cs="CESI黑体-GB2312"/>
          <w:b w:val="0"/>
          <w:bCs w:val="0"/>
          <w:kern w:val="2"/>
          <w:szCs w:val="20"/>
        </w:rPr>
        <w:br w:type="page"/>
      </w:r>
    </w:p>
    <w:p>
      <w:pPr>
        <w:pStyle w:val="5"/>
        <w:spacing w:before="0" w:beforeLines="0" w:after="0" w:afterLines="0"/>
        <w:ind w:firstLine="0" w:firstLineChars="0"/>
        <w:rPr>
          <w:rFonts w:ascii="CESI黑体-GB2312" w:hAnsi="CESI黑体-GB2312" w:eastAsia="CESI黑体-GB2312" w:cs="CESI黑体-GB2312"/>
          <w:b w:val="0"/>
          <w:bCs w:val="0"/>
          <w:kern w:val="2"/>
          <w:szCs w:val="20"/>
        </w:rPr>
      </w:pPr>
      <w:r>
        <w:rPr>
          <w:rFonts w:hint="eastAsia" w:ascii="CESI黑体-GB2312" w:hAnsi="CESI黑体-GB2312" w:eastAsia="CESI黑体-GB2312" w:cs="CESI黑体-GB2312"/>
          <w:b w:val="0"/>
          <w:bCs w:val="0"/>
          <w:kern w:val="2"/>
          <w:szCs w:val="20"/>
        </w:rPr>
        <w:t xml:space="preserve">附件1-4 </w:t>
      </w:r>
    </w:p>
    <w:p>
      <w:pPr>
        <w:widowControl w:val="0"/>
        <w:spacing w:line="560" w:lineRule="exact"/>
        <w:ind w:firstLine="0" w:firstLineChars="0"/>
        <w:jc w:val="center"/>
        <w:rPr>
          <w:rFonts w:ascii="CESI宋体-GB2312" w:hAnsi="CESI宋体-GB2312" w:eastAsia="CESI宋体-GB2312" w:cs="CESI宋体-GB2312"/>
          <w:b/>
          <w:bCs/>
          <w:kern w:val="2"/>
        </w:rPr>
      </w:pPr>
      <w:r>
        <w:rPr>
          <w:rFonts w:hint="eastAsia" w:ascii="CESI宋体-GB2312" w:hAnsi="CESI宋体-GB2312" w:eastAsia="CESI宋体-GB2312" w:cs="CESI宋体-GB2312"/>
          <w:b/>
          <w:bCs/>
          <w:kern w:val="2"/>
        </w:rPr>
        <w:t>中省资金绩效完成情况</w:t>
      </w:r>
    </w:p>
    <w:tbl>
      <w:tblPr>
        <w:tblStyle w:val="30"/>
        <w:tblW w:w="514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1861"/>
        <w:gridCol w:w="5641"/>
        <w:gridCol w:w="1018"/>
        <w:gridCol w:w="1062"/>
        <w:gridCol w:w="1619"/>
        <w:gridCol w:w="2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33" w:type="pct"/>
            <w:shd w:val="clear" w:color="auto" w:fill="auto"/>
            <w:noWrap/>
            <w:vAlign w:val="center"/>
          </w:tcPr>
          <w:p>
            <w:pPr>
              <w:spacing w:line="240" w:lineRule="auto"/>
              <w:ind w:firstLine="0" w:firstLineChars="0"/>
              <w:jc w:val="center"/>
              <w:textAlignment w:val="center"/>
              <w:rPr>
                <w:rFonts w:ascii="宋体" w:hAnsi="宋体" w:eastAsia="宋体" w:cs="宋体"/>
                <w:b/>
                <w:bCs/>
                <w:color w:val="000000"/>
                <w:sz w:val="21"/>
                <w:szCs w:val="21"/>
                <w:lang w:bidi="ar"/>
              </w:rPr>
            </w:pPr>
            <w:r>
              <w:rPr>
                <w:rFonts w:hint="eastAsia" w:ascii="宋体" w:hAnsi="宋体" w:eastAsia="宋体" w:cs="宋体"/>
                <w:b/>
                <w:bCs/>
                <w:color w:val="000000"/>
                <w:sz w:val="21"/>
                <w:szCs w:val="21"/>
                <w:lang w:bidi="ar"/>
              </w:rPr>
              <w:t>序号</w:t>
            </w:r>
          </w:p>
        </w:tc>
        <w:tc>
          <w:tcPr>
            <w:tcW w:w="638" w:type="pct"/>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lang w:bidi="ar"/>
              </w:rPr>
            </w:pPr>
            <w:r>
              <w:rPr>
                <w:rFonts w:hint="eastAsia" w:ascii="宋体" w:hAnsi="宋体" w:eastAsia="宋体" w:cs="宋体"/>
                <w:b/>
                <w:bCs/>
                <w:color w:val="000000"/>
                <w:sz w:val="21"/>
                <w:szCs w:val="21"/>
                <w:lang w:bidi="ar"/>
              </w:rPr>
              <w:t>任务目标</w:t>
            </w:r>
          </w:p>
        </w:tc>
        <w:tc>
          <w:tcPr>
            <w:tcW w:w="1933" w:type="pct"/>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lang w:bidi="ar"/>
              </w:rPr>
            </w:pPr>
            <w:r>
              <w:rPr>
                <w:rFonts w:hint="eastAsia" w:ascii="宋体" w:hAnsi="宋体" w:eastAsia="宋体" w:cs="宋体"/>
                <w:b/>
                <w:bCs/>
                <w:color w:val="000000"/>
                <w:sz w:val="21"/>
                <w:szCs w:val="21"/>
                <w:lang w:bidi="ar"/>
              </w:rPr>
              <w:t>三级指标</w:t>
            </w:r>
          </w:p>
        </w:tc>
        <w:tc>
          <w:tcPr>
            <w:tcW w:w="349" w:type="pct"/>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lang w:bidi="ar"/>
              </w:rPr>
            </w:pPr>
            <w:r>
              <w:rPr>
                <w:rFonts w:hint="eastAsia" w:ascii="宋体" w:hAnsi="宋体" w:eastAsia="宋体" w:cs="宋体"/>
                <w:b/>
                <w:bCs/>
                <w:color w:val="000000"/>
                <w:sz w:val="21"/>
                <w:szCs w:val="21"/>
                <w:lang w:bidi="ar"/>
              </w:rPr>
              <w:t>权重</w:t>
            </w:r>
          </w:p>
        </w:tc>
        <w:tc>
          <w:tcPr>
            <w:tcW w:w="364" w:type="pct"/>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lang w:bidi="ar"/>
              </w:rPr>
            </w:pPr>
            <w:r>
              <w:rPr>
                <w:rFonts w:hint="eastAsia" w:ascii="宋体" w:hAnsi="宋体" w:eastAsia="宋体" w:cs="宋体"/>
                <w:b/>
                <w:bCs/>
                <w:color w:val="000000"/>
                <w:sz w:val="21"/>
                <w:szCs w:val="21"/>
                <w:lang w:bidi="ar"/>
              </w:rPr>
              <w:t>评分</w:t>
            </w:r>
          </w:p>
        </w:tc>
        <w:tc>
          <w:tcPr>
            <w:tcW w:w="555" w:type="pct"/>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lang w:bidi="ar"/>
              </w:rPr>
            </w:pPr>
            <w:r>
              <w:rPr>
                <w:rFonts w:hint="eastAsia" w:ascii="宋体" w:hAnsi="宋体" w:eastAsia="宋体" w:cs="宋体"/>
                <w:b/>
                <w:bCs/>
                <w:color w:val="000000"/>
                <w:sz w:val="21"/>
                <w:szCs w:val="21"/>
                <w:lang w:bidi="ar"/>
              </w:rPr>
              <w:t>目标值</w:t>
            </w:r>
          </w:p>
        </w:tc>
        <w:tc>
          <w:tcPr>
            <w:tcW w:w="925" w:type="pct"/>
            <w:shd w:val="clear" w:color="auto" w:fill="auto"/>
            <w:vAlign w:val="center"/>
          </w:tcPr>
          <w:p>
            <w:pPr>
              <w:spacing w:line="240" w:lineRule="auto"/>
              <w:ind w:firstLine="0" w:firstLineChars="0"/>
              <w:jc w:val="center"/>
              <w:textAlignment w:val="center"/>
              <w:rPr>
                <w:rFonts w:ascii="宋体" w:hAnsi="宋体" w:eastAsia="宋体" w:cs="宋体"/>
                <w:b/>
                <w:bCs/>
                <w:color w:val="000000"/>
                <w:sz w:val="21"/>
                <w:szCs w:val="21"/>
                <w:lang w:bidi="ar"/>
              </w:rPr>
            </w:pPr>
            <w:r>
              <w:rPr>
                <w:rFonts w:hint="eastAsia" w:ascii="宋体" w:hAnsi="宋体" w:eastAsia="宋体" w:cs="宋体"/>
                <w:b/>
                <w:bCs/>
                <w:color w:val="000000"/>
                <w:sz w:val="21"/>
                <w:szCs w:val="21"/>
                <w:lang w:bidi="ar"/>
              </w:rPr>
              <w:t>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638" w:type="pct"/>
            <w:vMerge w:val="restar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公共文化服务体系提升任务完成情况</w:t>
            </w:r>
          </w:p>
        </w:tc>
        <w:tc>
          <w:tcPr>
            <w:tcW w:w="19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新建或改扩建体育公园项目数</w:t>
            </w:r>
          </w:p>
        </w:tc>
        <w:tc>
          <w:tcPr>
            <w:tcW w:w="349"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364"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55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1个</w:t>
            </w:r>
          </w:p>
        </w:tc>
        <w:tc>
          <w:tcPr>
            <w:tcW w:w="92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2</w:t>
            </w:r>
          </w:p>
        </w:tc>
        <w:tc>
          <w:tcPr>
            <w:tcW w:w="638" w:type="pct"/>
            <w:vMerge w:val="continue"/>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p>
        </w:tc>
        <w:tc>
          <w:tcPr>
            <w:tcW w:w="19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提升人均体育场地面积</w:t>
            </w:r>
          </w:p>
        </w:tc>
        <w:tc>
          <w:tcPr>
            <w:tcW w:w="349"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364"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55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2.6平方米</w:t>
            </w:r>
          </w:p>
        </w:tc>
        <w:tc>
          <w:tcPr>
            <w:tcW w:w="92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2.81平方米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3</w:t>
            </w:r>
          </w:p>
        </w:tc>
        <w:tc>
          <w:tcPr>
            <w:tcW w:w="638" w:type="pct"/>
            <w:vMerge w:val="continue"/>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p>
        </w:tc>
        <w:tc>
          <w:tcPr>
            <w:tcW w:w="19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濒危剧种开展惠民演出数量（场次）</w:t>
            </w:r>
          </w:p>
        </w:tc>
        <w:tc>
          <w:tcPr>
            <w:tcW w:w="349"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364"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ascii="宋体" w:hAnsi="宋体" w:eastAsia="宋体" w:cs="宋体"/>
                <w:color w:val="000000"/>
                <w:sz w:val="21"/>
                <w:szCs w:val="21"/>
                <w:lang w:bidi="ar"/>
              </w:rPr>
              <w:t>1</w:t>
            </w:r>
          </w:p>
        </w:tc>
        <w:tc>
          <w:tcPr>
            <w:tcW w:w="55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100场次</w:t>
            </w:r>
          </w:p>
        </w:tc>
        <w:tc>
          <w:tcPr>
            <w:tcW w:w="92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ascii="宋体" w:hAnsi="宋体" w:eastAsia="宋体" w:cs="宋体"/>
                <w:color w:val="000000"/>
                <w:sz w:val="21"/>
                <w:szCs w:val="21"/>
                <w:lang w:bidi="ar"/>
              </w:rPr>
              <w:t>100</w:t>
            </w:r>
            <w:r>
              <w:rPr>
                <w:rFonts w:hint="eastAsia" w:ascii="宋体" w:hAnsi="宋体" w:eastAsia="宋体" w:cs="宋体"/>
                <w:color w:val="000000"/>
                <w:sz w:val="21"/>
                <w:szCs w:val="21"/>
                <w:lang w:bidi="ar"/>
              </w:rPr>
              <w:t>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4</w:t>
            </w:r>
          </w:p>
        </w:tc>
        <w:tc>
          <w:tcPr>
            <w:tcW w:w="638" w:type="pct"/>
            <w:vMerge w:val="continue"/>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p>
        </w:tc>
        <w:tc>
          <w:tcPr>
            <w:tcW w:w="19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每个行政村戏曲进乡村活动数量（场次）</w:t>
            </w:r>
          </w:p>
        </w:tc>
        <w:tc>
          <w:tcPr>
            <w:tcW w:w="349"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364"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0</w:t>
            </w:r>
          </w:p>
        </w:tc>
        <w:tc>
          <w:tcPr>
            <w:tcW w:w="55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385场次</w:t>
            </w:r>
          </w:p>
        </w:tc>
        <w:tc>
          <w:tcPr>
            <w:tcW w:w="92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107场次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5</w:t>
            </w:r>
          </w:p>
        </w:tc>
        <w:tc>
          <w:tcPr>
            <w:tcW w:w="638" w:type="pct"/>
            <w:vMerge w:val="continue"/>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p>
        </w:tc>
        <w:tc>
          <w:tcPr>
            <w:tcW w:w="19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举办家门口的小剧场文艺惠民系列活动</w:t>
            </w:r>
          </w:p>
        </w:tc>
        <w:tc>
          <w:tcPr>
            <w:tcW w:w="349"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364"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ascii="宋体" w:hAnsi="宋体" w:eastAsia="宋体" w:cs="宋体"/>
                <w:color w:val="000000"/>
                <w:sz w:val="21"/>
                <w:szCs w:val="21"/>
                <w:lang w:bidi="ar"/>
              </w:rPr>
              <w:t>1</w:t>
            </w:r>
          </w:p>
        </w:tc>
        <w:tc>
          <w:tcPr>
            <w:tcW w:w="55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24场</w:t>
            </w:r>
          </w:p>
        </w:tc>
        <w:tc>
          <w:tcPr>
            <w:tcW w:w="92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ascii="宋体" w:hAnsi="宋体" w:eastAsia="宋体" w:cs="宋体"/>
                <w:color w:val="000000"/>
                <w:sz w:val="21"/>
                <w:szCs w:val="21"/>
                <w:lang w:bidi="ar"/>
              </w:rPr>
              <w:t>24</w:t>
            </w:r>
            <w:r>
              <w:rPr>
                <w:rFonts w:hint="eastAsia" w:ascii="宋体" w:hAnsi="宋体" w:eastAsia="宋体" w:cs="宋体"/>
                <w:color w:val="000000"/>
                <w:sz w:val="21"/>
                <w:szCs w:val="21"/>
                <w:lang w:bidi="ar"/>
              </w:rPr>
              <w:t>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6</w:t>
            </w:r>
          </w:p>
        </w:tc>
        <w:tc>
          <w:tcPr>
            <w:tcW w:w="638" w:type="pct"/>
            <w:vMerge w:val="continue"/>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p>
        </w:tc>
        <w:tc>
          <w:tcPr>
            <w:tcW w:w="19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组织开展群文活动次数</w:t>
            </w:r>
          </w:p>
        </w:tc>
        <w:tc>
          <w:tcPr>
            <w:tcW w:w="349"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364"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0</w:t>
            </w:r>
          </w:p>
        </w:tc>
        <w:tc>
          <w:tcPr>
            <w:tcW w:w="55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6大类</w:t>
            </w:r>
          </w:p>
        </w:tc>
        <w:tc>
          <w:tcPr>
            <w:tcW w:w="92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5大类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7</w:t>
            </w:r>
          </w:p>
        </w:tc>
        <w:tc>
          <w:tcPr>
            <w:tcW w:w="638" w:type="pct"/>
            <w:vMerge w:val="continue"/>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p>
        </w:tc>
        <w:tc>
          <w:tcPr>
            <w:tcW w:w="19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开展国家级非物质文化遗产项目《粤北采茶戏》保护传承工作创排项目数</w:t>
            </w:r>
          </w:p>
        </w:tc>
        <w:tc>
          <w:tcPr>
            <w:tcW w:w="349"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364"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55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6项</w:t>
            </w:r>
          </w:p>
        </w:tc>
        <w:tc>
          <w:tcPr>
            <w:tcW w:w="925"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6项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8</w:t>
            </w:r>
          </w:p>
        </w:tc>
        <w:tc>
          <w:tcPr>
            <w:tcW w:w="638" w:type="pct"/>
            <w:vMerge w:val="continue"/>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p>
        </w:tc>
        <w:tc>
          <w:tcPr>
            <w:tcW w:w="19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开展广东公共文化服务“三百工程”进基层展演次数</w:t>
            </w:r>
          </w:p>
        </w:tc>
        <w:tc>
          <w:tcPr>
            <w:tcW w:w="349"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364"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55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4场</w:t>
            </w:r>
          </w:p>
        </w:tc>
        <w:tc>
          <w:tcPr>
            <w:tcW w:w="925"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4场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9</w:t>
            </w:r>
          </w:p>
        </w:tc>
        <w:tc>
          <w:tcPr>
            <w:tcW w:w="638" w:type="pct"/>
            <w:vMerge w:val="continue"/>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p>
        </w:tc>
        <w:tc>
          <w:tcPr>
            <w:tcW w:w="19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完成岭南书院建设</w:t>
            </w:r>
          </w:p>
        </w:tc>
        <w:tc>
          <w:tcPr>
            <w:tcW w:w="349"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364"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0</w:t>
            </w:r>
          </w:p>
        </w:tc>
        <w:tc>
          <w:tcPr>
            <w:tcW w:w="55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100%</w:t>
            </w:r>
          </w:p>
        </w:tc>
        <w:tc>
          <w:tcPr>
            <w:tcW w:w="92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未完成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10</w:t>
            </w:r>
          </w:p>
        </w:tc>
        <w:tc>
          <w:tcPr>
            <w:tcW w:w="638" w:type="pct"/>
            <w:vMerge w:val="continue"/>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p>
        </w:tc>
        <w:tc>
          <w:tcPr>
            <w:tcW w:w="19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完成综合性文化服务中心提质增效任务数</w:t>
            </w:r>
          </w:p>
        </w:tc>
        <w:tc>
          <w:tcPr>
            <w:tcW w:w="349"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364"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55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720个</w:t>
            </w:r>
          </w:p>
        </w:tc>
        <w:tc>
          <w:tcPr>
            <w:tcW w:w="92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748个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11</w:t>
            </w:r>
          </w:p>
        </w:tc>
        <w:tc>
          <w:tcPr>
            <w:tcW w:w="638" w:type="pct"/>
            <w:vMerge w:val="continue"/>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p>
        </w:tc>
        <w:tc>
          <w:tcPr>
            <w:tcW w:w="19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韶关市博物馆免费开放天数</w:t>
            </w:r>
          </w:p>
        </w:tc>
        <w:tc>
          <w:tcPr>
            <w:tcW w:w="349"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364"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55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276天</w:t>
            </w:r>
          </w:p>
        </w:tc>
        <w:tc>
          <w:tcPr>
            <w:tcW w:w="92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276天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12</w:t>
            </w:r>
          </w:p>
        </w:tc>
        <w:tc>
          <w:tcPr>
            <w:tcW w:w="638" w:type="pct"/>
            <w:vMerge w:val="restar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支持体育事业发展任务完成情况</w:t>
            </w:r>
          </w:p>
        </w:tc>
        <w:tc>
          <w:tcPr>
            <w:tcW w:w="19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参加全民健身赛事活动人次</w:t>
            </w:r>
          </w:p>
        </w:tc>
        <w:tc>
          <w:tcPr>
            <w:tcW w:w="349"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364"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55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2500人次</w:t>
            </w:r>
          </w:p>
        </w:tc>
        <w:tc>
          <w:tcPr>
            <w:tcW w:w="92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2638人次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13</w:t>
            </w:r>
          </w:p>
        </w:tc>
        <w:tc>
          <w:tcPr>
            <w:tcW w:w="638" w:type="pct"/>
            <w:vMerge w:val="continue"/>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p>
        </w:tc>
        <w:tc>
          <w:tcPr>
            <w:tcW w:w="19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参加国家体育锻炼标准达标测验活动人次</w:t>
            </w:r>
          </w:p>
        </w:tc>
        <w:tc>
          <w:tcPr>
            <w:tcW w:w="349"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364"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55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500人次</w:t>
            </w:r>
          </w:p>
        </w:tc>
        <w:tc>
          <w:tcPr>
            <w:tcW w:w="92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502人次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14</w:t>
            </w:r>
          </w:p>
        </w:tc>
        <w:tc>
          <w:tcPr>
            <w:tcW w:w="638" w:type="pct"/>
            <w:vMerge w:val="continue"/>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p>
        </w:tc>
        <w:tc>
          <w:tcPr>
            <w:tcW w:w="19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全民健身赛事活动完成及时率</w:t>
            </w:r>
          </w:p>
        </w:tc>
        <w:tc>
          <w:tcPr>
            <w:tcW w:w="349"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364"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0</w:t>
            </w:r>
          </w:p>
        </w:tc>
        <w:tc>
          <w:tcPr>
            <w:tcW w:w="55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100%</w:t>
            </w:r>
          </w:p>
        </w:tc>
        <w:tc>
          <w:tcPr>
            <w:tcW w:w="92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4场赛事，受疫情影响，有3场赛事未能如期举办。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15</w:t>
            </w:r>
          </w:p>
        </w:tc>
        <w:tc>
          <w:tcPr>
            <w:tcW w:w="638" w:type="pct"/>
            <w:vMerge w:val="continue"/>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p>
        </w:tc>
        <w:tc>
          <w:tcPr>
            <w:tcW w:w="19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确保体育场馆每天免费低收费开放时间</w:t>
            </w:r>
          </w:p>
        </w:tc>
        <w:tc>
          <w:tcPr>
            <w:tcW w:w="349"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364"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55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不少于8小时</w:t>
            </w:r>
          </w:p>
        </w:tc>
        <w:tc>
          <w:tcPr>
            <w:tcW w:w="92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16</w:t>
            </w:r>
          </w:p>
        </w:tc>
        <w:tc>
          <w:tcPr>
            <w:tcW w:w="638" w:type="pct"/>
            <w:vMerge w:val="continue"/>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p>
        </w:tc>
        <w:tc>
          <w:tcPr>
            <w:tcW w:w="1933"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体质健康状况监测样本采集样本数</w:t>
            </w:r>
          </w:p>
        </w:tc>
        <w:tc>
          <w:tcPr>
            <w:tcW w:w="349"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364"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55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3360例</w:t>
            </w:r>
          </w:p>
        </w:tc>
        <w:tc>
          <w:tcPr>
            <w:tcW w:w="92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3657例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17</w:t>
            </w:r>
          </w:p>
        </w:tc>
        <w:tc>
          <w:tcPr>
            <w:tcW w:w="638" w:type="pct"/>
            <w:vMerge w:val="restar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促进旅游发展任务完成情况</w:t>
            </w:r>
          </w:p>
        </w:tc>
        <w:tc>
          <w:tcPr>
            <w:tcW w:w="19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文旅消费券发放完成率</w:t>
            </w:r>
          </w:p>
        </w:tc>
        <w:tc>
          <w:tcPr>
            <w:tcW w:w="349"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364"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55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100%</w:t>
            </w:r>
          </w:p>
        </w:tc>
        <w:tc>
          <w:tcPr>
            <w:tcW w:w="92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18</w:t>
            </w:r>
          </w:p>
        </w:tc>
        <w:tc>
          <w:tcPr>
            <w:tcW w:w="638" w:type="pct"/>
            <w:vMerge w:val="continue"/>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p>
        </w:tc>
        <w:tc>
          <w:tcPr>
            <w:tcW w:w="19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举办促文旅消费活动次数</w:t>
            </w:r>
          </w:p>
        </w:tc>
        <w:tc>
          <w:tcPr>
            <w:tcW w:w="349"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364"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555"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4次</w:t>
            </w:r>
          </w:p>
        </w:tc>
        <w:tc>
          <w:tcPr>
            <w:tcW w:w="925"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4次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19</w:t>
            </w:r>
          </w:p>
        </w:tc>
        <w:tc>
          <w:tcPr>
            <w:tcW w:w="638" w:type="pct"/>
            <w:vMerge w:val="continue"/>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p>
        </w:tc>
        <w:tc>
          <w:tcPr>
            <w:tcW w:w="19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A级景区应对疫情纾困发展帮扶</w:t>
            </w:r>
          </w:p>
        </w:tc>
        <w:tc>
          <w:tcPr>
            <w:tcW w:w="349"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364"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55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9家</w:t>
            </w:r>
          </w:p>
        </w:tc>
        <w:tc>
          <w:tcPr>
            <w:tcW w:w="925"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9家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20</w:t>
            </w:r>
          </w:p>
        </w:tc>
        <w:tc>
          <w:tcPr>
            <w:tcW w:w="638"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广电基础设施提升任务完成情况</w:t>
            </w:r>
          </w:p>
        </w:tc>
        <w:tc>
          <w:tcPr>
            <w:tcW w:w="1933"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广电基础设施建设（含直播卫星户户通工程高清化改造、发射台基础设施、县级台高清化等工程）达标占比</w:t>
            </w:r>
          </w:p>
        </w:tc>
        <w:tc>
          <w:tcPr>
            <w:tcW w:w="349"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364"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p>
        </w:tc>
        <w:tc>
          <w:tcPr>
            <w:tcW w:w="555" w:type="pct"/>
            <w:shd w:val="clear" w:color="auto" w:fill="FFFFFF"/>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≥15%</w:t>
            </w:r>
          </w:p>
        </w:tc>
        <w:tc>
          <w:tcPr>
            <w:tcW w:w="925" w:type="pct"/>
            <w:shd w:val="clear" w:color="auto" w:fill="auto"/>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2805" w:type="pct"/>
            <w:gridSpan w:val="3"/>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合计</w:t>
            </w:r>
          </w:p>
        </w:tc>
        <w:tc>
          <w:tcPr>
            <w:tcW w:w="349" w:type="pct"/>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20</w:t>
            </w:r>
          </w:p>
        </w:tc>
        <w:tc>
          <w:tcPr>
            <w:tcW w:w="364" w:type="pct"/>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1</w:t>
            </w:r>
            <w:r>
              <w:rPr>
                <w:rFonts w:ascii="宋体" w:hAnsi="宋体" w:eastAsia="宋体" w:cs="宋体"/>
                <w:color w:val="000000"/>
                <w:sz w:val="21"/>
                <w:szCs w:val="21"/>
                <w:lang w:bidi="ar"/>
              </w:rPr>
              <w:t>6</w:t>
            </w:r>
          </w:p>
        </w:tc>
        <w:tc>
          <w:tcPr>
            <w:tcW w:w="555" w:type="pct"/>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w:t>
            </w:r>
          </w:p>
        </w:tc>
        <w:tc>
          <w:tcPr>
            <w:tcW w:w="925" w:type="pct"/>
            <w:shd w:val="clear" w:color="auto" w:fill="auto"/>
            <w:noWrap/>
            <w:vAlign w:val="center"/>
          </w:tcPr>
          <w:p>
            <w:pPr>
              <w:spacing w:line="240" w:lineRule="auto"/>
              <w:ind w:firstLine="0" w:firstLineChars="0"/>
              <w:jc w:val="center"/>
              <w:textAlignment w:val="center"/>
              <w:rPr>
                <w:rFonts w:ascii="宋体" w:hAnsi="宋体" w:eastAsia="宋体" w:cs="宋体"/>
                <w:color w:val="000000"/>
                <w:sz w:val="21"/>
                <w:szCs w:val="21"/>
                <w:lang w:bidi="ar"/>
              </w:rPr>
            </w:pPr>
            <w:r>
              <w:rPr>
                <w:rFonts w:hint="eastAsia" w:ascii="宋体" w:hAnsi="宋体" w:eastAsia="宋体" w:cs="宋体"/>
                <w:color w:val="000000"/>
                <w:sz w:val="21"/>
                <w:szCs w:val="21"/>
                <w:lang w:bidi="ar"/>
              </w:rPr>
              <w:t>-</w:t>
            </w:r>
          </w:p>
        </w:tc>
      </w:tr>
    </w:tbl>
    <w:p>
      <w:pPr>
        <w:spacing w:line="240" w:lineRule="auto"/>
        <w:ind w:firstLine="0" w:firstLineChars="0"/>
        <w:jc w:val="center"/>
        <w:textAlignment w:val="center"/>
        <w:rPr>
          <w:rFonts w:ascii="宋体" w:hAnsi="宋体" w:eastAsia="宋体" w:cs="宋体"/>
          <w:color w:val="000000"/>
          <w:sz w:val="21"/>
          <w:szCs w:val="21"/>
          <w:lang w:bidi="ar"/>
        </w:rPr>
      </w:pPr>
    </w:p>
    <w:p>
      <w:pPr>
        <w:ind w:firstLine="640"/>
        <w:rPr>
          <w:rFonts w:eastAsia="黑体" w:cs="Times New Roman"/>
          <w:kern w:val="2"/>
          <w:szCs w:val="20"/>
        </w:rPr>
      </w:pPr>
      <w:r>
        <w:rPr>
          <w:rFonts w:eastAsia="黑体" w:cs="Times New Roman"/>
          <w:kern w:val="2"/>
          <w:szCs w:val="20"/>
        </w:rPr>
        <w:br w:type="page"/>
      </w:r>
    </w:p>
    <w:p>
      <w:pPr>
        <w:pStyle w:val="5"/>
        <w:ind w:firstLine="0" w:firstLineChars="0"/>
        <w:rPr>
          <w:rFonts w:eastAsia="黑体" w:cs="Times New Roman"/>
          <w:b w:val="0"/>
          <w:bCs w:val="0"/>
          <w:kern w:val="2"/>
          <w:szCs w:val="20"/>
        </w:rPr>
        <w:sectPr>
          <w:pgSz w:w="16839" w:h="11907" w:orient="landscape"/>
          <w:pgMar w:top="1287" w:right="1440" w:bottom="1117" w:left="1440" w:header="720" w:footer="493" w:gutter="0"/>
          <w:paperSrc/>
          <w:pgNumType w:fmt="numberInDash"/>
          <w:cols w:space="0" w:num="1"/>
          <w:rtlGutter w:val="0"/>
          <w:docGrid w:linePitch="360" w:charSpace="0"/>
        </w:sectPr>
      </w:pPr>
    </w:p>
    <w:p>
      <w:pPr>
        <w:pStyle w:val="5"/>
        <w:spacing w:before="0" w:beforeLines="0" w:after="0" w:afterLines="0"/>
        <w:ind w:firstLine="0" w:firstLineChars="0"/>
        <w:rPr>
          <w:rFonts w:ascii="CESI黑体-GB2312" w:hAnsi="CESI黑体-GB2312" w:eastAsia="CESI黑体-GB2312" w:cs="CESI黑体-GB2312"/>
          <w:b w:val="0"/>
          <w:bCs w:val="0"/>
          <w:kern w:val="2"/>
          <w:szCs w:val="20"/>
        </w:rPr>
      </w:pPr>
      <w:r>
        <w:rPr>
          <w:rFonts w:hint="eastAsia" w:ascii="CESI黑体-GB2312" w:hAnsi="CESI黑体-GB2312" w:eastAsia="CESI黑体-GB2312" w:cs="CESI黑体-GB2312"/>
          <w:b w:val="0"/>
          <w:bCs w:val="0"/>
          <w:kern w:val="2"/>
          <w:szCs w:val="20"/>
        </w:rPr>
        <w:t>附件</w:t>
      </w:r>
      <w:bookmarkEnd w:id="108"/>
      <w:bookmarkEnd w:id="109"/>
      <w:bookmarkEnd w:id="110"/>
      <w:bookmarkEnd w:id="111"/>
      <w:bookmarkEnd w:id="112"/>
      <w:r>
        <w:rPr>
          <w:rFonts w:hint="eastAsia" w:ascii="CESI黑体-GB2312" w:hAnsi="CESI黑体-GB2312" w:eastAsia="CESI黑体-GB2312" w:cs="CESI黑体-GB2312"/>
          <w:b w:val="0"/>
          <w:bCs w:val="0"/>
          <w:kern w:val="2"/>
          <w:szCs w:val="20"/>
        </w:rPr>
        <w:t>2</w:t>
      </w:r>
      <w:bookmarkEnd w:id="113"/>
    </w:p>
    <w:p>
      <w:pPr>
        <w:widowControl w:val="0"/>
        <w:spacing w:line="560" w:lineRule="exact"/>
        <w:ind w:firstLine="0" w:firstLineChars="0"/>
        <w:jc w:val="center"/>
        <w:rPr>
          <w:rFonts w:ascii="CESI宋体-GB2312" w:hAnsi="CESI宋体-GB2312" w:eastAsia="CESI宋体-GB2312" w:cs="CESI宋体-GB2312"/>
          <w:b/>
          <w:bCs/>
          <w:kern w:val="2"/>
        </w:rPr>
      </w:pPr>
      <w:r>
        <w:rPr>
          <w:rFonts w:hint="eastAsia" w:ascii="CESI宋体-GB2312" w:hAnsi="CESI宋体-GB2312" w:eastAsia="CESI宋体-GB2312" w:cs="CESI宋体-GB2312"/>
          <w:b/>
          <w:bCs/>
          <w:kern w:val="2"/>
        </w:rPr>
        <w:t>评价小组成员名单</w:t>
      </w:r>
    </w:p>
    <w:tbl>
      <w:tblPr>
        <w:tblStyle w:val="30"/>
        <w:tblW w:w="93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1021"/>
        <w:gridCol w:w="1310"/>
        <w:gridCol w:w="1893"/>
        <w:gridCol w:w="4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blHeader/>
          <w:jc w:val="center"/>
        </w:trPr>
        <w:tc>
          <w:tcPr>
            <w:tcW w:w="72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43"/>
              <w:ind w:firstLine="0" w:firstLineChars="0"/>
              <w:jc w:val="center"/>
              <w:rPr>
                <w:rFonts w:ascii="Times New Roman" w:hAnsi="Times New Roman" w:eastAsia="宋体" w:cs="Times New Roman"/>
                <w:b/>
                <w:bCs/>
              </w:rPr>
            </w:pPr>
            <w:r>
              <w:rPr>
                <w:rFonts w:ascii="Times New Roman" w:hAnsi="Times New Roman" w:eastAsia="宋体" w:cs="Times New Roman"/>
                <w:b/>
                <w:bCs/>
              </w:rPr>
              <w:t>序号</w:t>
            </w:r>
          </w:p>
        </w:tc>
        <w:tc>
          <w:tcPr>
            <w:tcW w:w="102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43"/>
              <w:ind w:firstLine="0" w:firstLineChars="0"/>
              <w:jc w:val="center"/>
              <w:rPr>
                <w:rFonts w:ascii="Times New Roman" w:hAnsi="Times New Roman" w:eastAsia="宋体" w:cs="Times New Roman"/>
                <w:b/>
                <w:bCs/>
              </w:rPr>
            </w:pPr>
            <w:r>
              <w:rPr>
                <w:rFonts w:ascii="Times New Roman" w:hAnsi="Times New Roman" w:eastAsia="宋体" w:cs="Times New Roman"/>
                <w:b/>
                <w:bCs/>
              </w:rPr>
              <w:t>姓名</w:t>
            </w:r>
          </w:p>
        </w:tc>
        <w:tc>
          <w:tcPr>
            <w:tcW w:w="131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43"/>
              <w:ind w:firstLine="0" w:firstLineChars="0"/>
              <w:jc w:val="center"/>
              <w:rPr>
                <w:rFonts w:ascii="Times New Roman" w:hAnsi="Times New Roman" w:eastAsia="宋体" w:cs="Times New Roman"/>
                <w:b/>
                <w:bCs/>
              </w:rPr>
            </w:pPr>
            <w:r>
              <w:rPr>
                <w:rFonts w:ascii="Times New Roman" w:hAnsi="Times New Roman" w:eastAsia="宋体" w:cs="Times New Roman"/>
                <w:b/>
                <w:bCs/>
              </w:rPr>
              <w:t>职务</w:t>
            </w:r>
          </w:p>
        </w:tc>
        <w:tc>
          <w:tcPr>
            <w:tcW w:w="1893"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
                <w:bCs/>
              </w:rPr>
            </w:pPr>
            <w:r>
              <w:rPr>
                <w:rFonts w:ascii="Times New Roman" w:hAnsi="Times New Roman" w:eastAsia="宋体" w:cs="Times New Roman"/>
                <w:b/>
                <w:bCs/>
              </w:rPr>
              <w:t>工作单位</w:t>
            </w:r>
          </w:p>
        </w:tc>
        <w:tc>
          <w:tcPr>
            <w:tcW w:w="436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43"/>
              <w:ind w:firstLine="0" w:firstLineChars="0"/>
              <w:jc w:val="center"/>
              <w:rPr>
                <w:rFonts w:ascii="Times New Roman" w:hAnsi="Times New Roman" w:eastAsia="宋体" w:cs="Times New Roman"/>
                <w:b/>
                <w:bCs/>
              </w:rPr>
            </w:pPr>
            <w:r>
              <w:rPr>
                <w:rFonts w:ascii="Times New Roman" w:hAnsi="Times New Roman" w:eastAsia="宋体" w:cs="Times New Roman"/>
                <w:b/>
                <w:bCs/>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721"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1</w:t>
            </w:r>
          </w:p>
        </w:tc>
        <w:tc>
          <w:tcPr>
            <w:tcW w:w="1021"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尹少群</w:t>
            </w:r>
          </w:p>
        </w:tc>
        <w:tc>
          <w:tcPr>
            <w:tcW w:w="1310"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项目总监</w:t>
            </w:r>
          </w:p>
        </w:tc>
        <w:tc>
          <w:tcPr>
            <w:tcW w:w="1893"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中大咨询</w:t>
            </w:r>
          </w:p>
        </w:tc>
        <w:tc>
          <w:tcPr>
            <w:tcW w:w="4369"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rPr>
                <w:rFonts w:ascii="Times New Roman" w:hAnsi="Times New Roman" w:eastAsia="宋体" w:cs="Times New Roman"/>
                <w:bCs/>
              </w:rPr>
            </w:pPr>
            <w:r>
              <w:rPr>
                <w:rFonts w:ascii="Times New Roman" w:hAnsi="Times New Roman" w:eastAsia="宋体" w:cs="Times New Roman"/>
                <w:bCs/>
              </w:rPr>
              <w:t>负责评价工作质量把关、关键环节跟踪监控。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721"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2</w:t>
            </w:r>
          </w:p>
        </w:tc>
        <w:tc>
          <w:tcPr>
            <w:tcW w:w="1021"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hint="eastAsia" w:ascii="Times New Roman" w:hAnsi="Times New Roman" w:eastAsia="宋体" w:cs="Times New Roman"/>
                <w:bCs/>
              </w:rPr>
              <w:t>户慧雪</w:t>
            </w:r>
          </w:p>
        </w:tc>
        <w:tc>
          <w:tcPr>
            <w:tcW w:w="1310"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商务经理</w:t>
            </w:r>
          </w:p>
        </w:tc>
        <w:tc>
          <w:tcPr>
            <w:tcW w:w="1893"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中大咨询</w:t>
            </w:r>
          </w:p>
        </w:tc>
        <w:tc>
          <w:tcPr>
            <w:tcW w:w="4369"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rPr>
                <w:rFonts w:ascii="Times New Roman" w:hAnsi="Times New Roman" w:eastAsia="宋体" w:cs="Times New Roman"/>
                <w:bCs/>
              </w:rPr>
            </w:pPr>
            <w:r>
              <w:rPr>
                <w:rFonts w:ascii="Times New Roman" w:hAnsi="Times New Roman" w:eastAsia="宋体" w:cs="Times New Roman"/>
                <w:bCs/>
              </w:rPr>
              <w:t>负责商务沟通与协调工作。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jc w:val="center"/>
        </w:trPr>
        <w:tc>
          <w:tcPr>
            <w:tcW w:w="721"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3.</w:t>
            </w:r>
          </w:p>
        </w:tc>
        <w:tc>
          <w:tcPr>
            <w:tcW w:w="1021"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hint="eastAsia" w:ascii="Times New Roman" w:hAnsi="Times New Roman" w:eastAsia="宋体" w:cs="Times New Roman"/>
                <w:bCs/>
              </w:rPr>
              <w:t>张卓</w:t>
            </w:r>
          </w:p>
        </w:tc>
        <w:tc>
          <w:tcPr>
            <w:tcW w:w="1310"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财务专家</w:t>
            </w:r>
          </w:p>
        </w:tc>
        <w:tc>
          <w:tcPr>
            <w:tcW w:w="1893"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hint="eastAsia" w:ascii="Times New Roman" w:hAnsi="Times New Roman" w:eastAsia="宋体" w:cs="Times New Roman"/>
                <w:bCs/>
              </w:rPr>
              <w:t>广东工业大学</w:t>
            </w:r>
          </w:p>
        </w:tc>
        <w:tc>
          <w:tcPr>
            <w:tcW w:w="4369"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rPr>
                <w:rFonts w:ascii="Times New Roman" w:hAnsi="Times New Roman" w:eastAsia="宋体" w:cs="Times New Roman"/>
                <w:bCs/>
              </w:rPr>
            </w:pPr>
            <w:r>
              <w:rPr>
                <w:rFonts w:ascii="Times New Roman" w:hAnsi="Times New Roman" w:eastAsia="宋体" w:cs="Times New Roman"/>
                <w:bCs/>
              </w:rPr>
              <w:t>负责项目财务规范性审查工作。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6" w:hRule="atLeast"/>
          <w:jc w:val="center"/>
        </w:trPr>
        <w:tc>
          <w:tcPr>
            <w:tcW w:w="721"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4</w:t>
            </w:r>
          </w:p>
        </w:tc>
        <w:tc>
          <w:tcPr>
            <w:tcW w:w="1021"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hint="eastAsia" w:ascii="Times New Roman" w:hAnsi="Times New Roman" w:eastAsia="宋体" w:cs="Times New Roman"/>
                <w:bCs/>
              </w:rPr>
              <w:t>余川</w:t>
            </w:r>
          </w:p>
        </w:tc>
        <w:tc>
          <w:tcPr>
            <w:tcW w:w="1310"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hint="eastAsia" w:ascii="Times New Roman" w:hAnsi="Times New Roman" w:eastAsia="宋体" w:cs="Times New Roman"/>
                <w:bCs/>
              </w:rPr>
              <w:t>文旅</w:t>
            </w:r>
            <w:r>
              <w:rPr>
                <w:rFonts w:ascii="Times New Roman" w:hAnsi="Times New Roman" w:eastAsia="宋体" w:cs="Times New Roman"/>
                <w:bCs/>
              </w:rPr>
              <w:t>行业专家</w:t>
            </w:r>
          </w:p>
        </w:tc>
        <w:tc>
          <w:tcPr>
            <w:tcW w:w="1893"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hint="eastAsia" w:ascii="Times New Roman" w:hAnsi="Times New Roman" w:eastAsia="宋体" w:cs="Times New Roman"/>
                <w:bCs/>
              </w:rPr>
              <w:t>广东财经大学</w:t>
            </w:r>
          </w:p>
        </w:tc>
        <w:tc>
          <w:tcPr>
            <w:tcW w:w="4369"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rPr>
                <w:rFonts w:ascii="Times New Roman" w:hAnsi="Times New Roman" w:eastAsia="宋体" w:cs="Times New Roman"/>
                <w:bCs/>
              </w:rPr>
            </w:pPr>
            <w:r>
              <w:rPr>
                <w:rFonts w:ascii="Times New Roman" w:hAnsi="Times New Roman" w:eastAsia="宋体" w:cs="Times New Roman"/>
                <w:bCs/>
              </w:rPr>
              <w:t>负责项目行业领域绩效问题审查工作。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721" w:type="dxa"/>
            <w:tcBorders>
              <w:top w:val="single" w:color="auto" w:sz="4" w:space="0"/>
              <w:left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5</w:t>
            </w:r>
          </w:p>
        </w:tc>
        <w:tc>
          <w:tcPr>
            <w:tcW w:w="1021"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颜文静</w:t>
            </w:r>
          </w:p>
        </w:tc>
        <w:tc>
          <w:tcPr>
            <w:tcW w:w="1310" w:type="dxa"/>
            <w:tcBorders>
              <w:top w:val="single" w:color="auto" w:sz="4" w:space="0"/>
              <w:left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实施总监</w:t>
            </w:r>
          </w:p>
        </w:tc>
        <w:tc>
          <w:tcPr>
            <w:tcW w:w="1893" w:type="dxa"/>
            <w:tcBorders>
              <w:top w:val="single" w:color="auto" w:sz="4" w:space="0"/>
              <w:left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中大咨询</w:t>
            </w:r>
          </w:p>
        </w:tc>
        <w:tc>
          <w:tcPr>
            <w:tcW w:w="4369" w:type="dxa"/>
            <w:vMerge w:val="restart"/>
            <w:tcBorders>
              <w:top w:val="single" w:color="auto" w:sz="4" w:space="0"/>
              <w:left w:val="single" w:color="auto" w:sz="4" w:space="0"/>
              <w:right w:val="single" w:color="auto" w:sz="4" w:space="0"/>
            </w:tcBorders>
            <w:vAlign w:val="center"/>
          </w:tcPr>
          <w:p>
            <w:pPr>
              <w:pStyle w:val="143"/>
              <w:ind w:firstLine="0" w:firstLineChars="0"/>
              <w:rPr>
                <w:rFonts w:ascii="Times New Roman" w:hAnsi="Times New Roman" w:eastAsia="宋体" w:cs="Times New Roman"/>
                <w:bCs/>
              </w:rPr>
            </w:pPr>
            <w:r>
              <w:rPr>
                <w:rFonts w:ascii="Times New Roman" w:hAnsi="Times New Roman" w:eastAsia="宋体" w:cs="Times New Roman"/>
                <w:bCs/>
              </w:rPr>
              <w:t>（1）项目负责人，统筹与把控质量。</w:t>
            </w:r>
          </w:p>
          <w:p>
            <w:pPr>
              <w:pStyle w:val="143"/>
              <w:ind w:firstLine="0" w:firstLineChars="0"/>
              <w:rPr>
                <w:rFonts w:ascii="Times New Roman" w:hAnsi="Times New Roman" w:eastAsia="宋体" w:cs="Times New Roman"/>
                <w:bCs/>
              </w:rPr>
            </w:pPr>
            <w:r>
              <w:rPr>
                <w:rFonts w:ascii="Times New Roman" w:hAnsi="Times New Roman" w:eastAsia="宋体" w:cs="Times New Roman"/>
                <w:bCs/>
              </w:rPr>
              <w:t>（2）负责与市财局、被评价单位沟通；</w:t>
            </w:r>
          </w:p>
          <w:p>
            <w:pPr>
              <w:pStyle w:val="143"/>
              <w:ind w:firstLine="0" w:firstLineChars="0"/>
              <w:rPr>
                <w:rFonts w:ascii="Times New Roman" w:hAnsi="Times New Roman" w:eastAsia="宋体" w:cs="Times New Roman"/>
                <w:bCs/>
              </w:rPr>
            </w:pPr>
            <w:r>
              <w:rPr>
                <w:rFonts w:ascii="Times New Roman" w:hAnsi="Times New Roman" w:eastAsia="宋体" w:cs="Times New Roman"/>
                <w:bCs/>
              </w:rPr>
              <w:t>（3）督促并协调评价小组成员的工作并管理日常工作；</w:t>
            </w:r>
          </w:p>
          <w:p>
            <w:pPr>
              <w:pStyle w:val="143"/>
              <w:ind w:firstLine="0" w:firstLineChars="0"/>
              <w:rPr>
                <w:rFonts w:ascii="Times New Roman" w:hAnsi="Times New Roman" w:eastAsia="宋体" w:cs="Times New Roman"/>
                <w:bCs/>
              </w:rPr>
            </w:pPr>
            <w:r>
              <w:rPr>
                <w:rFonts w:ascii="Times New Roman" w:hAnsi="Times New Roman" w:eastAsia="宋体" w:cs="Times New Roman"/>
                <w:bCs/>
              </w:rPr>
              <w:t>（4）编写评价报告并负责报告最终定稿。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721" w:type="dxa"/>
            <w:tcBorders>
              <w:top w:val="single" w:color="auto" w:sz="4" w:space="0"/>
              <w:left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6</w:t>
            </w:r>
          </w:p>
        </w:tc>
        <w:tc>
          <w:tcPr>
            <w:tcW w:w="1021"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邓瑶</w:t>
            </w:r>
          </w:p>
        </w:tc>
        <w:tc>
          <w:tcPr>
            <w:tcW w:w="1310" w:type="dxa"/>
            <w:tcBorders>
              <w:left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项目经理</w:t>
            </w:r>
          </w:p>
        </w:tc>
        <w:tc>
          <w:tcPr>
            <w:tcW w:w="1893" w:type="dxa"/>
            <w:tcBorders>
              <w:left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中大咨询</w:t>
            </w:r>
          </w:p>
        </w:tc>
        <w:tc>
          <w:tcPr>
            <w:tcW w:w="4369" w:type="dxa"/>
            <w:vMerge w:val="continue"/>
            <w:tcBorders>
              <w:left w:val="single" w:color="auto" w:sz="4" w:space="0"/>
              <w:right w:val="single" w:color="auto" w:sz="4" w:space="0"/>
            </w:tcBorders>
            <w:vAlign w:val="center"/>
          </w:tcPr>
          <w:p>
            <w:pPr>
              <w:pStyle w:val="143"/>
              <w:ind w:firstLine="0" w:firstLineChars="0"/>
              <w:rPr>
                <w:rFonts w:ascii="Times New Roman" w:hAnsi="Times New Roman" w:eastAsia="宋体" w:cs="Times New Roman"/>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jc w:val="center"/>
        </w:trPr>
        <w:tc>
          <w:tcPr>
            <w:tcW w:w="721"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7</w:t>
            </w:r>
          </w:p>
        </w:tc>
        <w:tc>
          <w:tcPr>
            <w:tcW w:w="1021"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hint="eastAsia" w:ascii="Times New Roman" w:hAnsi="Times New Roman" w:eastAsia="宋体" w:cs="Times New Roman"/>
                <w:bCs/>
              </w:rPr>
              <w:t>高歌</w:t>
            </w:r>
          </w:p>
        </w:tc>
        <w:tc>
          <w:tcPr>
            <w:tcW w:w="1310" w:type="dxa"/>
            <w:vMerge w:val="restart"/>
            <w:tcBorders>
              <w:top w:val="single" w:color="auto" w:sz="4" w:space="0"/>
              <w:left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项目成员</w:t>
            </w:r>
          </w:p>
        </w:tc>
        <w:tc>
          <w:tcPr>
            <w:tcW w:w="1893" w:type="dxa"/>
            <w:tcBorders>
              <w:top w:val="single" w:color="auto" w:sz="4" w:space="0"/>
              <w:left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中大咨询</w:t>
            </w:r>
          </w:p>
        </w:tc>
        <w:tc>
          <w:tcPr>
            <w:tcW w:w="4369" w:type="dxa"/>
            <w:vMerge w:val="restart"/>
            <w:tcBorders>
              <w:top w:val="single" w:color="auto" w:sz="4" w:space="0"/>
              <w:left w:val="single" w:color="auto" w:sz="4" w:space="0"/>
              <w:right w:val="single" w:color="auto" w:sz="4" w:space="0"/>
            </w:tcBorders>
            <w:vAlign w:val="center"/>
          </w:tcPr>
          <w:p>
            <w:pPr>
              <w:pStyle w:val="143"/>
              <w:ind w:firstLine="0" w:firstLineChars="0"/>
              <w:rPr>
                <w:rFonts w:ascii="Times New Roman" w:hAnsi="Times New Roman" w:eastAsia="宋体" w:cs="Times New Roman"/>
                <w:bCs/>
              </w:rPr>
            </w:pPr>
            <w:r>
              <w:rPr>
                <w:rFonts w:ascii="Times New Roman" w:hAnsi="Times New Roman" w:eastAsia="宋体" w:cs="Times New Roman"/>
                <w:bCs/>
              </w:rPr>
              <w:t>（1）负责评价材料的收集整理工作；</w:t>
            </w:r>
          </w:p>
          <w:p>
            <w:pPr>
              <w:pStyle w:val="143"/>
              <w:ind w:firstLine="0" w:firstLineChars="0"/>
              <w:rPr>
                <w:rFonts w:ascii="Times New Roman" w:hAnsi="Times New Roman" w:eastAsia="宋体" w:cs="Times New Roman"/>
                <w:bCs/>
              </w:rPr>
            </w:pPr>
            <w:r>
              <w:rPr>
                <w:rFonts w:ascii="Times New Roman" w:hAnsi="Times New Roman" w:eastAsia="宋体" w:cs="Times New Roman"/>
                <w:bCs/>
              </w:rPr>
              <w:t>（2）与专家团队的沟通协调工作；</w:t>
            </w:r>
          </w:p>
          <w:p>
            <w:pPr>
              <w:pStyle w:val="143"/>
              <w:ind w:firstLine="0" w:firstLineChars="0"/>
              <w:rPr>
                <w:rFonts w:ascii="Times New Roman" w:hAnsi="Times New Roman" w:eastAsia="宋体" w:cs="Times New Roman"/>
                <w:bCs/>
              </w:rPr>
            </w:pPr>
            <w:r>
              <w:rPr>
                <w:rFonts w:ascii="Times New Roman" w:hAnsi="Times New Roman" w:eastAsia="宋体" w:cs="Times New Roman"/>
                <w:bCs/>
              </w:rPr>
              <w:t>（3）整理和统计专家评价结果；</w:t>
            </w:r>
          </w:p>
          <w:p>
            <w:pPr>
              <w:pStyle w:val="143"/>
              <w:ind w:firstLine="0" w:firstLineChars="0"/>
              <w:rPr>
                <w:rFonts w:ascii="Times New Roman" w:hAnsi="Times New Roman" w:eastAsia="宋体" w:cs="Times New Roman"/>
                <w:bCs/>
              </w:rPr>
            </w:pPr>
            <w:r>
              <w:rPr>
                <w:rFonts w:ascii="Times New Roman" w:hAnsi="Times New Roman" w:eastAsia="宋体" w:cs="Times New Roman"/>
                <w:bCs/>
              </w:rPr>
              <w:t>（4）安排评价过程中的交通、住宿、餐饮等后勤工作；</w:t>
            </w:r>
          </w:p>
          <w:p>
            <w:pPr>
              <w:pStyle w:val="143"/>
              <w:ind w:firstLine="0" w:firstLineChars="0"/>
              <w:rPr>
                <w:rFonts w:ascii="Times New Roman" w:hAnsi="Times New Roman" w:eastAsia="宋体" w:cs="Times New Roman"/>
                <w:bCs/>
              </w:rPr>
            </w:pPr>
            <w:r>
              <w:rPr>
                <w:rFonts w:ascii="Times New Roman" w:hAnsi="Times New Roman" w:eastAsia="宋体" w:cs="Times New Roman"/>
                <w:bCs/>
              </w:rPr>
              <w:t>（5）协助编写评价报告。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1"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8</w:t>
            </w:r>
          </w:p>
        </w:tc>
        <w:tc>
          <w:tcPr>
            <w:tcW w:w="1021" w:type="dxa"/>
            <w:tcBorders>
              <w:top w:val="single" w:color="auto" w:sz="4" w:space="0"/>
              <w:left w:val="single" w:color="auto" w:sz="4" w:space="0"/>
              <w:bottom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hint="eastAsia" w:ascii="Times New Roman" w:hAnsi="Times New Roman" w:eastAsia="宋体" w:cs="Times New Roman"/>
                <w:bCs/>
              </w:rPr>
              <w:t>朱千慧</w:t>
            </w:r>
          </w:p>
        </w:tc>
        <w:tc>
          <w:tcPr>
            <w:tcW w:w="1310" w:type="dxa"/>
            <w:vMerge w:val="continue"/>
            <w:tcBorders>
              <w:left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p>
        </w:tc>
        <w:tc>
          <w:tcPr>
            <w:tcW w:w="1893" w:type="dxa"/>
            <w:tcBorders>
              <w:left w:val="single" w:color="auto" w:sz="4" w:space="0"/>
              <w:right w:val="single" w:color="auto" w:sz="4" w:space="0"/>
            </w:tcBorders>
            <w:vAlign w:val="center"/>
          </w:tcPr>
          <w:p>
            <w:pPr>
              <w:pStyle w:val="143"/>
              <w:ind w:firstLine="0" w:firstLineChars="0"/>
              <w:jc w:val="center"/>
              <w:rPr>
                <w:rFonts w:ascii="Times New Roman" w:hAnsi="Times New Roman" w:eastAsia="宋体" w:cs="Times New Roman"/>
                <w:bCs/>
              </w:rPr>
            </w:pPr>
            <w:r>
              <w:rPr>
                <w:rFonts w:ascii="Times New Roman" w:hAnsi="Times New Roman" w:eastAsia="宋体" w:cs="Times New Roman"/>
                <w:bCs/>
              </w:rPr>
              <w:t>中大咨询</w:t>
            </w:r>
          </w:p>
        </w:tc>
        <w:tc>
          <w:tcPr>
            <w:tcW w:w="4369" w:type="dxa"/>
            <w:vMerge w:val="continue"/>
            <w:tcBorders>
              <w:left w:val="single" w:color="auto" w:sz="4" w:space="0"/>
              <w:right w:val="single" w:color="auto" w:sz="4" w:space="0"/>
            </w:tcBorders>
            <w:vAlign w:val="center"/>
          </w:tcPr>
          <w:p>
            <w:pPr>
              <w:pStyle w:val="143"/>
              <w:ind w:firstLine="0" w:firstLineChars="0"/>
              <w:rPr>
                <w:rFonts w:ascii="Times New Roman" w:hAnsi="Times New Roman" w:eastAsia="宋体" w:cs="Times New Roman"/>
                <w:bCs/>
              </w:rPr>
            </w:pPr>
          </w:p>
        </w:tc>
      </w:tr>
    </w:tbl>
    <w:p>
      <w:pPr>
        <w:ind w:firstLine="0" w:firstLineChars="0"/>
        <w:rPr>
          <w:rFonts w:cs="Times New Roman"/>
          <w:szCs w:val="28"/>
        </w:rPr>
      </w:pPr>
    </w:p>
    <w:sectPr>
      <w:type w:val="continuous"/>
      <w:pgSz w:w="11907" w:h="16839"/>
      <w:pgMar w:top="1440" w:right="1797" w:bottom="1440" w:left="1797" w:header="720" w:footer="720" w:gutter="0"/>
      <w:pgNumType w:fmt="numberInDash"/>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2000000" w:usb3="00000000" w:csb0="0000019F" w:csb1="00000000"/>
  </w:font>
  <w:font w:name="Noto Sans Syriac Eastern">
    <w:panose1 w:val="02040503050306020203"/>
    <w:charset w:val="86"/>
    <w:family w:val="auto"/>
    <w:pitch w:val="default"/>
    <w:sig w:usb0="00000000" w:usb1="00000000" w:usb2="00000080" w:usb3="00000000" w:csb0="203E0161" w:csb1="D7FF0000"/>
  </w:font>
  <w:font w:name="Courier New">
    <w:altName w:val="DejaVu Sans"/>
    <w:panose1 w:val="02070309020205020404"/>
    <w:charset w:val="00"/>
    <w:family w:val="modern"/>
    <w:pitch w:val="default"/>
    <w:sig w:usb0="00000000" w:usb1="00000000" w:usb2="00000009" w:usb3="00000000" w:csb0="000001FF"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 w:name="CESI宋体-GB2312">
    <w:panose1 w:val="02000500000000000000"/>
    <w:charset w:val="86"/>
    <w:family w:val="auto"/>
    <w:pitch w:val="default"/>
    <w:sig w:usb0="800002AF" w:usb1="08476CF8" w:usb2="00000010" w:usb3="00000000" w:csb0="0004000F" w:csb1="00000000"/>
  </w:font>
  <w:font w:name="Noto Sans CJK JP Bold">
    <w:panose1 w:val="020B08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enter" w:pos="4153"/>
        <w:tab w:val="right" w:pos="8306"/>
        <w:tab w:val="clear" w:pos="4320"/>
        <w:tab w:val="clear" w:pos="8640"/>
      </w:tabs>
      <w:ind w:firstLine="6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enter" w:pos="4153"/>
        <w:tab w:val="right" w:pos="8306"/>
        <w:tab w:val="clear" w:pos="4320"/>
        <w:tab w:val="clear" w:pos="8640"/>
      </w:tabs>
      <w:ind w:firstLine="6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enter" w:pos="4153"/>
        <w:tab w:val="right" w:pos="8306"/>
        <w:tab w:val="clear" w:pos="4320"/>
        <w:tab w:val="clear" w:pos="8640"/>
      </w:tabs>
      <w:ind w:firstLine="64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640"/>
    </w:pPr>
    <w:r>
      <mc:AlternateContent>
        <mc:Choice Requires="wps">
          <w:drawing>
            <wp:anchor distT="0" distB="0" distL="114300" distR="114300" simplePos="0" relativeHeight="251660288" behindDoc="0" locked="0" layoutInCell="1" allowOverlap="1">
              <wp:simplePos x="0" y="0"/>
              <wp:positionH relativeFrom="margin">
                <wp:align>inside</wp:align>
              </wp:positionH>
              <wp:positionV relativeFrom="paragraph">
                <wp:posOffset>4445</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9"/>
                            <w:ind w:firstLine="0" w:firstLineChars="0"/>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35pt;height:144pt;width:144pt;mso-position-horizontal:inside;mso-position-horizontal-relative:margin;mso-wrap-style:none;z-index:251660288;mso-width-relative:page;mso-height-relative:page;" filled="f" stroked="f" coordsize="21600,21600" o:gfxdata="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BYA&#10;AABkcnMvUEsBAhQAFAAAAAgAh07iQCerVJDSAAAABQEAAA8AAAAAAAAAAQAgAAAAOAAAAGRycy9k&#10;b3ducmV2LnhtbFBLAQIUABQAAAAIAIdO4kB7dk1WKwIAAFcEAAAOAAAAAAAAAAEAIAAAADcBAABk&#10;cnMvZTJvRG9jLnhtbFBLBQYAAAAABgAGAFkBAADUBQAAAAA=&#10;">
              <v:fill on="f" focussize="0,0"/>
              <v:stroke on="f" weight="0.5pt"/>
              <v:imagedata o:title=""/>
              <o:lock v:ext="edit" aspectratio="f"/>
              <v:textbox inset="0mm,0mm,0mm,0mm" style="mso-fit-shape-to-text:t;">
                <w:txbxContent>
                  <w:p>
                    <w:pPr>
                      <w:pStyle w:val="19"/>
                      <w:ind w:firstLine="0" w:firstLineChars="0"/>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64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0" w:firstLineChars="0"/>
      <w:jc w:val="center"/>
    </w:pPr>
    <w:r>
      <mc:AlternateContent>
        <mc:Choice Requires="wps">
          <w:drawing>
            <wp:anchor distT="0" distB="0" distL="114300" distR="114300" simplePos="0" relativeHeight="251661312" behindDoc="0" locked="0" layoutInCell="1" allowOverlap="1">
              <wp:simplePos x="0" y="0"/>
              <wp:positionH relativeFrom="margin">
                <wp:align>inside</wp:align>
              </wp:positionH>
              <wp:positionV relativeFrom="paragraph">
                <wp:posOffset>4445</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
                          </w:sdtPr>
                          <w:sdtContent>
                            <w:p>
                              <w:pPr>
                                <w:pStyle w:val="19"/>
                                <w:ind w:firstLine="0" w:firstLineChars="0"/>
                                <w:jc w:val="cente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II</w:t>
                              </w:r>
                              <w:r>
                                <w:rPr>
                                  <w:rFonts w:hint="eastAsia" w:ascii="宋体" w:hAnsi="宋体" w:eastAsia="宋体" w:cs="宋体"/>
                                  <w:sz w:val="28"/>
                                  <w:szCs w:val="28"/>
                                </w:rPr>
                                <w:fldChar w:fldCharType="end"/>
                              </w:r>
                            </w:p>
                          </w:sdtContent>
                        </w:sdt>
                        <w:p>
                          <w:pPr>
                            <w:pStyle w:val="25"/>
                            <w:ind w:firstLine="402"/>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35pt;height:144pt;width:144pt;mso-position-horizontal:inside;mso-position-horizontal-relative:margin;mso-wrap-style:none;z-index:251661312;mso-width-relative:page;mso-height-relative:page;" filled="f" stroked="f" coordsize="21600,21600" o:gfxdata="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W&#10;AAAAZHJzL1BLAQIUABQAAAAIAIdO4kAnq1SQ0gAAAAUBAAAPAAAAAAAAAAEAIAAAADgAAABkcnMv&#10;ZG93bnJldi54bWxQSwECFAAUAAAACACHTuJAr2PYMCwCAABVBAAADgAAAAAAAAABACAAAAA3AQAA&#10;ZHJzL2Uyb0RvYy54bWxQSwUGAAAAAAYABgBZAQAA1QUAAAAA&#10;">
              <v:fill on="f" focussize="0,0"/>
              <v:stroke on="f" weight="0.5pt"/>
              <v:imagedata o:title=""/>
              <o:lock v:ext="edit" aspectratio="f"/>
              <v:textbox inset="0mm,0mm,0mm,0mm" style="mso-fit-shape-to-text:t;">
                <w:txbxContent>
                  <w:sdt>
                    <w:sdtPr>
                      <w:id w:val="-1"/>
                    </w:sdtPr>
                    <w:sdtContent>
                      <w:p>
                        <w:pPr>
                          <w:pStyle w:val="19"/>
                          <w:ind w:firstLine="0" w:firstLineChars="0"/>
                          <w:jc w:val="cente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II</w:t>
                        </w:r>
                        <w:r>
                          <w:rPr>
                            <w:rFonts w:hint="eastAsia" w:ascii="宋体" w:hAnsi="宋体" w:eastAsia="宋体" w:cs="宋体"/>
                            <w:sz w:val="28"/>
                            <w:szCs w:val="28"/>
                          </w:rPr>
                          <w:fldChar w:fldCharType="end"/>
                        </w:r>
                      </w:p>
                    </w:sdtContent>
                  </w:sdt>
                  <w:p>
                    <w:pPr>
                      <w:pStyle w:val="25"/>
                      <w:ind w:firstLine="402"/>
                    </w:pPr>
                  </w:p>
                </w:txbxContent>
              </v:textbox>
            </v:shape>
          </w:pict>
        </mc:Fallback>
      </mc:AlternateContent>
    </w:r>
  </w:p>
  <w:p>
    <w:pPr>
      <w:pStyle w:val="19"/>
      <w:ind w:firstLine="64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0" w:firstLineChars="0"/>
      <w:jc w:val="center"/>
    </w:pPr>
    <w: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4445</wp:posOffset>
              </wp:positionV>
              <wp:extent cx="55245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55245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57280804"/>
                          </w:sdtPr>
                          <w:sdtEndPr>
                            <w:rPr>
                              <w:rFonts w:hint="eastAsia" w:ascii="宋体" w:hAnsi="宋体" w:eastAsia="宋体" w:cs="宋体"/>
                              <w:sz w:val="28"/>
                              <w:szCs w:val="28"/>
                            </w:rPr>
                          </w:sdtEndPr>
                          <w:sdtContent>
                            <w:p>
                              <w:pPr>
                                <w:pStyle w:val="19"/>
                                <w:ind w:firstLine="0" w:firstLineChars="0"/>
                                <w:jc w:val="center"/>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37</w:t>
                              </w:r>
                              <w:r>
                                <w:rPr>
                                  <w:rFonts w:hint="eastAsia" w:ascii="宋体" w:hAnsi="宋体" w:eastAsia="宋体" w:cs="宋体"/>
                                  <w:sz w:val="28"/>
                                  <w:szCs w:val="28"/>
                                </w:rPr>
                                <w:fldChar w:fldCharType="end"/>
                              </w:r>
                            </w:p>
                          </w:sdtContent>
                        </w:sdt>
                        <w:p>
                          <w:pPr>
                            <w:pStyle w:val="25"/>
                            <w:ind w:firstLine="402"/>
                          </w:pP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35pt;height:144pt;width:43.5pt;mso-position-horizontal:inside;mso-position-horizontal-relative:margin;z-index:251659264;mso-width-relative:page;mso-height-relative:page;" filled="f" stroked="f" coordsize="21600,21600" o:gfxdata="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BW9CynSAAAABAEAAA8AAAAAAAAAAQAgAAAAOAAA&#10;AGRycy9kb3ducmV2LnhtbFBLAQIUABQAAAAIAIdO4kCcaP0PMQIAAFgEAAAOAAAAAAAAAAEAIAAA&#10;ADcBAABkcnMvZTJvRG9jLnhtbFBLBQYAAAAABgAGAFkBAADaBQAAAAA=&#10;">
              <v:fill on="f" focussize="0,0"/>
              <v:stroke on="f" weight="0.5pt"/>
              <v:imagedata o:title=""/>
              <o:lock v:ext="edit" aspectratio="f"/>
              <v:textbox inset="0mm,0mm,0mm,0mm" style="mso-fit-shape-to-text:t;">
                <w:txbxContent>
                  <w:sdt>
                    <w:sdtPr>
                      <w:id w:val="1557280804"/>
                    </w:sdtPr>
                    <w:sdtEndPr>
                      <w:rPr>
                        <w:rFonts w:hint="eastAsia" w:ascii="宋体" w:hAnsi="宋体" w:eastAsia="宋体" w:cs="宋体"/>
                        <w:sz w:val="28"/>
                        <w:szCs w:val="28"/>
                      </w:rPr>
                    </w:sdtEndPr>
                    <w:sdtContent>
                      <w:p>
                        <w:pPr>
                          <w:pStyle w:val="19"/>
                          <w:ind w:firstLine="0" w:firstLineChars="0"/>
                          <w:jc w:val="center"/>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37</w:t>
                        </w:r>
                        <w:r>
                          <w:rPr>
                            <w:rFonts w:hint="eastAsia" w:ascii="宋体" w:hAnsi="宋体" w:eastAsia="宋体" w:cs="宋体"/>
                            <w:sz w:val="28"/>
                            <w:szCs w:val="28"/>
                          </w:rPr>
                          <w:fldChar w:fldCharType="end"/>
                        </w:r>
                      </w:p>
                    </w:sdtContent>
                  </w:sdt>
                  <w:p>
                    <w:pPr>
                      <w:pStyle w:val="25"/>
                      <w:ind w:firstLine="402"/>
                    </w:pPr>
                  </w:p>
                </w:txbxContent>
              </v:textbox>
            </v:shape>
          </w:pict>
        </mc:Fallback>
      </mc:AlternateContent>
    </w:r>
  </w:p>
  <w:p>
    <w:pPr>
      <w:pStyle w:val="19"/>
      <w:ind w:firstLine="64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0" w:firstLineChars="0"/>
      <w:jc w:val="center"/>
    </w:pPr>
    <w:r>
      <mc:AlternateContent>
        <mc:Choice Requires="wps">
          <w:drawing>
            <wp:anchor distT="0" distB="0" distL="114300" distR="114300" simplePos="0" relativeHeight="251662336" behindDoc="0" locked="0" layoutInCell="1" allowOverlap="1">
              <wp:simplePos x="0" y="0"/>
              <wp:positionH relativeFrom="margin">
                <wp:align>inside</wp:align>
              </wp:positionH>
              <wp:positionV relativeFrom="paragraph">
                <wp:posOffset>4445</wp:posOffset>
              </wp:positionV>
              <wp:extent cx="55245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55245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2418776"/>
                          </w:sdtPr>
                          <w:sdtEndPr>
                            <w:rPr>
                              <w:rFonts w:hint="eastAsia" w:ascii="宋体" w:hAnsi="宋体" w:eastAsia="宋体" w:cs="宋体"/>
                              <w:sz w:val="28"/>
                              <w:szCs w:val="28"/>
                            </w:rPr>
                          </w:sdtEndPr>
                          <w:sdtContent>
                            <w:p>
                              <w:pPr>
                                <w:pStyle w:val="19"/>
                                <w:ind w:firstLine="0" w:firstLineChars="0"/>
                                <w:jc w:val="cente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37</w:t>
                              </w:r>
                              <w:r>
                                <w:rPr>
                                  <w:rFonts w:hint="eastAsia" w:ascii="宋体" w:hAnsi="宋体" w:eastAsia="宋体" w:cs="宋体"/>
                                  <w:sz w:val="28"/>
                                  <w:szCs w:val="28"/>
                                </w:rPr>
                                <w:fldChar w:fldCharType="end"/>
                              </w:r>
                            </w:p>
                          </w:sdtContent>
                        </w:sdt>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35pt;height:144pt;width:43.5pt;mso-position-horizontal:inside;mso-position-horizontal-relative:margin;z-index:251662336;mso-width-relative:page;mso-height-relative:page;" filled="f" stroked="f" coordsize="21600,21600" o:gfxdata="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WAAAAZHJzL1BLAQIUABQAAAAIAIdO4kAVvQsp0gAAAAQBAAAPAAAAAAAAAAEAIAAAADgA&#10;AABkcnMvZG93bnJldi54bWxQSwECFAAUAAAACACHTuJAX7eWbDICAABWBAAADgAAAAAAAAABACAA&#10;AAA3AQAAZHJzL2Uyb0RvYy54bWxQSwUGAAAAAAYABgBZAQAA2wUAAAAA&#10;">
              <v:fill on="f" focussize="0,0"/>
              <v:stroke on="f" weight="0.5pt"/>
              <v:imagedata o:title=""/>
              <o:lock v:ext="edit" aspectratio="f"/>
              <v:textbox inset="0mm,0mm,0mm,0mm" style="mso-fit-shape-to-text:t;">
                <w:txbxContent>
                  <w:sdt>
                    <w:sdtPr>
                      <w:id w:val="42418776"/>
                    </w:sdtPr>
                    <w:sdtEndPr>
                      <w:rPr>
                        <w:rFonts w:hint="eastAsia" w:ascii="宋体" w:hAnsi="宋体" w:eastAsia="宋体" w:cs="宋体"/>
                        <w:sz w:val="28"/>
                        <w:szCs w:val="28"/>
                      </w:rPr>
                    </w:sdtEndPr>
                    <w:sdtContent>
                      <w:p>
                        <w:pPr>
                          <w:pStyle w:val="19"/>
                          <w:ind w:firstLine="0" w:firstLineChars="0"/>
                          <w:jc w:val="cente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37</w:t>
                        </w:r>
                        <w:r>
                          <w:rPr>
                            <w:rFonts w:hint="eastAsia" w:ascii="宋体" w:hAnsi="宋体" w:eastAsia="宋体" w:cs="宋体"/>
                            <w:sz w:val="28"/>
                            <w:szCs w:val="28"/>
                          </w:rPr>
                          <w:fldChar w:fldCharType="end"/>
                        </w:r>
                      </w:p>
                    </w:sdtContent>
                  </w:sdt>
                </w:txbxContent>
              </v:textbox>
            </v:shape>
          </w:pict>
        </mc:Fallback>
      </mc:AlternateContent>
    </w:r>
  </w:p>
  <w:p>
    <w:pPr>
      <w:pStyle w:val="19"/>
      <w:ind w:firstLine="6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6">
    <w:p>
      <w:pPr>
        <w:spacing w:line="360" w:lineRule="auto"/>
        <w:ind w:firstLine="640"/>
      </w:pPr>
      <w:r>
        <w:separator/>
      </w:r>
    </w:p>
  </w:footnote>
  <w:footnote w:type="continuationSeparator" w:id="27">
    <w:p>
      <w:pPr>
        <w:spacing w:line="360" w:lineRule="auto"/>
        <w:ind w:firstLine="640"/>
      </w:pPr>
      <w:r>
        <w:continuationSeparator/>
      </w:r>
    </w:p>
  </w:footnote>
  <w:footnote w:id="0">
    <w:p>
      <w:pPr>
        <w:pStyle w:val="23"/>
        <w:snapToGrid w:val="0"/>
        <w:jc w:val="both"/>
        <w:rPr>
          <w:rFonts w:ascii="宋体" w:hAnsi="宋体" w:eastAsia="宋体" w:cs="宋体"/>
        </w:rPr>
      </w:pPr>
      <w:r>
        <w:rPr>
          <w:rStyle w:val="38"/>
        </w:rPr>
        <w:footnoteRef/>
      </w:r>
      <w:r>
        <w:t xml:space="preserve"> </w:t>
      </w:r>
      <w:r>
        <w:rPr>
          <w:rFonts w:hint="eastAsia"/>
        </w:rPr>
        <w:t>①</w:t>
      </w:r>
      <w:r>
        <w:rPr>
          <w:rFonts w:hint="eastAsia" w:ascii="宋体" w:hAnsi="宋体" w:eastAsia="宋体" w:cs="宋体"/>
        </w:rPr>
        <w:t>数据来源：《韶关市文化广电旅游体育局2022年决算》，如果不含年末结转和结余755.08万元及结余分配9.93万元，部门本年支出决算为27,839.21 万元。以上数据已与市文广旅体局核对无误。</w:t>
      </w:r>
    </w:p>
    <w:p>
      <w:pPr>
        <w:pStyle w:val="23"/>
        <w:snapToGrid w:val="0"/>
        <w:jc w:val="both"/>
        <w:rPr>
          <w:rFonts w:ascii="宋体" w:hAnsi="宋体" w:eastAsia="宋体" w:cs="宋体"/>
        </w:rPr>
      </w:pPr>
      <w:r>
        <w:rPr>
          <w:rFonts w:hint="eastAsia" w:ascii="宋体" w:hAnsi="宋体" w:eastAsia="宋体" w:cs="宋体"/>
        </w:rPr>
        <w:t>②部门本年支出决算（27,839.21 万元）超过部门调整后预算数（27,806.99万元）的原因：主要是由于部分下属单位存在上级部门直接拨到单位基本户的资金，部分资金未列入部门预算。</w:t>
      </w:r>
    </w:p>
    <w:p>
      <w:pPr>
        <w:pStyle w:val="23"/>
        <w:snapToGrid w:val="0"/>
        <w:jc w:val="both"/>
        <w:rPr>
          <w:rFonts w:ascii="宋体" w:hAnsi="宋体" w:cs="宋体"/>
        </w:rPr>
      </w:pPr>
    </w:p>
  </w:footnote>
  <w:footnote w:id="1">
    <w:p>
      <w:pPr>
        <w:pStyle w:val="23"/>
        <w:snapToGrid w:val="0"/>
        <w:ind w:firstLine="400"/>
      </w:pPr>
      <w:r>
        <w:rPr>
          <w:rStyle w:val="38"/>
        </w:rPr>
        <w:footnoteRef/>
      </w:r>
      <w:r>
        <w:rPr>
          <w:rFonts w:hint="eastAsia"/>
        </w:rPr>
        <w:t>总体要求为：坚持依法治市、依法行政共同推进，推动法治政府、法治社会一体建设，加强和创新社会治理，提升社会治理智能化、科学化、精准化水平，大力营造共治共享社会治理格局。</w:t>
      </w:r>
    </w:p>
  </w:footnote>
  <w:footnote w:id="2">
    <w:p>
      <w:pPr>
        <w:pStyle w:val="23"/>
      </w:pPr>
      <w:r>
        <w:rPr>
          <w:rStyle w:val="38"/>
        </w:rPr>
        <w:footnoteRef/>
      </w:r>
      <w:r>
        <w:t xml:space="preserve"> </w:t>
      </w:r>
      <w:r>
        <w:rPr>
          <w:rFonts w:hint="eastAsia"/>
        </w:rPr>
        <w:t>数据来源：《韶关市文化广电旅游体育局2022年度部门决算报表收入支出决算总表（财决01表）》。</w:t>
      </w:r>
    </w:p>
  </w:footnote>
  <w:footnote w:id="3">
    <w:p>
      <w:pPr>
        <w:pStyle w:val="23"/>
      </w:pPr>
      <w:r>
        <w:rPr>
          <w:rStyle w:val="38"/>
        </w:rPr>
        <w:footnoteRef/>
      </w:r>
      <w:r>
        <w:t xml:space="preserve"> </w:t>
      </w:r>
      <w:r>
        <w:rPr>
          <w:rFonts w:hint="eastAsia"/>
        </w:rPr>
        <w:t>数据来源：《2022年韶关市文化广电旅游体育局部门预算》</w:t>
      </w:r>
    </w:p>
  </w:footnote>
  <w:footnote w:id="4">
    <w:p>
      <w:pPr>
        <w:pStyle w:val="23"/>
        <w:ind w:firstLine="400"/>
      </w:pPr>
      <w:r>
        <w:rPr>
          <w:rStyle w:val="38"/>
        </w:rPr>
        <w:footnoteRef/>
      </w:r>
      <w:r>
        <w:t xml:space="preserve"> </w:t>
      </w:r>
      <w:bookmarkStart w:id="114" w:name="_Hlk103416786"/>
      <w:r>
        <w:rPr>
          <w:rFonts w:hint="eastAsia"/>
        </w:rPr>
        <w:t>数据来源：根据《2022年韶关市文化广电旅游体育局部门预算》</w:t>
      </w:r>
      <w:bookmarkEnd w:id="114"/>
      <w:r>
        <w:rPr>
          <w:rFonts w:hint="eastAsia"/>
        </w:rPr>
        <w:t>表该项目5200万元，根据项目资金表该项目为5000万元，现场将进一步核实。</w:t>
      </w:r>
    </w:p>
  </w:footnote>
  <w:footnote w:id="5">
    <w:p>
      <w:pPr>
        <w:snapToGrid w:val="0"/>
        <w:spacing w:line="240" w:lineRule="auto"/>
        <w:ind w:firstLine="360"/>
        <w:rPr>
          <w:rFonts w:ascii="宋体" w:hAnsi="宋体" w:cs="宋体"/>
          <w:sz w:val="18"/>
          <w:szCs w:val="24"/>
        </w:rPr>
      </w:pPr>
      <w:r>
        <w:rPr>
          <w:rFonts w:ascii="Calibri" w:hAnsi="Calibri" w:eastAsia="宋体" w:cs="Times New Roman"/>
          <w:sz w:val="18"/>
          <w:szCs w:val="24"/>
          <w:vertAlign w:val="superscript"/>
        </w:rPr>
        <w:footnoteRef/>
      </w:r>
      <w:r>
        <w:rPr>
          <w:rFonts w:hint="eastAsia" w:ascii="宋体" w:hAnsi="宋体" w:cs="宋体"/>
          <w:sz w:val="18"/>
          <w:szCs w:val="24"/>
        </w:rPr>
        <w:t>具体见附件1-2，根据材料核查情况每完成一个任务得0.5分，该指标得分=16*0.5=8分。</w:t>
      </w:r>
    </w:p>
  </w:footnote>
  <w:footnote w:id="6">
    <w:p>
      <w:pPr>
        <w:snapToGrid w:val="0"/>
        <w:spacing w:line="240" w:lineRule="auto"/>
        <w:ind w:firstLine="360"/>
        <w:rPr>
          <w:rFonts w:ascii="宋体" w:hAnsi="宋体" w:cs="宋体"/>
          <w:sz w:val="18"/>
          <w:szCs w:val="24"/>
        </w:rPr>
      </w:pPr>
      <w:r>
        <w:rPr>
          <w:rFonts w:ascii="Calibri" w:hAnsi="Calibri" w:eastAsia="宋体" w:cs="Times New Roman"/>
          <w:sz w:val="18"/>
          <w:szCs w:val="24"/>
          <w:vertAlign w:val="superscript"/>
        </w:rPr>
        <w:footnoteRef/>
      </w:r>
      <w:r>
        <w:rPr>
          <w:rFonts w:ascii="宋体" w:hAnsi="宋体" w:cs="宋体"/>
          <w:sz w:val="18"/>
          <w:szCs w:val="24"/>
        </w:rPr>
        <w:t xml:space="preserve"> </w:t>
      </w:r>
      <w:r>
        <w:rPr>
          <w:rFonts w:hint="eastAsia" w:ascii="宋体" w:hAnsi="宋体" w:cs="宋体"/>
          <w:sz w:val="18"/>
          <w:szCs w:val="24"/>
        </w:rPr>
        <w:t>具体指标见附件1-3，根据材料核查情况每完成一个任务得1分，该指标得分=1*7=7分。</w:t>
      </w:r>
    </w:p>
  </w:footnote>
  <w:footnote w:id="7">
    <w:p>
      <w:pPr>
        <w:snapToGrid w:val="0"/>
        <w:spacing w:line="240" w:lineRule="auto"/>
        <w:ind w:firstLine="360"/>
        <w:rPr>
          <w:rFonts w:ascii="宋体" w:hAnsi="宋体" w:cs="宋体"/>
          <w:sz w:val="18"/>
          <w:szCs w:val="24"/>
        </w:rPr>
      </w:pPr>
      <w:r>
        <w:rPr>
          <w:rFonts w:ascii="Calibri" w:hAnsi="Calibri" w:eastAsia="宋体" w:cs="Times New Roman"/>
          <w:sz w:val="18"/>
          <w:szCs w:val="24"/>
          <w:vertAlign w:val="superscript"/>
        </w:rPr>
        <w:footnoteRef/>
      </w:r>
      <w:r>
        <w:rPr>
          <w:rFonts w:ascii="宋体" w:hAnsi="宋体" w:cs="宋体"/>
          <w:sz w:val="18"/>
          <w:szCs w:val="24"/>
        </w:rPr>
        <w:t xml:space="preserve"> </w:t>
      </w:r>
      <w:r>
        <w:rPr>
          <w:rFonts w:hint="eastAsia" w:ascii="宋体" w:hAnsi="宋体" w:cs="Times New Roman"/>
          <w:sz w:val="18"/>
          <w:szCs w:val="32"/>
        </w:rPr>
        <w:t>具体指标见附件1-4。</w:t>
      </w:r>
    </w:p>
  </w:footnote>
  <w:footnote w:id="8">
    <w:p>
      <w:pPr>
        <w:pStyle w:val="23"/>
        <w:rPr>
          <w:rFonts w:ascii="仿宋_GB2312"/>
          <w:sz w:val="18"/>
          <w:szCs w:val="18"/>
        </w:rPr>
      </w:pPr>
      <w:r>
        <w:rPr>
          <w:rStyle w:val="38"/>
          <w:rFonts w:hint="eastAsia" w:ascii="仿宋_GB2312"/>
          <w:sz w:val="18"/>
          <w:szCs w:val="18"/>
        </w:rPr>
        <w:footnoteRef/>
      </w:r>
      <w:r>
        <w:rPr>
          <w:rFonts w:hint="eastAsia" w:ascii="仿宋_GB2312"/>
          <w:sz w:val="18"/>
          <w:szCs w:val="18"/>
        </w:rPr>
        <w:t xml:space="preserve"> 本指标综合得分=（1-预算调剂发生率）×分值×60%+（1-年中追加资金占比率）×分值×40%=（1-380.3497/21034.15）*60%*6+(1-0)*40%*6=5.93分。</w:t>
      </w:r>
    </w:p>
  </w:footnote>
  <w:footnote w:id="9">
    <w:p>
      <w:pPr>
        <w:snapToGrid w:val="0"/>
        <w:ind w:firstLine="360"/>
        <w:rPr>
          <w:rFonts w:ascii="宋体" w:hAnsi="宋体" w:cs="宋体"/>
          <w:sz w:val="18"/>
          <w:szCs w:val="24"/>
        </w:rPr>
      </w:pPr>
      <w:r>
        <w:rPr>
          <w:rFonts w:ascii="Calibri" w:hAnsi="Calibri" w:eastAsia="宋体" w:cs="Times New Roman"/>
          <w:sz w:val="18"/>
          <w:szCs w:val="24"/>
          <w:vertAlign w:val="superscript"/>
        </w:rPr>
        <w:footnoteRef/>
      </w:r>
      <w:r>
        <w:rPr>
          <w:rFonts w:ascii="宋体" w:hAnsi="宋体" w:cs="宋体"/>
          <w:sz w:val="18"/>
          <w:szCs w:val="24"/>
        </w:rPr>
        <w:t xml:space="preserve"> </w:t>
      </w:r>
      <w:r>
        <w:rPr>
          <w:rFonts w:hint="eastAsia" w:ascii="宋体" w:hAnsi="宋体" w:cs="Times New Roman"/>
          <w:kern w:val="2"/>
          <w:sz w:val="18"/>
          <w:szCs w:val="24"/>
        </w:rPr>
        <w:t>合同签订及时率=在规定时限内签订合同项目数/总项目数=176/179=98.32%</w:t>
      </w:r>
    </w:p>
  </w:footnote>
  <w:footnote w:id="10">
    <w:p>
      <w:pPr>
        <w:snapToGrid w:val="0"/>
        <w:ind w:firstLine="360"/>
        <w:rPr>
          <w:rFonts w:ascii="宋体" w:hAnsi="宋体" w:cs="宋体"/>
          <w:sz w:val="18"/>
          <w:szCs w:val="24"/>
        </w:rPr>
      </w:pPr>
      <w:r>
        <w:rPr>
          <w:rFonts w:ascii="Calibri" w:hAnsi="Calibri" w:eastAsia="宋体" w:cs="Times New Roman"/>
          <w:sz w:val="18"/>
          <w:szCs w:val="24"/>
          <w:vertAlign w:val="superscript"/>
        </w:rPr>
        <w:footnoteRef/>
      </w:r>
      <w:r>
        <w:rPr>
          <w:rFonts w:ascii="宋体" w:hAnsi="宋体" w:cs="宋体"/>
          <w:sz w:val="18"/>
          <w:szCs w:val="24"/>
        </w:rPr>
        <w:t xml:space="preserve"> </w:t>
      </w:r>
      <w:r>
        <w:rPr>
          <w:rFonts w:hint="eastAsia" w:ascii="宋体" w:hAnsi="宋体" w:cs="Times New Roman"/>
          <w:kern w:val="2"/>
          <w:sz w:val="18"/>
          <w:szCs w:val="24"/>
        </w:rPr>
        <w:t>评分=（实际面向中小企业采购金额合计数/预算编制时部门预留金额合计数）×100%×分值=（2277.4/2282.82）*100%*1分=0.9976分。</w:t>
      </w:r>
    </w:p>
  </w:footnote>
  <w:footnote w:id="11">
    <w:p>
      <w:pPr>
        <w:snapToGrid w:val="0"/>
        <w:spacing w:line="240" w:lineRule="auto"/>
        <w:ind w:firstLine="360"/>
        <w:rPr>
          <w:rFonts w:ascii="宋体" w:hAnsi="宋体" w:cs="宋体"/>
          <w:sz w:val="18"/>
          <w:szCs w:val="24"/>
        </w:rPr>
      </w:pPr>
      <w:r>
        <w:rPr>
          <w:rFonts w:ascii="Calibri" w:hAnsi="Calibri" w:eastAsia="宋体" w:cs="Times New Roman"/>
          <w:sz w:val="18"/>
          <w:szCs w:val="24"/>
          <w:vertAlign w:val="superscript"/>
        </w:rPr>
        <w:footnoteRef/>
      </w:r>
      <w:r>
        <w:rPr>
          <w:rFonts w:ascii="宋体" w:hAnsi="宋体" w:cs="宋体"/>
          <w:sz w:val="18"/>
          <w:szCs w:val="24"/>
        </w:rPr>
        <w:t xml:space="preserve"> </w:t>
      </w:r>
      <w:r>
        <w:rPr>
          <w:rFonts w:hint="eastAsia" w:ascii="宋体" w:hAnsi="宋体" w:cs="Times New Roman"/>
          <w:kern w:val="2"/>
          <w:sz w:val="18"/>
          <w:szCs w:val="24"/>
        </w:rPr>
        <w:t>固定资产利用率=部门（单位）实际在用固定资产总额/所有固定资产总额=729.22/(15843259.62-3992667.82)*100%=61.53%。</w:t>
      </w:r>
    </w:p>
  </w:footnote>
  <w:footnote w:id="12">
    <w:p>
      <w:pPr>
        <w:widowControl w:val="0"/>
        <w:snapToGrid w:val="0"/>
        <w:ind w:firstLine="0" w:firstLineChars="0"/>
        <w:jc w:val="both"/>
        <w:rPr>
          <w:rFonts w:ascii="Calibri" w:hAnsi="Calibri" w:cs="Times New Roman"/>
          <w:kern w:val="2"/>
          <w:sz w:val="18"/>
        </w:rPr>
      </w:pPr>
      <w:r>
        <w:rPr>
          <w:rFonts w:eastAsia="宋体" w:cs="Times New Roman"/>
          <w:kern w:val="2"/>
          <w:sz w:val="18"/>
          <w:vertAlign w:val="superscript"/>
        </w:rPr>
        <w:footnoteRef/>
      </w:r>
      <w:r>
        <w:rPr>
          <w:rFonts w:ascii="Calibri" w:hAnsi="Calibri" w:cs="Times New Roman"/>
          <w:kern w:val="2"/>
          <w:sz w:val="18"/>
        </w:rPr>
        <w:t xml:space="preserve"> </w:t>
      </w:r>
      <w:r>
        <w:rPr>
          <w:rFonts w:hint="eastAsia" w:ascii="Calibri" w:hAnsi="Calibri" w:cs="Times New Roman"/>
          <w:kern w:val="2"/>
          <w:sz w:val="18"/>
        </w:rPr>
        <w:t>部门固定资产中存在3992667.82元资产属于损坏不能使用状态，因此在计算固定资产总额时剔除该部分。固定资产利用率=部门（单位）实际在用固定资产总额/所有固定资产总额=7292166.58/(15843259.62-3992667.82)*100%=61.53%。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tabs>
        <w:tab w:val="center" w:pos="4153"/>
        <w:tab w:val="right" w:pos="8306"/>
        <w:tab w:val="clear" w:pos="4320"/>
        <w:tab w:val="clear" w:pos="8640"/>
      </w:tabs>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tabs>
        <w:tab w:val="center" w:pos="4153"/>
        <w:tab w:val="right" w:pos="8306"/>
        <w:tab w:val="clear" w:pos="4320"/>
        <w:tab w:val="clear" w:pos="8640"/>
      </w:tabs>
      <w:ind w:firstLine="64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64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64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tabs>
        <w:tab w:val="center" w:pos="4153"/>
        <w:tab w:val="right" w:pos="8306"/>
        <w:tab w:val="clear" w:pos="4320"/>
        <w:tab w:val="clear" w:pos="8640"/>
      </w:tabs>
      <w:ind w:firstLine="64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B47E7C"/>
    <w:multiLevelType w:val="singleLevel"/>
    <w:tmpl w:val="CCB47E7C"/>
    <w:lvl w:ilvl="0" w:tentative="0">
      <w:start w:val="3"/>
      <w:numFmt w:val="chineseCounting"/>
      <w:suff w:val="nothing"/>
      <w:lvlText w:val="%1、"/>
      <w:lvlJc w:val="left"/>
      <w:rPr>
        <w:rFonts w:hint="eastAsia"/>
      </w:rPr>
    </w:lvl>
  </w:abstractNum>
  <w:abstractNum w:abstractNumId="1">
    <w:nsid w:val="EF19284D"/>
    <w:multiLevelType w:val="singleLevel"/>
    <w:tmpl w:val="EF19284D"/>
    <w:lvl w:ilvl="0" w:tentative="0">
      <w:start w:val="3"/>
      <w:numFmt w:val="chineseCounting"/>
      <w:suff w:val="nothing"/>
      <w:lvlText w:val="%1、"/>
      <w:lvlJc w:val="left"/>
      <w:rPr>
        <w:rFonts w:hint="eastAsia"/>
      </w:rPr>
    </w:lvl>
  </w:abstractNum>
  <w:abstractNum w:abstractNumId="2">
    <w:nsid w:val="24DDC93F"/>
    <w:multiLevelType w:val="singleLevel"/>
    <w:tmpl w:val="24DDC93F"/>
    <w:lvl w:ilvl="0" w:tentative="0">
      <w:start w:val="2"/>
      <w:numFmt w:val="decimal"/>
      <w:suff w:val="nothing"/>
      <w:lvlText w:val="（%1）"/>
      <w:lvlJc w:val="left"/>
    </w:lvl>
  </w:abstractNum>
  <w:abstractNum w:abstractNumId="3">
    <w:nsid w:val="5AA49F35"/>
    <w:multiLevelType w:val="singleLevel"/>
    <w:tmpl w:val="5AA49F35"/>
    <w:lvl w:ilvl="0" w:tentative="0">
      <w:start w:val="2"/>
      <w:numFmt w:val="decimal"/>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hideSpellingErrors/>
  <w:documentProtection w:enforcement="0"/>
  <w:defaultTabStop w:val="720"/>
  <w:drawingGridHorizontalSpacing w:val="160"/>
  <w:drawingGridVerticalSpacing w:val="435"/>
  <w:noPunctuationKerning w:val="1"/>
  <w:characterSpacingControl w:val="doNotCompress"/>
  <w:footnotePr>
    <w:footnote w:id="26"/>
    <w:footnote w:id="27"/>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D35B43"/>
    <w:rsid w:val="00000494"/>
    <w:rsid w:val="0000080D"/>
    <w:rsid w:val="00000A54"/>
    <w:rsid w:val="00000D61"/>
    <w:rsid w:val="00000F74"/>
    <w:rsid w:val="0000113C"/>
    <w:rsid w:val="000035EE"/>
    <w:rsid w:val="00003708"/>
    <w:rsid w:val="000037F7"/>
    <w:rsid w:val="00003B3A"/>
    <w:rsid w:val="00003EB9"/>
    <w:rsid w:val="00004136"/>
    <w:rsid w:val="00004293"/>
    <w:rsid w:val="000042AA"/>
    <w:rsid w:val="00004EC9"/>
    <w:rsid w:val="000059FF"/>
    <w:rsid w:val="00005E7E"/>
    <w:rsid w:val="0000660E"/>
    <w:rsid w:val="00006E58"/>
    <w:rsid w:val="00007E8D"/>
    <w:rsid w:val="00007F79"/>
    <w:rsid w:val="00010829"/>
    <w:rsid w:val="000109EB"/>
    <w:rsid w:val="00011371"/>
    <w:rsid w:val="0001175C"/>
    <w:rsid w:val="00011855"/>
    <w:rsid w:val="00011CA7"/>
    <w:rsid w:val="00011F20"/>
    <w:rsid w:val="00012166"/>
    <w:rsid w:val="00012377"/>
    <w:rsid w:val="00012C27"/>
    <w:rsid w:val="00012E6A"/>
    <w:rsid w:val="00012F4E"/>
    <w:rsid w:val="00013038"/>
    <w:rsid w:val="00013691"/>
    <w:rsid w:val="000136C4"/>
    <w:rsid w:val="00013774"/>
    <w:rsid w:val="00013E5B"/>
    <w:rsid w:val="000146BA"/>
    <w:rsid w:val="000146C7"/>
    <w:rsid w:val="0001506D"/>
    <w:rsid w:val="00015B75"/>
    <w:rsid w:val="00015BBB"/>
    <w:rsid w:val="00015D2C"/>
    <w:rsid w:val="00015D58"/>
    <w:rsid w:val="0001615B"/>
    <w:rsid w:val="00016398"/>
    <w:rsid w:val="000165A9"/>
    <w:rsid w:val="00016DCD"/>
    <w:rsid w:val="00016E17"/>
    <w:rsid w:val="0001759F"/>
    <w:rsid w:val="0001787E"/>
    <w:rsid w:val="00017C3A"/>
    <w:rsid w:val="00020967"/>
    <w:rsid w:val="00020A45"/>
    <w:rsid w:val="00021494"/>
    <w:rsid w:val="00021639"/>
    <w:rsid w:val="00021AD7"/>
    <w:rsid w:val="00021AFB"/>
    <w:rsid w:val="00021BAC"/>
    <w:rsid w:val="000222C0"/>
    <w:rsid w:val="000224C3"/>
    <w:rsid w:val="00022CA0"/>
    <w:rsid w:val="00023B8E"/>
    <w:rsid w:val="0002487B"/>
    <w:rsid w:val="00024999"/>
    <w:rsid w:val="000251CB"/>
    <w:rsid w:val="00025CC0"/>
    <w:rsid w:val="00025FB6"/>
    <w:rsid w:val="00026D6A"/>
    <w:rsid w:val="00026D6B"/>
    <w:rsid w:val="00026EFC"/>
    <w:rsid w:val="00027332"/>
    <w:rsid w:val="000275FE"/>
    <w:rsid w:val="00027653"/>
    <w:rsid w:val="00027970"/>
    <w:rsid w:val="00027F79"/>
    <w:rsid w:val="000302F7"/>
    <w:rsid w:val="000306C6"/>
    <w:rsid w:val="0003076C"/>
    <w:rsid w:val="00030E8B"/>
    <w:rsid w:val="00030FA4"/>
    <w:rsid w:val="00031A37"/>
    <w:rsid w:val="00031D7C"/>
    <w:rsid w:val="0003229E"/>
    <w:rsid w:val="00032D8C"/>
    <w:rsid w:val="00033131"/>
    <w:rsid w:val="00033247"/>
    <w:rsid w:val="000332E6"/>
    <w:rsid w:val="000333F1"/>
    <w:rsid w:val="0003361B"/>
    <w:rsid w:val="00033F7B"/>
    <w:rsid w:val="0003493B"/>
    <w:rsid w:val="00034D9A"/>
    <w:rsid w:val="00035390"/>
    <w:rsid w:val="000356BB"/>
    <w:rsid w:val="0003572C"/>
    <w:rsid w:val="00035BF0"/>
    <w:rsid w:val="00035D92"/>
    <w:rsid w:val="00035E63"/>
    <w:rsid w:val="0003608D"/>
    <w:rsid w:val="00036112"/>
    <w:rsid w:val="00036DD3"/>
    <w:rsid w:val="000372EF"/>
    <w:rsid w:val="00037ED4"/>
    <w:rsid w:val="00040374"/>
    <w:rsid w:val="00040391"/>
    <w:rsid w:val="00040A0E"/>
    <w:rsid w:val="0004294A"/>
    <w:rsid w:val="000429DB"/>
    <w:rsid w:val="00042F6B"/>
    <w:rsid w:val="000430EB"/>
    <w:rsid w:val="00043643"/>
    <w:rsid w:val="00043F7E"/>
    <w:rsid w:val="0004412F"/>
    <w:rsid w:val="000443C6"/>
    <w:rsid w:val="00044F02"/>
    <w:rsid w:val="000462EB"/>
    <w:rsid w:val="00046355"/>
    <w:rsid w:val="00046EE9"/>
    <w:rsid w:val="000472DE"/>
    <w:rsid w:val="000476B7"/>
    <w:rsid w:val="0004777B"/>
    <w:rsid w:val="000478DE"/>
    <w:rsid w:val="00047B02"/>
    <w:rsid w:val="00047B07"/>
    <w:rsid w:val="00050676"/>
    <w:rsid w:val="00050871"/>
    <w:rsid w:val="00050E8A"/>
    <w:rsid w:val="00051963"/>
    <w:rsid w:val="00052059"/>
    <w:rsid w:val="000522DC"/>
    <w:rsid w:val="000523D7"/>
    <w:rsid w:val="00052442"/>
    <w:rsid w:val="00052750"/>
    <w:rsid w:val="00052B01"/>
    <w:rsid w:val="00053050"/>
    <w:rsid w:val="0005368A"/>
    <w:rsid w:val="000538D3"/>
    <w:rsid w:val="00053D27"/>
    <w:rsid w:val="000546CE"/>
    <w:rsid w:val="00054816"/>
    <w:rsid w:val="00054B62"/>
    <w:rsid w:val="00054EE2"/>
    <w:rsid w:val="00055004"/>
    <w:rsid w:val="00055A41"/>
    <w:rsid w:val="00055A92"/>
    <w:rsid w:val="00055B39"/>
    <w:rsid w:val="00055ED7"/>
    <w:rsid w:val="000566E2"/>
    <w:rsid w:val="00056AB7"/>
    <w:rsid w:val="00057A67"/>
    <w:rsid w:val="00060587"/>
    <w:rsid w:val="00060639"/>
    <w:rsid w:val="00061188"/>
    <w:rsid w:val="000618C8"/>
    <w:rsid w:val="00061A80"/>
    <w:rsid w:val="00061CC9"/>
    <w:rsid w:val="000622C6"/>
    <w:rsid w:val="0006257A"/>
    <w:rsid w:val="00063154"/>
    <w:rsid w:val="00063F10"/>
    <w:rsid w:val="00064528"/>
    <w:rsid w:val="00064EF0"/>
    <w:rsid w:val="0006597C"/>
    <w:rsid w:val="00065D55"/>
    <w:rsid w:val="0006625C"/>
    <w:rsid w:val="000664DC"/>
    <w:rsid w:val="0006656B"/>
    <w:rsid w:val="00066B9A"/>
    <w:rsid w:val="00066D39"/>
    <w:rsid w:val="00067021"/>
    <w:rsid w:val="00067601"/>
    <w:rsid w:val="00067F03"/>
    <w:rsid w:val="0007029F"/>
    <w:rsid w:val="00070D3C"/>
    <w:rsid w:val="00070D5C"/>
    <w:rsid w:val="00070F46"/>
    <w:rsid w:val="000711A5"/>
    <w:rsid w:val="000714E7"/>
    <w:rsid w:val="000717CB"/>
    <w:rsid w:val="00071AA1"/>
    <w:rsid w:val="00071E89"/>
    <w:rsid w:val="00071F11"/>
    <w:rsid w:val="00072D02"/>
    <w:rsid w:val="0007482A"/>
    <w:rsid w:val="00074C74"/>
    <w:rsid w:val="00075309"/>
    <w:rsid w:val="0007534B"/>
    <w:rsid w:val="000754DE"/>
    <w:rsid w:val="00076003"/>
    <w:rsid w:val="00076170"/>
    <w:rsid w:val="00076822"/>
    <w:rsid w:val="00076BFB"/>
    <w:rsid w:val="00076DE5"/>
    <w:rsid w:val="00076F34"/>
    <w:rsid w:val="000771C2"/>
    <w:rsid w:val="00077C99"/>
    <w:rsid w:val="00080088"/>
    <w:rsid w:val="00080D62"/>
    <w:rsid w:val="00080D85"/>
    <w:rsid w:val="000818B9"/>
    <w:rsid w:val="00081DDE"/>
    <w:rsid w:val="000825DE"/>
    <w:rsid w:val="00082FF7"/>
    <w:rsid w:val="00083235"/>
    <w:rsid w:val="00083259"/>
    <w:rsid w:val="00083837"/>
    <w:rsid w:val="00083BC6"/>
    <w:rsid w:val="00083E50"/>
    <w:rsid w:val="00086996"/>
    <w:rsid w:val="00087445"/>
    <w:rsid w:val="00087E7B"/>
    <w:rsid w:val="0009102E"/>
    <w:rsid w:val="00091E93"/>
    <w:rsid w:val="00092855"/>
    <w:rsid w:val="00092D0F"/>
    <w:rsid w:val="00092DF9"/>
    <w:rsid w:val="00093211"/>
    <w:rsid w:val="00093414"/>
    <w:rsid w:val="00093818"/>
    <w:rsid w:val="00093E45"/>
    <w:rsid w:val="000954F0"/>
    <w:rsid w:val="00095664"/>
    <w:rsid w:val="00095B41"/>
    <w:rsid w:val="00095CD0"/>
    <w:rsid w:val="00096B61"/>
    <w:rsid w:val="00096BE8"/>
    <w:rsid w:val="00097120"/>
    <w:rsid w:val="00097AD6"/>
    <w:rsid w:val="00097D44"/>
    <w:rsid w:val="000A0003"/>
    <w:rsid w:val="000A0980"/>
    <w:rsid w:val="000A09A2"/>
    <w:rsid w:val="000A0EFE"/>
    <w:rsid w:val="000A23FC"/>
    <w:rsid w:val="000A25DE"/>
    <w:rsid w:val="000A2A18"/>
    <w:rsid w:val="000A2EAB"/>
    <w:rsid w:val="000A334C"/>
    <w:rsid w:val="000A3E0D"/>
    <w:rsid w:val="000A3FD8"/>
    <w:rsid w:val="000A4A49"/>
    <w:rsid w:val="000A5361"/>
    <w:rsid w:val="000A67BD"/>
    <w:rsid w:val="000A6D40"/>
    <w:rsid w:val="000A6DE4"/>
    <w:rsid w:val="000A763C"/>
    <w:rsid w:val="000B0730"/>
    <w:rsid w:val="000B0EF0"/>
    <w:rsid w:val="000B0F43"/>
    <w:rsid w:val="000B161B"/>
    <w:rsid w:val="000B1C05"/>
    <w:rsid w:val="000B2831"/>
    <w:rsid w:val="000B2CEA"/>
    <w:rsid w:val="000B3828"/>
    <w:rsid w:val="000B45D0"/>
    <w:rsid w:val="000B5754"/>
    <w:rsid w:val="000B6139"/>
    <w:rsid w:val="000B6228"/>
    <w:rsid w:val="000B6487"/>
    <w:rsid w:val="000B671A"/>
    <w:rsid w:val="000B725E"/>
    <w:rsid w:val="000B76D8"/>
    <w:rsid w:val="000B76DD"/>
    <w:rsid w:val="000B79DF"/>
    <w:rsid w:val="000B7C3E"/>
    <w:rsid w:val="000B7F90"/>
    <w:rsid w:val="000C0C6D"/>
    <w:rsid w:val="000C10A9"/>
    <w:rsid w:val="000C1A52"/>
    <w:rsid w:val="000C1EE6"/>
    <w:rsid w:val="000C2226"/>
    <w:rsid w:val="000C27A2"/>
    <w:rsid w:val="000C2B49"/>
    <w:rsid w:val="000C2EFF"/>
    <w:rsid w:val="000C34DF"/>
    <w:rsid w:val="000C36CE"/>
    <w:rsid w:val="000C3755"/>
    <w:rsid w:val="000C39D7"/>
    <w:rsid w:val="000C39E5"/>
    <w:rsid w:val="000C3B44"/>
    <w:rsid w:val="000C4ABB"/>
    <w:rsid w:val="000C4BC5"/>
    <w:rsid w:val="000C4C68"/>
    <w:rsid w:val="000C51AC"/>
    <w:rsid w:val="000C5878"/>
    <w:rsid w:val="000C59FE"/>
    <w:rsid w:val="000C5DF2"/>
    <w:rsid w:val="000C61E2"/>
    <w:rsid w:val="000C65AF"/>
    <w:rsid w:val="000C660F"/>
    <w:rsid w:val="000C6F87"/>
    <w:rsid w:val="000C748F"/>
    <w:rsid w:val="000C75D9"/>
    <w:rsid w:val="000C7692"/>
    <w:rsid w:val="000C7B12"/>
    <w:rsid w:val="000D0755"/>
    <w:rsid w:val="000D0AD1"/>
    <w:rsid w:val="000D0B79"/>
    <w:rsid w:val="000D0F08"/>
    <w:rsid w:val="000D1017"/>
    <w:rsid w:val="000D187C"/>
    <w:rsid w:val="000D24F7"/>
    <w:rsid w:val="000D2576"/>
    <w:rsid w:val="000D35C5"/>
    <w:rsid w:val="000D40F4"/>
    <w:rsid w:val="000D4872"/>
    <w:rsid w:val="000D53CF"/>
    <w:rsid w:val="000D56F9"/>
    <w:rsid w:val="000D61D3"/>
    <w:rsid w:val="000E001B"/>
    <w:rsid w:val="000E0545"/>
    <w:rsid w:val="000E0B61"/>
    <w:rsid w:val="000E0FF2"/>
    <w:rsid w:val="000E19F2"/>
    <w:rsid w:val="000E25FC"/>
    <w:rsid w:val="000E27EA"/>
    <w:rsid w:val="000E37EF"/>
    <w:rsid w:val="000E4391"/>
    <w:rsid w:val="000E44F4"/>
    <w:rsid w:val="000E4586"/>
    <w:rsid w:val="000E4891"/>
    <w:rsid w:val="000E4AB4"/>
    <w:rsid w:val="000E4D34"/>
    <w:rsid w:val="000E553E"/>
    <w:rsid w:val="000E5674"/>
    <w:rsid w:val="000E5EE6"/>
    <w:rsid w:val="000E6A51"/>
    <w:rsid w:val="000E6E82"/>
    <w:rsid w:val="000E7CD7"/>
    <w:rsid w:val="000E7DAE"/>
    <w:rsid w:val="000E7EDE"/>
    <w:rsid w:val="000F090C"/>
    <w:rsid w:val="000F0DAD"/>
    <w:rsid w:val="000F0DD5"/>
    <w:rsid w:val="000F147A"/>
    <w:rsid w:val="000F14B6"/>
    <w:rsid w:val="000F15A5"/>
    <w:rsid w:val="000F1749"/>
    <w:rsid w:val="000F1F1B"/>
    <w:rsid w:val="000F24B8"/>
    <w:rsid w:val="000F2632"/>
    <w:rsid w:val="000F3F1F"/>
    <w:rsid w:val="000F4A15"/>
    <w:rsid w:val="000F518C"/>
    <w:rsid w:val="000F5789"/>
    <w:rsid w:val="000F593D"/>
    <w:rsid w:val="000F5D40"/>
    <w:rsid w:val="000F646E"/>
    <w:rsid w:val="000F6A07"/>
    <w:rsid w:val="000F6BDA"/>
    <w:rsid w:val="000F7D59"/>
    <w:rsid w:val="00100151"/>
    <w:rsid w:val="00100E79"/>
    <w:rsid w:val="00100FD6"/>
    <w:rsid w:val="00101AA3"/>
    <w:rsid w:val="00102423"/>
    <w:rsid w:val="0010255B"/>
    <w:rsid w:val="00102592"/>
    <w:rsid w:val="00102D92"/>
    <w:rsid w:val="001050D0"/>
    <w:rsid w:val="00105591"/>
    <w:rsid w:val="00105D95"/>
    <w:rsid w:val="0010604C"/>
    <w:rsid w:val="00106DAC"/>
    <w:rsid w:val="00106F28"/>
    <w:rsid w:val="00107176"/>
    <w:rsid w:val="001073D1"/>
    <w:rsid w:val="00107F17"/>
    <w:rsid w:val="00110003"/>
    <w:rsid w:val="0011037E"/>
    <w:rsid w:val="001107BB"/>
    <w:rsid w:val="001107F9"/>
    <w:rsid w:val="00111802"/>
    <w:rsid w:val="0011243F"/>
    <w:rsid w:val="00112AC2"/>
    <w:rsid w:val="0011322A"/>
    <w:rsid w:val="0011337D"/>
    <w:rsid w:val="001134FD"/>
    <w:rsid w:val="00113780"/>
    <w:rsid w:val="001138CA"/>
    <w:rsid w:val="00113923"/>
    <w:rsid w:val="00114262"/>
    <w:rsid w:val="001145D7"/>
    <w:rsid w:val="00114923"/>
    <w:rsid w:val="00114935"/>
    <w:rsid w:val="00114C08"/>
    <w:rsid w:val="00114E50"/>
    <w:rsid w:val="00115060"/>
    <w:rsid w:val="00115F1E"/>
    <w:rsid w:val="00116041"/>
    <w:rsid w:val="00117092"/>
    <w:rsid w:val="00117C0D"/>
    <w:rsid w:val="00117C11"/>
    <w:rsid w:val="00117F65"/>
    <w:rsid w:val="00120257"/>
    <w:rsid w:val="00120E2F"/>
    <w:rsid w:val="00121707"/>
    <w:rsid w:val="00121BB4"/>
    <w:rsid w:val="001225BF"/>
    <w:rsid w:val="00122663"/>
    <w:rsid w:val="0012323E"/>
    <w:rsid w:val="001236FA"/>
    <w:rsid w:val="001238FC"/>
    <w:rsid w:val="00123E3B"/>
    <w:rsid w:val="0012411E"/>
    <w:rsid w:val="001245F5"/>
    <w:rsid w:val="00124607"/>
    <w:rsid w:val="0012471D"/>
    <w:rsid w:val="00124794"/>
    <w:rsid w:val="00124DA2"/>
    <w:rsid w:val="00124FF5"/>
    <w:rsid w:val="0012512B"/>
    <w:rsid w:val="00125976"/>
    <w:rsid w:val="00126192"/>
    <w:rsid w:val="001266ED"/>
    <w:rsid w:val="0012756B"/>
    <w:rsid w:val="00127E76"/>
    <w:rsid w:val="001304E6"/>
    <w:rsid w:val="0013091D"/>
    <w:rsid w:val="00131850"/>
    <w:rsid w:val="00131B4A"/>
    <w:rsid w:val="00131DB8"/>
    <w:rsid w:val="00131F1F"/>
    <w:rsid w:val="001320B6"/>
    <w:rsid w:val="00132EFB"/>
    <w:rsid w:val="00133370"/>
    <w:rsid w:val="0013387A"/>
    <w:rsid w:val="00134202"/>
    <w:rsid w:val="00134891"/>
    <w:rsid w:val="001353F5"/>
    <w:rsid w:val="00136633"/>
    <w:rsid w:val="00136E82"/>
    <w:rsid w:val="00137382"/>
    <w:rsid w:val="00140774"/>
    <w:rsid w:val="001407C6"/>
    <w:rsid w:val="00140CA7"/>
    <w:rsid w:val="00142562"/>
    <w:rsid w:val="00142580"/>
    <w:rsid w:val="001425C8"/>
    <w:rsid w:val="00142664"/>
    <w:rsid w:val="00142839"/>
    <w:rsid w:val="00142941"/>
    <w:rsid w:val="00142A72"/>
    <w:rsid w:val="00143261"/>
    <w:rsid w:val="0014378B"/>
    <w:rsid w:val="00144397"/>
    <w:rsid w:val="00144605"/>
    <w:rsid w:val="0014584F"/>
    <w:rsid w:val="00145CAA"/>
    <w:rsid w:val="00145D85"/>
    <w:rsid w:val="00146576"/>
    <w:rsid w:val="0014687A"/>
    <w:rsid w:val="00146E97"/>
    <w:rsid w:val="00146E9A"/>
    <w:rsid w:val="001471A3"/>
    <w:rsid w:val="00147F07"/>
    <w:rsid w:val="001508DC"/>
    <w:rsid w:val="00150A8E"/>
    <w:rsid w:val="00150BBF"/>
    <w:rsid w:val="001518B2"/>
    <w:rsid w:val="0015196D"/>
    <w:rsid w:val="00151976"/>
    <w:rsid w:val="00152064"/>
    <w:rsid w:val="001531C5"/>
    <w:rsid w:val="00153574"/>
    <w:rsid w:val="00153662"/>
    <w:rsid w:val="0015382D"/>
    <w:rsid w:val="00153866"/>
    <w:rsid w:val="00153B93"/>
    <w:rsid w:val="00153BA2"/>
    <w:rsid w:val="00154A12"/>
    <w:rsid w:val="00154CDF"/>
    <w:rsid w:val="001551C2"/>
    <w:rsid w:val="00155260"/>
    <w:rsid w:val="001557F9"/>
    <w:rsid w:val="001558AB"/>
    <w:rsid w:val="00155DA9"/>
    <w:rsid w:val="00155E5A"/>
    <w:rsid w:val="001563AA"/>
    <w:rsid w:val="0015647E"/>
    <w:rsid w:val="00156733"/>
    <w:rsid w:val="0015678D"/>
    <w:rsid w:val="00157883"/>
    <w:rsid w:val="00157C73"/>
    <w:rsid w:val="00157EF7"/>
    <w:rsid w:val="00160689"/>
    <w:rsid w:val="00160F0B"/>
    <w:rsid w:val="001612EA"/>
    <w:rsid w:val="001614D6"/>
    <w:rsid w:val="00161575"/>
    <w:rsid w:val="00161AA9"/>
    <w:rsid w:val="00161B0E"/>
    <w:rsid w:val="00161D0E"/>
    <w:rsid w:val="00161ED8"/>
    <w:rsid w:val="00161FB7"/>
    <w:rsid w:val="00162484"/>
    <w:rsid w:val="001625F1"/>
    <w:rsid w:val="00162E88"/>
    <w:rsid w:val="0016301A"/>
    <w:rsid w:val="0016327A"/>
    <w:rsid w:val="001639CC"/>
    <w:rsid w:val="001641B0"/>
    <w:rsid w:val="001644EA"/>
    <w:rsid w:val="001658A8"/>
    <w:rsid w:val="00165B96"/>
    <w:rsid w:val="00165D28"/>
    <w:rsid w:val="00166672"/>
    <w:rsid w:val="00166938"/>
    <w:rsid w:val="00166C0D"/>
    <w:rsid w:val="00167CE0"/>
    <w:rsid w:val="00167F4A"/>
    <w:rsid w:val="00170B63"/>
    <w:rsid w:val="00170EEE"/>
    <w:rsid w:val="001714B4"/>
    <w:rsid w:val="001714E4"/>
    <w:rsid w:val="001717D5"/>
    <w:rsid w:val="00171914"/>
    <w:rsid w:val="00171D5F"/>
    <w:rsid w:val="0017215B"/>
    <w:rsid w:val="00172452"/>
    <w:rsid w:val="001724D5"/>
    <w:rsid w:val="00172557"/>
    <w:rsid w:val="001726E8"/>
    <w:rsid w:val="00172F52"/>
    <w:rsid w:val="001734C3"/>
    <w:rsid w:val="001737A8"/>
    <w:rsid w:val="00174019"/>
    <w:rsid w:val="00174753"/>
    <w:rsid w:val="001748DD"/>
    <w:rsid w:val="0017576A"/>
    <w:rsid w:val="001758D1"/>
    <w:rsid w:val="00175FA8"/>
    <w:rsid w:val="001762A4"/>
    <w:rsid w:val="00176D0B"/>
    <w:rsid w:val="00177220"/>
    <w:rsid w:val="0017729F"/>
    <w:rsid w:val="0017775A"/>
    <w:rsid w:val="001777D1"/>
    <w:rsid w:val="00180008"/>
    <w:rsid w:val="00180C8B"/>
    <w:rsid w:val="00180D3D"/>
    <w:rsid w:val="0018123F"/>
    <w:rsid w:val="0018175C"/>
    <w:rsid w:val="001822F7"/>
    <w:rsid w:val="00182430"/>
    <w:rsid w:val="00182654"/>
    <w:rsid w:val="0018286F"/>
    <w:rsid w:val="00183839"/>
    <w:rsid w:val="00184939"/>
    <w:rsid w:val="0018511F"/>
    <w:rsid w:val="0018513E"/>
    <w:rsid w:val="00185219"/>
    <w:rsid w:val="001856F5"/>
    <w:rsid w:val="001860CF"/>
    <w:rsid w:val="0018671A"/>
    <w:rsid w:val="00186951"/>
    <w:rsid w:val="00186B0A"/>
    <w:rsid w:val="00186E55"/>
    <w:rsid w:val="00186FA5"/>
    <w:rsid w:val="001873B0"/>
    <w:rsid w:val="001902A1"/>
    <w:rsid w:val="001908A1"/>
    <w:rsid w:val="00190B6A"/>
    <w:rsid w:val="00190BC7"/>
    <w:rsid w:val="00191778"/>
    <w:rsid w:val="001918BC"/>
    <w:rsid w:val="00191DA3"/>
    <w:rsid w:val="0019299C"/>
    <w:rsid w:val="00192A40"/>
    <w:rsid w:val="00193712"/>
    <w:rsid w:val="001937F7"/>
    <w:rsid w:val="0019394E"/>
    <w:rsid w:val="00193CD0"/>
    <w:rsid w:val="001944C3"/>
    <w:rsid w:val="00194521"/>
    <w:rsid w:val="00194E88"/>
    <w:rsid w:val="00195720"/>
    <w:rsid w:val="001958B6"/>
    <w:rsid w:val="00196261"/>
    <w:rsid w:val="0019647E"/>
    <w:rsid w:val="00196610"/>
    <w:rsid w:val="00196DFB"/>
    <w:rsid w:val="00196E44"/>
    <w:rsid w:val="001973F8"/>
    <w:rsid w:val="00197945"/>
    <w:rsid w:val="001A081D"/>
    <w:rsid w:val="001A0886"/>
    <w:rsid w:val="001A1463"/>
    <w:rsid w:val="001A22A6"/>
    <w:rsid w:val="001A255C"/>
    <w:rsid w:val="001A299C"/>
    <w:rsid w:val="001A2DB7"/>
    <w:rsid w:val="001A3362"/>
    <w:rsid w:val="001A3564"/>
    <w:rsid w:val="001A3C54"/>
    <w:rsid w:val="001A4534"/>
    <w:rsid w:val="001A4634"/>
    <w:rsid w:val="001A4708"/>
    <w:rsid w:val="001A489F"/>
    <w:rsid w:val="001A4977"/>
    <w:rsid w:val="001A4C46"/>
    <w:rsid w:val="001A4FBB"/>
    <w:rsid w:val="001A574E"/>
    <w:rsid w:val="001A621C"/>
    <w:rsid w:val="001A7B74"/>
    <w:rsid w:val="001A7DF8"/>
    <w:rsid w:val="001A7E4D"/>
    <w:rsid w:val="001A7E90"/>
    <w:rsid w:val="001B27CE"/>
    <w:rsid w:val="001B35A4"/>
    <w:rsid w:val="001B37AF"/>
    <w:rsid w:val="001B39C6"/>
    <w:rsid w:val="001B3FFB"/>
    <w:rsid w:val="001B42EC"/>
    <w:rsid w:val="001B432C"/>
    <w:rsid w:val="001B437C"/>
    <w:rsid w:val="001B44DB"/>
    <w:rsid w:val="001B49D7"/>
    <w:rsid w:val="001B4BCE"/>
    <w:rsid w:val="001B4F95"/>
    <w:rsid w:val="001B57A9"/>
    <w:rsid w:val="001B5B03"/>
    <w:rsid w:val="001B5D12"/>
    <w:rsid w:val="001B5F99"/>
    <w:rsid w:val="001B6E1D"/>
    <w:rsid w:val="001B70B7"/>
    <w:rsid w:val="001B7FAB"/>
    <w:rsid w:val="001C00AB"/>
    <w:rsid w:val="001C00FF"/>
    <w:rsid w:val="001C0645"/>
    <w:rsid w:val="001C0890"/>
    <w:rsid w:val="001C0B25"/>
    <w:rsid w:val="001C0F76"/>
    <w:rsid w:val="001C1670"/>
    <w:rsid w:val="001C1C50"/>
    <w:rsid w:val="001C1DE7"/>
    <w:rsid w:val="001C2058"/>
    <w:rsid w:val="001C2405"/>
    <w:rsid w:val="001C261F"/>
    <w:rsid w:val="001C298F"/>
    <w:rsid w:val="001C29C1"/>
    <w:rsid w:val="001C29F6"/>
    <w:rsid w:val="001C2B22"/>
    <w:rsid w:val="001C2E20"/>
    <w:rsid w:val="001C3098"/>
    <w:rsid w:val="001C3528"/>
    <w:rsid w:val="001C3B63"/>
    <w:rsid w:val="001C3BE3"/>
    <w:rsid w:val="001C3D58"/>
    <w:rsid w:val="001C3D72"/>
    <w:rsid w:val="001C4D5D"/>
    <w:rsid w:val="001C4FCF"/>
    <w:rsid w:val="001C51D5"/>
    <w:rsid w:val="001C52A6"/>
    <w:rsid w:val="001C52FE"/>
    <w:rsid w:val="001C5676"/>
    <w:rsid w:val="001C58E9"/>
    <w:rsid w:val="001C59EA"/>
    <w:rsid w:val="001C5CD2"/>
    <w:rsid w:val="001C5DAF"/>
    <w:rsid w:val="001C64A6"/>
    <w:rsid w:val="001C6693"/>
    <w:rsid w:val="001C6899"/>
    <w:rsid w:val="001C6DB6"/>
    <w:rsid w:val="001C7262"/>
    <w:rsid w:val="001C729A"/>
    <w:rsid w:val="001C79EE"/>
    <w:rsid w:val="001D146F"/>
    <w:rsid w:val="001D2122"/>
    <w:rsid w:val="001D2B26"/>
    <w:rsid w:val="001D3346"/>
    <w:rsid w:val="001D36D9"/>
    <w:rsid w:val="001D3950"/>
    <w:rsid w:val="001D3A79"/>
    <w:rsid w:val="001D51D1"/>
    <w:rsid w:val="001D5418"/>
    <w:rsid w:val="001D5423"/>
    <w:rsid w:val="001D54A3"/>
    <w:rsid w:val="001D6674"/>
    <w:rsid w:val="001D6775"/>
    <w:rsid w:val="001D67CA"/>
    <w:rsid w:val="001D6FDD"/>
    <w:rsid w:val="001D7987"/>
    <w:rsid w:val="001D7A9A"/>
    <w:rsid w:val="001D7AF3"/>
    <w:rsid w:val="001E0171"/>
    <w:rsid w:val="001E05A8"/>
    <w:rsid w:val="001E0EE1"/>
    <w:rsid w:val="001E101C"/>
    <w:rsid w:val="001E13F0"/>
    <w:rsid w:val="001E1B7C"/>
    <w:rsid w:val="001E230C"/>
    <w:rsid w:val="001E23BB"/>
    <w:rsid w:val="001E287B"/>
    <w:rsid w:val="001E2C71"/>
    <w:rsid w:val="001E2E5D"/>
    <w:rsid w:val="001E2FC9"/>
    <w:rsid w:val="001E3215"/>
    <w:rsid w:val="001E415B"/>
    <w:rsid w:val="001E41E8"/>
    <w:rsid w:val="001E60BE"/>
    <w:rsid w:val="001E6212"/>
    <w:rsid w:val="001E62D2"/>
    <w:rsid w:val="001E693D"/>
    <w:rsid w:val="001E6A07"/>
    <w:rsid w:val="001E6FE5"/>
    <w:rsid w:val="001E75BA"/>
    <w:rsid w:val="001E7725"/>
    <w:rsid w:val="001E7846"/>
    <w:rsid w:val="001E7BEA"/>
    <w:rsid w:val="001F18FB"/>
    <w:rsid w:val="001F21C3"/>
    <w:rsid w:val="001F3118"/>
    <w:rsid w:val="001F33E4"/>
    <w:rsid w:val="001F363A"/>
    <w:rsid w:val="001F3912"/>
    <w:rsid w:val="001F40D0"/>
    <w:rsid w:val="001F4929"/>
    <w:rsid w:val="001F57F9"/>
    <w:rsid w:val="001F586C"/>
    <w:rsid w:val="001F621A"/>
    <w:rsid w:val="001F6597"/>
    <w:rsid w:val="001F65D0"/>
    <w:rsid w:val="001F65E7"/>
    <w:rsid w:val="001F694B"/>
    <w:rsid w:val="001F6E60"/>
    <w:rsid w:val="001F6F68"/>
    <w:rsid w:val="001F72CC"/>
    <w:rsid w:val="001F792B"/>
    <w:rsid w:val="002000AA"/>
    <w:rsid w:val="00200422"/>
    <w:rsid w:val="00200E9F"/>
    <w:rsid w:val="00200F82"/>
    <w:rsid w:val="0020117E"/>
    <w:rsid w:val="00201723"/>
    <w:rsid w:val="00201B0A"/>
    <w:rsid w:val="002029A5"/>
    <w:rsid w:val="002029EE"/>
    <w:rsid w:val="00202C7F"/>
    <w:rsid w:val="002032D9"/>
    <w:rsid w:val="0020330C"/>
    <w:rsid w:val="00204357"/>
    <w:rsid w:val="00204817"/>
    <w:rsid w:val="00204A29"/>
    <w:rsid w:val="00205C25"/>
    <w:rsid w:val="00205D5C"/>
    <w:rsid w:val="00206631"/>
    <w:rsid w:val="0020673D"/>
    <w:rsid w:val="002067EF"/>
    <w:rsid w:val="00206FC4"/>
    <w:rsid w:val="00207371"/>
    <w:rsid w:val="002078E8"/>
    <w:rsid w:val="00207915"/>
    <w:rsid w:val="00207B69"/>
    <w:rsid w:val="00207C92"/>
    <w:rsid w:val="00210C0F"/>
    <w:rsid w:val="00210E7C"/>
    <w:rsid w:val="00211294"/>
    <w:rsid w:val="00211486"/>
    <w:rsid w:val="0021150A"/>
    <w:rsid w:val="00211570"/>
    <w:rsid w:val="00211C58"/>
    <w:rsid w:val="00211D21"/>
    <w:rsid w:val="00211D86"/>
    <w:rsid w:val="0021231C"/>
    <w:rsid w:val="002136C9"/>
    <w:rsid w:val="00213827"/>
    <w:rsid w:val="00213990"/>
    <w:rsid w:val="00213DFF"/>
    <w:rsid w:val="00213E4F"/>
    <w:rsid w:val="002140A0"/>
    <w:rsid w:val="00215257"/>
    <w:rsid w:val="00215537"/>
    <w:rsid w:val="00215664"/>
    <w:rsid w:val="002156B8"/>
    <w:rsid w:val="00215C15"/>
    <w:rsid w:val="00216731"/>
    <w:rsid w:val="002175AA"/>
    <w:rsid w:val="002178AE"/>
    <w:rsid w:val="00220086"/>
    <w:rsid w:val="002202D6"/>
    <w:rsid w:val="00220607"/>
    <w:rsid w:val="0022077A"/>
    <w:rsid w:val="002208DE"/>
    <w:rsid w:val="00220C4B"/>
    <w:rsid w:val="00221586"/>
    <w:rsid w:val="00221AB6"/>
    <w:rsid w:val="00221B70"/>
    <w:rsid w:val="00221C86"/>
    <w:rsid w:val="0022227F"/>
    <w:rsid w:val="00222337"/>
    <w:rsid w:val="00222D85"/>
    <w:rsid w:val="002230C7"/>
    <w:rsid w:val="002236EF"/>
    <w:rsid w:val="00223B3B"/>
    <w:rsid w:val="00224172"/>
    <w:rsid w:val="002245C6"/>
    <w:rsid w:val="002247DA"/>
    <w:rsid w:val="00224AA6"/>
    <w:rsid w:val="00225075"/>
    <w:rsid w:val="002255C1"/>
    <w:rsid w:val="002259EA"/>
    <w:rsid w:val="00226B22"/>
    <w:rsid w:val="00226C2C"/>
    <w:rsid w:val="00227135"/>
    <w:rsid w:val="002300DC"/>
    <w:rsid w:val="00230370"/>
    <w:rsid w:val="00230A91"/>
    <w:rsid w:val="00230AE2"/>
    <w:rsid w:val="0023199E"/>
    <w:rsid w:val="00232826"/>
    <w:rsid w:val="00232832"/>
    <w:rsid w:val="00232935"/>
    <w:rsid w:val="0023364B"/>
    <w:rsid w:val="00233919"/>
    <w:rsid w:val="00233D87"/>
    <w:rsid w:val="00233DB8"/>
    <w:rsid w:val="002340DC"/>
    <w:rsid w:val="00235297"/>
    <w:rsid w:val="00235DBD"/>
    <w:rsid w:val="002370AB"/>
    <w:rsid w:val="00237E69"/>
    <w:rsid w:val="002400EA"/>
    <w:rsid w:val="00240674"/>
    <w:rsid w:val="002415F1"/>
    <w:rsid w:val="00241842"/>
    <w:rsid w:val="0024265E"/>
    <w:rsid w:val="00242DA1"/>
    <w:rsid w:val="002435FF"/>
    <w:rsid w:val="002439F5"/>
    <w:rsid w:val="00243C97"/>
    <w:rsid w:val="00243E21"/>
    <w:rsid w:val="00243FB0"/>
    <w:rsid w:val="002441DD"/>
    <w:rsid w:val="00244346"/>
    <w:rsid w:val="00244B2D"/>
    <w:rsid w:val="00245FB7"/>
    <w:rsid w:val="0024692F"/>
    <w:rsid w:val="00246FC2"/>
    <w:rsid w:val="0024702C"/>
    <w:rsid w:val="00247789"/>
    <w:rsid w:val="002502E5"/>
    <w:rsid w:val="002504E2"/>
    <w:rsid w:val="0025106F"/>
    <w:rsid w:val="00251624"/>
    <w:rsid w:val="00252159"/>
    <w:rsid w:val="0025298F"/>
    <w:rsid w:val="00252A15"/>
    <w:rsid w:val="00252AEC"/>
    <w:rsid w:val="00252EE0"/>
    <w:rsid w:val="00253334"/>
    <w:rsid w:val="00253506"/>
    <w:rsid w:val="00253CDB"/>
    <w:rsid w:val="00253EB0"/>
    <w:rsid w:val="002552CC"/>
    <w:rsid w:val="00256818"/>
    <w:rsid w:val="00256C78"/>
    <w:rsid w:val="00256F25"/>
    <w:rsid w:val="002570C4"/>
    <w:rsid w:val="00257680"/>
    <w:rsid w:val="00257843"/>
    <w:rsid w:val="00257B24"/>
    <w:rsid w:val="00257EA9"/>
    <w:rsid w:val="00257EFA"/>
    <w:rsid w:val="00260E32"/>
    <w:rsid w:val="00261118"/>
    <w:rsid w:val="002615CC"/>
    <w:rsid w:val="00261E06"/>
    <w:rsid w:val="00261F2D"/>
    <w:rsid w:val="00261FD3"/>
    <w:rsid w:val="002622C8"/>
    <w:rsid w:val="00262532"/>
    <w:rsid w:val="002626A4"/>
    <w:rsid w:val="00262A7D"/>
    <w:rsid w:val="00262EF1"/>
    <w:rsid w:val="002633C4"/>
    <w:rsid w:val="002634B6"/>
    <w:rsid w:val="00263F60"/>
    <w:rsid w:val="00264048"/>
    <w:rsid w:val="002641AD"/>
    <w:rsid w:val="00264665"/>
    <w:rsid w:val="00264E3B"/>
    <w:rsid w:val="00265024"/>
    <w:rsid w:val="002663FD"/>
    <w:rsid w:val="002666AA"/>
    <w:rsid w:val="00266F70"/>
    <w:rsid w:val="002672FD"/>
    <w:rsid w:val="0026760D"/>
    <w:rsid w:val="002678C3"/>
    <w:rsid w:val="002703BB"/>
    <w:rsid w:val="00270984"/>
    <w:rsid w:val="00270E99"/>
    <w:rsid w:val="002719CA"/>
    <w:rsid w:val="0027226A"/>
    <w:rsid w:val="00273364"/>
    <w:rsid w:val="0027353D"/>
    <w:rsid w:val="00273B32"/>
    <w:rsid w:val="00273DF7"/>
    <w:rsid w:val="002748A5"/>
    <w:rsid w:val="002749FC"/>
    <w:rsid w:val="00274D36"/>
    <w:rsid w:val="00274F1B"/>
    <w:rsid w:val="00274F3C"/>
    <w:rsid w:val="002756D3"/>
    <w:rsid w:val="002758D9"/>
    <w:rsid w:val="00275CE8"/>
    <w:rsid w:val="0027690C"/>
    <w:rsid w:val="00276ABF"/>
    <w:rsid w:val="00276DA1"/>
    <w:rsid w:val="00277611"/>
    <w:rsid w:val="00277635"/>
    <w:rsid w:val="00277718"/>
    <w:rsid w:val="00277F76"/>
    <w:rsid w:val="00280379"/>
    <w:rsid w:val="00280A2C"/>
    <w:rsid w:val="002814E2"/>
    <w:rsid w:val="002816C3"/>
    <w:rsid w:val="00281748"/>
    <w:rsid w:val="00281B10"/>
    <w:rsid w:val="00281B8B"/>
    <w:rsid w:val="00281E74"/>
    <w:rsid w:val="00282136"/>
    <w:rsid w:val="0028230C"/>
    <w:rsid w:val="00282677"/>
    <w:rsid w:val="00282832"/>
    <w:rsid w:val="002829DB"/>
    <w:rsid w:val="00282B8B"/>
    <w:rsid w:val="00283073"/>
    <w:rsid w:val="002838B7"/>
    <w:rsid w:val="002838EE"/>
    <w:rsid w:val="00283AE8"/>
    <w:rsid w:val="00286CC1"/>
    <w:rsid w:val="00286F21"/>
    <w:rsid w:val="002875AF"/>
    <w:rsid w:val="00287808"/>
    <w:rsid w:val="00287CC3"/>
    <w:rsid w:val="00290514"/>
    <w:rsid w:val="00290C2A"/>
    <w:rsid w:val="0029131C"/>
    <w:rsid w:val="00291D72"/>
    <w:rsid w:val="002923C1"/>
    <w:rsid w:val="00292496"/>
    <w:rsid w:val="00293F41"/>
    <w:rsid w:val="00294B3E"/>
    <w:rsid w:val="00294B81"/>
    <w:rsid w:val="00294F16"/>
    <w:rsid w:val="00295238"/>
    <w:rsid w:val="00295723"/>
    <w:rsid w:val="00295EC9"/>
    <w:rsid w:val="00296105"/>
    <w:rsid w:val="0029619F"/>
    <w:rsid w:val="002964B4"/>
    <w:rsid w:val="002966A6"/>
    <w:rsid w:val="00296E47"/>
    <w:rsid w:val="002973B0"/>
    <w:rsid w:val="00297DD8"/>
    <w:rsid w:val="00297E8B"/>
    <w:rsid w:val="002A00D2"/>
    <w:rsid w:val="002A0701"/>
    <w:rsid w:val="002A07B3"/>
    <w:rsid w:val="002A0ED4"/>
    <w:rsid w:val="002A1305"/>
    <w:rsid w:val="002A1A8F"/>
    <w:rsid w:val="002A1E24"/>
    <w:rsid w:val="002A205D"/>
    <w:rsid w:val="002A239C"/>
    <w:rsid w:val="002A2BE3"/>
    <w:rsid w:val="002A3528"/>
    <w:rsid w:val="002A3A86"/>
    <w:rsid w:val="002A417E"/>
    <w:rsid w:val="002A4266"/>
    <w:rsid w:val="002A430C"/>
    <w:rsid w:val="002A4709"/>
    <w:rsid w:val="002A4E74"/>
    <w:rsid w:val="002A6665"/>
    <w:rsid w:val="002A6FE4"/>
    <w:rsid w:val="002A7010"/>
    <w:rsid w:val="002A7256"/>
    <w:rsid w:val="002A75EF"/>
    <w:rsid w:val="002A7959"/>
    <w:rsid w:val="002A7B76"/>
    <w:rsid w:val="002B0502"/>
    <w:rsid w:val="002B0791"/>
    <w:rsid w:val="002B0A7A"/>
    <w:rsid w:val="002B10C9"/>
    <w:rsid w:val="002B128F"/>
    <w:rsid w:val="002B157B"/>
    <w:rsid w:val="002B15D1"/>
    <w:rsid w:val="002B19C6"/>
    <w:rsid w:val="002B2A08"/>
    <w:rsid w:val="002B2F46"/>
    <w:rsid w:val="002B3873"/>
    <w:rsid w:val="002B3C1A"/>
    <w:rsid w:val="002B3F35"/>
    <w:rsid w:val="002B4034"/>
    <w:rsid w:val="002B4370"/>
    <w:rsid w:val="002B5F95"/>
    <w:rsid w:val="002B6462"/>
    <w:rsid w:val="002B64B5"/>
    <w:rsid w:val="002B6941"/>
    <w:rsid w:val="002B696E"/>
    <w:rsid w:val="002B79EF"/>
    <w:rsid w:val="002B7E0C"/>
    <w:rsid w:val="002C0C14"/>
    <w:rsid w:val="002C0F2F"/>
    <w:rsid w:val="002C11BE"/>
    <w:rsid w:val="002C1F62"/>
    <w:rsid w:val="002C261B"/>
    <w:rsid w:val="002C29DC"/>
    <w:rsid w:val="002C2D4B"/>
    <w:rsid w:val="002C2F74"/>
    <w:rsid w:val="002C301E"/>
    <w:rsid w:val="002C335C"/>
    <w:rsid w:val="002C37CD"/>
    <w:rsid w:val="002C38FD"/>
    <w:rsid w:val="002C3BB3"/>
    <w:rsid w:val="002C3DE1"/>
    <w:rsid w:val="002C4273"/>
    <w:rsid w:val="002C43D3"/>
    <w:rsid w:val="002C4841"/>
    <w:rsid w:val="002C4AE4"/>
    <w:rsid w:val="002C4DCC"/>
    <w:rsid w:val="002C55CB"/>
    <w:rsid w:val="002C5891"/>
    <w:rsid w:val="002C6247"/>
    <w:rsid w:val="002C6477"/>
    <w:rsid w:val="002C6A9C"/>
    <w:rsid w:val="002C6AA4"/>
    <w:rsid w:val="002C6F82"/>
    <w:rsid w:val="002C7D73"/>
    <w:rsid w:val="002D0274"/>
    <w:rsid w:val="002D057B"/>
    <w:rsid w:val="002D0638"/>
    <w:rsid w:val="002D0800"/>
    <w:rsid w:val="002D0E14"/>
    <w:rsid w:val="002D0F6A"/>
    <w:rsid w:val="002D0FB8"/>
    <w:rsid w:val="002D1181"/>
    <w:rsid w:val="002D1870"/>
    <w:rsid w:val="002D1D65"/>
    <w:rsid w:val="002D1D9B"/>
    <w:rsid w:val="002D1DAE"/>
    <w:rsid w:val="002D1E38"/>
    <w:rsid w:val="002D26BE"/>
    <w:rsid w:val="002D28DA"/>
    <w:rsid w:val="002D2DAA"/>
    <w:rsid w:val="002D2EFC"/>
    <w:rsid w:val="002D30A2"/>
    <w:rsid w:val="002D36B7"/>
    <w:rsid w:val="002D384A"/>
    <w:rsid w:val="002D3932"/>
    <w:rsid w:val="002D39FB"/>
    <w:rsid w:val="002D3B2A"/>
    <w:rsid w:val="002D3D1D"/>
    <w:rsid w:val="002D3E21"/>
    <w:rsid w:val="002D4B4B"/>
    <w:rsid w:val="002D4FE1"/>
    <w:rsid w:val="002D5938"/>
    <w:rsid w:val="002D5CAD"/>
    <w:rsid w:val="002D631D"/>
    <w:rsid w:val="002D6A4F"/>
    <w:rsid w:val="002D6A8F"/>
    <w:rsid w:val="002D6C97"/>
    <w:rsid w:val="002D70C3"/>
    <w:rsid w:val="002D7CA9"/>
    <w:rsid w:val="002E0789"/>
    <w:rsid w:val="002E0794"/>
    <w:rsid w:val="002E17E7"/>
    <w:rsid w:val="002E1E91"/>
    <w:rsid w:val="002E2806"/>
    <w:rsid w:val="002E34DE"/>
    <w:rsid w:val="002E378D"/>
    <w:rsid w:val="002E38AA"/>
    <w:rsid w:val="002E3926"/>
    <w:rsid w:val="002E3EB2"/>
    <w:rsid w:val="002E6BD0"/>
    <w:rsid w:val="002E72D2"/>
    <w:rsid w:val="002E7A56"/>
    <w:rsid w:val="002E7F51"/>
    <w:rsid w:val="002F0B74"/>
    <w:rsid w:val="002F121A"/>
    <w:rsid w:val="002F16B4"/>
    <w:rsid w:val="002F1891"/>
    <w:rsid w:val="002F245D"/>
    <w:rsid w:val="002F27FD"/>
    <w:rsid w:val="002F2C1A"/>
    <w:rsid w:val="002F317E"/>
    <w:rsid w:val="002F37B5"/>
    <w:rsid w:val="002F3DB2"/>
    <w:rsid w:val="002F3F7D"/>
    <w:rsid w:val="002F4294"/>
    <w:rsid w:val="002F4854"/>
    <w:rsid w:val="002F52AF"/>
    <w:rsid w:val="002F572C"/>
    <w:rsid w:val="002F6800"/>
    <w:rsid w:val="002F7572"/>
    <w:rsid w:val="002F7D0A"/>
    <w:rsid w:val="0030004B"/>
    <w:rsid w:val="00300DF7"/>
    <w:rsid w:val="00301FD3"/>
    <w:rsid w:val="003025BB"/>
    <w:rsid w:val="003027B6"/>
    <w:rsid w:val="00302D05"/>
    <w:rsid w:val="00303647"/>
    <w:rsid w:val="0030411B"/>
    <w:rsid w:val="00304C3C"/>
    <w:rsid w:val="00304E5F"/>
    <w:rsid w:val="003053A7"/>
    <w:rsid w:val="00305460"/>
    <w:rsid w:val="003055FD"/>
    <w:rsid w:val="00306011"/>
    <w:rsid w:val="0030648C"/>
    <w:rsid w:val="003065FB"/>
    <w:rsid w:val="00306B7A"/>
    <w:rsid w:val="00306C0A"/>
    <w:rsid w:val="0030773C"/>
    <w:rsid w:val="00307797"/>
    <w:rsid w:val="003101F4"/>
    <w:rsid w:val="0031053E"/>
    <w:rsid w:val="0031070A"/>
    <w:rsid w:val="00310B9D"/>
    <w:rsid w:val="0031167E"/>
    <w:rsid w:val="003116AD"/>
    <w:rsid w:val="0031197C"/>
    <w:rsid w:val="0031232F"/>
    <w:rsid w:val="00312838"/>
    <w:rsid w:val="00312FBB"/>
    <w:rsid w:val="003133DD"/>
    <w:rsid w:val="0031399C"/>
    <w:rsid w:val="003139C1"/>
    <w:rsid w:val="00313A0A"/>
    <w:rsid w:val="00313BA1"/>
    <w:rsid w:val="00313DD6"/>
    <w:rsid w:val="0031438C"/>
    <w:rsid w:val="00314F85"/>
    <w:rsid w:val="00315291"/>
    <w:rsid w:val="00316136"/>
    <w:rsid w:val="00316343"/>
    <w:rsid w:val="00316A9A"/>
    <w:rsid w:val="0031737E"/>
    <w:rsid w:val="003175B5"/>
    <w:rsid w:val="003175ED"/>
    <w:rsid w:val="00320058"/>
    <w:rsid w:val="003202C9"/>
    <w:rsid w:val="00320743"/>
    <w:rsid w:val="00320920"/>
    <w:rsid w:val="003221D0"/>
    <w:rsid w:val="00322C94"/>
    <w:rsid w:val="003232F2"/>
    <w:rsid w:val="00323CDB"/>
    <w:rsid w:val="00323F7A"/>
    <w:rsid w:val="0032561A"/>
    <w:rsid w:val="00325635"/>
    <w:rsid w:val="0032569F"/>
    <w:rsid w:val="00325772"/>
    <w:rsid w:val="00325B45"/>
    <w:rsid w:val="00325CAC"/>
    <w:rsid w:val="00325F25"/>
    <w:rsid w:val="00325F3C"/>
    <w:rsid w:val="00326824"/>
    <w:rsid w:val="003276FD"/>
    <w:rsid w:val="00327FCA"/>
    <w:rsid w:val="003309B6"/>
    <w:rsid w:val="0033141C"/>
    <w:rsid w:val="003317F7"/>
    <w:rsid w:val="00331F0C"/>
    <w:rsid w:val="003322FB"/>
    <w:rsid w:val="00332693"/>
    <w:rsid w:val="003326F3"/>
    <w:rsid w:val="00332C70"/>
    <w:rsid w:val="00333992"/>
    <w:rsid w:val="00333C1F"/>
    <w:rsid w:val="0033431D"/>
    <w:rsid w:val="00334798"/>
    <w:rsid w:val="00334A92"/>
    <w:rsid w:val="00334C4F"/>
    <w:rsid w:val="0033501D"/>
    <w:rsid w:val="00335627"/>
    <w:rsid w:val="003357D1"/>
    <w:rsid w:val="0033589B"/>
    <w:rsid w:val="00335A2B"/>
    <w:rsid w:val="00335C84"/>
    <w:rsid w:val="00335D91"/>
    <w:rsid w:val="00335FF1"/>
    <w:rsid w:val="00337830"/>
    <w:rsid w:val="00340057"/>
    <w:rsid w:val="00340144"/>
    <w:rsid w:val="00340151"/>
    <w:rsid w:val="00341936"/>
    <w:rsid w:val="003420DF"/>
    <w:rsid w:val="003425DB"/>
    <w:rsid w:val="0034297B"/>
    <w:rsid w:val="00342C8E"/>
    <w:rsid w:val="00343633"/>
    <w:rsid w:val="003436C5"/>
    <w:rsid w:val="0034391A"/>
    <w:rsid w:val="00343A30"/>
    <w:rsid w:val="0034454B"/>
    <w:rsid w:val="00345273"/>
    <w:rsid w:val="003452E2"/>
    <w:rsid w:val="00345656"/>
    <w:rsid w:val="003456E9"/>
    <w:rsid w:val="003465E7"/>
    <w:rsid w:val="00346A2D"/>
    <w:rsid w:val="0034716B"/>
    <w:rsid w:val="00347296"/>
    <w:rsid w:val="0034764A"/>
    <w:rsid w:val="00347B61"/>
    <w:rsid w:val="003504EA"/>
    <w:rsid w:val="00350F32"/>
    <w:rsid w:val="003513BE"/>
    <w:rsid w:val="003520FE"/>
    <w:rsid w:val="003522C8"/>
    <w:rsid w:val="003530BC"/>
    <w:rsid w:val="003532CE"/>
    <w:rsid w:val="00354186"/>
    <w:rsid w:val="0035429A"/>
    <w:rsid w:val="003558B0"/>
    <w:rsid w:val="00355EB6"/>
    <w:rsid w:val="00355F90"/>
    <w:rsid w:val="00356161"/>
    <w:rsid w:val="00356DA3"/>
    <w:rsid w:val="00356F9B"/>
    <w:rsid w:val="00356FCC"/>
    <w:rsid w:val="00357016"/>
    <w:rsid w:val="0035708F"/>
    <w:rsid w:val="003570BC"/>
    <w:rsid w:val="00357B68"/>
    <w:rsid w:val="00357EC9"/>
    <w:rsid w:val="0036031C"/>
    <w:rsid w:val="003603CE"/>
    <w:rsid w:val="00360C51"/>
    <w:rsid w:val="003619D2"/>
    <w:rsid w:val="00361C4F"/>
    <w:rsid w:val="00361E40"/>
    <w:rsid w:val="003620DE"/>
    <w:rsid w:val="00362D10"/>
    <w:rsid w:val="00363DA4"/>
    <w:rsid w:val="00363F75"/>
    <w:rsid w:val="00364330"/>
    <w:rsid w:val="00365903"/>
    <w:rsid w:val="00365BC2"/>
    <w:rsid w:val="00366233"/>
    <w:rsid w:val="00366715"/>
    <w:rsid w:val="003670A4"/>
    <w:rsid w:val="003670C2"/>
    <w:rsid w:val="00367442"/>
    <w:rsid w:val="00367A61"/>
    <w:rsid w:val="00367B88"/>
    <w:rsid w:val="00367B8A"/>
    <w:rsid w:val="00370378"/>
    <w:rsid w:val="00370489"/>
    <w:rsid w:val="00370EB5"/>
    <w:rsid w:val="0037175D"/>
    <w:rsid w:val="00371997"/>
    <w:rsid w:val="00371998"/>
    <w:rsid w:val="003751DC"/>
    <w:rsid w:val="0037528C"/>
    <w:rsid w:val="00375422"/>
    <w:rsid w:val="0037565E"/>
    <w:rsid w:val="003756BC"/>
    <w:rsid w:val="00375B94"/>
    <w:rsid w:val="003760B1"/>
    <w:rsid w:val="00376175"/>
    <w:rsid w:val="00376176"/>
    <w:rsid w:val="003763FC"/>
    <w:rsid w:val="00376E60"/>
    <w:rsid w:val="00377923"/>
    <w:rsid w:val="003779B1"/>
    <w:rsid w:val="00377DD0"/>
    <w:rsid w:val="00380A64"/>
    <w:rsid w:val="00381AD2"/>
    <w:rsid w:val="00381CA6"/>
    <w:rsid w:val="00382377"/>
    <w:rsid w:val="00383382"/>
    <w:rsid w:val="00383A94"/>
    <w:rsid w:val="00383D0F"/>
    <w:rsid w:val="00384807"/>
    <w:rsid w:val="00385213"/>
    <w:rsid w:val="0038541F"/>
    <w:rsid w:val="00385473"/>
    <w:rsid w:val="0038658E"/>
    <w:rsid w:val="003867CE"/>
    <w:rsid w:val="00387401"/>
    <w:rsid w:val="00387CD9"/>
    <w:rsid w:val="00387EEA"/>
    <w:rsid w:val="00390035"/>
    <w:rsid w:val="003905A0"/>
    <w:rsid w:val="00390C63"/>
    <w:rsid w:val="003917BC"/>
    <w:rsid w:val="003924CC"/>
    <w:rsid w:val="003935B7"/>
    <w:rsid w:val="00393A05"/>
    <w:rsid w:val="00393B1D"/>
    <w:rsid w:val="00394184"/>
    <w:rsid w:val="003953A9"/>
    <w:rsid w:val="00395D8C"/>
    <w:rsid w:val="003963A6"/>
    <w:rsid w:val="00396E11"/>
    <w:rsid w:val="003970DE"/>
    <w:rsid w:val="003978AD"/>
    <w:rsid w:val="003979AB"/>
    <w:rsid w:val="00397CE6"/>
    <w:rsid w:val="003A0AD6"/>
    <w:rsid w:val="003A14D9"/>
    <w:rsid w:val="003A1569"/>
    <w:rsid w:val="003A1F3F"/>
    <w:rsid w:val="003A3D68"/>
    <w:rsid w:val="003A528D"/>
    <w:rsid w:val="003A53C1"/>
    <w:rsid w:val="003A554A"/>
    <w:rsid w:val="003A5706"/>
    <w:rsid w:val="003A5874"/>
    <w:rsid w:val="003A5D8B"/>
    <w:rsid w:val="003A5DCD"/>
    <w:rsid w:val="003A5F2B"/>
    <w:rsid w:val="003A6C33"/>
    <w:rsid w:val="003B02EF"/>
    <w:rsid w:val="003B068B"/>
    <w:rsid w:val="003B0FFB"/>
    <w:rsid w:val="003B10BE"/>
    <w:rsid w:val="003B15BC"/>
    <w:rsid w:val="003B187F"/>
    <w:rsid w:val="003B1CC8"/>
    <w:rsid w:val="003B1FF4"/>
    <w:rsid w:val="003B20A9"/>
    <w:rsid w:val="003B20EC"/>
    <w:rsid w:val="003B21D2"/>
    <w:rsid w:val="003B2345"/>
    <w:rsid w:val="003B31E4"/>
    <w:rsid w:val="003B33A2"/>
    <w:rsid w:val="003B3754"/>
    <w:rsid w:val="003B3FB5"/>
    <w:rsid w:val="003B4880"/>
    <w:rsid w:val="003B48FE"/>
    <w:rsid w:val="003B4A62"/>
    <w:rsid w:val="003B64AF"/>
    <w:rsid w:val="003B7920"/>
    <w:rsid w:val="003C0673"/>
    <w:rsid w:val="003C06E3"/>
    <w:rsid w:val="003C0AAE"/>
    <w:rsid w:val="003C0E8D"/>
    <w:rsid w:val="003C13AD"/>
    <w:rsid w:val="003C14C0"/>
    <w:rsid w:val="003C1E11"/>
    <w:rsid w:val="003C30CE"/>
    <w:rsid w:val="003C32FD"/>
    <w:rsid w:val="003C331B"/>
    <w:rsid w:val="003C3336"/>
    <w:rsid w:val="003C3C64"/>
    <w:rsid w:val="003C3FFC"/>
    <w:rsid w:val="003C46EE"/>
    <w:rsid w:val="003C499F"/>
    <w:rsid w:val="003C5111"/>
    <w:rsid w:val="003C5369"/>
    <w:rsid w:val="003C5763"/>
    <w:rsid w:val="003D01E3"/>
    <w:rsid w:val="003D0B95"/>
    <w:rsid w:val="003D1C8C"/>
    <w:rsid w:val="003D1E9B"/>
    <w:rsid w:val="003D2246"/>
    <w:rsid w:val="003D257B"/>
    <w:rsid w:val="003D2D66"/>
    <w:rsid w:val="003D2F60"/>
    <w:rsid w:val="003D3019"/>
    <w:rsid w:val="003D32A4"/>
    <w:rsid w:val="003D3545"/>
    <w:rsid w:val="003D3556"/>
    <w:rsid w:val="003D3B1A"/>
    <w:rsid w:val="003D43EA"/>
    <w:rsid w:val="003D47C4"/>
    <w:rsid w:val="003D4DCB"/>
    <w:rsid w:val="003D5679"/>
    <w:rsid w:val="003D5BB4"/>
    <w:rsid w:val="003D6592"/>
    <w:rsid w:val="003D6B58"/>
    <w:rsid w:val="003D6CBB"/>
    <w:rsid w:val="003D78FA"/>
    <w:rsid w:val="003E034F"/>
    <w:rsid w:val="003E08B1"/>
    <w:rsid w:val="003E1C34"/>
    <w:rsid w:val="003E2600"/>
    <w:rsid w:val="003E3325"/>
    <w:rsid w:val="003E3619"/>
    <w:rsid w:val="003E4895"/>
    <w:rsid w:val="003E4E2B"/>
    <w:rsid w:val="003E4F9A"/>
    <w:rsid w:val="003E5335"/>
    <w:rsid w:val="003E5AF3"/>
    <w:rsid w:val="003E5DF9"/>
    <w:rsid w:val="003E6434"/>
    <w:rsid w:val="003E6592"/>
    <w:rsid w:val="003E6D27"/>
    <w:rsid w:val="003E6DEA"/>
    <w:rsid w:val="003E6EB3"/>
    <w:rsid w:val="003E6F36"/>
    <w:rsid w:val="003E730E"/>
    <w:rsid w:val="003F030E"/>
    <w:rsid w:val="003F0322"/>
    <w:rsid w:val="003F0583"/>
    <w:rsid w:val="003F08B1"/>
    <w:rsid w:val="003F0B25"/>
    <w:rsid w:val="003F1449"/>
    <w:rsid w:val="003F1C1A"/>
    <w:rsid w:val="003F3BA8"/>
    <w:rsid w:val="003F43E0"/>
    <w:rsid w:val="003F47FF"/>
    <w:rsid w:val="003F4C72"/>
    <w:rsid w:val="003F4CE2"/>
    <w:rsid w:val="003F5A6C"/>
    <w:rsid w:val="003F5CB1"/>
    <w:rsid w:val="003F639C"/>
    <w:rsid w:val="003F67E2"/>
    <w:rsid w:val="003F6DB9"/>
    <w:rsid w:val="003F7116"/>
    <w:rsid w:val="003F7154"/>
    <w:rsid w:val="003F731E"/>
    <w:rsid w:val="003F7768"/>
    <w:rsid w:val="003F7917"/>
    <w:rsid w:val="00401DD2"/>
    <w:rsid w:val="0040234A"/>
    <w:rsid w:val="0040306B"/>
    <w:rsid w:val="004037D7"/>
    <w:rsid w:val="0040453C"/>
    <w:rsid w:val="00404A0D"/>
    <w:rsid w:val="00404E5D"/>
    <w:rsid w:val="0040519B"/>
    <w:rsid w:val="00405B0C"/>
    <w:rsid w:val="004060D1"/>
    <w:rsid w:val="004069C3"/>
    <w:rsid w:val="00406BB8"/>
    <w:rsid w:val="00406FC4"/>
    <w:rsid w:val="0040706C"/>
    <w:rsid w:val="004079BF"/>
    <w:rsid w:val="00410090"/>
    <w:rsid w:val="00410C88"/>
    <w:rsid w:val="00410D1A"/>
    <w:rsid w:val="00411280"/>
    <w:rsid w:val="004117F5"/>
    <w:rsid w:val="00411B93"/>
    <w:rsid w:val="00411E0D"/>
    <w:rsid w:val="00411E45"/>
    <w:rsid w:val="00411F18"/>
    <w:rsid w:val="004126EF"/>
    <w:rsid w:val="0041276A"/>
    <w:rsid w:val="0041295C"/>
    <w:rsid w:val="00413351"/>
    <w:rsid w:val="004134BE"/>
    <w:rsid w:val="0041389D"/>
    <w:rsid w:val="004138CE"/>
    <w:rsid w:val="00413B5A"/>
    <w:rsid w:val="00413ED8"/>
    <w:rsid w:val="00414030"/>
    <w:rsid w:val="00414276"/>
    <w:rsid w:val="004151A4"/>
    <w:rsid w:val="004152E6"/>
    <w:rsid w:val="00415416"/>
    <w:rsid w:val="00415D9D"/>
    <w:rsid w:val="00416173"/>
    <w:rsid w:val="0041672C"/>
    <w:rsid w:val="00417769"/>
    <w:rsid w:val="00417999"/>
    <w:rsid w:val="00420024"/>
    <w:rsid w:val="00420ABD"/>
    <w:rsid w:val="00420E7E"/>
    <w:rsid w:val="0042196B"/>
    <w:rsid w:val="0042245B"/>
    <w:rsid w:val="00424679"/>
    <w:rsid w:val="00424AFD"/>
    <w:rsid w:val="00424C0D"/>
    <w:rsid w:val="00424DF1"/>
    <w:rsid w:val="0042509E"/>
    <w:rsid w:val="004256C4"/>
    <w:rsid w:val="004265CD"/>
    <w:rsid w:val="00426C34"/>
    <w:rsid w:val="004278FA"/>
    <w:rsid w:val="00427B89"/>
    <w:rsid w:val="004300AC"/>
    <w:rsid w:val="004300CF"/>
    <w:rsid w:val="00430A87"/>
    <w:rsid w:val="0043117D"/>
    <w:rsid w:val="004321BB"/>
    <w:rsid w:val="0043225A"/>
    <w:rsid w:val="00432414"/>
    <w:rsid w:val="00432C38"/>
    <w:rsid w:val="00433355"/>
    <w:rsid w:val="00433607"/>
    <w:rsid w:val="004337AE"/>
    <w:rsid w:val="0043380A"/>
    <w:rsid w:val="00433A46"/>
    <w:rsid w:val="0043468E"/>
    <w:rsid w:val="00434A9F"/>
    <w:rsid w:val="004356C4"/>
    <w:rsid w:val="00436DA8"/>
    <w:rsid w:val="0043727E"/>
    <w:rsid w:val="00440361"/>
    <w:rsid w:val="004409D8"/>
    <w:rsid w:val="004411D6"/>
    <w:rsid w:val="00441331"/>
    <w:rsid w:val="004413CA"/>
    <w:rsid w:val="0044198A"/>
    <w:rsid w:val="00441E02"/>
    <w:rsid w:val="00441E6C"/>
    <w:rsid w:val="004425C6"/>
    <w:rsid w:val="00442D4D"/>
    <w:rsid w:val="00443392"/>
    <w:rsid w:val="00443D2E"/>
    <w:rsid w:val="004440DA"/>
    <w:rsid w:val="0044469D"/>
    <w:rsid w:val="00444701"/>
    <w:rsid w:val="00444921"/>
    <w:rsid w:val="00444D5C"/>
    <w:rsid w:val="00445056"/>
    <w:rsid w:val="00445730"/>
    <w:rsid w:val="004459AA"/>
    <w:rsid w:val="00445A36"/>
    <w:rsid w:val="00446484"/>
    <w:rsid w:val="004475A6"/>
    <w:rsid w:val="004479D4"/>
    <w:rsid w:val="0045045D"/>
    <w:rsid w:val="004504BE"/>
    <w:rsid w:val="00451439"/>
    <w:rsid w:val="0045245B"/>
    <w:rsid w:val="00452991"/>
    <w:rsid w:val="00452C7D"/>
    <w:rsid w:val="00453616"/>
    <w:rsid w:val="00453C5C"/>
    <w:rsid w:val="00454007"/>
    <w:rsid w:val="00454587"/>
    <w:rsid w:val="00454D03"/>
    <w:rsid w:val="00455A3A"/>
    <w:rsid w:val="00456081"/>
    <w:rsid w:val="00456243"/>
    <w:rsid w:val="00456803"/>
    <w:rsid w:val="00456A49"/>
    <w:rsid w:val="00456A57"/>
    <w:rsid w:val="00456C08"/>
    <w:rsid w:val="00457051"/>
    <w:rsid w:val="0045770F"/>
    <w:rsid w:val="00457859"/>
    <w:rsid w:val="00460783"/>
    <w:rsid w:val="00460906"/>
    <w:rsid w:val="00460BE3"/>
    <w:rsid w:val="00462163"/>
    <w:rsid w:val="0046385C"/>
    <w:rsid w:val="00463D90"/>
    <w:rsid w:val="00463EBB"/>
    <w:rsid w:val="0046403E"/>
    <w:rsid w:val="0046442E"/>
    <w:rsid w:val="00464B23"/>
    <w:rsid w:val="004652C8"/>
    <w:rsid w:val="004657D5"/>
    <w:rsid w:val="00465BCE"/>
    <w:rsid w:val="00465EDD"/>
    <w:rsid w:val="0046640E"/>
    <w:rsid w:val="004665BE"/>
    <w:rsid w:val="00466E01"/>
    <w:rsid w:val="00466E48"/>
    <w:rsid w:val="004672D2"/>
    <w:rsid w:val="004700CE"/>
    <w:rsid w:val="00470856"/>
    <w:rsid w:val="00471710"/>
    <w:rsid w:val="00472399"/>
    <w:rsid w:val="00473B75"/>
    <w:rsid w:val="00473CF4"/>
    <w:rsid w:val="00473D1E"/>
    <w:rsid w:val="00473DD8"/>
    <w:rsid w:val="0047459D"/>
    <w:rsid w:val="00474BFC"/>
    <w:rsid w:val="00474CCD"/>
    <w:rsid w:val="00475427"/>
    <w:rsid w:val="004755B0"/>
    <w:rsid w:val="00475743"/>
    <w:rsid w:val="00475CC1"/>
    <w:rsid w:val="00475E1A"/>
    <w:rsid w:val="00476445"/>
    <w:rsid w:val="0047795D"/>
    <w:rsid w:val="00477AC2"/>
    <w:rsid w:val="00477ACF"/>
    <w:rsid w:val="00480186"/>
    <w:rsid w:val="00480C98"/>
    <w:rsid w:val="00480E1C"/>
    <w:rsid w:val="0048124F"/>
    <w:rsid w:val="004812C5"/>
    <w:rsid w:val="00482849"/>
    <w:rsid w:val="00483493"/>
    <w:rsid w:val="00483551"/>
    <w:rsid w:val="00483968"/>
    <w:rsid w:val="00483E72"/>
    <w:rsid w:val="00483F43"/>
    <w:rsid w:val="004840CE"/>
    <w:rsid w:val="00484696"/>
    <w:rsid w:val="00485B5D"/>
    <w:rsid w:val="00485E6D"/>
    <w:rsid w:val="0048680B"/>
    <w:rsid w:val="0049020B"/>
    <w:rsid w:val="004909CC"/>
    <w:rsid w:val="00490B96"/>
    <w:rsid w:val="00490EE8"/>
    <w:rsid w:val="00491550"/>
    <w:rsid w:val="0049171F"/>
    <w:rsid w:val="00491CBD"/>
    <w:rsid w:val="00491D33"/>
    <w:rsid w:val="004926D4"/>
    <w:rsid w:val="00492A81"/>
    <w:rsid w:val="0049304E"/>
    <w:rsid w:val="004945EF"/>
    <w:rsid w:val="004948BE"/>
    <w:rsid w:val="00494B5D"/>
    <w:rsid w:val="00494E53"/>
    <w:rsid w:val="00494F4F"/>
    <w:rsid w:val="004951B0"/>
    <w:rsid w:val="00495384"/>
    <w:rsid w:val="004954AB"/>
    <w:rsid w:val="00495782"/>
    <w:rsid w:val="00495801"/>
    <w:rsid w:val="004972AE"/>
    <w:rsid w:val="0049731C"/>
    <w:rsid w:val="00497C8A"/>
    <w:rsid w:val="004A0576"/>
    <w:rsid w:val="004A0873"/>
    <w:rsid w:val="004A09C9"/>
    <w:rsid w:val="004A19C3"/>
    <w:rsid w:val="004A1ED3"/>
    <w:rsid w:val="004A21CA"/>
    <w:rsid w:val="004A2D56"/>
    <w:rsid w:val="004A2DD9"/>
    <w:rsid w:val="004A3385"/>
    <w:rsid w:val="004A3626"/>
    <w:rsid w:val="004A39BE"/>
    <w:rsid w:val="004A3C3C"/>
    <w:rsid w:val="004A3D97"/>
    <w:rsid w:val="004A4002"/>
    <w:rsid w:val="004A4153"/>
    <w:rsid w:val="004A4A08"/>
    <w:rsid w:val="004A51B9"/>
    <w:rsid w:val="004A51EB"/>
    <w:rsid w:val="004A5711"/>
    <w:rsid w:val="004A5A3C"/>
    <w:rsid w:val="004A5F38"/>
    <w:rsid w:val="004A68EA"/>
    <w:rsid w:val="004A6A17"/>
    <w:rsid w:val="004A7832"/>
    <w:rsid w:val="004A78C1"/>
    <w:rsid w:val="004A7D9D"/>
    <w:rsid w:val="004A7E9F"/>
    <w:rsid w:val="004B07D4"/>
    <w:rsid w:val="004B09A5"/>
    <w:rsid w:val="004B0D05"/>
    <w:rsid w:val="004B109B"/>
    <w:rsid w:val="004B10E1"/>
    <w:rsid w:val="004B1492"/>
    <w:rsid w:val="004B1C79"/>
    <w:rsid w:val="004B1E3D"/>
    <w:rsid w:val="004B202D"/>
    <w:rsid w:val="004B28E6"/>
    <w:rsid w:val="004B2C37"/>
    <w:rsid w:val="004B3472"/>
    <w:rsid w:val="004B35AF"/>
    <w:rsid w:val="004B3BBF"/>
    <w:rsid w:val="004B4354"/>
    <w:rsid w:val="004B4972"/>
    <w:rsid w:val="004B5189"/>
    <w:rsid w:val="004B58E2"/>
    <w:rsid w:val="004B5AD7"/>
    <w:rsid w:val="004B60F2"/>
    <w:rsid w:val="004B6D40"/>
    <w:rsid w:val="004B6F2F"/>
    <w:rsid w:val="004B74C9"/>
    <w:rsid w:val="004B79CC"/>
    <w:rsid w:val="004B7AB4"/>
    <w:rsid w:val="004B7BC3"/>
    <w:rsid w:val="004B7E78"/>
    <w:rsid w:val="004C0105"/>
    <w:rsid w:val="004C04FC"/>
    <w:rsid w:val="004C1AD3"/>
    <w:rsid w:val="004C1BCD"/>
    <w:rsid w:val="004C251E"/>
    <w:rsid w:val="004C25BB"/>
    <w:rsid w:val="004C3117"/>
    <w:rsid w:val="004C34F5"/>
    <w:rsid w:val="004C4748"/>
    <w:rsid w:val="004C4F20"/>
    <w:rsid w:val="004C54F6"/>
    <w:rsid w:val="004C5595"/>
    <w:rsid w:val="004C5CDF"/>
    <w:rsid w:val="004C66A9"/>
    <w:rsid w:val="004C6825"/>
    <w:rsid w:val="004C6E0D"/>
    <w:rsid w:val="004C7619"/>
    <w:rsid w:val="004C7862"/>
    <w:rsid w:val="004D0A2C"/>
    <w:rsid w:val="004D0D08"/>
    <w:rsid w:val="004D0DDB"/>
    <w:rsid w:val="004D1677"/>
    <w:rsid w:val="004D2002"/>
    <w:rsid w:val="004D2846"/>
    <w:rsid w:val="004D2DA9"/>
    <w:rsid w:val="004D34B9"/>
    <w:rsid w:val="004D376E"/>
    <w:rsid w:val="004D3A4B"/>
    <w:rsid w:val="004D3D6D"/>
    <w:rsid w:val="004D49DF"/>
    <w:rsid w:val="004D4BC0"/>
    <w:rsid w:val="004D5728"/>
    <w:rsid w:val="004D5B3B"/>
    <w:rsid w:val="004D629E"/>
    <w:rsid w:val="004D675B"/>
    <w:rsid w:val="004D6FCE"/>
    <w:rsid w:val="004D71DF"/>
    <w:rsid w:val="004D74E2"/>
    <w:rsid w:val="004D7C84"/>
    <w:rsid w:val="004D7D3C"/>
    <w:rsid w:val="004E0631"/>
    <w:rsid w:val="004E0A25"/>
    <w:rsid w:val="004E0D05"/>
    <w:rsid w:val="004E0D78"/>
    <w:rsid w:val="004E0FB4"/>
    <w:rsid w:val="004E0FB6"/>
    <w:rsid w:val="004E124B"/>
    <w:rsid w:val="004E140B"/>
    <w:rsid w:val="004E1669"/>
    <w:rsid w:val="004E2697"/>
    <w:rsid w:val="004E26E8"/>
    <w:rsid w:val="004E2C25"/>
    <w:rsid w:val="004E3138"/>
    <w:rsid w:val="004E32F6"/>
    <w:rsid w:val="004E337C"/>
    <w:rsid w:val="004E34C1"/>
    <w:rsid w:val="004E3EDF"/>
    <w:rsid w:val="004E44FD"/>
    <w:rsid w:val="004E450D"/>
    <w:rsid w:val="004E4647"/>
    <w:rsid w:val="004E46C0"/>
    <w:rsid w:val="004E4B2F"/>
    <w:rsid w:val="004E4D22"/>
    <w:rsid w:val="004E4F5C"/>
    <w:rsid w:val="004E5360"/>
    <w:rsid w:val="004E6008"/>
    <w:rsid w:val="004E667C"/>
    <w:rsid w:val="004E6A11"/>
    <w:rsid w:val="004E7966"/>
    <w:rsid w:val="004E7DDB"/>
    <w:rsid w:val="004F0362"/>
    <w:rsid w:val="004F0395"/>
    <w:rsid w:val="004F0E17"/>
    <w:rsid w:val="004F1F87"/>
    <w:rsid w:val="004F274C"/>
    <w:rsid w:val="004F2862"/>
    <w:rsid w:val="004F314D"/>
    <w:rsid w:val="004F3AB7"/>
    <w:rsid w:val="004F3CE9"/>
    <w:rsid w:val="004F40F2"/>
    <w:rsid w:val="004F413E"/>
    <w:rsid w:val="004F4E5B"/>
    <w:rsid w:val="004F5391"/>
    <w:rsid w:val="004F5764"/>
    <w:rsid w:val="004F5E05"/>
    <w:rsid w:val="004F7378"/>
    <w:rsid w:val="004F75A1"/>
    <w:rsid w:val="004F76EE"/>
    <w:rsid w:val="004F7FDE"/>
    <w:rsid w:val="0050086E"/>
    <w:rsid w:val="00501851"/>
    <w:rsid w:val="005021EF"/>
    <w:rsid w:val="0050249C"/>
    <w:rsid w:val="0050250D"/>
    <w:rsid w:val="005027B3"/>
    <w:rsid w:val="00502E1E"/>
    <w:rsid w:val="0050341E"/>
    <w:rsid w:val="00503439"/>
    <w:rsid w:val="00503601"/>
    <w:rsid w:val="005038F3"/>
    <w:rsid w:val="00503F7D"/>
    <w:rsid w:val="0050459D"/>
    <w:rsid w:val="00505A8C"/>
    <w:rsid w:val="00505E3A"/>
    <w:rsid w:val="00506285"/>
    <w:rsid w:val="00506856"/>
    <w:rsid w:val="0050685D"/>
    <w:rsid w:val="00506982"/>
    <w:rsid w:val="00506BDE"/>
    <w:rsid w:val="00507E8D"/>
    <w:rsid w:val="0051064D"/>
    <w:rsid w:val="00510BD6"/>
    <w:rsid w:val="00510D6C"/>
    <w:rsid w:val="005119A4"/>
    <w:rsid w:val="00511A27"/>
    <w:rsid w:val="00511E1E"/>
    <w:rsid w:val="00512C69"/>
    <w:rsid w:val="00513A40"/>
    <w:rsid w:val="00513E02"/>
    <w:rsid w:val="00514545"/>
    <w:rsid w:val="0051464A"/>
    <w:rsid w:val="0051489D"/>
    <w:rsid w:val="00514B06"/>
    <w:rsid w:val="00514FAC"/>
    <w:rsid w:val="00515420"/>
    <w:rsid w:val="00515B47"/>
    <w:rsid w:val="00515D8C"/>
    <w:rsid w:val="00515E29"/>
    <w:rsid w:val="0051611C"/>
    <w:rsid w:val="00516955"/>
    <w:rsid w:val="00517A6D"/>
    <w:rsid w:val="005216D3"/>
    <w:rsid w:val="005218B0"/>
    <w:rsid w:val="00521A75"/>
    <w:rsid w:val="00521D24"/>
    <w:rsid w:val="00521D8E"/>
    <w:rsid w:val="00521F44"/>
    <w:rsid w:val="005223E5"/>
    <w:rsid w:val="00522545"/>
    <w:rsid w:val="00522AA5"/>
    <w:rsid w:val="00523371"/>
    <w:rsid w:val="0052392F"/>
    <w:rsid w:val="0052393C"/>
    <w:rsid w:val="0052477B"/>
    <w:rsid w:val="005247A9"/>
    <w:rsid w:val="00524E67"/>
    <w:rsid w:val="00525412"/>
    <w:rsid w:val="005266D2"/>
    <w:rsid w:val="00526E25"/>
    <w:rsid w:val="0052722B"/>
    <w:rsid w:val="00527719"/>
    <w:rsid w:val="005303D2"/>
    <w:rsid w:val="0053056C"/>
    <w:rsid w:val="00530647"/>
    <w:rsid w:val="0053191A"/>
    <w:rsid w:val="0053270D"/>
    <w:rsid w:val="00532C48"/>
    <w:rsid w:val="00534D9F"/>
    <w:rsid w:val="00534E92"/>
    <w:rsid w:val="0053538A"/>
    <w:rsid w:val="00535A83"/>
    <w:rsid w:val="00535B7A"/>
    <w:rsid w:val="00535C41"/>
    <w:rsid w:val="00535F29"/>
    <w:rsid w:val="00537229"/>
    <w:rsid w:val="005377F7"/>
    <w:rsid w:val="00537858"/>
    <w:rsid w:val="00537EEE"/>
    <w:rsid w:val="00540354"/>
    <w:rsid w:val="00540B02"/>
    <w:rsid w:val="0054126D"/>
    <w:rsid w:val="005416CC"/>
    <w:rsid w:val="00541ACE"/>
    <w:rsid w:val="00541F04"/>
    <w:rsid w:val="00542B39"/>
    <w:rsid w:val="00543AD0"/>
    <w:rsid w:val="00543F32"/>
    <w:rsid w:val="00544BD2"/>
    <w:rsid w:val="00544D9B"/>
    <w:rsid w:val="00544DD4"/>
    <w:rsid w:val="00545221"/>
    <w:rsid w:val="005453B2"/>
    <w:rsid w:val="00545498"/>
    <w:rsid w:val="00545CC8"/>
    <w:rsid w:val="005465B7"/>
    <w:rsid w:val="005472F9"/>
    <w:rsid w:val="00547631"/>
    <w:rsid w:val="00547C6E"/>
    <w:rsid w:val="00550496"/>
    <w:rsid w:val="00550E71"/>
    <w:rsid w:val="00551715"/>
    <w:rsid w:val="00552A83"/>
    <w:rsid w:val="00552C64"/>
    <w:rsid w:val="00552CE5"/>
    <w:rsid w:val="00552F88"/>
    <w:rsid w:val="00553A8F"/>
    <w:rsid w:val="00553AF1"/>
    <w:rsid w:val="0055562D"/>
    <w:rsid w:val="005557D2"/>
    <w:rsid w:val="00555BD3"/>
    <w:rsid w:val="0055719C"/>
    <w:rsid w:val="005571DD"/>
    <w:rsid w:val="005576A2"/>
    <w:rsid w:val="005578A4"/>
    <w:rsid w:val="00557B86"/>
    <w:rsid w:val="00557F59"/>
    <w:rsid w:val="00560109"/>
    <w:rsid w:val="00560290"/>
    <w:rsid w:val="0056050C"/>
    <w:rsid w:val="00561587"/>
    <w:rsid w:val="005615A4"/>
    <w:rsid w:val="00561691"/>
    <w:rsid w:val="005617B1"/>
    <w:rsid w:val="00561AFC"/>
    <w:rsid w:val="00561BBB"/>
    <w:rsid w:val="00561D06"/>
    <w:rsid w:val="00561E70"/>
    <w:rsid w:val="00562ECE"/>
    <w:rsid w:val="00563359"/>
    <w:rsid w:val="00563501"/>
    <w:rsid w:val="005639AB"/>
    <w:rsid w:val="00564383"/>
    <w:rsid w:val="0056467E"/>
    <w:rsid w:val="0056523C"/>
    <w:rsid w:val="005656B9"/>
    <w:rsid w:val="00565AD7"/>
    <w:rsid w:val="00565C00"/>
    <w:rsid w:val="0056605A"/>
    <w:rsid w:val="0056798F"/>
    <w:rsid w:val="00570407"/>
    <w:rsid w:val="005708A8"/>
    <w:rsid w:val="00570DFE"/>
    <w:rsid w:val="00573648"/>
    <w:rsid w:val="00573B1B"/>
    <w:rsid w:val="00573CC4"/>
    <w:rsid w:val="0057489A"/>
    <w:rsid w:val="00574991"/>
    <w:rsid w:val="00574FF5"/>
    <w:rsid w:val="00575289"/>
    <w:rsid w:val="00575740"/>
    <w:rsid w:val="005757F9"/>
    <w:rsid w:val="00575849"/>
    <w:rsid w:val="00575999"/>
    <w:rsid w:val="0057656F"/>
    <w:rsid w:val="0057676B"/>
    <w:rsid w:val="0057789A"/>
    <w:rsid w:val="00577D97"/>
    <w:rsid w:val="005801EA"/>
    <w:rsid w:val="00580676"/>
    <w:rsid w:val="00581147"/>
    <w:rsid w:val="00581934"/>
    <w:rsid w:val="0058277C"/>
    <w:rsid w:val="0058298C"/>
    <w:rsid w:val="0058313E"/>
    <w:rsid w:val="005835F6"/>
    <w:rsid w:val="0058363E"/>
    <w:rsid w:val="0058373F"/>
    <w:rsid w:val="005837FF"/>
    <w:rsid w:val="00583C93"/>
    <w:rsid w:val="00583D4E"/>
    <w:rsid w:val="005846F0"/>
    <w:rsid w:val="00584ED6"/>
    <w:rsid w:val="0058524B"/>
    <w:rsid w:val="00585B78"/>
    <w:rsid w:val="00585F97"/>
    <w:rsid w:val="0058604A"/>
    <w:rsid w:val="00586E06"/>
    <w:rsid w:val="00586ECA"/>
    <w:rsid w:val="00587B02"/>
    <w:rsid w:val="00592B9C"/>
    <w:rsid w:val="0059413E"/>
    <w:rsid w:val="00594F77"/>
    <w:rsid w:val="0059503D"/>
    <w:rsid w:val="00595295"/>
    <w:rsid w:val="00595684"/>
    <w:rsid w:val="005958EE"/>
    <w:rsid w:val="00595DDE"/>
    <w:rsid w:val="00596002"/>
    <w:rsid w:val="00596638"/>
    <w:rsid w:val="00597459"/>
    <w:rsid w:val="0059788E"/>
    <w:rsid w:val="00597DEE"/>
    <w:rsid w:val="005A05E4"/>
    <w:rsid w:val="005A0738"/>
    <w:rsid w:val="005A0965"/>
    <w:rsid w:val="005A141A"/>
    <w:rsid w:val="005A1611"/>
    <w:rsid w:val="005A179A"/>
    <w:rsid w:val="005A1859"/>
    <w:rsid w:val="005A186A"/>
    <w:rsid w:val="005A1C6E"/>
    <w:rsid w:val="005A2268"/>
    <w:rsid w:val="005A24D6"/>
    <w:rsid w:val="005A28D4"/>
    <w:rsid w:val="005A2B55"/>
    <w:rsid w:val="005A3388"/>
    <w:rsid w:val="005A3733"/>
    <w:rsid w:val="005A43BD"/>
    <w:rsid w:val="005A43E1"/>
    <w:rsid w:val="005A46BC"/>
    <w:rsid w:val="005A4DD9"/>
    <w:rsid w:val="005A5422"/>
    <w:rsid w:val="005A54E0"/>
    <w:rsid w:val="005A56B3"/>
    <w:rsid w:val="005A5A72"/>
    <w:rsid w:val="005A5C8D"/>
    <w:rsid w:val="005A5CF5"/>
    <w:rsid w:val="005A5E6A"/>
    <w:rsid w:val="005A5EBE"/>
    <w:rsid w:val="005A6400"/>
    <w:rsid w:val="005A6A49"/>
    <w:rsid w:val="005A6EC0"/>
    <w:rsid w:val="005A730C"/>
    <w:rsid w:val="005B0496"/>
    <w:rsid w:val="005B05B1"/>
    <w:rsid w:val="005B0A4B"/>
    <w:rsid w:val="005B0C84"/>
    <w:rsid w:val="005B0EA4"/>
    <w:rsid w:val="005B1A10"/>
    <w:rsid w:val="005B2490"/>
    <w:rsid w:val="005B2835"/>
    <w:rsid w:val="005B2A2F"/>
    <w:rsid w:val="005B3428"/>
    <w:rsid w:val="005B39E3"/>
    <w:rsid w:val="005B4068"/>
    <w:rsid w:val="005B45E4"/>
    <w:rsid w:val="005B4FFB"/>
    <w:rsid w:val="005B616C"/>
    <w:rsid w:val="005B73A0"/>
    <w:rsid w:val="005B79B2"/>
    <w:rsid w:val="005B7FBD"/>
    <w:rsid w:val="005C008A"/>
    <w:rsid w:val="005C045F"/>
    <w:rsid w:val="005C0486"/>
    <w:rsid w:val="005C06B9"/>
    <w:rsid w:val="005C07C7"/>
    <w:rsid w:val="005C09B8"/>
    <w:rsid w:val="005C0A73"/>
    <w:rsid w:val="005C0AD9"/>
    <w:rsid w:val="005C126E"/>
    <w:rsid w:val="005C12AB"/>
    <w:rsid w:val="005C12C9"/>
    <w:rsid w:val="005C1D90"/>
    <w:rsid w:val="005C1E09"/>
    <w:rsid w:val="005C1E32"/>
    <w:rsid w:val="005C21CF"/>
    <w:rsid w:val="005C24F2"/>
    <w:rsid w:val="005C2A25"/>
    <w:rsid w:val="005C2C93"/>
    <w:rsid w:val="005C36BF"/>
    <w:rsid w:val="005C3B40"/>
    <w:rsid w:val="005C440D"/>
    <w:rsid w:val="005C4AAD"/>
    <w:rsid w:val="005C4BAF"/>
    <w:rsid w:val="005C535D"/>
    <w:rsid w:val="005C623E"/>
    <w:rsid w:val="005C65EB"/>
    <w:rsid w:val="005C66CC"/>
    <w:rsid w:val="005C6763"/>
    <w:rsid w:val="005C6877"/>
    <w:rsid w:val="005C6EC7"/>
    <w:rsid w:val="005C740E"/>
    <w:rsid w:val="005D0B80"/>
    <w:rsid w:val="005D1239"/>
    <w:rsid w:val="005D155D"/>
    <w:rsid w:val="005D165B"/>
    <w:rsid w:val="005D21FD"/>
    <w:rsid w:val="005D2344"/>
    <w:rsid w:val="005D2E05"/>
    <w:rsid w:val="005D2FB5"/>
    <w:rsid w:val="005D303F"/>
    <w:rsid w:val="005D3349"/>
    <w:rsid w:val="005D4E3E"/>
    <w:rsid w:val="005D5136"/>
    <w:rsid w:val="005D5A50"/>
    <w:rsid w:val="005D6747"/>
    <w:rsid w:val="005D68E2"/>
    <w:rsid w:val="005E05F6"/>
    <w:rsid w:val="005E0BC3"/>
    <w:rsid w:val="005E0D77"/>
    <w:rsid w:val="005E0E06"/>
    <w:rsid w:val="005E1C56"/>
    <w:rsid w:val="005E262A"/>
    <w:rsid w:val="005E2A49"/>
    <w:rsid w:val="005E2CE8"/>
    <w:rsid w:val="005E3D85"/>
    <w:rsid w:val="005E4712"/>
    <w:rsid w:val="005E4CC5"/>
    <w:rsid w:val="005E4E74"/>
    <w:rsid w:val="005E5240"/>
    <w:rsid w:val="005E5BBB"/>
    <w:rsid w:val="005E62F8"/>
    <w:rsid w:val="005E66AE"/>
    <w:rsid w:val="005E6B8E"/>
    <w:rsid w:val="005F0440"/>
    <w:rsid w:val="005F07CC"/>
    <w:rsid w:val="005F190F"/>
    <w:rsid w:val="005F1E39"/>
    <w:rsid w:val="005F243E"/>
    <w:rsid w:val="005F2508"/>
    <w:rsid w:val="005F2900"/>
    <w:rsid w:val="005F2A87"/>
    <w:rsid w:val="005F30C7"/>
    <w:rsid w:val="005F3424"/>
    <w:rsid w:val="005F34CF"/>
    <w:rsid w:val="005F3C6E"/>
    <w:rsid w:val="005F5264"/>
    <w:rsid w:val="005F5441"/>
    <w:rsid w:val="005F58C3"/>
    <w:rsid w:val="005F5D52"/>
    <w:rsid w:val="005F5D86"/>
    <w:rsid w:val="005F61A9"/>
    <w:rsid w:val="005F690E"/>
    <w:rsid w:val="005F7117"/>
    <w:rsid w:val="00600359"/>
    <w:rsid w:val="00600A36"/>
    <w:rsid w:val="00600C69"/>
    <w:rsid w:val="00601DC5"/>
    <w:rsid w:val="0060215A"/>
    <w:rsid w:val="0060261B"/>
    <w:rsid w:val="00602DBF"/>
    <w:rsid w:val="00602F03"/>
    <w:rsid w:val="00603400"/>
    <w:rsid w:val="00603758"/>
    <w:rsid w:val="00603AA8"/>
    <w:rsid w:val="00603B9D"/>
    <w:rsid w:val="006042EA"/>
    <w:rsid w:val="00604361"/>
    <w:rsid w:val="00604649"/>
    <w:rsid w:val="00604CE7"/>
    <w:rsid w:val="00604CEB"/>
    <w:rsid w:val="00604F61"/>
    <w:rsid w:val="006065C9"/>
    <w:rsid w:val="0060669D"/>
    <w:rsid w:val="00606787"/>
    <w:rsid w:val="00607592"/>
    <w:rsid w:val="006103C7"/>
    <w:rsid w:val="006107A1"/>
    <w:rsid w:val="00610821"/>
    <w:rsid w:val="00610878"/>
    <w:rsid w:val="00610C61"/>
    <w:rsid w:val="00610FFE"/>
    <w:rsid w:val="0061108A"/>
    <w:rsid w:val="006115D1"/>
    <w:rsid w:val="00611AC5"/>
    <w:rsid w:val="00611FFD"/>
    <w:rsid w:val="0061249A"/>
    <w:rsid w:val="006129A9"/>
    <w:rsid w:val="00612E41"/>
    <w:rsid w:val="006149DD"/>
    <w:rsid w:val="006153A7"/>
    <w:rsid w:val="00615607"/>
    <w:rsid w:val="0061563E"/>
    <w:rsid w:val="00616465"/>
    <w:rsid w:val="00616903"/>
    <w:rsid w:val="00616C83"/>
    <w:rsid w:val="006175CE"/>
    <w:rsid w:val="0061767F"/>
    <w:rsid w:val="00617F4E"/>
    <w:rsid w:val="00620032"/>
    <w:rsid w:val="00620FA3"/>
    <w:rsid w:val="00621166"/>
    <w:rsid w:val="0062147A"/>
    <w:rsid w:val="0062223C"/>
    <w:rsid w:val="00622A0F"/>
    <w:rsid w:val="00622AFD"/>
    <w:rsid w:val="00622C0E"/>
    <w:rsid w:val="00622DD5"/>
    <w:rsid w:val="0062348F"/>
    <w:rsid w:val="00623852"/>
    <w:rsid w:val="00623E0E"/>
    <w:rsid w:val="00623E31"/>
    <w:rsid w:val="00623FC6"/>
    <w:rsid w:val="006240AE"/>
    <w:rsid w:val="00624239"/>
    <w:rsid w:val="0062467D"/>
    <w:rsid w:val="00624B57"/>
    <w:rsid w:val="006254B5"/>
    <w:rsid w:val="00625762"/>
    <w:rsid w:val="00625AFE"/>
    <w:rsid w:val="006263C6"/>
    <w:rsid w:val="0062663F"/>
    <w:rsid w:val="00626771"/>
    <w:rsid w:val="0062708A"/>
    <w:rsid w:val="00627344"/>
    <w:rsid w:val="006277EF"/>
    <w:rsid w:val="00627AFE"/>
    <w:rsid w:val="00630C32"/>
    <w:rsid w:val="00630D9D"/>
    <w:rsid w:val="00630D9E"/>
    <w:rsid w:val="006312AE"/>
    <w:rsid w:val="00631594"/>
    <w:rsid w:val="00631A91"/>
    <w:rsid w:val="00633371"/>
    <w:rsid w:val="00633D63"/>
    <w:rsid w:val="00634243"/>
    <w:rsid w:val="006351ED"/>
    <w:rsid w:val="00636DFD"/>
    <w:rsid w:val="006375C4"/>
    <w:rsid w:val="006377FD"/>
    <w:rsid w:val="0063791E"/>
    <w:rsid w:val="00640848"/>
    <w:rsid w:val="00640DA5"/>
    <w:rsid w:val="00640E2E"/>
    <w:rsid w:val="00640FBE"/>
    <w:rsid w:val="0064113F"/>
    <w:rsid w:val="00641691"/>
    <w:rsid w:val="00641BA5"/>
    <w:rsid w:val="00641BFB"/>
    <w:rsid w:val="00641EB1"/>
    <w:rsid w:val="00642AC7"/>
    <w:rsid w:val="0064348F"/>
    <w:rsid w:val="006438F3"/>
    <w:rsid w:val="00643E4A"/>
    <w:rsid w:val="00644046"/>
    <w:rsid w:val="00644638"/>
    <w:rsid w:val="00644BDA"/>
    <w:rsid w:val="00644C6B"/>
    <w:rsid w:val="0064664E"/>
    <w:rsid w:val="0064787C"/>
    <w:rsid w:val="00647F41"/>
    <w:rsid w:val="0065004A"/>
    <w:rsid w:val="00650354"/>
    <w:rsid w:val="00650501"/>
    <w:rsid w:val="0065194A"/>
    <w:rsid w:val="00652A2B"/>
    <w:rsid w:val="00653119"/>
    <w:rsid w:val="00653459"/>
    <w:rsid w:val="006544FF"/>
    <w:rsid w:val="00654904"/>
    <w:rsid w:val="00654C4D"/>
    <w:rsid w:val="006552E2"/>
    <w:rsid w:val="006555BB"/>
    <w:rsid w:val="0065570E"/>
    <w:rsid w:val="00655AF4"/>
    <w:rsid w:val="00656613"/>
    <w:rsid w:val="006568F2"/>
    <w:rsid w:val="00656A7F"/>
    <w:rsid w:val="00656BAE"/>
    <w:rsid w:val="00656FEF"/>
    <w:rsid w:val="0065708C"/>
    <w:rsid w:val="00657773"/>
    <w:rsid w:val="00660A10"/>
    <w:rsid w:val="00661295"/>
    <w:rsid w:val="00661AD2"/>
    <w:rsid w:val="00662573"/>
    <w:rsid w:val="006625BD"/>
    <w:rsid w:val="0066281C"/>
    <w:rsid w:val="00662B1D"/>
    <w:rsid w:val="00663094"/>
    <w:rsid w:val="00663E66"/>
    <w:rsid w:val="006643C8"/>
    <w:rsid w:val="00664933"/>
    <w:rsid w:val="00665166"/>
    <w:rsid w:val="00665757"/>
    <w:rsid w:val="00665868"/>
    <w:rsid w:val="00665E06"/>
    <w:rsid w:val="0066606B"/>
    <w:rsid w:val="0066621D"/>
    <w:rsid w:val="006663A5"/>
    <w:rsid w:val="0066642D"/>
    <w:rsid w:val="00666810"/>
    <w:rsid w:val="00667DF1"/>
    <w:rsid w:val="00670CDF"/>
    <w:rsid w:val="0067122E"/>
    <w:rsid w:val="006714D9"/>
    <w:rsid w:val="00671CDE"/>
    <w:rsid w:val="00672128"/>
    <w:rsid w:val="006721A3"/>
    <w:rsid w:val="00672427"/>
    <w:rsid w:val="00672896"/>
    <w:rsid w:val="00673CA5"/>
    <w:rsid w:val="00673EA7"/>
    <w:rsid w:val="00674796"/>
    <w:rsid w:val="0067495F"/>
    <w:rsid w:val="00674B9A"/>
    <w:rsid w:val="00675127"/>
    <w:rsid w:val="0067521D"/>
    <w:rsid w:val="00676170"/>
    <w:rsid w:val="00676226"/>
    <w:rsid w:val="0067693E"/>
    <w:rsid w:val="006769A8"/>
    <w:rsid w:val="006777C0"/>
    <w:rsid w:val="006777D0"/>
    <w:rsid w:val="006801D7"/>
    <w:rsid w:val="00680BDB"/>
    <w:rsid w:val="00680C55"/>
    <w:rsid w:val="006813C7"/>
    <w:rsid w:val="006813EB"/>
    <w:rsid w:val="00681492"/>
    <w:rsid w:val="006815DF"/>
    <w:rsid w:val="0068189A"/>
    <w:rsid w:val="006827D4"/>
    <w:rsid w:val="00683150"/>
    <w:rsid w:val="0068356E"/>
    <w:rsid w:val="00683F3C"/>
    <w:rsid w:val="006840A5"/>
    <w:rsid w:val="006847A4"/>
    <w:rsid w:val="00684F18"/>
    <w:rsid w:val="006850E0"/>
    <w:rsid w:val="006851AA"/>
    <w:rsid w:val="0068584C"/>
    <w:rsid w:val="00685A61"/>
    <w:rsid w:val="00685E8D"/>
    <w:rsid w:val="00686B72"/>
    <w:rsid w:val="00686E3B"/>
    <w:rsid w:val="0068736B"/>
    <w:rsid w:val="0068737D"/>
    <w:rsid w:val="0068789C"/>
    <w:rsid w:val="00687EA9"/>
    <w:rsid w:val="006900A5"/>
    <w:rsid w:val="00690952"/>
    <w:rsid w:val="006910E5"/>
    <w:rsid w:val="00691830"/>
    <w:rsid w:val="006923A9"/>
    <w:rsid w:val="00693151"/>
    <w:rsid w:val="00693703"/>
    <w:rsid w:val="00693C7C"/>
    <w:rsid w:val="00694C1A"/>
    <w:rsid w:val="00694C3B"/>
    <w:rsid w:val="00694EE6"/>
    <w:rsid w:val="0069551E"/>
    <w:rsid w:val="0069586F"/>
    <w:rsid w:val="00695DFF"/>
    <w:rsid w:val="00696C85"/>
    <w:rsid w:val="00697719"/>
    <w:rsid w:val="006979E5"/>
    <w:rsid w:val="006A0067"/>
    <w:rsid w:val="006A027B"/>
    <w:rsid w:val="006A05DB"/>
    <w:rsid w:val="006A07BB"/>
    <w:rsid w:val="006A08E5"/>
    <w:rsid w:val="006A0C12"/>
    <w:rsid w:val="006A1320"/>
    <w:rsid w:val="006A1D13"/>
    <w:rsid w:val="006A2744"/>
    <w:rsid w:val="006A333A"/>
    <w:rsid w:val="006A33FF"/>
    <w:rsid w:val="006A4241"/>
    <w:rsid w:val="006A55C0"/>
    <w:rsid w:val="006A5B9C"/>
    <w:rsid w:val="006A6063"/>
    <w:rsid w:val="006A63A6"/>
    <w:rsid w:val="006A646B"/>
    <w:rsid w:val="006A668C"/>
    <w:rsid w:val="006A6B66"/>
    <w:rsid w:val="006A6FA0"/>
    <w:rsid w:val="006A7244"/>
    <w:rsid w:val="006B06C1"/>
    <w:rsid w:val="006B15D1"/>
    <w:rsid w:val="006B2625"/>
    <w:rsid w:val="006B265A"/>
    <w:rsid w:val="006B2744"/>
    <w:rsid w:val="006B3235"/>
    <w:rsid w:val="006B3B72"/>
    <w:rsid w:val="006B3CDF"/>
    <w:rsid w:val="006B4F20"/>
    <w:rsid w:val="006B5870"/>
    <w:rsid w:val="006B5F4E"/>
    <w:rsid w:val="006B609F"/>
    <w:rsid w:val="006B6936"/>
    <w:rsid w:val="006B6DCD"/>
    <w:rsid w:val="006B6F65"/>
    <w:rsid w:val="006B7C6E"/>
    <w:rsid w:val="006C0670"/>
    <w:rsid w:val="006C1566"/>
    <w:rsid w:val="006C159E"/>
    <w:rsid w:val="006C2164"/>
    <w:rsid w:val="006C21B0"/>
    <w:rsid w:val="006C2329"/>
    <w:rsid w:val="006C2BBB"/>
    <w:rsid w:val="006C344F"/>
    <w:rsid w:val="006C35BF"/>
    <w:rsid w:val="006C37C1"/>
    <w:rsid w:val="006C584B"/>
    <w:rsid w:val="006C5D10"/>
    <w:rsid w:val="006C5DC0"/>
    <w:rsid w:val="006C6428"/>
    <w:rsid w:val="006C6EF2"/>
    <w:rsid w:val="006C7ADE"/>
    <w:rsid w:val="006C7DE0"/>
    <w:rsid w:val="006D00EE"/>
    <w:rsid w:val="006D0203"/>
    <w:rsid w:val="006D023D"/>
    <w:rsid w:val="006D1C3F"/>
    <w:rsid w:val="006D1FB2"/>
    <w:rsid w:val="006D2A7A"/>
    <w:rsid w:val="006D2C73"/>
    <w:rsid w:val="006D3B38"/>
    <w:rsid w:val="006D5523"/>
    <w:rsid w:val="006D5A45"/>
    <w:rsid w:val="006D5B1E"/>
    <w:rsid w:val="006D66B7"/>
    <w:rsid w:val="006D67EE"/>
    <w:rsid w:val="006D6877"/>
    <w:rsid w:val="006D6B3B"/>
    <w:rsid w:val="006D757A"/>
    <w:rsid w:val="006D780B"/>
    <w:rsid w:val="006D7FCD"/>
    <w:rsid w:val="006E0100"/>
    <w:rsid w:val="006E0EC0"/>
    <w:rsid w:val="006E1166"/>
    <w:rsid w:val="006E1430"/>
    <w:rsid w:val="006E15C6"/>
    <w:rsid w:val="006E3247"/>
    <w:rsid w:val="006E347D"/>
    <w:rsid w:val="006E354F"/>
    <w:rsid w:val="006E383E"/>
    <w:rsid w:val="006E38D1"/>
    <w:rsid w:val="006E3F3E"/>
    <w:rsid w:val="006E45C0"/>
    <w:rsid w:val="006E57E2"/>
    <w:rsid w:val="006E66DE"/>
    <w:rsid w:val="006E6ACE"/>
    <w:rsid w:val="006E6AF4"/>
    <w:rsid w:val="006E7756"/>
    <w:rsid w:val="006E7B8D"/>
    <w:rsid w:val="006E7C27"/>
    <w:rsid w:val="006E7D19"/>
    <w:rsid w:val="006F01D3"/>
    <w:rsid w:val="006F065F"/>
    <w:rsid w:val="006F159C"/>
    <w:rsid w:val="006F1DF4"/>
    <w:rsid w:val="006F2678"/>
    <w:rsid w:val="006F273F"/>
    <w:rsid w:val="006F2C3D"/>
    <w:rsid w:val="006F2DFD"/>
    <w:rsid w:val="006F2E07"/>
    <w:rsid w:val="006F352E"/>
    <w:rsid w:val="006F3F1A"/>
    <w:rsid w:val="006F446F"/>
    <w:rsid w:val="006F4578"/>
    <w:rsid w:val="006F4668"/>
    <w:rsid w:val="006F479A"/>
    <w:rsid w:val="006F4C44"/>
    <w:rsid w:val="006F68BB"/>
    <w:rsid w:val="006F7CBD"/>
    <w:rsid w:val="006F7EBE"/>
    <w:rsid w:val="006F7EDF"/>
    <w:rsid w:val="00700758"/>
    <w:rsid w:val="00700B43"/>
    <w:rsid w:val="00700C2B"/>
    <w:rsid w:val="00700D56"/>
    <w:rsid w:val="00701593"/>
    <w:rsid w:val="007020FA"/>
    <w:rsid w:val="0070223D"/>
    <w:rsid w:val="007022A6"/>
    <w:rsid w:val="007023D1"/>
    <w:rsid w:val="00703CEF"/>
    <w:rsid w:val="007041C4"/>
    <w:rsid w:val="0070428D"/>
    <w:rsid w:val="00704871"/>
    <w:rsid w:val="007049B3"/>
    <w:rsid w:val="00704A3A"/>
    <w:rsid w:val="0070529C"/>
    <w:rsid w:val="00705692"/>
    <w:rsid w:val="00705774"/>
    <w:rsid w:val="00705785"/>
    <w:rsid w:val="00705FDB"/>
    <w:rsid w:val="00706474"/>
    <w:rsid w:val="007064FC"/>
    <w:rsid w:val="00706799"/>
    <w:rsid w:val="00706FBC"/>
    <w:rsid w:val="0070744D"/>
    <w:rsid w:val="00707826"/>
    <w:rsid w:val="0070799E"/>
    <w:rsid w:val="00707C1C"/>
    <w:rsid w:val="007107BC"/>
    <w:rsid w:val="0071091A"/>
    <w:rsid w:val="00710E11"/>
    <w:rsid w:val="0071137F"/>
    <w:rsid w:val="00711D8D"/>
    <w:rsid w:val="00711E4F"/>
    <w:rsid w:val="00712528"/>
    <w:rsid w:val="00712980"/>
    <w:rsid w:val="00712C83"/>
    <w:rsid w:val="00712E8B"/>
    <w:rsid w:val="007133EC"/>
    <w:rsid w:val="00714738"/>
    <w:rsid w:val="0071584B"/>
    <w:rsid w:val="00715A8D"/>
    <w:rsid w:val="00716182"/>
    <w:rsid w:val="007161C0"/>
    <w:rsid w:val="00716661"/>
    <w:rsid w:val="00716D3E"/>
    <w:rsid w:val="00716F44"/>
    <w:rsid w:val="007170C9"/>
    <w:rsid w:val="00717271"/>
    <w:rsid w:val="00717D0D"/>
    <w:rsid w:val="007213C6"/>
    <w:rsid w:val="00721521"/>
    <w:rsid w:val="00721591"/>
    <w:rsid w:val="007215AA"/>
    <w:rsid w:val="00722546"/>
    <w:rsid w:val="007225BF"/>
    <w:rsid w:val="007229C3"/>
    <w:rsid w:val="00722B9B"/>
    <w:rsid w:val="00722CA2"/>
    <w:rsid w:val="00722FE7"/>
    <w:rsid w:val="00723AFF"/>
    <w:rsid w:val="00723B7B"/>
    <w:rsid w:val="00724641"/>
    <w:rsid w:val="00724F77"/>
    <w:rsid w:val="00725002"/>
    <w:rsid w:val="00725077"/>
    <w:rsid w:val="0072514F"/>
    <w:rsid w:val="00725577"/>
    <w:rsid w:val="007256AA"/>
    <w:rsid w:val="00725F13"/>
    <w:rsid w:val="007267FF"/>
    <w:rsid w:val="00726D09"/>
    <w:rsid w:val="00727A7E"/>
    <w:rsid w:val="00730369"/>
    <w:rsid w:val="00730622"/>
    <w:rsid w:val="007307A6"/>
    <w:rsid w:val="007314CC"/>
    <w:rsid w:val="00731A88"/>
    <w:rsid w:val="00732A3F"/>
    <w:rsid w:val="0073341D"/>
    <w:rsid w:val="0073377E"/>
    <w:rsid w:val="00733EF2"/>
    <w:rsid w:val="007345F2"/>
    <w:rsid w:val="00734B11"/>
    <w:rsid w:val="007358A1"/>
    <w:rsid w:val="00736951"/>
    <w:rsid w:val="00736B52"/>
    <w:rsid w:val="00737163"/>
    <w:rsid w:val="007375C0"/>
    <w:rsid w:val="0073769E"/>
    <w:rsid w:val="00737CFC"/>
    <w:rsid w:val="00737D37"/>
    <w:rsid w:val="00740596"/>
    <w:rsid w:val="00740746"/>
    <w:rsid w:val="00740941"/>
    <w:rsid w:val="007412E6"/>
    <w:rsid w:val="007412E7"/>
    <w:rsid w:val="0074152A"/>
    <w:rsid w:val="007417F4"/>
    <w:rsid w:val="00741859"/>
    <w:rsid w:val="00741F8E"/>
    <w:rsid w:val="007421CB"/>
    <w:rsid w:val="00742E43"/>
    <w:rsid w:val="00742E4D"/>
    <w:rsid w:val="0074302A"/>
    <w:rsid w:val="00743586"/>
    <w:rsid w:val="007438CB"/>
    <w:rsid w:val="00743BCB"/>
    <w:rsid w:val="00743D5F"/>
    <w:rsid w:val="007444AC"/>
    <w:rsid w:val="00745B7F"/>
    <w:rsid w:val="00745F31"/>
    <w:rsid w:val="00746246"/>
    <w:rsid w:val="0074651A"/>
    <w:rsid w:val="0074656D"/>
    <w:rsid w:val="00747011"/>
    <w:rsid w:val="0074705B"/>
    <w:rsid w:val="00747461"/>
    <w:rsid w:val="00747EDD"/>
    <w:rsid w:val="00750DD8"/>
    <w:rsid w:val="00750F2D"/>
    <w:rsid w:val="007516FF"/>
    <w:rsid w:val="0075170E"/>
    <w:rsid w:val="0075239C"/>
    <w:rsid w:val="00752F30"/>
    <w:rsid w:val="007535BE"/>
    <w:rsid w:val="00753F30"/>
    <w:rsid w:val="0075415F"/>
    <w:rsid w:val="0075441B"/>
    <w:rsid w:val="0075445D"/>
    <w:rsid w:val="00754511"/>
    <w:rsid w:val="00754660"/>
    <w:rsid w:val="00754C8C"/>
    <w:rsid w:val="00755044"/>
    <w:rsid w:val="00755EB9"/>
    <w:rsid w:val="00755F25"/>
    <w:rsid w:val="00756398"/>
    <w:rsid w:val="007567A9"/>
    <w:rsid w:val="00756840"/>
    <w:rsid w:val="00756D97"/>
    <w:rsid w:val="00756EF9"/>
    <w:rsid w:val="00757175"/>
    <w:rsid w:val="00757CF9"/>
    <w:rsid w:val="00760071"/>
    <w:rsid w:val="00760B8B"/>
    <w:rsid w:val="00760BCF"/>
    <w:rsid w:val="007610B3"/>
    <w:rsid w:val="00761374"/>
    <w:rsid w:val="007613CB"/>
    <w:rsid w:val="0076167A"/>
    <w:rsid w:val="00761735"/>
    <w:rsid w:val="00761B3A"/>
    <w:rsid w:val="00761F3D"/>
    <w:rsid w:val="007625AB"/>
    <w:rsid w:val="007627C1"/>
    <w:rsid w:val="0076293C"/>
    <w:rsid w:val="00762C60"/>
    <w:rsid w:val="00762E96"/>
    <w:rsid w:val="0076417C"/>
    <w:rsid w:val="007644E6"/>
    <w:rsid w:val="00764CFB"/>
    <w:rsid w:val="00764D5C"/>
    <w:rsid w:val="007651A2"/>
    <w:rsid w:val="00765236"/>
    <w:rsid w:val="0076555C"/>
    <w:rsid w:val="00765AD6"/>
    <w:rsid w:val="00765EA2"/>
    <w:rsid w:val="00766115"/>
    <w:rsid w:val="007664B8"/>
    <w:rsid w:val="00766907"/>
    <w:rsid w:val="00766A81"/>
    <w:rsid w:val="00766FEE"/>
    <w:rsid w:val="00767998"/>
    <w:rsid w:val="007705BD"/>
    <w:rsid w:val="00770FBD"/>
    <w:rsid w:val="007713BE"/>
    <w:rsid w:val="00772807"/>
    <w:rsid w:val="00772FA6"/>
    <w:rsid w:val="0077351E"/>
    <w:rsid w:val="0077359B"/>
    <w:rsid w:val="00773693"/>
    <w:rsid w:val="00773775"/>
    <w:rsid w:val="007739F0"/>
    <w:rsid w:val="00773F91"/>
    <w:rsid w:val="007740E0"/>
    <w:rsid w:val="007748F2"/>
    <w:rsid w:val="00775645"/>
    <w:rsid w:val="007774AC"/>
    <w:rsid w:val="007779C9"/>
    <w:rsid w:val="00780576"/>
    <w:rsid w:val="0078076C"/>
    <w:rsid w:val="00782254"/>
    <w:rsid w:val="007822ED"/>
    <w:rsid w:val="00782681"/>
    <w:rsid w:val="0078321A"/>
    <w:rsid w:val="00784C07"/>
    <w:rsid w:val="00785047"/>
    <w:rsid w:val="0078564B"/>
    <w:rsid w:val="00785765"/>
    <w:rsid w:val="00785B78"/>
    <w:rsid w:val="007864BE"/>
    <w:rsid w:val="00786810"/>
    <w:rsid w:val="00787286"/>
    <w:rsid w:val="00790316"/>
    <w:rsid w:val="007905EE"/>
    <w:rsid w:val="0079069C"/>
    <w:rsid w:val="007909CD"/>
    <w:rsid w:val="00790B10"/>
    <w:rsid w:val="00791260"/>
    <w:rsid w:val="0079132A"/>
    <w:rsid w:val="007913C4"/>
    <w:rsid w:val="007914CD"/>
    <w:rsid w:val="0079201A"/>
    <w:rsid w:val="00792360"/>
    <w:rsid w:val="007927F9"/>
    <w:rsid w:val="0079320C"/>
    <w:rsid w:val="0079329A"/>
    <w:rsid w:val="007939D0"/>
    <w:rsid w:val="00793BC2"/>
    <w:rsid w:val="00793C96"/>
    <w:rsid w:val="00793DE2"/>
    <w:rsid w:val="00794645"/>
    <w:rsid w:val="0079474A"/>
    <w:rsid w:val="00794873"/>
    <w:rsid w:val="00795360"/>
    <w:rsid w:val="00795387"/>
    <w:rsid w:val="00795AC5"/>
    <w:rsid w:val="00795D98"/>
    <w:rsid w:val="007961EC"/>
    <w:rsid w:val="00796690"/>
    <w:rsid w:val="007970A7"/>
    <w:rsid w:val="00797824"/>
    <w:rsid w:val="00797C68"/>
    <w:rsid w:val="007A02A8"/>
    <w:rsid w:val="007A1D65"/>
    <w:rsid w:val="007A2139"/>
    <w:rsid w:val="007A33ED"/>
    <w:rsid w:val="007A34D3"/>
    <w:rsid w:val="007A3C73"/>
    <w:rsid w:val="007A3D13"/>
    <w:rsid w:val="007A422F"/>
    <w:rsid w:val="007A4396"/>
    <w:rsid w:val="007A49DE"/>
    <w:rsid w:val="007A574A"/>
    <w:rsid w:val="007A5792"/>
    <w:rsid w:val="007A5994"/>
    <w:rsid w:val="007A5D45"/>
    <w:rsid w:val="007A5F20"/>
    <w:rsid w:val="007A68A1"/>
    <w:rsid w:val="007A7213"/>
    <w:rsid w:val="007A7756"/>
    <w:rsid w:val="007A7D06"/>
    <w:rsid w:val="007B03AF"/>
    <w:rsid w:val="007B047B"/>
    <w:rsid w:val="007B0969"/>
    <w:rsid w:val="007B139E"/>
    <w:rsid w:val="007B1997"/>
    <w:rsid w:val="007B2017"/>
    <w:rsid w:val="007B24B2"/>
    <w:rsid w:val="007B2919"/>
    <w:rsid w:val="007B2C5F"/>
    <w:rsid w:val="007B30CD"/>
    <w:rsid w:val="007B31D8"/>
    <w:rsid w:val="007B332C"/>
    <w:rsid w:val="007B3984"/>
    <w:rsid w:val="007B406C"/>
    <w:rsid w:val="007B41D5"/>
    <w:rsid w:val="007B480F"/>
    <w:rsid w:val="007B4C8D"/>
    <w:rsid w:val="007B4EB9"/>
    <w:rsid w:val="007B57A1"/>
    <w:rsid w:val="007B5D67"/>
    <w:rsid w:val="007B69A3"/>
    <w:rsid w:val="007B7397"/>
    <w:rsid w:val="007B767E"/>
    <w:rsid w:val="007C024F"/>
    <w:rsid w:val="007C0313"/>
    <w:rsid w:val="007C05CA"/>
    <w:rsid w:val="007C0D43"/>
    <w:rsid w:val="007C123B"/>
    <w:rsid w:val="007C1C81"/>
    <w:rsid w:val="007C2C36"/>
    <w:rsid w:val="007C2F76"/>
    <w:rsid w:val="007C3235"/>
    <w:rsid w:val="007C3290"/>
    <w:rsid w:val="007C33D3"/>
    <w:rsid w:val="007C3956"/>
    <w:rsid w:val="007C3BDA"/>
    <w:rsid w:val="007C461C"/>
    <w:rsid w:val="007C4721"/>
    <w:rsid w:val="007C4B39"/>
    <w:rsid w:val="007C5018"/>
    <w:rsid w:val="007C511E"/>
    <w:rsid w:val="007C5328"/>
    <w:rsid w:val="007C5918"/>
    <w:rsid w:val="007C5B7E"/>
    <w:rsid w:val="007C60FB"/>
    <w:rsid w:val="007C61BF"/>
    <w:rsid w:val="007C6D34"/>
    <w:rsid w:val="007C71E0"/>
    <w:rsid w:val="007C7896"/>
    <w:rsid w:val="007D03F7"/>
    <w:rsid w:val="007D04A3"/>
    <w:rsid w:val="007D06FC"/>
    <w:rsid w:val="007D07EC"/>
    <w:rsid w:val="007D09F9"/>
    <w:rsid w:val="007D0B46"/>
    <w:rsid w:val="007D0B88"/>
    <w:rsid w:val="007D177B"/>
    <w:rsid w:val="007D2455"/>
    <w:rsid w:val="007D268B"/>
    <w:rsid w:val="007D2759"/>
    <w:rsid w:val="007D2B4B"/>
    <w:rsid w:val="007D3538"/>
    <w:rsid w:val="007D3FEA"/>
    <w:rsid w:val="007D4963"/>
    <w:rsid w:val="007D4C29"/>
    <w:rsid w:val="007D5305"/>
    <w:rsid w:val="007D56E8"/>
    <w:rsid w:val="007D56FC"/>
    <w:rsid w:val="007D5A42"/>
    <w:rsid w:val="007D61DF"/>
    <w:rsid w:val="007D6BC2"/>
    <w:rsid w:val="007D6D14"/>
    <w:rsid w:val="007D705F"/>
    <w:rsid w:val="007D75B3"/>
    <w:rsid w:val="007D7EAF"/>
    <w:rsid w:val="007D7FCB"/>
    <w:rsid w:val="007E064A"/>
    <w:rsid w:val="007E12E0"/>
    <w:rsid w:val="007E13C5"/>
    <w:rsid w:val="007E1C86"/>
    <w:rsid w:val="007E22B9"/>
    <w:rsid w:val="007E3198"/>
    <w:rsid w:val="007E31FC"/>
    <w:rsid w:val="007E3302"/>
    <w:rsid w:val="007E375F"/>
    <w:rsid w:val="007E40D9"/>
    <w:rsid w:val="007E43E3"/>
    <w:rsid w:val="007E45E3"/>
    <w:rsid w:val="007E4787"/>
    <w:rsid w:val="007E48CB"/>
    <w:rsid w:val="007E50D0"/>
    <w:rsid w:val="007E5381"/>
    <w:rsid w:val="007E5535"/>
    <w:rsid w:val="007E58F3"/>
    <w:rsid w:val="007E58FC"/>
    <w:rsid w:val="007E5E74"/>
    <w:rsid w:val="007E675C"/>
    <w:rsid w:val="007E6817"/>
    <w:rsid w:val="007E6DD1"/>
    <w:rsid w:val="007E6F21"/>
    <w:rsid w:val="007E74C5"/>
    <w:rsid w:val="007E77CE"/>
    <w:rsid w:val="007E7D90"/>
    <w:rsid w:val="007F013F"/>
    <w:rsid w:val="007F02B6"/>
    <w:rsid w:val="007F0EB6"/>
    <w:rsid w:val="007F14E6"/>
    <w:rsid w:val="007F151C"/>
    <w:rsid w:val="007F154B"/>
    <w:rsid w:val="007F1BC4"/>
    <w:rsid w:val="007F1CFC"/>
    <w:rsid w:val="007F2AFE"/>
    <w:rsid w:val="007F3419"/>
    <w:rsid w:val="007F3A57"/>
    <w:rsid w:val="007F465B"/>
    <w:rsid w:val="007F483D"/>
    <w:rsid w:val="007F4A93"/>
    <w:rsid w:val="007F4E87"/>
    <w:rsid w:val="007F531E"/>
    <w:rsid w:val="007F54DF"/>
    <w:rsid w:val="007F57A3"/>
    <w:rsid w:val="007F6049"/>
    <w:rsid w:val="007F6A8F"/>
    <w:rsid w:val="007F6D4E"/>
    <w:rsid w:val="007F722D"/>
    <w:rsid w:val="007F724D"/>
    <w:rsid w:val="007F7268"/>
    <w:rsid w:val="00800609"/>
    <w:rsid w:val="00801DE8"/>
    <w:rsid w:val="00802154"/>
    <w:rsid w:val="00802931"/>
    <w:rsid w:val="00803BCC"/>
    <w:rsid w:val="00803CEF"/>
    <w:rsid w:val="008049DE"/>
    <w:rsid w:val="00805326"/>
    <w:rsid w:val="0080539B"/>
    <w:rsid w:val="008059F0"/>
    <w:rsid w:val="00805A4F"/>
    <w:rsid w:val="00805EA3"/>
    <w:rsid w:val="00806270"/>
    <w:rsid w:val="00807919"/>
    <w:rsid w:val="00807ADB"/>
    <w:rsid w:val="00810203"/>
    <w:rsid w:val="008105AF"/>
    <w:rsid w:val="00810D80"/>
    <w:rsid w:val="00811378"/>
    <w:rsid w:val="00811698"/>
    <w:rsid w:val="008127FD"/>
    <w:rsid w:val="00813BF4"/>
    <w:rsid w:val="008140D4"/>
    <w:rsid w:val="0081437E"/>
    <w:rsid w:val="00814449"/>
    <w:rsid w:val="00814CAD"/>
    <w:rsid w:val="00815827"/>
    <w:rsid w:val="00815ABB"/>
    <w:rsid w:val="00815B47"/>
    <w:rsid w:val="00815BF0"/>
    <w:rsid w:val="00815C96"/>
    <w:rsid w:val="00815F3F"/>
    <w:rsid w:val="00816635"/>
    <w:rsid w:val="00816952"/>
    <w:rsid w:val="00816D55"/>
    <w:rsid w:val="008179C7"/>
    <w:rsid w:val="00817D7F"/>
    <w:rsid w:val="008200EA"/>
    <w:rsid w:val="0082054B"/>
    <w:rsid w:val="008209D0"/>
    <w:rsid w:val="00822393"/>
    <w:rsid w:val="00822418"/>
    <w:rsid w:val="008226F0"/>
    <w:rsid w:val="008239B5"/>
    <w:rsid w:val="00823D1D"/>
    <w:rsid w:val="00824259"/>
    <w:rsid w:val="008248AC"/>
    <w:rsid w:val="00824988"/>
    <w:rsid w:val="008252BF"/>
    <w:rsid w:val="008258AF"/>
    <w:rsid w:val="00825FC9"/>
    <w:rsid w:val="00826291"/>
    <w:rsid w:val="00826CB0"/>
    <w:rsid w:val="00830C81"/>
    <w:rsid w:val="00832144"/>
    <w:rsid w:val="008321D3"/>
    <w:rsid w:val="00832422"/>
    <w:rsid w:val="00832689"/>
    <w:rsid w:val="00833C90"/>
    <w:rsid w:val="0083484E"/>
    <w:rsid w:val="00834921"/>
    <w:rsid w:val="008350F8"/>
    <w:rsid w:val="0083533C"/>
    <w:rsid w:val="008354E2"/>
    <w:rsid w:val="00835D01"/>
    <w:rsid w:val="00835F92"/>
    <w:rsid w:val="00837006"/>
    <w:rsid w:val="00837455"/>
    <w:rsid w:val="008376C0"/>
    <w:rsid w:val="00837F23"/>
    <w:rsid w:val="00840199"/>
    <w:rsid w:val="008409C5"/>
    <w:rsid w:val="00840EA8"/>
    <w:rsid w:val="00840EDE"/>
    <w:rsid w:val="008415A5"/>
    <w:rsid w:val="00841612"/>
    <w:rsid w:val="00841C6F"/>
    <w:rsid w:val="0084283A"/>
    <w:rsid w:val="00842C09"/>
    <w:rsid w:val="00842F99"/>
    <w:rsid w:val="0084363F"/>
    <w:rsid w:val="00843642"/>
    <w:rsid w:val="008436B2"/>
    <w:rsid w:val="0084436E"/>
    <w:rsid w:val="0084456A"/>
    <w:rsid w:val="008446DC"/>
    <w:rsid w:val="0084480B"/>
    <w:rsid w:val="0084485D"/>
    <w:rsid w:val="00844A57"/>
    <w:rsid w:val="008458C0"/>
    <w:rsid w:val="008459A0"/>
    <w:rsid w:val="00845E00"/>
    <w:rsid w:val="00845F88"/>
    <w:rsid w:val="00846AF9"/>
    <w:rsid w:val="00846B0E"/>
    <w:rsid w:val="0084772A"/>
    <w:rsid w:val="00850022"/>
    <w:rsid w:val="00850070"/>
    <w:rsid w:val="00850224"/>
    <w:rsid w:val="008503E3"/>
    <w:rsid w:val="00851193"/>
    <w:rsid w:val="00851335"/>
    <w:rsid w:val="00851570"/>
    <w:rsid w:val="00851744"/>
    <w:rsid w:val="00851F8A"/>
    <w:rsid w:val="00852803"/>
    <w:rsid w:val="00853041"/>
    <w:rsid w:val="00853670"/>
    <w:rsid w:val="00853671"/>
    <w:rsid w:val="0085403F"/>
    <w:rsid w:val="00854872"/>
    <w:rsid w:val="008548CD"/>
    <w:rsid w:val="00854C17"/>
    <w:rsid w:val="00854D71"/>
    <w:rsid w:val="00854E1E"/>
    <w:rsid w:val="008550F0"/>
    <w:rsid w:val="0085523B"/>
    <w:rsid w:val="008553AF"/>
    <w:rsid w:val="00855679"/>
    <w:rsid w:val="00856462"/>
    <w:rsid w:val="008574E6"/>
    <w:rsid w:val="00857B18"/>
    <w:rsid w:val="00857C49"/>
    <w:rsid w:val="0086076B"/>
    <w:rsid w:val="00860D51"/>
    <w:rsid w:val="0086174D"/>
    <w:rsid w:val="00862225"/>
    <w:rsid w:val="008623CD"/>
    <w:rsid w:val="0086240F"/>
    <w:rsid w:val="0086277E"/>
    <w:rsid w:val="00862A4E"/>
    <w:rsid w:val="00862B96"/>
    <w:rsid w:val="008632A3"/>
    <w:rsid w:val="00863A32"/>
    <w:rsid w:val="008648B7"/>
    <w:rsid w:val="00864AF7"/>
    <w:rsid w:val="00864DB1"/>
    <w:rsid w:val="00864F61"/>
    <w:rsid w:val="008655A6"/>
    <w:rsid w:val="00865D59"/>
    <w:rsid w:val="00865E13"/>
    <w:rsid w:val="00867059"/>
    <w:rsid w:val="008673A5"/>
    <w:rsid w:val="00867B7E"/>
    <w:rsid w:val="00870AED"/>
    <w:rsid w:val="00870C5F"/>
    <w:rsid w:val="00870E3B"/>
    <w:rsid w:val="0087117A"/>
    <w:rsid w:val="008714FB"/>
    <w:rsid w:val="00871819"/>
    <w:rsid w:val="008728C6"/>
    <w:rsid w:val="008729BD"/>
    <w:rsid w:val="00874134"/>
    <w:rsid w:val="00874274"/>
    <w:rsid w:val="008757B2"/>
    <w:rsid w:val="00876017"/>
    <w:rsid w:val="0087613E"/>
    <w:rsid w:val="008762A5"/>
    <w:rsid w:val="00876730"/>
    <w:rsid w:val="008769B2"/>
    <w:rsid w:val="00876E9B"/>
    <w:rsid w:val="00877147"/>
    <w:rsid w:val="0088029E"/>
    <w:rsid w:val="008805D5"/>
    <w:rsid w:val="0088073D"/>
    <w:rsid w:val="00880D73"/>
    <w:rsid w:val="0088122D"/>
    <w:rsid w:val="008813DF"/>
    <w:rsid w:val="008818C2"/>
    <w:rsid w:val="00881B22"/>
    <w:rsid w:val="00881D44"/>
    <w:rsid w:val="00882100"/>
    <w:rsid w:val="00882444"/>
    <w:rsid w:val="008824DA"/>
    <w:rsid w:val="0088266E"/>
    <w:rsid w:val="00882D85"/>
    <w:rsid w:val="00883350"/>
    <w:rsid w:val="00885340"/>
    <w:rsid w:val="00885559"/>
    <w:rsid w:val="0088579E"/>
    <w:rsid w:val="00885860"/>
    <w:rsid w:val="00885C1F"/>
    <w:rsid w:val="008860C8"/>
    <w:rsid w:val="0088744F"/>
    <w:rsid w:val="008902B6"/>
    <w:rsid w:val="00890456"/>
    <w:rsid w:val="00890501"/>
    <w:rsid w:val="008905F6"/>
    <w:rsid w:val="00890CDE"/>
    <w:rsid w:val="00890EE0"/>
    <w:rsid w:val="00891070"/>
    <w:rsid w:val="008911FC"/>
    <w:rsid w:val="00892EBA"/>
    <w:rsid w:val="008938BC"/>
    <w:rsid w:val="00893C52"/>
    <w:rsid w:val="008941CD"/>
    <w:rsid w:val="00894320"/>
    <w:rsid w:val="008944F3"/>
    <w:rsid w:val="00894E88"/>
    <w:rsid w:val="00895111"/>
    <w:rsid w:val="008955D0"/>
    <w:rsid w:val="00895729"/>
    <w:rsid w:val="00896BC5"/>
    <w:rsid w:val="00896CEA"/>
    <w:rsid w:val="008970DA"/>
    <w:rsid w:val="008A0077"/>
    <w:rsid w:val="008A04C1"/>
    <w:rsid w:val="008A09DB"/>
    <w:rsid w:val="008A0B4A"/>
    <w:rsid w:val="008A0CF0"/>
    <w:rsid w:val="008A240F"/>
    <w:rsid w:val="008A28F0"/>
    <w:rsid w:val="008A322D"/>
    <w:rsid w:val="008A3900"/>
    <w:rsid w:val="008A3EB9"/>
    <w:rsid w:val="008A44BC"/>
    <w:rsid w:val="008A47D0"/>
    <w:rsid w:val="008A52D7"/>
    <w:rsid w:val="008A5D5F"/>
    <w:rsid w:val="008A6336"/>
    <w:rsid w:val="008A6E94"/>
    <w:rsid w:val="008B0116"/>
    <w:rsid w:val="008B0243"/>
    <w:rsid w:val="008B0560"/>
    <w:rsid w:val="008B1831"/>
    <w:rsid w:val="008B1DCE"/>
    <w:rsid w:val="008B21CD"/>
    <w:rsid w:val="008B273E"/>
    <w:rsid w:val="008B40E5"/>
    <w:rsid w:val="008B40F9"/>
    <w:rsid w:val="008B42B3"/>
    <w:rsid w:val="008B4768"/>
    <w:rsid w:val="008B6295"/>
    <w:rsid w:val="008B6888"/>
    <w:rsid w:val="008B7118"/>
    <w:rsid w:val="008C0038"/>
    <w:rsid w:val="008C0555"/>
    <w:rsid w:val="008C0E04"/>
    <w:rsid w:val="008C0E8F"/>
    <w:rsid w:val="008C1060"/>
    <w:rsid w:val="008C1F75"/>
    <w:rsid w:val="008C2456"/>
    <w:rsid w:val="008C271E"/>
    <w:rsid w:val="008C31CD"/>
    <w:rsid w:val="008C349B"/>
    <w:rsid w:val="008C3587"/>
    <w:rsid w:val="008C4787"/>
    <w:rsid w:val="008C48ED"/>
    <w:rsid w:val="008C525A"/>
    <w:rsid w:val="008C5A23"/>
    <w:rsid w:val="008C5BFD"/>
    <w:rsid w:val="008C6ED5"/>
    <w:rsid w:val="008C791D"/>
    <w:rsid w:val="008C7A15"/>
    <w:rsid w:val="008D0B43"/>
    <w:rsid w:val="008D0BD7"/>
    <w:rsid w:val="008D0D26"/>
    <w:rsid w:val="008D1001"/>
    <w:rsid w:val="008D14AA"/>
    <w:rsid w:val="008D2159"/>
    <w:rsid w:val="008D2C54"/>
    <w:rsid w:val="008D2EAB"/>
    <w:rsid w:val="008D2ED0"/>
    <w:rsid w:val="008D2F9E"/>
    <w:rsid w:val="008D377C"/>
    <w:rsid w:val="008D384A"/>
    <w:rsid w:val="008D46AE"/>
    <w:rsid w:val="008D4A84"/>
    <w:rsid w:val="008D4D0D"/>
    <w:rsid w:val="008D514E"/>
    <w:rsid w:val="008D525B"/>
    <w:rsid w:val="008D5633"/>
    <w:rsid w:val="008D5FD3"/>
    <w:rsid w:val="008D6442"/>
    <w:rsid w:val="008D64AD"/>
    <w:rsid w:val="008D708E"/>
    <w:rsid w:val="008E03F1"/>
    <w:rsid w:val="008E04B7"/>
    <w:rsid w:val="008E05CF"/>
    <w:rsid w:val="008E07D7"/>
    <w:rsid w:val="008E123A"/>
    <w:rsid w:val="008E149D"/>
    <w:rsid w:val="008E28FF"/>
    <w:rsid w:val="008E2B7E"/>
    <w:rsid w:val="008E306C"/>
    <w:rsid w:val="008E30DE"/>
    <w:rsid w:val="008E359C"/>
    <w:rsid w:val="008E403D"/>
    <w:rsid w:val="008E4F04"/>
    <w:rsid w:val="008E51C3"/>
    <w:rsid w:val="008E5A65"/>
    <w:rsid w:val="008E5F42"/>
    <w:rsid w:val="008E6FAB"/>
    <w:rsid w:val="008E70AF"/>
    <w:rsid w:val="008F020C"/>
    <w:rsid w:val="008F0276"/>
    <w:rsid w:val="008F03DA"/>
    <w:rsid w:val="008F0C2B"/>
    <w:rsid w:val="008F0C85"/>
    <w:rsid w:val="008F165F"/>
    <w:rsid w:val="008F1A17"/>
    <w:rsid w:val="008F218E"/>
    <w:rsid w:val="008F2999"/>
    <w:rsid w:val="008F2C1D"/>
    <w:rsid w:val="008F3C91"/>
    <w:rsid w:val="008F3E57"/>
    <w:rsid w:val="008F410A"/>
    <w:rsid w:val="008F4489"/>
    <w:rsid w:val="008F44D1"/>
    <w:rsid w:val="008F601C"/>
    <w:rsid w:val="008F629A"/>
    <w:rsid w:val="008F67BC"/>
    <w:rsid w:val="008F67FF"/>
    <w:rsid w:val="008F6B65"/>
    <w:rsid w:val="008F6CF5"/>
    <w:rsid w:val="008F6F60"/>
    <w:rsid w:val="008F6F8D"/>
    <w:rsid w:val="008F7ABB"/>
    <w:rsid w:val="008F7E90"/>
    <w:rsid w:val="009002B8"/>
    <w:rsid w:val="00900D8A"/>
    <w:rsid w:val="0090118F"/>
    <w:rsid w:val="00901712"/>
    <w:rsid w:val="00901B54"/>
    <w:rsid w:val="00901E49"/>
    <w:rsid w:val="009020CC"/>
    <w:rsid w:val="00902122"/>
    <w:rsid w:val="0090218E"/>
    <w:rsid w:val="00902244"/>
    <w:rsid w:val="00902292"/>
    <w:rsid w:val="009026AB"/>
    <w:rsid w:val="0090270A"/>
    <w:rsid w:val="00902946"/>
    <w:rsid w:val="009029B5"/>
    <w:rsid w:val="00903138"/>
    <w:rsid w:val="0090360C"/>
    <w:rsid w:val="00904034"/>
    <w:rsid w:val="009044E4"/>
    <w:rsid w:val="00904E71"/>
    <w:rsid w:val="009058E5"/>
    <w:rsid w:val="00905CD1"/>
    <w:rsid w:val="00905F9C"/>
    <w:rsid w:val="00906549"/>
    <w:rsid w:val="0090669B"/>
    <w:rsid w:val="00907F2D"/>
    <w:rsid w:val="0091024A"/>
    <w:rsid w:val="00911557"/>
    <w:rsid w:val="00911839"/>
    <w:rsid w:val="00911E7B"/>
    <w:rsid w:val="009120C0"/>
    <w:rsid w:val="0091372D"/>
    <w:rsid w:val="00913850"/>
    <w:rsid w:val="009144EC"/>
    <w:rsid w:val="00914A80"/>
    <w:rsid w:val="00914DD4"/>
    <w:rsid w:val="00914E1A"/>
    <w:rsid w:val="00916B1B"/>
    <w:rsid w:val="009173C2"/>
    <w:rsid w:val="0091758E"/>
    <w:rsid w:val="0092009B"/>
    <w:rsid w:val="009202D3"/>
    <w:rsid w:val="009203A3"/>
    <w:rsid w:val="00920B2D"/>
    <w:rsid w:val="0092109E"/>
    <w:rsid w:val="009215ED"/>
    <w:rsid w:val="009217B8"/>
    <w:rsid w:val="00921C59"/>
    <w:rsid w:val="009228BD"/>
    <w:rsid w:val="00922B13"/>
    <w:rsid w:val="00922BED"/>
    <w:rsid w:val="009230E0"/>
    <w:rsid w:val="00924A85"/>
    <w:rsid w:val="009251E2"/>
    <w:rsid w:val="0092545E"/>
    <w:rsid w:val="009258DF"/>
    <w:rsid w:val="00925AEE"/>
    <w:rsid w:val="00925D53"/>
    <w:rsid w:val="00925EF2"/>
    <w:rsid w:val="00926258"/>
    <w:rsid w:val="00926563"/>
    <w:rsid w:val="009269D5"/>
    <w:rsid w:val="00926C4B"/>
    <w:rsid w:val="009270F0"/>
    <w:rsid w:val="00927714"/>
    <w:rsid w:val="00927C10"/>
    <w:rsid w:val="00927D23"/>
    <w:rsid w:val="0093014A"/>
    <w:rsid w:val="00930365"/>
    <w:rsid w:val="00930B59"/>
    <w:rsid w:val="0093193F"/>
    <w:rsid w:val="00932117"/>
    <w:rsid w:val="009327A0"/>
    <w:rsid w:val="00932CAB"/>
    <w:rsid w:val="00932DB5"/>
    <w:rsid w:val="009335C5"/>
    <w:rsid w:val="009335F4"/>
    <w:rsid w:val="0093375D"/>
    <w:rsid w:val="00933BE4"/>
    <w:rsid w:val="009343BE"/>
    <w:rsid w:val="009349F7"/>
    <w:rsid w:val="00935DDD"/>
    <w:rsid w:val="00937019"/>
    <w:rsid w:val="0093758B"/>
    <w:rsid w:val="0093772B"/>
    <w:rsid w:val="00937B51"/>
    <w:rsid w:val="00940027"/>
    <w:rsid w:val="00940111"/>
    <w:rsid w:val="00941CDC"/>
    <w:rsid w:val="00941F42"/>
    <w:rsid w:val="009424A7"/>
    <w:rsid w:val="00942924"/>
    <w:rsid w:val="00942B61"/>
    <w:rsid w:val="00943027"/>
    <w:rsid w:val="0094304A"/>
    <w:rsid w:val="00943BE8"/>
    <w:rsid w:val="00943E30"/>
    <w:rsid w:val="009441E2"/>
    <w:rsid w:val="009442F7"/>
    <w:rsid w:val="009447A3"/>
    <w:rsid w:val="00944CA3"/>
    <w:rsid w:val="00944FD7"/>
    <w:rsid w:val="009451C6"/>
    <w:rsid w:val="0094537C"/>
    <w:rsid w:val="00945B9C"/>
    <w:rsid w:val="00945C58"/>
    <w:rsid w:val="00945D28"/>
    <w:rsid w:val="009462E9"/>
    <w:rsid w:val="00946870"/>
    <w:rsid w:val="00946C73"/>
    <w:rsid w:val="009470E6"/>
    <w:rsid w:val="00947E6E"/>
    <w:rsid w:val="00950DC1"/>
    <w:rsid w:val="00950ED8"/>
    <w:rsid w:val="00951753"/>
    <w:rsid w:val="00951913"/>
    <w:rsid w:val="00951E5D"/>
    <w:rsid w:val="00952196"/>
    <w:rsid w:val="009522E7"/>
    <w:rsid w:val="0095251B"/>
    <w:rsid w:val="00952C20"/>
    <w:rsid w:val="00952EA7"/>
    <w:rsid w:val="0095364A"/>
    <w:rsid w:val="00953C33"/>
    <w:rsid w:val="00953FCB"/>
    <w:rsid w:val="009548CA"/>
    <w:rsid w:val="009557C0"/>
    <w:rsid w:val="00955974"/>
    <w:rsid w:val="00955B8F"/>
    <w:rsid w:val="009569BF"/>
    <w:rsid w:val="00956F76"/>
    <w:rsid w:val="00957495"/>
    <w:rsid w:val="009602FD"/>
    <w:rsid w:val="0096095F"/>
    <w:rsid w:val="0096105C"/>
    <w:rsid w:val="00961572"/>
    <w:rsid w:val="00961A7F"/>
    <w:rsid w:val="00961B00"/>
    <w:rsid w:val="00962908"/>
    <w:rsid w:val="00962C02"/>
    <w:rsid w:val="0096316D"/>
    <w:rsid w:val="00964D23"/>
    <w:rsid w:val="00965AFF"/>
    <w:rsid w:val="00966270"/>
    <w:rsid w:val="0096689F"/>
    <w:rsid w:val="00966BC7"/>
    <w:rsid w:val="00966DC8"/>
    <w:rsid w:val="009704DD"/>
    <w:rsid w:val="00970FF4"/>
    <w:rsid w:val="00971A4D"/>
    <w:rsid w:val="00972050"/>
    <w:rsid w:val="0097211A"/>
    <w:rsid w:val="009726ED"/>
    <w:rsid w:val="009732B3"/>
    <w:rsid w:val="009733A8"/>
    <w:rsid w:val="00973E66"/>
    <w:rsid w:val="00973F67"/>
    <w:rsid w:val="009740F2"/>
    <w:rsid w:val="00974611"/>
    <w:rsid w:val="00974840"/>
    <w:rsid w:val="00974F3B"/>
    <w:rsid w:val="00975991"/>
    <w:rsid w:val="00975BB0"/>
    <w:rsid w:val="00976B31"/>
    <w:rsid w:val="00976C5B"/>
    <w:rsid w:val="00981258"/>
    <w:rsid w:val="009815ED"/>
    <w:rsid w:val="00981E13"/>
    <w:rsid w:val="0098235C"/>
    <w:rsid w:val="009825A8"/>
    <w:rsid w:val="00982BB7"/>
    <w:rsid w:val="00983026"/>
    <w:rsid w:val="00983746"/>
    <w:rsid w:val="00983BC2"/>
    <w:rsid w:val="009841E4"/>
    <w:rsid w:val="009845FB"/>
    <w:rsid w:val="00984810"/>
    <w:rsid w:val="00984E7D"/>
    <w:rsid w:val="00984E98"/>
    <w:rsid w:val="00986440"/>
    <w:rsid w:val="00986545"/>
    <w:rsid w:val="009869F6"/>
    <w:rsid w:val="00987454"/>
    <w:rsid w:val="00987AC4"/>
    <w:rsid w:val="0099013C"/>
    <w:rsid w:val="009901C7"/>
    <w:rsid w:val="00990241"/>
    <w:rsid w:val="00990874"/>
    <w:rsid w:val="00991172"/>
    <w:rsid w:val="00992122"/>
    <w:rsid w:val="009926C4"/>
    <w:rsid w:val="00993C1A"/>
    <w:rsid w:val="00994E1D"/>
    <w:rsid w:val="00995121"/>
    <w:rsid w:val="00995701"/>
    <w:rsid w:val="009957CB"/>
    <w:rsid w:val="00995D96"/>
    <w:rsid w:val="009969C1"/>
    <w:rsid w:val="00997674"/>
    <w:rsid w:val="00997E6A"/>
    <w:rsid w:val="00997FC3"/>
    <w:rsid w:val="009A0031"/>
    <w:rsid w:val="009A18C9"/>
    <w:rsid w:val="009A1E58"/>
    <w:rsid w:val="009A2474"/>
    <w:rsid w:val="009A2496"/>
    <w:rsid w:val="009A2791"/>
    <w:rsid w:val="009A2B3C"/>
    <w:rsid w:val="009A3319"/>
    <w:rsid w:val="009A382E"/>
    <w:rsid w:val="009A389E"/>
    <w:rsid w:val="009A38F4"/>
    <w:rsid w:val="009A456B"/>
    <w:rsid w:val="009A47D7"/>
    <w:rsid w:val="009A47F8"/>
    <w:rsid w:val="009A5683"/>
    <w:rsid w:val="009A5E36"/>
    <w:rsid w:val="009A5FAE"/>
    <w:rsid w:val="009A6149"/>
    <w:rsid w:val="009A6154"/>
    <w:rsid w:val="009A6665"/>
    <w:rsid w:val="009B0516"/>
    <w:rsid w:val="009B0550"/>
    <w:rsid w:val="009B0F84"/>
    <w:rsid w:val="009B0F9B"/>
    <w:rsid w:val="009B1091"/>
    <w:rsid w:val="009B1436"/>
    <w:rsid w:val="009B1551"/>
    <w:rsid w:val="009B1715"/>
    <w:rsid w:val="009B19D3"/>
    <w:rsid w:val="009B1FE4"/>
    <w:rsid w:val="009B2595"/>
    <w:rsid w:val="009B2A3E"/>
    <w:rsid w:val="009B2FE1"/>
    <w:rsid w:val="009B3468"/>
    <w:rsid w:val="009B3B26"/>
    <w:rsid w:val="009B3E26"/>
    <w:rsid w:val="009B3EB0"/>
    <w:rsid w:val="009B4212"/>
    <w:rsid w:val="009B46D7"/>
    <w:rsid w:val="009B492D"/>
    <w:rsid w:val="009B4B18"/>
    <w:rsid w:val="009B5565"/>
    <w:rsid w:val="009B6208"/>
    <w:rsid w:val="009B74E0"/>
    <w:rsid w:val="009B7772"/>
    <w:rsid w:val="009B77AE"/>
    <w:rsid w:val="009B7C97"/>
    <w:rsid w:val="009B7F6C"/>
    <w:rsid w:val="009C0706"/>
    <w:rsid w:val="009C0AA4"/>
    <w:rsid w:val="009C0B01"/>
    <w:rsid w:val="009C1EA3"/>
    <w:rsid w:val="009C2C75"/>
    <w:rsid w:val="009C3022"/>
    <w:rsid w:val="009C3A04"/>
    <w:rsid w:val="009C3F21"/>
    <w:rsid w:val="009C41D4"/>
    <w:rsid w:val="009C4990"/>
    <w:rsid w:val="009C4B3D"/>
    <w:rsid w:val="009C52E0"/>
    <w:rsid w:val="009C5687"/>
    <w:rsid w:val="009C61E0"/>
    <w:rsid w:val="009C647C"/>
    <w:rsid w:val="009C678F"/>
    <w:rsid w:val="009C68B7"/>
    <w:rsid w:val="009C6DBE"/>
    <w:rsid w:val="009C71C8"/>
    <w:rsid w:val="009C7743"/>
    <w:rsid w:val="009C7E66"/>
    <w:rsid w:val="009D00DF"/>
    <w:rsid w:val="009D024D"/>
    <w:rsid w:val="009D05EF"/>
    <w:rsid w:val="009D1A20"/>
    <w:rsid w:val="009D2A73"/>
    <w:rsid w:val="009D33EA"/>
    <w:rsid w:val="009D342E"/>
    <w:rsid w:val="009D39E8"/>
    <w:rsid w:val="009D3C8D"/>
    <w:rsid w:val="009D3F55"/>
    <w:rsid w:val="009D5CCB"/>
    <w:rsid w:val="009D5D83"/>
    <w:rsid w:val="009D5E04"/>
    <w:rsid w:val="009D622E"/>
    <w:rsid w:val="009D6311"/>
    <w:rsid w:val="009D64BE"/>
    <w:rsid w:val="009D7F5E"/>
    <w:rsid w:val="009E0653"/>
    <w:rsid w:val="009E0895"/>
    <w:rsid w:val="009E0998"/>
    <w:rsid w:val="009E0A70"/>
    <w:rsid w:val="009E11C5"/>
    <w:rsid w:val="009E14E6"/>
    <w:rsid w:val="009E21BD"/>
    <w:rsid w:val="009E242C"/>
    <w:rsid w:val="009E2744"/>
    <w:rsid w:val="009E3395"/>
    <w:rsid w:val="009E407A"/>
    <w:rsid w:val="009E43C2"/>
    <w:rsid w:val="009E47F5"/>
    <w:rsid w:val="009E4B56"/>
    <w:rsid w:val="009E4BCF"/>
    <w:rsid w:val="009E5804"/>
    <w:rsid w:val="009E5D1C"/>
    <w:rsid w:val="009E633B"/>
    <w:rsid w:val="009E684B"/>
    <w:rsid w:val="009E6CDB"/>
    <w:rsid w:val="009E7202"/>
    <w:rsid w:val="009F0ABB"/>
    <w:rsid w:val="009F0B26"/>
    <w:rsid w:val="009F126D"/>
    <w:rsid w:val="009F13A3"/>
    <w:rsid w:val="009F155F"/>
    <w:rsid w:val="009F167F"/>
    <w:rsid w:val="009F2493"/>
    <w:rsid w:val="009F2C97"/>
    <w:rsid w:val="009F33D5"/>
    <w:rsid w:val="009F3568"/>
    <w:rsid w:val="009F37BA"/>
    <w:rsid w:val="009F3D5A"/>
    <w:rsid w:val="009F3FFF"/>
    <w:rsid w:val="009F4084"/>
    <w:rsid w:val="009F4322"/>
    <w:rsid w:val="009F43F9"/>
    <w:rsid w:val="009F54C2"/>
    <w:rsid w:val="009F6776"/>
    <w:rsid w:val="009F6827"/>
    <w:rsid w:val="009F6A03"/>
    <w:rsid w:val="009F7AC4"/>
    <w:rsid w:val="009F7BD8"/>
    <w:rsid w:val="009F7E8B"/>
    <w:rsid w:val="00A0055D"/>
    <w:rsid w:val="00A00646"/>
    <w:rsid w:val="00A010F4"/>
    <w:rsid w:val="00A0252E"/>
    <w:rsid w:val="00A02623"/>
    <w:rsid w:val="00A027A7"/>
    <w:rsid w:val="00A02AA5"/>
    <w:rsid w:val="00A034B6"/>
    <w:rsid w:val="00A03D26"/>
    <w:rsid w:val="00A03EFC"/>
    <w:rsid w:val="00A042CD"/>
    <w:rsid w:val="00A045BD"/>
    <w:rsid w:val="00A04E6A"/>
    <w:rsid w:val="00A06C18"/>
    <w:rsid w:val="00A06C6A"/>
    <w:rsid w:val="00A07415"/>
    <w:rsid w:val="00A07715"/>
    <w:rsid w:val="00A0773B"/>
    <w:rsid w:val="00A079FC"/>
    <w:rsid w:val="00A10013"/>
    <w:rsid w:val="00A10C32"/>
    <w:rsid w:val="00A10DB5"/>
    <w:rsid w:val="00A11343"/>
    <w:rsid w:val="00A113B6"/>
    <w:rsid w:val="00A12450"/>
    <w:rsid w:val="00A124F0"/>
    <w:rsid w:val="00A1274E"/>
    <w:rsid w:val="00A12FA6"/>
    <w:rsid w:val="00A13454"/>
    <w:rsid w:val="00A134DA"/>
    <w:rsid w:val="00A1392C"/>
    <w:rsid w:val="00A13D7F"/>
    <w:rsid w:val="00A14150"/>
    <w:rsid w:val="00A1424C"/>
    <w:rsid w:val="00A14782"/>
    <w:rsid w:val="00A14EDC"/>
    <w:rsid w:val="00A14F77"/>
    <w:rsid w:val="00A158F2"/>
    <w:rsid w:val="00A15D3F"/>
    <w:rsid w:val="00A16233"/>
    <w:rsid w:val="00A163E3"/>
    <w:rsid w:val="00A16DDC"/>
    <w:rsid w:val="00A1745C"/>
    <w:rsid w:val="00A20509"/>
    <w:rsid w:val="00A20659"/>
    <w:rsid w:val="00A21117"/>
    <w:rsid w:val="00A211B1"/>
    <w:rsid w:val="00A21272"/>
    <w:rsid w:val="00A22B53"/>
    <w:rsid w:val="00A22BC9"/>
    <w:rsid w:val="00A22C73"/>
    <w:rsid w:val="00A22DF6"/>
    <w:rsid w:val="00A22F9F"/>
    <w:rsid w:val="00A234A8"/>
    <w:rsid w:val="00A23574"/>
    <w:rsid w:val="00A235CA"/>
    <w:rsid w:val="00A24683"/>
    <w:rsid w:val="00A24F37"/>
    <w:rsid w:val="00A25189"/>
    <w:rsid w:val="00A25CD1"/>
    <w:rsid w:val="00A264BC"/>
    <w:rsid w:val="00A26F6F"/>
    <w:rsid w:val="00A27F29"/>
    <w:rsid w:val="00A30009"/>
    <w:rsid w:val="00A301DC"/>
    <w:rsid w:val="00A30A3A"/>
    <w:rsid w:val="00A30F41"/>
    <w:rsid w:val="00A31217"/>
    <w:rsid w:val="00A31D6A"/>
    <w:rsid w:val="00A328DF"/>
    <w:rsid w:val="00A3298E"/>
    <w:rsid w:val="00A32DA9"/>
    <w:rsid w:val="00A32FB9"/>
    <w:rsid w:val="00A3331C"/>
    <w:rsid w:val="00A3385A"/>
    <w:rsid w:val="00A3387A"/>
    <w:rsid w:val="00A33CBF"/>
    <w:rsid w:val="00A34A9C"/>
    <w:rsid w:val="00A34B4E"/>
    <w:rsid w:val="00A34E06"/>
    <w:rsid w:val="00A35494"/>
    <w:rsid w:val="00A3671B"/>
    <w:rsid w:val="00A370FF"/>
    <w:rsid w:val="00A371B0"/>
    <w:rsid w:val="00A3752B"/>
    <w:rsid w:val="00A40270"/>
    <w:rsid w:val="00A40D26"/>
    <w:rsid w:val="00A41893"/>
    <w:rsid w:val="00A425D6"/>
    <w:rsid w:val="00A4267A"/>
    <w:rsid w:val="00A4267F"/>
    <w:rsid w:val="00A42C00"/>
    <w:rsid w:val="00A42D79"/>
    <w:rsid w:val="00A42EBD"/>
    <w:rsid w:val="00A43062"/>
    <w:rsid w:val="00A43713"/>
    <w:rsid w:val="00A43DC7"/>
    <w:rsid w:val="00A449AE"/>
    <w:rsid w:val="00A45197"/>
    <w:rsid w:val="00A45679"/>
    <w:rsid w:val="00A45B9E"/>
    <w:rsid w:val="00A461BC"/>
    <w:rsid w:val="00A464CD"/>
    <w:rsid w:val="00A46BBC"/>
    <w:rsid w:val="00A47092"/>
    <w:rsid w:val="00A47260"/>
    <w:rsid w:val="00A4763B"/>
    <w:rsid w:val="00A47716"/>
    <w:rsid w:val="00A50F1E"/>
    <w:rsid w:val="00A5242C"/>
    <w:rsid w:val="00A52589"/>
    <w:rsid w:val="00A529D1"/>
    <w:rsid w:val="00A535F1"/>
    <w:rsid w:val="00A53969"/>
    <w:rsid w:val="00A5481A"/>
    <w:rsid w:val="00A54C26"/>
    <w:rsid w:val="00A5570B"/>
    <w:rsid w:val="00A55A02"/>
    <w:rsid w:val="00A56129"/>
    <w:rsid w:val="00A561CA"/>
    <w:rsid w:val="00A56B34"/>
    <w:rsid w:val="00A56B98"/>
    <w:rsid w:val="00A60568"/>
    <w:rsid w:val="00A606CD"/>
    <w:rsid w:val="00A6079D"/>
    <w:rsid w:val="00A60AA8"/>
    <w:rsid w:val="00A60C62"/>
    <w:rsid w:val="00A60F9D"/>
    <w:rsid w:val="00A612D0"/>
    <w:rsid w:val="00A61638"/>
    <w:rsid w:val="00A62333"/>
    <w:rsid w:val="00A62F18"/>
    <w:rsid w:val="00A62F9A"/>
    <w:rsid w:val="00A63052"/>
    <w:rsid w:val="00A63122"/>
    <w:rsid w:val="00A6312A"/>
    <w:rsid w:val="00A63E3E"/>
    <w:rsid w:val="00A63E94"/>
    <w:rsid w:val="00A6419B"/>
    <w:rsid w:val="00A6456D"/>
    <w:rsid w:val="00A64643"/>
    <w:rsid w:val="00A64A8C"/>
    <w:rsid w:val="00A64B9C"/>
    <w:rsid w:val="00A65365"/>
    <w:rsid w:val="00A658BD"/>
    <w:rsid w:val="00A6615B"/>
    <w:rsid w:val="00A6650D"/>
    <w:rsid w:val="00A671EC"/>
    <w:rsid w:val="00A67AD8"/>
    <w:rsid w:val="00A702D0"/>
    <w:rsid w:val="00A705C6"/>
    <w:rsid w:val="00A7149D"/>
    <w:rsid w:val="00A719ED"/>
    <w:rsid w:val="00A71F29"/>
    <w:rsid w:val="00A72087"/>
    <w:rsid w:val="00A72EB8"/>
    <w:rsid w:val="00A73219"/>
    <w:rsid w:val="00A74F37"/>
    <w:rsid w:val="00A755AC"/>
    <w:rsid w:val="00A778E7"/>
    <w:rsid w:val="00A77B8D"/>
    <w:rsid w:val="00A77E60"/>
    <w:rsid w:val="00A77F35"/>
    <w:rsid w:val="00A800E1"/>
    <w:rsid w:val="00A80263"/>
    <w:rsid w:val="00A804CE"/>
    <w:rsid w:val="00A8092D"/>
    <w:rsid w:val="00A819E0"/>
    <w:rsid w:val="00A82122"/>
    <w:rsid w:val="00A824FC"/>
    <w:rsid w:val="00A82B17"/>
    <w:rsid w:val="00A82DFD"/>
    <w:rsid w:val="00A830F5"/>
    <w:rsid w:val="00A83F6B"/>
    <w:rsid w:val="00A842BE"/>
    <w:rsid w:val="00A8475E"/>
    <w:rsid w:val="00A84AC2"/>
    <w:rsid w:val="00A85224"/>
    <w:rsid w:val="00A8548B"/>
    <w:rsid w:val="00A8553F"/>
    <w:rsid w:val="00A87530"/>
    <w:rsid w:val="00A91888"/>
    <w:rsid w:val="00A92332"/>
    <w:rsid w:val="00A923EA"/>
    <w:rsid w:val="00A92CD5"/>
    <w:rsid w:val="00A92DA9"/>
    <w:rsid w:val="00A933A1"/>
    <w:rsid w:val="00A9343D"/>
    <w:rsid w:val="00A93BAE"/>
    <w:rsid w:val="00A93F1B"/>
    <w:rsid w:val="00A9407A"/>
    <w:rsid w:val="00A95A3D"/>
    <w:rsid w:val="00A9601D"/>
    <w:rsid w:val="00A970B0"/>
    <w:rsid w:val="00AA01DF"/>
    <w:rsid w:val="00AA0234"/>
    <w:rsid w:val="00AA13D3"/>
    <w:rsid w:val="00AA1638"/>
    <w:rsid w:val="00AA19AB"/>
    <w:rsid w:val="00AA2176"/>
    <w:rsid w:val="00AA2C3C"/>
    <w:rsid w:val="00AA36BF"/>
    <w:rsid w:val="00AA3BC6"/>
    <w:rsid w:val="00AA3FAD"/>
    <w:rsid w:val="00AA462D"/>
    <w:rsid w:val="00AA4854"/>
    <w:rsid w:val="00AA4FAF"/>
    <w:rsid w:val="00AA5841"/>
    <w:rsid w:val="00AA5A79"/>
    <w:rsid w:val="00AA5B27"/>
    <w:rsid w:val="00AA5CFB"/>
    <w:rsid w:val="00AA6276"/>
    <w:rsid w:val="00AA6ACF"/>
    <w:rsid w:val="00AA7A2B"/>
    <w:rsid w:val="00AA7F37"/>
    <w:rsid w:val="00AB06DB"/>
    <w:rsid w:val="00AB079F"/>
    <w:rsid w:val="00AB1117"/>
    <w:rsid w:val="00AB175A"/>
    <w:rsid w:val="00AB1BDB"/>
    <w:rsid w:val="00AB1C3E"/>
    <w:rsid w:val="00AB1E8D"/>
    <w:rsid w:val="00AB20C4"/>
    <w:rsid w:val="00AB225F"/>
    <w:rsid w:val="00AB2680"/>
    <w:rsid w:val="00AB2859"/>
    <w:rsid w:val="00AB2D53"/>
    <w:rsid w:val="00AB2EA4"/>
    <w:rsid w:val="00AB2F67"/>
    <w:rsid w:val="00AB3193"/>
    <w:rsid w:val="00AB3948"/>
    <w:rsid w:val="00AB3BF4"/>
    <w:rsid w:val="00AB3D96"/>
    <w:rsid w:val="00AB458D"/>
    <w:rsid w:val="00AB47E6"/>
    <w:rsid w:val="00AB5A9F"/>
    <w:rsid w:val="00AB5BF9"/>
    <w:rsid w:val="00AB629F"/>
    <w:rsid w:val="00AB62F9"/>
    <w:rsid w:val="00AB6776"/>
    <w:rsid w:val="00AB6CA0"/>
    <w:rsid w:val="00AB7977"/>
    <w:rsid w:val="00AB7A98"/>
    <w:rsid w:val="00AC0170"/>
    <w:rsid w:val="00AC033D"/>
    <w:rsid w:val="00AC03E9"/>
    <w:rsid w:val="00AC048C"/>
    <w:rsid w:val="00AC0681"/>
    <w:rsid w:val="00AC0A64"/>
    <w:rsid w:val="00AC14DC"/>
    <w:rsid w:val="00AC14E9"/>
    <w:rsid w:val="00AC183A"/>
    <w:rsid w:val="00AC1A60"/>
    <w:rsid w:val="00AC1E4B"/>
    <w:rsid w:val="00AC213C"/>
    <w:rsid w:val="00AC2425"/>
    <w:rsid w:val="00AC282A"/>
    <w:rsid w:val="00AC28DA"/>
    <w:rsid w:val="00AC29A0"/>
    <w:rsid w:val="00AC2A25"/>
    <w:rsid w:val="00AC41DA"/>
    <w:rsid w:val="00AC5660"/>
    <w:rsid w:val="00AC5D7C"/>
    <w:rsid w:val="00AC63ED"/>
    <w:rsid w:val="00AC68ED"/>
    <w:rsid w:val="00AC7C7F"/>
    <w:rsid w:val="00AD01F7"/>
    <w:rsid w:val="00AD06B4"/>
    <w:rsid w:val="00AD0708"/>
    <w:rsid w:val="00AD0A2A"/>
    <w:rsid w:val="00AD0F74"/>
    <w:rsid w:val="00AD1339"/>
    <w:rsid w:val="00AD15B7"/>
    <w:rsid w:val="00AD15D4"/>
    <w:rsid w:val="00AD17F7"/>
    <w:rsid w:val="00AD2532"/>
    <w:rsid w:val="00AD26BF"/>
    <w:rsid w:val="00AD30FD"/>
    <w:rsid w:val="00AD338A"/>
    <w:rsid w:val="00AD3A17"/>
    <w:rsid w:val="00AD3EEB"/>
    <w:rsid w:val="00AD4D09"/>
    <w:rsid w:val="00AD51E3"/>
    <w:rsid w:val="00AD5EED"/>
    <w:rsid w:val="00AD621A"/>
    <w:rsid w:val="00AD69B0"/>
    <w:rsid w:val="00AD70C5"/>
    <w:rsid w:val="00AD758D"/>
    <w:rsid w:val="00AD7993"/>
    <w:rsid w:val="00AD7D3B"/>
    <w:rsid w:val="00AD7F4D"/>
    <w:rsid w:val="00AE0243"/>
    <w:rsid w:val="00AE0639"/>
    <w:rsid w:val="00AE06EA"/>
    <w:rsid w:val="00AE088C"/>
    <w:rsid w:val="00AE0D0C"/>
    <w:rsid w:val="00AE1B1F"/>
    <w:rsid w:val="00AE1E3A"/>
    <w:rsid w:val="00AE1F7B"/>
    <w:rsid w:val="00AE20F8"/>
    <w:rsid w:val="00AE24D4"/>
    <w:rsid w:val="00AE2619"/>
    <w:rsid w:val="00AE2C5F"/>
    <w:rsid w:val="00AE3032"/>
    <w:rsid w:val="00AE38C2"/>
    <w:rsid w:val="00AE3916"/>
    <w:rsid w:val="00AE3BF0"/>
    <w:rsid w:val="00AE43AB"/>
    <w:rsid w:val="00AE515A"/>
    <w:rsid w:val="00AE5D22"/>
    <w:rsid w:val="00AE5E5D"/>
    <w:rsid w:val="00AE669F"/>
    <w:rsid w:val="00AE6A86"/>
    <w:rsid w:val="00AE76DC"/>
    <w:rsid w:val="00AE7C2E"/>
    <w:rsid w:val="00AF0040"/>
    <w:rsid w:val="00AF09EB"/>
    <w:rsid w:val="00AF10BD"/>
    <w:rsid w:val="00AF1CC7"/>
    <w:rsid w:val="00AF1F36"/>
    <w:rsid w:val="00AF2512"/>
    <w:rsid w:val="00AF2836"/>
    <w:rsid w:val="00AF28E4"/>
    <w:rsid w:val="00AF2ACC"/>
    <w:rsid w:val="00AF360E"/>
    <w:rsid w:val="00AF37C5"/>
    <w:rsid w:val="00AF3D9A"/>
    <w:rsid w:val="00AF41D9"/>
    <w:rsid w:val="00AF4D15"/>
    <w:rsid w:val="00AF5209"/>
    <w:rsid w:val="00AF5631"/>
    <w:rsid w:val="00AF5E8E"/>
    <w:rsid w:val="00AF5F4E"/>
    <w:rsid w:val="00AF6222"/>
    <w:rsid w:val="00AF638F"/>
    <w:rsid w:val="00AF6F1D"/>
    <w:rsid w:val="00AF70A0"/>
    <w:rsid w:val="00AF710E"/>
    <w:rsid w:val="00AF7512"/>
    <w:rsid w:val="00AF7813"/>
    <w:rsid w:val="00AF787D"/>
    <w:rsid w:val="00AF7968"/>
    <w:rsid w:val="00AF7AD6"/>
    <w:rsid w:val="00AF7E34"/>
    <w:rsid w:val="00B00005"/>
    <w:rsid w:val="00B00FF4"/>
    <w:rsid w:val="00B02089"/>
    <w:rsid w:val="00B02D65"/>
    <w:rsid w:val="00B03378"/>
    <w:rsid w:val="00B03C62"/>
    <w:rsid w:val="00B03E52"/>
    <w:rsid w:val="00B04D2D"/>
    <w:rsid w:val="00B0503C"/>
    <w:rsid w:val="00B05234"/>
    <w:rsid w:val="00B05B88"/>
    <w:rsid w:val="00B063D4"/>
    <w:rsid w:val="00B063F0"/>
    <w:rsid w:val="00B07176"/>
    <w:rsid w:val="00B07769"/>
    <w:rsid w:val="00B07FF4"/>
    <w:rsid w:val="00B10270"/>
    <w:rsid w:val="00B103DF"/>
    <w:rsid w:val="00B10D66"/>
    <w:rsid w:val="00B10E10"/>
    <w:rsid w:val="00B1115E"/>
    <w:rsid w:val="00B116E3"/>
    <w:rsid w:val="00B11F39"/>
    <w:rsid w:val="00B12063"/>
    <w:rsid w:val="00B1206C"/>
    <w:rsid w:val="00B124F5"/>
    <w:rsid w:val="00B12617"/>
    <w:rsid w:val="00B1286B"/>
    <w:rsid w:val="00B1288E"/>
    <w:rsid w:val="00B12F52"/>
    <w:rsid w:val="00B13310"/>
    <w:rsid w:val="00B135A8"/>
    <w:rsid w:val="00B13CB8"/>
    <w:rsid w:val="00B14511"/>
    <w:rsid w:val="00B15708"/>
    <w:rsid w:val="00B157E0"/>
    <w:rsid w:val="00B158A6"/>
    <w:rsid w:val="00B16921"/>
    <w:rsid w:val="00B16B3F"/>
    <w:rsid w:val="00B174B4"/>
    <w:rsid w:val="00B175DA"/>
    <w:rsid w:val="00B175F1"/>
    <w:rsid w:val="00B17B11"/>
    <w:rsid w:val="00B202ED"/>
    <w:rsid w:val="00B20386"/>
    <w:rsid w:val="00B20CE9"/>
    <w:rsid w:val="00B21FFC"/>
    <w:rsid w:val="00B236FA"/>
    <w:rsid w:val="00B23B42"/>
    <w:rsid w:val="00B23BFA"/>
    <w:rsid w:val="00B23E43"/>
    <w:rsid w:val="00B24240"/>
    <w:rsid w:val="00B24443"/>
    <w:rsid w:val="00B24505"/>
    <w:rsid w:val="00B24677"/>
    <w:rsid w:val="00B24C54"/>
    <w:rsid w:val="00B25195"/>
    <w:rsid w:val="00B2534F"/>
    <w:rsid w:val="00B25485"/>
    <w:rsid w:val="00B26284"/>
    <w:rsid w:val="00B273E9"/>
    <w:rsid w:val="00B2741E"/>
    <w:rsid w:val="00B30118"/>
    <w:rsid w:val="00B30E47"/>
    <w:rsid w:val="00B31533"/>
    <w:rsid w:val="00B31AFC"/>
    <w:rsid w:val="00B31DC5"/>
    <w:rsid w:val="00B32038"/>
    <w:rsid w:val="00B320DD"/>
    <w:rsid w:val="00B32329"/>
    <w:rsid w:val="00B32CAA"/>
    <w:rsid w:val="00B32FF1"/>
    <w:rsid w:val="00B337A2"/>
    <w:rsid w:val="00B337AE"/>
    <w:rsid w:val="00B33CA4"/>
    <w:rsid w:val="00B350F0"/>
    <w:rsid w:val="00B351CE"/>
    <w:rsid w:val="00B35812"/>
    <w:rsid w:val="00B364F5"/>
    <w:rsid w:val="00B3681C"/>
    <w:rsid w:val="00B3700C"/>
    <w:rsid w:val="00B37707"/>
    <w:rsid w:val="00B37D29"/>
    <w:rsid w:val="00B40301"/>
    <w:rsid w:val="00B40BB5"/>
    <w:rsid w:val="00B41254"/>
    <w:rsid w:val="00B415F5"/>
    <w:rsid w:val="00B4241B"/>
    <w:rsid w:val="00B428E6"/>
    <w:rsid w:val="00B42C62"/>
    <w:rsid w:val="00B438F1"/>
    <w:rsid w:val="00B44A50"/>
    <w:rsid w:val="00B4502C"/>
    <w:rsid w:val="00B45088"/>
    <w:rsid w:val="00B45E5D"/>
    <w:rsid w:val="00B45E88"/>
    <w:rsid w:val="00B46EEC"/>
    <w:rsid w:val="00B47257"/>
    <w:rsid w:val="00B474E8"/>
    <w:rsid w:val="00B50695"/>
    <w:rsid w:val="00B50F7F"/>
    <w:rsid w:val="00B51314"/>
    <w:rsid w:val="00B52106"/>
    <w:rsid w:val="00B523ED"/>
    <w:rsid w:val="00B52BBA"/>
    <w:rsid w:val="00B5306D"/>
    <w:rsid w:val="00B53173"/>
    <w:rsid w:val="00B5350F"/>
    <w:rsid w:val="00B53C15"/>
    <w:rsid w:val="00B541FB"/>
    <w:rsid w:val="00B5442E"/>
    <w:rsid w:val="00B55207"/>
    <w:rsid w:val="00B55827"/>
    <w:rsid w:val="00B56C1F"/>
    <w:rsid w:val="00B60499"/>
    <w:rsid w:val="00B6074F"/>
    <w:rsid w:val="00B6079B"/>
    <w:rsid w:val="00B60E04"/>
    <w:rsid w:val="00B60FDD"/>
    <w:rsid w:val="00B61544"/>
    <w:rsid w:val="00B61A4C"/>
    <w:rsid w:val="00B62116"/>
    <w:rsid w:val="00B62EAE"/>
    <w:rsid w:val="00B62F07"/>
    <w:rsid w:val="00B62FEE"/>
    <w:rsid w:val="00B630A7"/>
    <w:rsid w:val="00B633A1"/>
    <w:rsid w:val="00B6401D"/>
    <w:rsid w:val="00B6472B"/>
    <w:rsid w:val="00B647C3"/>
    <w:rsid w:val="00B64AC7"/>
    <w:rsid w:val="00B64B35"/>
    <w:rsid w:val="00B65B27"/>
    <w:rsid w:val="00B65E4C"/>
    <w:rsid w:val="00B663EC"/>
    <w:rsid w:val="00B676D9"/>
    <w:rsid w:val="00B701E1"/>
    <w:rsid w:val="00B7161B"/>
    <w:rsid w:val="00B7172A"/>
    <w:rsid w:val="00B71BF2"/>
    <w:rsid w:val="00B72603"/>
    <w:rsid w:val="00B72857"/>
    <w:rsid w:val="00B72A6B"/>
    <w:rsid w:val="00B72CFC"/>
    <w:rsid w:val="00B732B2"/>
    <w:rsid w:val="00B7333B"/>
    <w:rsid w:val="00B7356D"/>
    <w:rsid w:val="00B737EC"/>
    <w:rsid w:val="00B75580"/>
    <w:rsid w:val="00B75FB0"/>
    <w:rsid w:val="00B77F30"/>
    <w:rsid w:val="00B802DF"/>
    <w:rsid w:val="00B8044E"/>
    <w:rsid w:val="00B80873"/>
    <w:rsid w:val="00B80A51"/>
    <w:rsid w:val="00B80B52"/>
    <w:rsid w:val="00B80C3D"/>
    <w:rsid w:val="00B815B7"/>
    <w:rsid w:val="00B820FC"/>
    <w:rsid w:val="00B82286"/>
    <w:rsid w:val="00B826A9"/>
    <w:rsid w:val="00B83307"/>
    <w:rsid w:val="00B83365"/>
    <w:rsid w:val="00B8366C"/>
    <w:rsid w:val="00B83A48"/>
    <w:rsid w:val="00B83B0D"/>
    <w:rsid w:val="00B85268"/>
    <w:rsid w:val="00B852B6"/>
    <w:rsid w:val="00B85AEE"/>
    <w:rsid w:val="00B85BC8"/>
    <w:rsid w:val="00B85F4F"/>
    <w:rsid w:val="00B864DD"/>
    <w:rsid w:val="00B87A8A"/>
    <w:rsid w:val="00B87B89"/>
    <w:rsid w:val="00B87F24"/>
    <w:rsid w:val="00B904CF"/>
    <w:rsid w:val="00B90609"/>
    <w:rsid w:val="00B90AD8"/>
    <w:rsid w:val="00B91071"/>
    <w:rsid w:val="00B91B71"/>
    <w:rsid w:val="00B91F33"/>
    <w:rsid w:val="00B922B8"/>
    <w:rsid w:val="00B93102"/>
    <w:rsid w:val="00B931A5"/>
    <w:rsid w:val="00B93B94"/>
    <w:rsid w:val="00B945F7"/>
    <w:rsid w:val="00B948D7"/>
    <w:rsid w:val="00B94C70"/>
    <w:rsid w:val="00B9501A"/>
    <w:rsid w:val="00B9534D"/>
    <w:rsid w:val="00B9548A"/>
    <w:rsid w:val="00B957D1"/>
    <w:rsid w:val="00B9644D"/>
    <w:rsid w:val="00B96649"/>
    <w:rsid w:val="00B971E1"/>
    <w:rsid w:val="00B97424"/>
    <w:rsid w:val="00B974DA"/>
    <w:rsid w:val="00B97924"/>
    <w:rsid w:val="00BA0309"/>
    <w:rsid w:val="00BA04AB"/>
    <w:rsid w:val="00BA08C2"/>
    <w:rsid w:val="00BA12C4"/>
    <w:rsid w:val="00BA12C7"/>
    <w:rsid w:val="00BA15FF"/>
    <w:rsid w:val="00BA1D47"/>
    <w:rsid w:val="00BA2983"/>
    <w:rsid w:val="00BA3324"/>
    <w:rsid w:val="00BA34C4"/>
    <w:rsid w:val="00BA3604"/>
    <w:rsid w:val="00BA3ACD"/>
    <w:rsid w:val="00BA4138"/>
    <w:rsid w:val="00BA4642"/>
    <w:rsid w:val="00BA57CA"/>
    <w:rsid w:val="00BA5DBC"/>
    <w:rsid w:val="00BA6053"/>
    <w:rsid w:val="00BA6C7A"/>
    <w:rsid w:val="00BA6CFD"/>
    <w:rsid w:val="00BA7396"/>
    <w:rsid w:val="00BA761B"/>
    <w:rsid w:val="00BA7909"/>
    <w:rsid w:val="00BA7DF1"/>
    <w:rsid w:val="00BB10CE"/>
    <w:rsid w:val="00BB15D4"/>
    <w:rsid w:val="00BB167B"/>
    <w:rsid w:val="00BB1CA5"/>
    <w:rsid w:val="00BB1D8B"/>
    <w:rsid w:val="00BB1EE8"/>
    <w:rsid w:val="00BB2A12"/>
    <w:rsid w:val="00BB3299"/>
    <w:rsid w:val="00BB3A76"/>
    <w:rsid w:val="00BB4D5A"/>
    <w:rsid w:val="00BB5775"/>
    <w:rsid w:val="00BB5C1C"/>
    <w:rsid w:val="00BB60DF"/>
    <w:rsid w:val="00BB6193"/>
    <w:rsid w:val="00BB72AE"/>
    <w:rsid w:val="00BC01D3"/>
    <w:rsid w:val="00BC0808"/>
    <w:rsid w:val="00BC0E12"/>
    <w:rsid w:val="00BC1A25"/>
    <w:rsid w:val="00BC1B0E"/>
    <w:rsid w:val="00BC2553"/>
    <w:rsid w:val="00BC27B5"/>
    <w:rsid w:val="00BC3741"/>
    <w:rsid w:val="00BC3746"/>
    <w:rsid w:val="00BC3ED9"/>
    <w:rsid w:val="00BC6345"/>
    <w:rsid w:val="00BC76A9"/>
    <w:rsid w:val="00BC7BDD"/>
    <w:rsid w:val="00BD015F"/>
    <w:rsid w:val="00BD0384"/>
    <w:rsid w:val="00BD071B"/>
    <w:rsid w:val="00BD090D"/>
    <w:rsid w:val="00BD19FC"/>
    <w:rsid w:val="00BD21C2"/>
    <w:rsid w:val="00BD3577"/>
    <w:rsid w:val="00BD3591"/>
    <w:rsid w:val="00BD3B80"/>
    <w:rsid w:val="00BD3CBD"/>
    <w:rsid w:val="00BD3D0A"/>
    <w:rsid w:val="00BD441B"/>
    <w:rsid w:val="00BD45CE"/>
    <w:rsid w:val="00BD501E"/>
    <w:rsid w:val="00BD5415"/>
    <w:rsid w:val="00BD589F"/>
    <w:rsid w:val="00BD5A6B"/>
    <w:rsid w:val="00BD644B"/>
    <w:rsid w:val="00BD6DF7"/>
    <w:rsid w:val="00BD6F78"/>
    <w:rsid w:val="00BD7768"/>
    <w:rsid w:val="00BD7852"/>
    <w:rsid w:val="00BE0DBC"/>
    <w:rsid w:val="00BE1199"/>
    <w:rsid w:val="00BE2100"/>
    <w:rsid w:val="00BE21AE"/>
    <w:rsid w:val="00BE2DEF"/>
    <w:rsid w:val="00BE2E9F"/>
    <w:rsid w:val="00BE33BC"/>
    <w:rsid w:val="00BE38E5"/>
    <w:rsid w:val="00BE3E18"/>
    <w:rsid w:val="00BE45EE"/>
    <w:rsid w:val="00BE4688"/>
    <w:rsid w:val="00BE4917"/>
    <w:rsid w:val="00BE4A8C"/>
    <w:rsid w:val="00BE4C2E"/>
    <w:rsid w:val="00BE4FB5"/>
    <w:rsid w:val="00BE52FA"/>
    <w:rsid w:val="00BE54E0"/>
    <w:rsid w:val="00BE5891"/>
    <w:rsid w:val="00BE5AE9"/>
    <w:rsid w:val="00BE5B41"/>
    <w:rsid w:val="00BE5D82"/>
    <w:rsid w:val="00BE6B8C"/>
    <w:rsid w:val="00BE6C90"/>
    <w:rsid w:val="00BE6E10"/>
    <w:rsid w:val="00BE7230"/>
    <w:rsid w:val="00BE7ADB"/>
    <w:rsid w:val="00BF02A3"/>
    <w:rsid w:val="00BF06FF"/>
    <w:rsid w:val="00BF12E2"/>
    <w:rsid w:val="00BF156D"/>
    <w:rsid w:val="00BF1C8B"/>
    <w:rsid w:val="00BF29F6"/>
    <w:rsid w:val="00BF38B8"/>
    <w:rsid w:val="00BF3C52"/>
    <w:rsid w:val="00BF3D4C"/>
    <w:rsid w:val="00BF3F2D"/>
    <w:rsid w:val="00BF4331"/>
    <w:rsid w:val="00BF5043"/>
    <w:rsid w:val="00BF53B7"/>
    <w:rsid w:val="00BF5593"/>
    <w:rsid w:val="00BF564E"/>
    <w:rsid w:val="00BF5CCD"/>
    <w:rsid w:val="00BF5D20"/>
    <w:rsid w:val="00BF5FC1"/>
    <w:rsid w:val="00BF624B"/>
    <w:rsid w:val="00BF7376"/>
    <w:rsid w:val="00BF7B51"/>
    <w:rsid w:val="00C00922"/>
    <w:rsid w:val="00C00DB0"/>
    <w:rsid w:val="00C01021"/>
    <w:rsid w:val="00C01578"/>
    <w:rsid w:val="00C01EBA"/>
    <w:rsid w:val="00C0234C"/>
    <w:rsid w:val="00C02355"/>
    <w:rsid w:val="00C02A57"/>
    <w:rsid w:val="00C03DCD"/>
    <w:rsid w:val="00C04BEF"/>
    <w:rsid w:val="00C057A6"/>
    <w:rsid w:val="00C0642A"/>
    <w:rsid w:val="00C0680C"/>
    <w:rsid w:val="00C069C0"/>
    <w:rsid w:val="00C06C36"/>
    <w:rsid w:val="00C06D08"/>
    <w:rsid w:val="00C0761F"/>
    <w:rsid w:val="00C07E05"/>
    <w:rsid w:val="00C100D8"/>
    <w:rsid w:val="00C102F0"/>
    <w:rsid w:val="00C1033C"/>
    <w:rsid w:val="00C114B0"/>
    <w:rsid w:val="00C12255"/>
    <w:rsid w:val="00C128BA"/>
    <w:rsid w:val="00C12C61"/>
    <w:rsid w:val="00C132B8"/>
    <w:rsid w:val="00C136AC"/>
    <w:rsid w:val="00C13F59"/>
    <w:rsid w:val="00C1404F"/>
    <w:rsid w:val="00C143D5"/>
    <w:rsid w:val="00C159CA"/>
    <w:rsid w:val="00C15C44"/>
    <w:rsid w:val="00C15F00"/>
    <w:rsid w:val="00C15F05"/>
    <w:rsid w:val="00C16909"/>
    <w:rsid w:val="00C1771E"/>
    <w:rsid w:val="00C17F39"/>
    <w:rsid w:val="00C2005A"/>
    <w:rsid w:val="00C206B3"/>
    <w:rsid w:val="00C210D3"/>
    <w:rsid w:val="00C2180E"/>
    <w:rsid w:val="00C2189E"/>
    <w:rsid w:val="00C232AB"/>
    <w:rsid w:val="00C2415A"/>
    <w:rsid w:val="00C2499A"/>
    <w:rsid w:val="00C2763C"/>
    <w:rsid w:val="00C278CF"/>
    <w:rsid w:val="00C307FA"/>
    <w:rsid w:val="00C31112"/>
    <w:rsid w:val="00C3122C"/>
    <w:rsid w:val="00C31B40"/>
    <w:rsid w:val="00C31E0A"/>
    <w:rsid w:val="00C32107"/>
    <w:rsid w:val="00C321AE"/>
    <w:rsid w:val="00C32FF4"/>
    <w:rsid w:val="00C33C82"/>
    <w:rsid w:val="00C341AA"/>
    <w:rsid w:val="00C34498"/>
    <w:rsid w:val="00C34DB5"/>
    <w:rsid w:val="00C359F3"/>
    <w:rsid w:val="00C36067"/>
    <w:rsid w:val="00C3655B"/>
    <w:rsid w:val="00C36A4B"/>
    <w:rsid w:val="00C403F1"/>
    <w:rsid w:val="00C4140A"/>
    <w:rsid w:val="00C41524"/>
    <w:rsid w:val="00C4176C"/>
    <w:rsid w:val="00C423A1"/>
    <w:rsid w:val="00C4272D"/>
    <w:rsid w:val="00C43A44"/>
    <w:rsid w:val="00C43D1D"/>
    <w:rsid w:val="00C43DBA"/>
    <w:rsid w:val="00C43F3F"/>
    <w:rsid w:val="00C43F83"/>
    <w:rsid w:val="00C44504"/>
    <w:rsid w:val="00C44CC2"/>
    <w:rsid w:val="00C452DC"/>
    <w:rsid w:val="00C45502"/>
    <w:rsid w:val="00C4554D"/>
    <w:rsid w:val="00C45DE8"/>
    <w:rsid w:val="00C4637E"/>
    <w:rsid w:val="00C46AB4"/>
    <w:rsid w:val="00C470E5"/>
    <w:rsid w:val="00C4734E"/>
    <w:rsid w:val="00C47461"/>
    <w:rsid w:val="00C47862"/>
    <w:rsid w:val="00C47BF3"/>
    <w:rsid w:val="00C47CF5"/>
    <w:rsid w:val="00C50115"/>
    <w:rsid w:val="00C50303"/>
    <w:rsid w:val="00C50C66"/>
    <w:rsid w:val="00C513DE"/>
    <w:rsid w:val="00C51407"/>
    <w:rsid w:val="00C51495"/>
    <w:rsid w:val="00C516BE"/>
    <w:rsid w:val="00C51754"/>
    <w:rsid w:val="00C51771"/>
    <w:rsid w:val="00C518F6"/>
    <w:rsid w:val="00C5236A"/>
    <w:rsid w:val="00C531F2"/>
    <w:rsid w:val="00C532BF"/>
    <w:rsid w:val="00C53506"/>
    <w:rsid w:val="00C535A3"/>
    <w:rsid w:val="00C540C0"/>
    <w:rsid w:val="00C54C11"/>
    <w:rsid w:val="00C54C81"/>
    <w:rsid w:val="00C54E7F"/>
    <w:rsid w:val="00C554B7"/>
    <w:rsid w:val="00C55970"/>
    <w:rsid w:val="00C55FB6"/>
    <w:rsid w:val="00C56629"/>
    <w:rsid w:val="00C56822"/>
    <w:rsid w:val="00C57600"/>
    <w:rsid w:val="00C57C4D"/>
    <w:rsid w:val="00C60997"/>
    <w:rsid w:val="00C609AE"/>
    <w:rsid w:val="00C60C4B"/>
    <w:rsid w:val="00C61643"/>
    <w:rsid w:val="00C616BD"/>
    <w:rsid w:val="00C61D3F"/>
    <w:rsid w:val="00C624F5"/>
    <w:rsid w:val="00C62B2B"/>
    <w:rsid w:val="00C6396E"/>
    <w:rsid w:val="00C639C7"/>
    <w:rsid w:val="00C63C5E"/>
    <w:rsid w:val="00C63F28"/>
    <w:rsid w:val="00C6499F"/>
    <w:rsid w:val="00C64F86"/>
    <w:rsid w:val="00C65384"/>
    <w:rsid w:val="00C66EBC"/>
    <w:rsid w:val="00C6734F"/>
    <w:rsid w:val="00C67B9C"/>
    <w:rsid w:val="00C67C3E"/>
    <w:rsid w:val="00C67CFB"/>
    <w:rsid w:val="00C700ED"/>
    <w:rsid w:val="00C703AB"/>
    <w:rsid w:val="00C70D61"/>
    <w:rsid w:val="00C70E91"/>
    <w:rsid w:val="00C7117C"/>
    <w:rsid w:val="00C7177F"/>
    <w:rsid w:val="00C71A1C"/>
    <w:rsid w:val="00C72952"/>
    <w:rsid w:val="00C7298E"/>
    <w:rsid w:val="00C72B0A"/>
    <w:rsid w:val="00C73131"/>
    <w:rsid w:val="00C734A8"/>
    <w:rsid w:val="00C73C74"/>
    <w:rsid w:val="00C73D5E"/>
    <w:rsid w:val="00C73DC2"/>
    <w:rsid w:val="00C73E4E"/>
    <w:rsid w:val="00C742AE"/>
    <w:rsid w:val="00C74E8C"/>
    <w:rsid w:val="00C7574A"/>
    <w:rsid w:val="00C7578A"/>
    <w:rsid w:val="00C75828"/>
    <w:rsid w:val="00C75A36"/>
    <w:rsid w:val="00C75E8F"/>
    <w:rsid w:val="00C75F02"/>
    <w:rsid w:val="00C7653A"/>
    <w:rsid w:val="00C771C3"/>
    <w:rsid w:val="00C77347"/>
    <w:rsid w:val="00C77566"/>
    <w:rsid w:val="00C775A0"/>
    <w:rsid w:val="00C77CF1"/>
    <w:rsid w:val="00C77EAF"/>
    <w:rsid w:val="00C80522"/>
    <w:rsid w:val="00C80A61"/>
    <w:rsid w:val="00C8123C"/>
    <w:rsid w:val="00C812C2"/>
    <w:rsid w:val="00C81435"/>
    <w:rsid w:val="00C816BE"/>
    <w:rsid w:val="00C81838"/>
    <w:rsid w:val="00C81C94"/>
    <w:rsid w:val="00C8218F"/>
    <w:rsid w:val="00C82271"/>
    <w:rsid w:val="00C825F3"/>
    <w:rsid w:val="00C82631"/>
    <w:rsid w:val="00C82684"/>
    <w:rsid w:val="00C82D06"/>
    <w:rsid w:val="00C830D0"/>
    <w:rsid w:val="00C8342C"/>
    <w:rsid w:val="00C83761"/>
    <w:rsid w:val="00C84479"/>
    <w:rsid w:val="00C847FA"/>
    <w:rsid w:val="00C84C7E"/>
    <w:rsid w:val="00C84D07"/>
    <w:rsid w:val="00C8624D"/>
    <w:rsid w:val="00C86278"/>
    <w:rsid w:val="00C86AAD"/>
    <w:rsid w:val="00C86F77"/>
    <w:rsid w:val="00C8710A"/>
    <w:rsid w:val="00C871CD"/>
    <w:rsid w:val="00C87503"/>
    <w:rsid w:val="00C90425"/>
    <w:rsid w:val="00C913C5"/>
    <w:rsid w:val="00C91AF9"/>
    <w:rsid w:val="00C91E31"/>
    <w:rsid w:val="00C921DA"/>
    <w:rsid w:val="00C9225C"/>
    <w:rsid w:val="00C93B83"/>
    <w:rsid w:val="00C94C6F"/>
    <w:rsid w:val="00C95F59"/>
    <w:rsid w:val="00C95FE0"/>
    <w:rsid w:val="00C966D3"/>
    <w:rsid w:val="00C96AD5"/>
    <w:rsid w:val="00C96F2A"/>
    <w:rsid w:val="00C9764C"/>
    <w:rsid w:val="00CA1EEE"/>
    <w:rsid w:val="00CA321F"/>
    <w:rsid w:val="00CA3425"/>
    <w:rsid w:val="00CA4626"/>
    <w:rsid w:val="00CA49FC"/>
    <w:rsid w:val="00CA4E1D"/>
    <w:rsid w:val="00CA5A31"/>
    <w:rsid w:val="00CA6270"/>
    <w:rsid w:val="00CA6AFE"/>
    <w:rsid w:val="00CA71AC"/>
    <w:rsid w:val="00CA7309"/>
    <w:rsid w:val="00CB07E5"/>
    <w:rsid w:val="00CB08CB"/>
    <w:rsid w:val="00CB0AA5"/>
    <w:rsid w:val="00CB156D"/>
    <w:rsid w:val="00CB1773"/>
    <w:rsid w:val="00CB17C2"/>
    <w:rsid w:val="00CB1BF9"/>
    <w:rsid w:val="00CB213C"/>
    <w:rsid w:val="00CB27CF"/>
    <w:rsid w:val="00CB2E79"/>
    <w:rsid w:val="00CB2E8E"/>
    <w:rsid w:val="00CB33E9"/>
    <w:rsid w:val="00CB35F5"/>
    <w:rsid w:val="00CB42B2"/>
    <w:rsid w:val="00CB43E3"/>
    <w:rsid w:val="00CB489A"/>
    <w:rsid w:val="00CB4E53"/>
    <w:rsid w:val="00CB5042"/>
    <w:rsid w:val="00CB5375"/>
    <w:rsid w:val="00CB553F"/>
    <w:rsid w:val="00CB6728"/>
    <w:rsid w:val="00CB7551"/>
    <w:rsid w:val="00CB7761"/>
    <w:rsid w:val="00CC0124"/>
    <w:rsid w:val="00CC0B18"/>
    <w:rsid w:val="00CC1FD4"/>
    <w:rsid w:val="00CC22A3"/>
    <w:rsid w:val="00CC2E40"/>
    <w:rsid w:val="00CC2ED6"/>
    <w:rsid w:val="00CC2F00"/>
    <w:rsid w:val="00CC329B"/>
    <w:rsid w:val="00CC36CE"/>
    <w:rsid w:val="00CC44D9"/>
    <w:rsid w:val="00CC4AF1"/>
    <w:rsid w:val="00CC4EC8"/>
    <w:rsid w:val="00CC5343"/>
    <w:rsid w:val="00CC554B"/>
    <w:rsid w:val="00CC5DD3"/>
    <w:rsid w:val="00CC6213"/>
    <w:rsid w:val="00CC6340"/>
    <w:rsid w:val="00CC685B"/>
    <w:rsid w:val="00CC6A56"/>
    <w:rsid w:val="00CC6E1C"/>
    <w:rsid w:val="00CC6F9F"/>
    <w:rsid w:val="00CC76C1"/>
    <w:rsid w:val="00CD012E"/>
    <w:rsid w:val="00CD086B"/>
    <w:rsid w:val="00CD08FF"/>
    <w:rsid w:val="00CD0B31"/>
    <w:rsid w:val="00CD0BB9"/>
    <w:rsid w:val="00CD1B37"/>
    <w:rsid w:val="00CD1B58"/>
    <w:rsid w:val="00CD1F49"/>
    <w:rsid w:val="00CD25AA"/>
    <w:rsid w:val="00CD263D"/>
    <w:rsid w:val="00CD2684"/>
    <w:rsid w:val="00CD3298"/>
    <w:rsid w:val="00CD3495"/>
    <w:rsid w:val="00CD3769"/>
    <w:rsid w:val="00CD40DE"/>
    <w:rsid w:val="00CD57AA"/>
    <w:rsid w:val="00CD57FD"/>
    <w:rsid w:val="00CD5CCF"/>
    <w:rsid w:val="00CD5E47"/>
    <w:rsid w:val="00CD6341"/>
    <w:rsid w:val="00CD6A20"/>
    <w:rsid w:val="00CD6B5E"/>
    <w:rsid w:val="00CD6BCA"/>
    <w:rsid w:val="00CD6E5C"/>
    <w:rsid w:val="00CD77E6"/>
    <w:rsid w:val="00CE08EE"/>
    <w:rsid w:val="00CE0AE9"/>
    <w:rsid w:val="00CE0C47"/>
    <w:rsid w:val="00CE0F96"/>
    <w:rsid w:val="00CE166E"/>
    <w:rsid w:val="00CE17CE"/>
    <w:rsid w:val="00CE17F4"/>
    <w:rsid w:val="00CE2431"/>
    <w:rsid w:val="00CE2BBC"/>
    <w:rsid w:val="00CE39A4"/>
    <w:rsid w:val="00CE4105"/>
    <w:rsid w:val="00CE495A"/>
    <w:rsid w:val="00CE496E"/>
    <w:rsid w:val="00CE4E47"/>
    <w:rsid w:val="00CE4FFF"/>
    <w:rsid w:val="00CE557A"/>
    <w:rsid w:val="00CE5590"/>
    <w:rsid w:val="00CE622A"/>
    <w:rsid w:val="00CE6342"/>
    <w:rsid w:val="00CE6677"/>
    <w:rsid w:val="00CE67C4"/>
    <w:rsid w:val="00CE6D3B"/>
    <w:rsid w:val="00CE6D84"/>
    <w:rsid w:val="00CE7299"/>
    <w:rsid w:val="00CE7770"/>
    <w:rsid w:val="00CE7791"/>
    <w:rsid w:val="00CE78B1"/>
    <w:rsid w:val="00CE7F44"/>
    <w:rsid w:val="00CF069E"/>
    <w:rsid w:val="00CF0ED8"/>
    <w:rsid w:val="00CF1E58"/>
    <w:rsid w:val="00CF3088"/>
    <w:rsid w:val="00CF33D8"/>
    <w:rsid w:val="00CF44B1"/>
    <w:rsid w:val="00CF4DDA"/>
    <w:rsid w:val="00CF4E9E"/>
    <w:rsid w:val="00CF4F06"/>
    <w:rsid w:val="00CF4F43"/>
    <w:rsid w:val="00CF5264"/>
    <w:rsid w:val="00CF56A7"/>
    <w:rsid w:val="00CF56B0"/>
    <w:rsid w:val="00CF5A9E"/>
    <w:rsid w:val="00CF5AB6"/>
    <w:rsid w:val="00CF5F9D"/>
    <w:rsid w:val="00CF664A"/>
    <w:rsid w:val="00CF66B9"/>
    <w:rsid w:val="00CF738A"/>
    <w:rsid w:val="00CF7A59"/>
    <w:rsid w:val="00D009DF"/>
    <w:rsid w:val="00D00CD0"/>
    <w:rsid w:val="00D00FC1"/>
    <w:rsid w:val="00D010BF"/>
    <w:rsid w:val="00D01784"/>
    <w:rsid w:val="00D01D22"/>
    <w:rsid w:val="00D01DB2"/>
    <w:rsid w:val="00D02338"/>
    <w:rsid w:val="00D02357"/>
    <w:rsid w:val="00D02536"/>
    <w:rsid w:val="00D02F4F"/>
    <w:rsid w:val="00D0341F"/>
    <w:rsid w:val="00D03482"/>
    <w:rsid w:val="00D03AE0"/>
    <w:rsid w:val="00D03C5F"/>
    <w:rsid w:val="00D03F9B"/>
    <w:rsid w:val="00D04C81"/>
    <w:rsid w:val="00D052B9"/>
    <w:rsid w:val="00D057E4"/>
    <w:rsid w:val="00D05AC9"/>
    <w:rsid w:val="00D06A91"/>
    <w:rsid w:val="00D07184"/>
    <w:rsid w:val="00D07969"/>
    <w:rsid w:val="00D07D2B"/>
    <w:rsid w:val="00D10113"/>
    <w:rsid w:val="00D102AA"/>
    <w:rsid w:val="00D1033D"/>
    <w:rsid w:val="00D1096F"/>
    <w:rsid w:val="00D10C50"/>
    <w:rsid w:val="00D10DC9"/>
    <w:rsid w:val="00D11771"/>
    <w:rsid w:val="00D11797"/>
    <w:rsid w:val="00D11928"/>
    <w:rsid w:val="00D11FA4"/>
    <w:rsid w:val="00D1251C"/>
    <w:rsid w:val="00D1277F"/>
    <w:rsid w:val="00D12DFE"/>
    <w:rsid w:val="00D13484"/>
    <w:rsid w:val="00D1384F"/>
    <w:rsid w:val="00D13C0B"/>
    <w:rsid w:val="00D13C96"/>
    <w:rsid w:val="00D14379"/>
    <w:rsid w:val="00D1484F"/>
    <w:rsid w:val="00D14A73"/>
    <w:rsid w:val="00D14ADA"/>
    <w:rsid w:val="00D14D98"/>
    <w:rsid w:val="00D154A1"/>
    <w:rsid w:val="00D158A8"/>
    <w:rsid w:val="00D1620F"/>
    <w:rsid w:val="00D16335"/>
    <w:rsid w:val="00D165E7"/>
    <w:rsid w:val="00D172C5"/>
    <w:rsid w:val="00D17509"/>
    <w:rsid w:val="00D17B11"/>
    <w:rsid w:val="00D20389"/>
    <w:rsid w:val="00D20E94"/>
    <w:rsid w:val="00D20EA3"/>
    <w:rsid w:val="00D21518"/>
    <w:rsid w:val="00D21B6C"/>
    <w:rsid w:val="00D21E1C"/>
    <w:rsid w:val="00D2257E"/>
    <w:rsid w:val="00D22E59"/>
    <w:rsid w:val="00D23075"/>
    <w:rsid w:val="00D238E1"/>
    <w:rsid w:val="00D23DB9"/>
    <w:rsid w:val="00D240FD"/>
    <w:rsid w:val="00D2442A"/>
    <w:rsid w:val="00D24CF6"/>
    <w:rsid w:val="00D253F3"/>
    <w:rsid w:val="00D25F57"/>
    <w:rsid w:val="00D25F89"/>
    <w:rsid w:val="00D26192"/>
    <w:rsid w:val="00D26363"/>
    <w:rsid w:val="00D26B29"/>
    <w:rsid w:val="00D276BF"/>
    <w:rsid w:val="00D27746"/>
    <w:rsid w:val="00D279FF"/>
    <w:rsid w:val="00D27A4F"/>
    <w:rsid w:val="00D30E83"/>
    <w:rsid w:val="00D31C23"/>
    <w:rsid w:val="00D32250"/>
    <w:rsid w:val="00D32355"/>
    <w:rsid w:val="00D323BF"/>
    <w:rsid w:val="00D327DD"/>
    <w:rsid w:val="00D3367F"/>
    <w:rsid w:val="00D33C7E"/>
    <w:rsid w:val="00D33D69"/>
    <w:rsid w:val="00D33E00"/>
    <w:rsid w:val="00D33E79"/>
    <w:rsid w:val="00D342D3"/>
    <w:rsid w:val="00D34744"/>
    <w:rsid w:val="00D35B43"/>
    <w:rsid w:val="00D3611D"/>
    <w:rsid w:val="00D3653C"/>
    <w:rsid w:val="00D36936"/>
    <w:rsid w:val="00D36A59"/>
    <w:rsid w:val="00D36D77"/>
    <w:rsid w:val="00D37033"/>
    <w:rsid w:val="00D371D6"/>
    <w:rsid w:val="00D378DC"/>
    <w:rsid w:val="00D3798E"/>
    <w:rsid w:val="00D37CE7"/>
    <w:rsid w:val="00D41649"/>
    <w:rsid w:val="00D41AB1"/>
    <w:rsid w:val="00D41E76"/>
    <w:rsid w:val="00D42670"/>
    <w:rsid w:val="00D42879"/>
    <w:rsid w:val="00D429E3"/>
    <w:rsid w:val="00D4303B"/>
    <w:rsid w:val="00D432EC"/>
    <w:rsid w:val="00D435CB"/>
    <w:rsid w:val="00D44783"/>
    <w:rsid w:val="00D45067"/>
    <w:rsid w:val="00D45955"/>
    <w:rsid w:val="00D45F3F"/>
    <w:rsid w:val="00D46021"/>
    <w:rsid w:val="00D46361"/>
    <w:rsid w:val="00D466C9"/>
    <w:rsid w:val="00D46917"/>
    <w:rsid w:val="00D4698F"/>
    <w:rsid w:val="00D46BD5"/>
    <w:rsid w:val="00D471DD"/>
    <w:rsid w:val="00D472FE"/>
    <w:rsid w:val="00D47432"/>
    <w:rsid w:val="00D50676"/>
    <w:rsid w:val="00D509F6"/>
    <w:rsid w:val="00D5141D"/>
    <w:rsid w:val="00D515CD"/>
    <w:rsid w:val="00D51757"/>
    <w:rsid w:val="00D51D2D"/>
    <w:rsid w:val="00D52496"/>
    <w:rsid w:val="00D5255A"/>
    <w:rsid w:val="00D53207"/>
    <w:rsid w:val="00D5333C"/>
    <w:rsid w:val="00D533AC"/>
    <w:rsid w:val="00D536F6"/>
    <w:rsid w:val="00D5382E"/>
    <w:rsid w:val="00D53B83"/>
    <w:rsid w:val="00D54BEF"/>
    <w:rsid w:val="00D54FD3"/>
    <w:rsid w:val="00D550D7"/>
    <w:rsid w:val="00D55429"/>
    <w:rsid w:val="00D55D5A"/>
    <w:rsid w:val="00D55F5A"/>
    <w:rsid w:val="00D56B1A"/>
    <w:rsid w:val="00D56D2E"/>
    <w:rsid w:val="00D5779E"/>
    <w:rsid w:val="00D57AB2"/>
    <w:rsid w:val="00D57F59"/>
    <w:rsid w:val="00D602F7"/>
    <w:rsid w:val="00D606B3"/>
    <w:rsid w:val="00D607A8"/>
    <w:rsid w:val="00D60F04"/>
    <w:rsid w:val="00D61300"/>
    <w:rsid w:val="00D615B0"/>
    <w:rsid w:val="00D61E76"/>
    <w:rsid w:val="00D62022"/>
    <w:rsid w:val="00D62781"/>
    <w:rsid w:val="00D62C07"/>
    <w:rsid w:val="00D62C3B"/>
    <w:rsid w:val="00D6352E"/>
    <w:rsid w:val="00D63720"/>
    <w:rsid w:val="00D63971"/>
    <w:rsid w:val="00D63BE2"/>
    <w:rsid w:val="00D63C13"/>
    <w:rsid w:val="00D63E38"/>
    <w:rsid w:val="00D64365"/>
    <w:rsid w:val="00D64BF3"/>
    <w:rsid w:val="00D6545F"/>
    <w:rsid w:val="00D65C41"/>
    <w:rsid w:val="00D6641D"/>
    <w:rsid w:val="00D66A39"/>
    <w:rsid w:val="00D66D73"/>
    <w:rsid w:val="00D67418"/>
    <w:rsid w:val="00D67936"/>
    <w:rsid w:val="00D70208"/>
    <w:rsid w:val="00D70B84"/>
    <w:rsid w:val="00D70D99"/>
    <w:rsid w:val="00D71276"/>
    <w:rsid w:val="00D714DD"/>
    <w:rsid w:val="00D7181B"/>
    <w:rsid w:val="00D7189A"/>
    <w:rsid w:val="00D7204A"/>
    <w:rsid w:val="00D72E17"/>
    <w:rsid w:val="00D72F51"/>
    <w:rsid w:val="00D7374D"/>
    <w:rsid w:val="00D741AB"/>
    <w:rsid w:val="00D74634"/>
    <w:rsid w:val="00D747B7"/>
    <w:rsid w:val="00D7495B"/>
    <w:rsid w:val="00D74D80"/>
    <w:rsid w:val="00D75251"/>
    <w:rsid w:val="00D754AA"/>
    <w:rsid w:val="00D75990"/>
    <w:rsid w:val="00D75B4E"/>
    <w:rsid w:val="00D75F4E"/>
    <w:rsid w:val="00D76F71"/>
    <w:rsid w:val="00D7733B"/>
    <w:rsid w:val="00D777FB"/>
    <w:rsid w:val="00D77812"/>
    <w:rsid w:val="00D779C0"/>
    <w:rsid w:val="00D80081"/>
    <w:rsid w:val="00D8016E"/>
    <w:rsid w:val="00D80268"/>
    <w:rsid w:val="00D809F8"/>
    <w:rsid w:val="00D80F35"/>
    <w:rsid w:val="00D813E1"/>
    <w:rsid w:val="00D821BF"/>
    <w:rsid w:val="00D82237"/>
    <w:rsid w:val="00D824E5"/>
    <w:rsid w:val="00D826C2"/>
    <w:rsid w:val="00D82A52"/>
    <w:rsid w:val="00D832EF"/>
    <w:rsid w:val="00D833A4"/>
    <w:rsid w:val="00D84BC9"/>
    <w:rsid w:val="00D84ED1"/>
    <w:rsid w:val="00D853CD"/>
    <w:rsid w:val="00D858E5"/>
    <w:rsid w:val="00D868D3"/>
    <w:rsid w:val="00D86AD2"/>
    <w:rsid w:val="00D871EC"/>
    <w:rsid w:val="00D8787F"/>
    <w:rsid w:val="00D87966"/>
    <w:rsid w:val="00D90310"/>
    <w:rsid w:val="00D903D1"/>
    <w:rsid w:val="00D904DB"/>
    <w:rsid w:val="00D9083C"/>
    <w:rsid w:val="00D90C0B"/>
    <w:rsid w:val="00D90C14"/>
    <w:rsid w:val="00D90DAF"/>
    <w:rsid w:val="00D9145A"/>
    <w:rsid w:val="00D9181E"/>
    <w:rsid w:val="00D92F48"/>
    <w:rsid w:val="00D934FF"/>
    <w:rsid w:val="00D9384F"/>
    <w:rsid w:val="00D938DB"/>
    <w:rsid w:val="00D939BC"/>
    <w:rsid w:val="00D93FAA"/>
    <w:rsid w:val="00D94EBF"/>
    <w:rsid w:val="00D95000"/>
    <w:rsid w:val="00D950B4"/>
    <w:rsid w:val="00D95425"/>
    <w:rsid w:val="00D95AF5"/>
    <w:rsid w:val="00D95E79"/>
    <w:rsid w:val="00D964F6"/>
    <w:rsid w:val="00D967D2"/>
    <w:rsid w:val="00D96F3A"/>
    <w:rsid w:val="00D972D7"/>
    <w:rsid w:val="00D97306"/>
    <w:rsid w:val="00D975C4"/>
    <w:rsid w:val="00D979FD"/>
    <w:rsid w:val="00DA0029"/>
    <w:rsid w:val="00DA015D"/>
    <w:rsid w:val="00DA01A0"/>
    <w:rsid w:val="00DA0691"/>
    <w:rsid w:val="00DA0A0C"/>
    <w:rsid w:val="00DA0B7B"/>
    <w:rsid w:val="00DA0B99"/>
    <w:rsid w:val="00DA1027"/>
    <w:rsid w:val="00DA157C"/>
    <w:rsid w:val="00DA19C7"/>
    <w:rsid w:val="00DA1E1D"/>
    <w:rsid w:val="00DA20CD"/>
    <w:rsid w:val="00DA2A7B"/>
    <w:rsid w:val="00DA2ABD"/>
    <w:rsid w:val="00DA31F2"/>
    <w:rsid w:val="00DA32D2"/>
    <w:rsid w:val="00DA46DF"/>
    <w:rsid w:val="00DA499F"/>
    <w:rsid w:val="00DA4A47"/>
    <w:rsid w:val="00DA4F23"/>
    <w:rsid w:val="00DA65BE"/>
    <w:rsid w:val="00DA6616"/>
    <w:rsid w:val="00DA6E7B"/>
    <w:rsid w:val="00DA6E98"/>
    <w:rsid w:val="00DA6F80"/>
    <w:rsid w:val="00DA70DA"/>
    <w:rsid w:val="00DA79E8"/>
    <w:rsid w:val="00DA7C76"/>
    <w:rsid w:val="00DA7E1F"/>
    <w:rsid w:val="00DB04D3"/>
    <w:rsid w:val="00DB0658"/>
    <w:rsid w:val="00DB06FB"/>
    <w:rsid w:val="00DB0A1F"/>
    <w:rsid w:val="00DB0C7B"/>
    <w:rsid w:val="00DB15B4"/>
    <w:rsid w:val="00DB23D5"/>
    <w:rsid w:val="00DB27AA"/>
    <w:rsid w:val="00DB3321"/>
    <w:rsid w:val="00DB39F0"/>
    <w:rsid w:val="00DB3C26"/>
    <w:rsid w:val="00DB40BA"/>
    <w:rsid w:val="00DB4357"/>
    <w:rsid w:val="00DB480A"/>
    <w:rsid w:val="00DB4DAC"/>
    <w:rsid w:val="00DB51A5"/>
    <w:rsid w:val="00DB5403"/>
    <w:rsid w:val="00DB5A7B"/>
    <w:rsid w:val="00DB5C14"/>
    <w:rsid w:val="00DB5D15"/>
    <w:rsid w:val="00DB6573"/>
    <w:rsid w:val="00DB78BE"/>
    <w:rsid w:val="00DB7CC8"/>
    <w:rsid w:val="00DC09BA"/>
    <w:rsid w:val="00DC1667"/>
    <w:rsid w:val="00DC1FA2"/>
    <w:rsid w:val="00DC2DF1"/>
    <w:rsid w:val="00DC30AB"/>
    <w:rsid w:val="00DC417D"/>
    <w:rsid w:val="00DC4916"/>
    <w:rsid w:val="00DC49F6"/>
    <w:rsid w:val="00DC4C17"/>
    <w:rsid w:val="00DC4F05"/>
    <w:rsid w:val="00DC5362"/>
    <w:rsid w:val="00DC5429"/>
    <w:rsid w:val="00DC5492"/>
    <w:rsid w:val="00DC59AE"/>
    <w:rsid w:val="00DC5A4A"/>
    <w:rsid w:val="00DC6465"/>
    <w:rsid w:val="00DC6A24"/>
    <w:rsid w:val="00DC6D6C"/>
    <w:rsid w:val="00DC71F5"/>
    <w:rsid w:val="00DC7774"/>
    <w:rsid w:val="00DC77D3"/>
    <w:rsid w:val="00DC7A93"/>
    <w:rsid w:val="00DC7C8A"/>
    <w:rsid w:val="00DC7CD7"/>
    <w:rsid w:val="00DD0448"/>
    <w:rsid w:val="00DD06EB"/>
    <w:rsid w:val="00DD0B40"/>
    <w:rsid w:val="00DD129B"/>
    <w:rsid w:val="00DD1992"/>
    <w:rsid w:val="00DD1AB3"/>
    <w:rsid w:val="00DD1E0F"/>
    <w:rsid w:val="00DD2A54"/>
    <w:rsid w:val="00DD2A61"/>
    <w:rsid w:val="00DD2CFE"/>
    <w:rsid w:val="00DD35C1"/>
    <w:rsid w:val="00DD45F4"/>
    <w:rsid w:val="00DD499B"/>
    <w:rsid w:val="00DD505D"/>
    <w:rsid w:val="00DD5ECB"/>
    <w:rsid w:val="00DD77AE"/>
    <w:rsid w:val="00DD7E7F"/>
    <w:rsid w:val="00DE041A"/>
    <w:rsid w:val="00DE0F65"/>
    <w:rsid w:val="00DE0F9A"/>
    <w:rsid w:val="00DE2534"/>
    <w:rsid w:val="00DE2828"/>
    <w:rsid w:val="00DE2928"/>
    <w:rsid w:val="00DE294C"/>
    <w:rsid w:val="00DE2D0B"/>
    <w:rsid w:val="00DE2F2A"/>
    <w:rsid w:val="00DE32C9"/>
    <w:rsid w:val="00DE3396"/>
    <w:rsid w:val="00DE355E"/>
    <w:rsid w:val="00DE40B5"/>
    <w:rsid w:val="00DE42E7"/>
    <w:rsid w:val="00DE45A3"/>
    <w:rsid w:val="00DE4A80"/>
    <w:rsid w:val="00DE5897"/>
    <w:rsid w:val="00DE58E7"/>
    <w:rsid w:val="00DE5C7E"/>
    <w:rsid w:val="00DE6A76"/>
    <w:rsid w:val="00DE716B"/>
    <w:rsid w:val="00DF038E"/>
    <w:rsid w:val="00DF0834"/>
    <w:rsid w:val="00DF0922"/>
    <w:rsid w:val="00DF0B6D"/>
    <w:rsid w:val="00DF16ED"/>
    <w:rsid w:val="00DF1C3B"/>
    <w:rsid w:val="00DF1D98"/>
    <w:rsid w:val="00DF240D"/>
    <w:rsid w:val="00DF2569"/>
    <w:rsid w:val="00DF3315"/>
    <w:rsid w:val="00DF3631"/>
    <w:rsid w:val="00DF3B10"/>
    <w:rsid w:val="00DF3D5E"/>
    <w:rsid w:val="00DF437D"/>
    <w:rsid w:val="00DF4BA9"/>
    <w:rsid w:val="00DF4EA8"/>
    <w:rsid w:val="00DF5BC4"/>
    <w:rsid w:val="00DF5E63"/>
    <w:rsid w:val="00DF616C"/>
    <w:rsid w:val="00DF6725"/>
    <w:rsid w:val="00DF6E5B"/>
    <w:rsid w:val="00DF71A8"/>
    <w:rsid w:val="00DF7475"/>
    <w:rsid w:val="00DF750F"/>
    <w:rsid w:val="00DF7DDA"/>
    <w:rsid w:val="00DF7FE8"/>
    <w:rsid w:val="00E0031F"/>
    <w:rsid w:val="00E00D6F"/>
    <w:rsid w:val="00E00E75"/>
    <w:rsid w:val="00E01090"/>
    <w:rsid w:val="00E01C3D"/>
    <w:rsid w:val="00E01E97"/>
    <w:rsid w:val="00E01E9B"/>
    <w:rsid w:val="00E01F38"/>
    <w:rsid w:val="00E027E6"/>
    <w:rsid w:val="00E02BD9"/>
    <w:rsid w:val="00E03AC6"/>
    <w:rsid w:val="00E03C1D"/>
    <w:rsid w:val="00E04127"/>
    <w:rsid w:val="00E04624"/>
    <w:rsid w:val="00E04B6D"/>
    <w:rsid w:val="00E05223"/>
    <w:rsid w:val="00E0526A"/>
    <w:rsid w:val="00E054F1"/>
    <w:rsid w:val="00E06B7D"/>
    <w:rsid w:val="00E06D9F"/>
    <w:rsid w:val="00E06EA9"/>
    <w:rsid w:val="00E072FE"/>
    <w:rsid w:val="00E0751F"/>
    <w:rsid w:val="00E0758C"/>
    <w:rsid w:val="00E077F8"/>
    <w:rsid w:val="00E07C7E"/>
    <w:rsid w:val="00E07EA8"/>
    <w:rsid w:val="00E104D4"/>
    <w:rsid w:val="00E1074B"/>
    <w:rsid w:val="00E107FF"/>
    <w:rsid w:val="00E10B15"/>
    <w:rsid w:val="00E10BA1"/>
    <w:rsid w:val="00E10D42"/>
    <w:rsid w:val="00E10EBB"/>
    <w:rsid w:val="00E1106C"/>
    <w:rsid w:val="00E112BC"/>
    <w:rsid w:val="00E113D9"/>
    <w:rsid w:val="00E114C3"/>
    <w:rsid w:val="00E115BB"/>
    <w:rsid w:val="00E1199A"/>
    <w:rsid w:val="00E11B59"/>
    <w:rsid w:val="00E11CEF"/>
    <w:rsid w:val="00E120BD"/>
    <w:rsid w:val="00E12177"/>
    <w:rsid w:val="00E12DF5"/>
    <w:rsid w:val="00E13A01"/>
    <w:rsid w:val="00E13D0C"/>
    <w:rsid w:val="00E1487A"/>
    <w:rsid w:val="00E14B7C"/>
    <w:rsid w:val="00E14DE8"/>
    <w:rsid w:val="00E15641"/>
    <w:rsid w:val="00E15735"/>
    <w:rsid w:val="00E159ED"/>
    <w:rsid w:val="00E16D4E"/>
    <w:rsid w:val="00E17438"/>
    <w:rsid w:val="00E17787"/>
    <w:rsid w:val="00E17F66"/>
    <w:rsid w:val="00E206A2"/>
    <w:rsid w:val="00E2091E"/>
    <w:rsid w:val="00E20CE8"/>
    <w:rsid w:val="00E2150F"/>
    <w:rsid w:val="00E2194C"/>
    <w:rsid w:val="00E21FDD"/>
    <w:rsid w:val="00E2258C"/>
    <w:rsid w:val="00E22AC6"/>
    <w:rsid w:val="00E22F2A"/>
    <w:rsid w:val="00E22F34"/>
    <w:rsid w:val="00E2315D"/>
    <w:rsid w:val="00E234EA"/>
    <w:rsid w:val="00E23886"/>
    <w:rsid w:val="00E240A9"/>
    <w:rsid w:val="00E249B6"/>
    <w:rsid w:val="00E25B7E"/>
    <w:rsid w:val="00E25CCA"/>
    <w:rsid w:val="00E26379"/>
    <w:rsid w:val="00E265DA"/>
    <w:rsid w:val="00E2684D"/>
    <w:rsid w:val="00E2755A"/>
    <w:rsid w:val="00E27569"/>
    <w:rsid w:val="00E27581"/>
    <w:rsid w:val="00E30931"/>
    <w:rsid w:val="00E30F9F"/>
    <w:rsid w:val="00E3191A"/>
    <w:rsid w:val="00E31C8D"/>
    <w:rsid w:val="00E31FAC"/>
    <w:rsid w:val="00E320E4"/>
    <w:rsid w:val="00E32266"/>
    <w:rsid w:val="00E32B1A"/>
    <w:rsid w:val="00E32C04"/>
    <w:rsid w:val="00E32F63"/>
    <w:rsid w:val="00E33040"/>
    <w:rsid w:val="00E330F4"/>
    <w:rsid w:val="00E33366"/>
    <w:rsid w:val="00E334A6"/>
    <w:rsid w:val="00E3371F"/>
    <w:rsid w:val="00E33D13"/>
    <w:rsid w:val="00E33E22"/>
    <w:rsid w:val="00E340E9"/>
    <w:rsid w:val="00E34388"/>
    <w:rsid w:val="00E352FB"/>
    <w:rsid w:val="00E3561E"/>
    <w:rsid w:val="00E35BA6"/>
    <w:rsid w:val="00E35F64"/>
    <w:rsid w:val="00E3601F"/>
    <w:rsid w:val="00E36833"/>
    <w:rsid w:val="00E36BD6"/>
    <w:rsid w:val="00E36C21"/>
    <w:rsid w:val="00E36CB2"/>
    <w:rsid w:val="00E37651"/>
    <w:rsid w:val="00E40054"/>
    <w:rsid w:val="00E4016E"/>
    <w:rsid w:val="00E403ED"/>
    <w:rsid w:val="00E413F3"/>
    <w:rsid w:val="00E41624"/>
    <w:rsid w:val="00E41A80"/>
    <w:rsid w:val="00E42605"/>
    <w:rsid w:val="00E4295B"/>
    <w:rsid w:val="00E42C84"/>
    <w:rsid w:val="00E42CAC"/>
    <w:rsid w:val="00E4386B"/>
    <w:rsid w:val="00E43DBA"/>
    <w:rsid w:val="00E44084"/>
    <w:rsid w:val="00E440F5"/>
    <w:rsid w:val="00E4473E"/>
    <w:rsid w:val="00E44E99"/>
    <w:rsid w:val="00E4527F"/>
    <w:rsid w:val="00E45A25"/>
    <w:rsid w:val="00E45BBD"/>
    <w:rsid w:val="00E45D8D"/>
    <w:rsid w:val="00E46687"/>
    <w:rsid w:val="00E46D37"/>
    <w:rsid w:val="00E47AEB"/>
    <w:rsid w:val="00E50334"/>
    <w:rsid w:val="00E50633"/>
    <w:rsid w:val="00E50A8B"/>
    <w:rsid w:val="00E50FF0"/>
    <w:rsid w:val="00E51297"/>
    <w:rsid w:val="00E5135D"/>
    <w:rsid w:val="00E5158B"/>
    <w:rsid w:val="00E518EF"/>
    <w:rsid w:val="00E52548"/>
    <w:rsid w:val="00E52ADD"/>
    <w:rsid w:val="00E52D24"/>
    <w:rsid w:val="00E5370E"/>
    <w:rsid w:val="00E53EA0"/>
    <w:rsid w:val="00E53ECB"/>
    <w:rsid w:val="00E540D1"/>
    <w:rsid w:val="00E542E4"/>
    <w:rsid w:val="00E549CC"/>
    <w:rsid w:val="00E54CC3"/>
    <w:rsid w:val="00E54DAA"/>
    <w:rsid w:val="00E54DD6"/>
    <w:rsid w:val="00E54E4A"/>
    <w:rsid w:val="00E553B5"/>
    <w:rsid w:val="00E556F7"/>
    <w:rsid w:val="00E55920"/>
    <w:rsid w:val="00E55B94"/>
    <w:rsid w:val="00E56114"/>
    <w:rsid w:val="00E5684C"/>
    <w:rsid w:val="00E56996"/>
    <w:rsid w:val="00E56C47"/>
    <w:rsid w:val="00E573DD"/>
    <w:rsid w:val="00E60854"/>
    <w:rsid w:val="00E614E7"/>
    <w:rsid w:val="00E6177F"/>
    <w:rsid w:val="00E61A51"/>
    <w:rsid w:val="00E61B02"/>
    <w:rsid w:val="00E61F2E"/>
    <w:rsid w:val="00E62787"/>
    <w:rsid w:val="00E63062"/>
    <w:rsid w:val="00E63948"/>
    <w:rsid w:val="00E63BD3"/>
    <w:rsid w:val="00E644D1"/>
    <w:rsid w:val="00E64CB1"/>
    <w:rsid w:val="00E64E30"/>
    <w:rsid w:val="00E6520A"/>
    <w:rsid w:val="00E65555"/>
    <w:rsid w:val="00E655CC"/>
    <w:rsid w:val="00E662E8"/>
    <w:rsid w:val="00E66531"/>
    <w:rsid w:val="00E66920"/>
    <w:rsid w:val="00E70176"/>
    <w:rsid w:val="00E70D09"/>
    <w:rsid w:val="00E70D5D"/>
    <w:rsid w:val="00E7139F"/>
    <w:rsid w:val="00E71551"/>
    <w:rsid w:val="00E71DA2"/>
    <w:rsid w:val="00E71E69"/>
    <w:rsid w:val="00E72091"/>
    <w:rsid w:val="00E726F5"/>
    <w:rsid w:val="00E72A59"/>
    <w:rsid w:val="00E72F95"/>
    <w:rsid w:val="00E7300F"/>
    <w:rsid w:val="00E73238"/>
    <w:rsid w:val="00E73284"/>
    <w:rsid w:val="00E737FF"/>
    <w:rsid w:val="00E739AA"/>
    <w:rsid w:val="00E73DA8"/>
    <w:rsid w:val="00E73E32"/>
    <w:rsid w:val="00E74439"/>
    <w:rsid w:val="00E7548F"/>
    <w:rsid w:val="00E75619"/>
    <w:rsid w:val="00E76004"/>
    <w:rsid w:val="00E765FB"/>
    <w:rsid w:val="00E76B5F"/>
    <w:rsid w:val="00E7737F"/>
    <w:rsid w:val="00E773FD"/>
    <w:rsid w:val="00E80292"/>
    <w:rsid w:val="00E8054D"/>
    <w:rsid w:val="00E80570"/>
    <w:rsid w:val="00E80795"/>
    <w:rsid w:val="00E809CA"/>
    <w:rsid w:val="00E809D6"/>
    <w:rsid w:val="00E80DF8"/>
    <w:rsid w:val="00E82103"/>
    <w:rsid w:val="00E82788"/>
    <w:rsid w:val="00E84200"/>
    <w:rsid w:val="00E84D5E"/>
    <w:rsid w:val="00E85397"/>
    <w:rsid w:val="00E86698"/>
    <w:rsid w:val="00E86926"/>
    <w:rsid w:val="00E86970"/>
    <w:rsid w:val="00E86EB7"/>
    <w:rsid w:val="00E87033"/>
    <w:rsid w:val="00E872FD"/>
    <w:rsid w:val="00E87630"/>
    <w:rsid w:val="00E90328"/>
    <w:rsid w:val="00E9078D"/>
    <w:rsid w:val="00E91E55"/>
    <w:rsid w:val="00E922E4"/>
    <w:rsid w:val="00E9303F"/>
    <w:rsid w:val="00E93B50"/>
    <w:rsid w:val="00E93D8B"/>
    <w:rsid w:val="00E940E2"/>
    <w:rsid w:val="00E94173"/>
    <w:rsid w:val="00E947E3"/>
    <w:rsid w:val="00E94EE1"/>
    <w:rsid w:val="00E9523B"/>
    <w:rsid w:val="00E95E02"/>
    <w:rsid w:val="00E9648B"/>
    <w:rsid w:val="00E96A63"/>
    <w:rsid w:val="00E97407"/>
    <w:rsid w:val="00E97623"/>
    <w:rsid w:val="00E97D2F"/>
    <w:rsid w:val="00EA002C"/>
    <w:rsid w:val="00EA1419"/>
    <w:rsid w:val="00EA1771"/>
    <w:rsid w:val="00EA24C5"/>
    <w:rsid w:val="00EA298F"/>
    <w:rsid w:val="00EA2A8F"/>
    <w:rsid w:val="00EA3405"/>
    <w:rsid w:val="00EA341C"/>
    <w:rsid w:val="00EA34B8"/>
    <w:rsid w:val="00EA36B3"/>
    <w:rsid w:val="00EA548C"/>
    <w:rsid w:val="00EA5EA9"/>
    <w:rsid w:val="00EA6771"/>
    <w:rsid w:val="00EA6F12"/>
    <w:rsid w:val="00EA759A"/>
    <w:rsid w:val="00EA7832"/>
    <w:rsid w:val="00EA7E47"/>
    <w:rsid w:val="00EB01FC"/>
    <w:rsid w:val="00EB0E9F"/>
    <w:rsid w:val="00EB1AF8"/>
    <w:rsid w:val="00EB2A6D"/>
    <w:rsid w:val="00EB2EF9"/>
    <w:rsid w:val="00EB30B1"/>
    <w:rsid w:val="00EB4077"/>
    <w:rsid w:val="00EB44BC"/>
    <w:rsid w:val="00EB4A12"/>
    <w:rsid w:val="00EB4AA2"/>
    <w:rsid w:val="00EB5CBA"/>
    <w:rsid w:val="00EB5F3E"/>
    <w:rsid w:val="00EB695F"/>
    <w:rsid w:val="00EC005F"/>
    <w:rsid w:val="00EC032E"/>
    <w:rsid w:val="00EC06DB"/>
    <w:rsid w:val="00EC1480"/>
    <w:rsid w:val="00EC14F1"/>
    <w:rsid w:val="00EC1582"/>
    <w:rsid w:val="00EC17FC"/>
    <w:rsid w:val="00EC182B"/>
    <w:rsid w:val="00EC1999"/>
    <w:rsid w:val="00EC1F16"/>
    <w:rsid w:val="00EC2A4C"/>
    <w:rsid w:val="00EC2A6F"/>
    <w:rsid w:val="00EC2F95"/>
    <w:rsid w:val="00EC3281"/>
    <w:rsid w:val="00EC3627"/>
    <w:rsid w:val="00EC38A8"/>
    <w:rsid w:val="00EC3B20"/>
    <w:rsid w:val="00EC47C7"/>
    <w:rsid w:val="00EC4B6C"/>
    <w:rsid w:val="00EC6B2D"/>
    <w:rsid w:val="00EC7279"/>
    <w:rsid w:val="00EC7985"/>
    <w:rsid w:val="00ED03F2"/>
    <w:rsid w:val="00ED05D4"/>
    <w:rsid w:val="00ED063A"/>
    <w:rsid w:val="00ED0855"/>
    <w:rsid w:val="00ED0B6B"/>
    <w:rsid w:val="00ED0C6C"/>
    <w:rsid w:val="00ED0D6A"/>
    <w:rsid w:val="00ED0EBF"/>
    <w:rsid w:val="00ED11EF"/>
    <w:rsid w:val="00ED2FFD"/>
    <w:rsid w:val="00ED3F2A"/>
    <w:rsid w:val="00ED47B0"/>
    <w:rsid w:val="00ED4919"/>
    <w:rsid w:val="00ED49E0"/>
    <w:rsid w:val="00ED5ECA"/>
    <w:rsid w:val="00ED7249"/>
    <w:rsid w:val="00ED7265"/>
    <w:rsid w:val="00ED77A6"/>
    <w:rsid w:val="00ED7E06"/>
    <w:rsid w:val="00EE0791"/>
    <w:rsid w:val="00EE0AC8"/>
    <w:rsid w:val="00EE0BB2"/>
    <w:rsid w:val="00EE1530"/>
    <w:rsid w:val="00EE1A07"/>
    <w:rsid w:val="00EE1AD6"/>
    <w:rsid w:val="00EE1F79"/>
    <w:rsid w:val="00EE2619"/>
    <w:rsid w:val="00EE2719"/>
    <w:rsid w:val="00EE3A39"/>
    <w:rsid w:val="00EE4346"/>
    <w:rsid w:val="00EE465C"/>
    <w:rsid w:val="00EE4AE2"/>
    <w:rsid w:val="00EE5000"/>
    <w:rsid w:val="00EE535F"/>
    <w:rsid w:val="00EE5958"/>
    <w:rsid w:val="00EE5CFE"/>
    <w:rsid w:val="00EE60DB"/>
    <w:rsid w:val="00EE65B6"/>
    <w:rsid w:val="00EE692A"/>
    <w:rsid w:val="00EE6B4D"/>
    <w:rsid w:val="00EE6FB0"/>
    <w:rsid w:val="00EE7AA0"/>
    <w:rsid w:val="00EF02BB"/>
    <w:rsid w:val="00EF040D"/>
    <w:rsid w:val="00EF08A2"/>
    <w:rsid w:val="00EF08E6"/>
    <w:rsid w:val="00EF0C0C"/>
    <w:rsid w:val="00EF1B9B"/>
    <w:rsid w:val="00EF1F50"/>
    <w:rsid w:val="00EF26C3"/>
    <w:rsid w:val="00EF2AB2"/>
    <w:rsid w:val="00EF2E57"/>
    <w:rsid w:val="00EF3198"/>
    <w:rsid w:val="00EF35C8"/>
    <w:rsid w:val="00EF622A"/>
    <w:rsid w:val="00EF63A3"/>
    <w:rsid w:val="00EF652C"/>
    <w:rsid w:val="00EF6B73"/>
    <w:rsid w:val="00EF6C12"/>
    <w:rsid w:val="00EF7045"/>
    <w:rsid w:val="00EF7789"/>
    <w:rsid w:val="00EF7C51"/>
    <w:rsid w:val="00F0013F"/>
    <w:rsid w:val="00F00651"/>
    <w:rsid w:val="00F01171"/>
    <w:rsid w:val="00F01900"/>
    <w:rsid w:val="00F02F4F"/>
    <w:rsid w:val="00F030E4"/>
    <w:rsid w:val="00F0323D"/>
    <w:rsid w:val="00F033EF"/>
    <w:rsid w:val="00F03E82"/>
    <w:rsid w:val="00F03F08"/>
    <w:rsid w:val="00F0567C"/>
    <w:rsid w:val="00F06752"/>
    <w:rsid w:val="00F06B59"/>
    <w:rsid w:val="00F06DDC"/>
    <w:rsid w:val="00F07313"/>
    <w:rsid w:val="00F07377"/>
    <w:rsid w:val="00F07720"/>
    <w:rsid w:val="00F07B3F"/>
    <w:rsid w:val="00F07C5B"/>
    <w:rsid w:val="00F1038A"/>
    <w:rsid w:val="00F1066A"/>
    <w:rsid w:val="00F10D61"/>
    <w:rsid w:val="00F1173F"/>
    <w:rsid w:val="00F12029"/>
    <w:rsid w:val="00F123EA"/>
    <w:rsid w:val="00F129EE"/>
    <w:rsid w:val="00F12A5C"/>
    <w:rsid w:val="00F12C63"/>
    <w:rsid w:val="00F132F9"/>
    <w:rsid w:val="00F13DB6"/>
    <w:rsid w:val="00F13E52"/>
    <w:rsid w:val="00F148B7"/>
    <w:rsid w:val="00F1530D"/>
    <w:rsid w:val="00F153C7"/>
    <w:rsid w:val="00F15BB1"/>
    <w:rsid w:val="00F15EE6"/>
    <w:rsid w:val="00F161BA"/>
    <w:rsid w:val="00F163E5"/>
    <w:rsid w:val="00F165C6"/>
    <w:rsid w:val="00F16BC1"/>
    <w:rsid w:val="00F170A8"/>
    <w:rsid w:val="00F1756F"/>
    <w:rsid w:val="00F17E99"/>
    <w:rsid w:val="00F200D1"/>
    <w:rsid w:val="00F2020D"/>
    <w:rsid w:val="00F20407"/>
    <w:rsid w:val="00F205D4"/>
    <w:rsid w:val="00F20F73"/>
    <w:rsid w:val="00F213C4"/>
    <w:rsid w:val="00F21664"/>
    <w:rsid w:val="00F223E9"/>
    <w:rsid w:val="00F228A6"/>
    <w:rsid w:val="00F2297E"/>
    <w:rsid w:val="00F23456"/>
    <w:rsid w:val="00F23789"/>
    <w:rsid w:val="00F239BB"/>
    <w:rsid w:val="00F23CAC"/>
    <w:rsid w:val="00F23FBF"/>
    <w:rsid w:val="00F24364"/>
    <w:rsid w:val="00F24423"/>
    <w:rsid w:val="00F244C5"/>
    <w:rsid w:val="00F24774"/>
    <w:rsid w:val="00F2478B"/>
    <w:rsid w:val="00F24BDD"/>
    <w:rsid w:val="00F2534A"/>
    <w:rsid w:val="00F255FF"/>
    <w:rsid w:val="00F25A93"/>
    <w:rsid w:val="00F2656F"/>
    <w:rsid w:val="00F26F37"/>
    <w:rsid w:val="00F2702C"/>
    <w:rsid w:val="00F27408"/>
    <w:rsid w:val="00F274C2"/>
    <w:rsid w:val="00F27A1C"/>
    <w:rsid w:val="00F27EAC"/>
    <w:rsid w:val="00F30896"/>
    <w:rsid w:val="00F30D8B"/>
    <w:rsid w:val="00F3186B"/>
    <w:rsid w:val="00F31886"/>
    <w:rsid w:val="00F3220C"/>
    <w:rsid w:val="00F32754"/>
    <w:rsid w:val="00F330E6"/>
    <w:rsid w:val="00F33D0A"/>
    <w:rsid w:val="00F33D58"/>
    <w:rsid w:val="00F34397"/>
    <w:rsid w:val="00F34782"/>
    <w:rsid w:val="00F355FE"/>
    <w:rsid w:val="00F36103"/>
    <w:rsid w:val="00F3724F"/>
    <w:rsid w:val="00F3736B"/>
    <w:rsid w:val="00F37898"/>
    <w:rsid w:val="00F37D7C"/>
    <w:rsid w:val="00F41D45"/>
    <w:rsid w:val="00F41FA8"/>
    <w:rsid w:val="00F42091"/>
    <w:rsid w:val="00F4242D"/>
    <w:rsid w:val="00F4254C"/>
    <w:rsid w:val="00F42609"/>
    <w:rsid w:val="00F427AC"/>
    <w:rsid w:val="00F43013"/>
    <w:rsid w:val="00F43373"/>
    <w:rsid w:val="00F43D23"/>
    <w:rsid w:val="00F43D90"/>
    <w:rsid w:val="00F44019"/>
    <w:rsid w:val="00F4401D"/>
    <w:rsid w:val="00F44BCC"/>
    <w:rsid w:val="00F44E1D"/>
    <w:rsid w:val="00F452B7"/>
    <w:rsid w:val="00F45B51"/>
    <w:rsid w:val="00F45C54"/>
    <w:rsid w:val="00F46584"/>
    <w:rsid w:val="00F46FF2"/>
    <w:rsid w:val="00F4710F"/>
    <w:rsid w:val="00F47412"/>
    <w:rsid w:val="00F47870"/>
    <w:rsid w:val="00F47A2B"/>
    <w:rsid w:val="00F500FA"/>
    <w:rsid w:val="00F50AFF"/>
    <w:rsid w:val="00F50B20"/>
    <w:rsid w:val="00F5192B"/>
    <w:rsid w:val="00F51A6F"/>
    <w:rsid w:val="00F51CBB"/>
    <w:rsid w:val="00F53357"/>
    <w:rsid w:val="00F53D9E"/>
    <w:rsid w:val="00F543A4"/>
    <w:rsid w:val="00F543FE"/>
    <w:rsid w:val="00F54A7F"/>
    <w:rsid w:val="00F55604"/>
    <w:rsid w:val="00F55969"/>
    <w:rsid w:val="00F55994"/>
    <w:rsid w:val="00F55F9C"/>
    <w:rsid w:val="00F571C8"/>
    <w:rsid w:val="00F5731B"/>
    <w:rsid w:val="00F613CB"/>
    <w:rsid w:val="00F613E9"/>
    <w:rsid w:val="00F6163B"/>
    <w:rsid w:val="00F61FBA"/>
    <w:rsid w:val="00F62CDB"/>
    <w:rsid w:val="00F632DF"/>
    <w:rsid w:val="00F636D5"/>
    <w:rsid w:val="00F63A7F"/>
    <w:rsid w:val="00F63F75"/>
    <w:rsid w:val="00F64924"/>
    <w:rsid w:val="00F64E3D"/>
    <w:rsid w:val="00F6564A"/>
    <w:rsid w:val="00F658A5"/>
    <w:rsid w:val="00F658E0"/>
    <w:rsid w:val="00F65920"/>
    <w:rsid w:val="00F65A88"/>
    <w:rsid w:val="00F65D50"/>
    <w:rsid w:val="00F65F37"/>
    <w:rsid w:val="00F669D8"/>
    <w:rsid w:val="00F679AD"/>
    <w:rsid w:val="00F71F0E"/>
    <w:rsid w:val="00F72B36"/>
    <w:rsid w:val="00F72D5D"/>
    <w:rsid w:val="00F733EA"/>
    <w:rsid w:val="00F746D6"/>
    <w:rsid w:val="00F7580D"/>
    <w:rsid w:val="00F75C6B"/>
    <w:rsid w:val="00F769DC"/>
    <w:rsid w:val="00F76A20"/>
    <w:rsid w:val="00F77464"/>
    <w:rsid w:val="00F777FD"/>
    <w:rsid w:val="00F77E9A"/>
    <w:rsid w:val="00F77FC4"/>
    <w:rsid w:val="00F80930"/>
    <w:rsid w:val="00F80C4E"/>
    <w:rsid w:val="00F80CEE"/>
    <w:rsid w:val="00F8122E"/>
    <w:rsid w:val="00F81668"/>
    <w:rsid w:val="00F81D48"/>
    <w:rsid w:val="00F82A52"/>
    <w:rsid w:val="00F82BCA"/>
    <w:rsid w:val="00F83316"/>
    <w:rsid w:val="00F83AEB"/>
    <w:rsid w:val="00F84EE5"/>
    <w:rsid w:val="00F85235"/>
    <w:rsid w:val="00F855A1"/>
    <w:rsid w:val="00F856F0"/>
    <w:rsid w:val="00F85B8C"/>
    <w:rsid w:val="00F8657D"/>
    <w:rsid w:val="00F86981"/>
    <w:rsid w:val="00F8718E"/>
    <w:rsid w:val="00F878EA"/>
    <w:rsid w:val="00F87CAE"/>
    <w:rsid w:val="00F905F4"/>
    <w:rsid w:val="00F90927"/>
    <w:rsid w:val="00F90AF5"/>
    <w:rsid w:val="00F91BB7"/>
    <w:rsid w:val="00F91C26"/>
    <w:rsid w:val="00F925E3"/>
    <w:rsid w:val="00F92A39"/>
    <w:rsid w:val="00F92F3A"/>
    <w:rsid w:val="00F92FED"/>
    <w:rsid w:val="00F93164"/>
    <w:rsid w:val="00F9380E"/>
    <w:rsid w:val="00F93906"/>
    <w:rsid w:val="00F93AF0"/>
    <w:rsid w:val="00F93D17"/>
    <w:rsid w:val="00F94179"/>
    <w:rsid w:val="00F94998"/>
    <w:rsid w:val="00F960D3"/>
    <w:rsid w:val="00F96A3E"/>
    <w:rsid w:val="00F96D2B"/>
    <w:rsid w:val="00F96FEB"/>
    <w:rsid w:val="00F97E6E"/>
    <w:rsid w:val="00FA0B6A"/>
    <w:rsid w:val="00FA0BDB"/>
    <w:rsid w:val="00FA1642"/>
    <w:rsid w:val="00FA20EE"/>
    <w:rsid w:val="00FA24EC"/>
    <w:rsid w:val="00FA297B"/>
    <w:rsid w:val="00FA3156"/>
    <w:rsid w:val="00FA340E"/>
    <w:rsid w:val="00FA34C7"/>
    <w:rsid w:val="00FA39E7"/>
    <w:rsid w:val="00FA3E7D"/>
    <w:rsid w:val="00FA4337"/>
    <w:rsid w:val="00FA491B"/>
    <w:rsid w:val="00FA4BD2"/>
    <w:rsid w:val="00FA4CE5"/>
    <w:rsid w:val="00FA5137"/>
    <w:rsid w:val="00FA59A9"/>
    <w:rsid w:val="00FA5DCA"/>
    <w:rsid w:val="00FA602D"/>
    <w:rsid w:val="00FA66C7"/>
    <w:rsid w:val="00FA7D7F"/>
    <w:rsid w:val="00FA7FBE"/>
    <w:rsid w:val="00FB0A7F"/>
    <w:rsid w:val="00FB1F42"/>
    <w:rsid w:val="00FB20B6"/>
    <w:rsid w:val="00FB229D"/>
    <w:rsid w:val="00FB252B"/>
    <w:rsid w:val="00FB3846"/>
    <w:rsid w:val="00FB3EDB"/>
    <w:rsid w:val="00FB424F"/>
    <w:rsid w:val="00FB461A"/>
    <w:rsid w:val="00FB5C96"/>
    <w:rsid w:val="00FB667E"/>
    <w:rsid w:val="00FB7411"/>
    <w:rsid w:val="00FB794A"/>
    <w:rsid w:val="00FC01DC"/>
    <w:rsid w:val="00FC07D4"/>
    <w:rsid w:val="00FC0BAD"/>
    <w:rsid w:val="00FC113A"/>
    <w:rsid w:val="00FC129D"/>
    <w:rsid w:val="00FC1393"/>
    <w:rsid w:val="00FC14CA"/>
    <w:rsid w:val="00FC1C68"/>
    <w:rsid w:val="00FC1C7E"/>
    <w:rsid w:val="00FC243E"/>
    <w:rsid w:val="00FC2AD3"/>
    <w:rsid w:val="00FC2B47"/>
    <w:rsid w:val="00FC32B0"/>
    <w:rsid w:val="00FC3619"/>
    <w:rsid w:val="00FC4302"/>
    <w:rsid w:val="00FC4520"/>
    <w:rsid w:val="00FC5384"/>
    <w:rsid w:val="00FC5E74"/>
    <w:rsid w:val="00FC607B"/>
    <w:rsid w:val="00FC6A6F"/>
    <w:rsid w:val="00FC75FC"/>
    <w:rsid w:val="00FC767B"/>
    <w:rsid w:val="00FD04BC"/>
    <w:rsid w:val="00FD06A0"/>
    <w:rsid w:val="00FD06C2"/>
    <w:rsid w:val="00FD09D2"/>
    <w:rsid w:val="00FD10B1"/>
    <w:rsid w:val="00FD13AF"/>
    <w:rsid w:val="00FD146A"/>
    <w:rsid w:val="00FD1D11"/>
    <w:rsid w:val="00FD2A94"/>
    <w:rsid w:val="00FD2AA2"/>
    <w:rsid w:val="00FD3C84"/>
    <w:rsid w:val="00FD3CA7"/>
    <w:rsid w:val="00FD3FBE"/>
    <w:rsid w:val="00FD3FE0"/>
    <w:rsid w:val="00FD4371"/>
    <w:rsid w:val="00FD440B"/>
    <w:rsid w:val="00FD49DB"/>
    <w:rsid w:val="00FD4EE3"/>
    <w:rsid w:val="00FD5265"/>
    <w:rsid w:val="00FD5339"/>
    <w:rsid w:val="00FD5664"/>
    <w:rsid w:val="00FD57CB"/>
    <w:rsid w:val="00FD590B"/>
    <w:rsid w:val="00FD5D7F"/>
    <w:rsid w:val="00FD5F66"/>
    <w:rsid w:val="00FD6536"/>
    <w:rsid w:val="00FD7291"/>
    <w:rsid w:val="00FE03A9"/>
    <w:rsid w:val="00FE03B7"/>
    <w:rsid w:val="00FE081C"/>
    <w:rsid w:val="00FE0FCB"/>
    <w:rsid w:val="00FE24DE"/>
    <w:rsid w:val="00FE2D64"/>
    <w:rsid w:val="00FE2FA6"/>
    <w:rsid w:val="00FE3472"/>
    <w:rsid w:val="00FE34B1"/>
    <w:rsid w:val="00FE3A82"/>
    <w:rsid w:val="00FE3FE2"/>
    <w:rsid w:val="00FE4D77"/>
    <w:rsid w:val="00FE5538"/>
    <w:rsid w:val="00FE5805"/>
    <w:rsid w:val="00FE5A5F"/>
    <w:rsid w:val="00FE5C8B"/>
    <w:rsid w:val="00FE6DE2"/>
    <w:rsid w:val="00FE71E0"/>
    <w:rsid w:val="00FE725C"/>
    <w:rsid w:val="00FE75D5"/>
    <w:rsid w:val="00FE7703"/>
    <w:rsid w:val="00FF0284"/>
    <w:rsid w:val="00FF0F30"/>
    <w:rsid w:val="00FF177E"/>
    <w:rsid w:val="00FF192C"/>
    <w:rsid w:val="00FF1959"/>
    <w:rsid w:val="00FF2626"/>
    <w:rsid w:val="00FF2817"/>
    <w:rsid w:val="00FF28A0"/>
    <w:rsid w:val="00FF29BF"/>
    <w:rsid w:val="00FF2ADA"/>
    <w:rsid w:val="00FF2B9C"/>
    <w:rsid w:val="00FF3224"/>
    <w:rsid w:val="00FF33C0"/>
    <w:rsid w:val="00FF3ACA"/>
    <w:rsid w:val="00FF3EFA"/>
    <w:rsid w:val="00FF40C5"/>
    <w:rsid w:val="00FF4E85"/>
    <w:rsid w:val="00FF507C"/>
    <w:rsid w:val="00FF5903"/>
    <w:rsid w:val="00FF5DDB"/>
    <w:rsid w:val="00FF6488"/>
    <w:rsid w:val="00FF6826"/>
    <w:rsid w:val="00FF68B9"/>
    <w:rsid w:val="00FF6948"/>
    <w:rsid w:val="00FF6B31"/>
    <w:rsid w:val="00FF6EF9"/>
    <w:rsid w:val="00FF7DA2"/>
    <w:rsid w:val="00FF7EC6"/>
    <w:rsid w:val="01703D47"/>
    <w:rsid w:val="02645682"/>
    <w:rsid w:val="02C9128A"/>
    <w:rsid w:val="02FE1661"/>
    <w:rsid w:val="0321749F"/>
    <w:rsid w:val="03CA0243"/>
    <w:rsid w:val="04AF4CB5"/>
    <w:rsid w:val="05EC034A"/>
    <w:rsid w:val="06DF334A"/>
    <w:rsid w:val="07B86CA8"/>
    <w:rsid w:val="07D35CA9"/>
    <w:rsid w:val="07DA17DA"/>
    <w:rsid w:val="08521636"/>
    <w:rsid w:val="088B67B7"/>
    <w:rsid w:val="08B842E3"/>
    <w:rsid w:val="095B0284"/>
    <w:rsid w:val="09D326C2"/>
    <w:rsid w:val="0B2110F7"/>
    <w:rsid w:val="0B251D07"/>
    <w:rsid w:val="0B253457"/>
    <w:rsid w:val="0BBD4300"/>
    <w:rsid w:val="0C8F6479"/>
    <w:rsid w:val="0CD47978"/>
    <w:rsid w:val="0D027058"/>
    <w:rsid w:val="0D3951EA"/>
    <w:rsid w:val="0D432123"/>
    <w:rsid w:val="0D464E96"/>
    <w:rsid w:val="0D6B7DCE"/>
    <w:rsid w:val="0DA0368C"/>
    <w:rsid w:val="0F66250E"/>
    <w:rsid w:val="0F6B530F"/>
    <w:rsid w:val="10B1398D"/>
    <w:rsid w:val="10F15F73"/>
    <w:rsid w:val="1131229C"/>
    <w:rsid w:val="1291123F"/>
    <w:rsid w:val="13070A44"/>
    <w:rsid w:val="130C58DC"/>
    <w:rsid w:val="13711084"/>
    <w:rsid w:val="13F95193"/>
    <w:rsid w:val="144A50CE"/>
    <w:rsid w:val="147E0838"/>
    <w:rsid w:val="15576918"/>
    <w:rsid w:val="15EA3897"/>
    <w:rsid w:val="16183139"/>
    <w:rsid w:val="16AB089E"/>
    <w:rsid w:val="17377529"/>
    <w:rsid w:val="17FE442A"/>
    <w:rsid w:val="187249A4"/>
    <w:rsid w:val="187622BE"/>
    <w:rsid w:val="1A742092"/>
    <w:rsid w:val="1AD026C3"/>
    <w:rsid w:val="1B621995"/>
    <w:rsid w:val="1B6B59D2"/>
    <w:rsid w:val="1C454CAA"/>
    <w:rsid w:val="1CEF34C4"/>
    <w:rsid w:val="1D73002F"/>
    <w:rsid w:val="1E2858A6"/>
    <w:rsid w:val="1E680AB4"/>
    <w:rsid w:val="1EAC5531"/>
    <w:rsid w:val="1F4152D7"/>
    <w:rsid w:val="20654A36"/>
    <w:rsid w:val="20655E00"/>
    <w:rsid w:val="20C76DE5"/>
    <w:rsid w:val="20DC726C"/>
    <w:rsid w:val="212224E9"/>
    <w:rsid w:val="21550E4F"/>
    <w:rsid w:val="218F765B"/>
    <w:rsid w:val="21BF42EF"/>
    <w:rsid w:val="221C660E"/>
    <w:rsid w:val="22461A9D"/>
    <w:rsid w:val="22862442"/>
    <w:rsid w:val="23233632"/>
    <w:rsid w:val="23905143"/>
    <w:rsid w:val="23F9127F"/>
    <w:rsid w:val="246C6B37"/>
    <w:rsid w:val="24730272"/>
    <w:rsid w:val="247F100F"/>
    <w:rsid w:val="24D74191"/>
    <w:rsid w:val="25103C8F"/>
    <w:rsid w:val="2512532A"/>
    <w:rsid w:val="251E3FD0"/>
    <w:rsid w:val="253142EB"/>
    <w:rsid w:val="25665409"/>
    <w:rsid w:val="25727F3B"/>
    <w:rsid w:val="25B76A6F"/>
    <w:rsid w:val="26C36F33"/>
    <w:rsid w:val="26FC546B"/>
    <w:rsid w:val="276329C8"/>
    <w:rsid w:val="27881424"/>
    <w:rsid w:val="27BE137F"/>
    <w:rsid w:val="28B966FF"/>
    <w:rsid w:val="29660683"/>
    <w:rsid w:val="29B822C2"/>
    <w:rsid w:val="29DE744B"/>
    <w:rsid w:val="2ADA6E2A"/>
    <w:rsid w:val="2B26292F"/>
    <w:rsid w:val="2B525BAE"/>
    <w:rsid w:val="2BC015BF"/>
    <w:rsid w:val="2D6C62E4"/>
    <w:rsid w:val="2E601BAA"/>
    <w:rsid w:val="2E89782D"/>
    <w:rsid w:val="2EE80FEE"/>
    <w:rsid w:val="2F8A1212"/>
    <w:rsid w:val="30350AE9"/>
    <w:rsid w:val="30C352B0"/>
    <w:rsid w:val="316A475E"/>
    <w:rsid w:val="31F72EB3"/>
    <w:rsid w:val="326037B9"/>
    <w:rsid w:val="32BE34CE"/>
    <w:rsid w:val="32ED2C3E"/>
    <w:rsid w:val="34060B1C"/>
    <w:rsid w:val="34467543"/>
    <w:rsid w:val="346D158F"/>
    <w:rsid w:val="34A27EF1"/>
    <w:rsid w:val="34CE6D20"/>
    <w:rsid w:val="34D84F80"/>
    <w:rsid w:val="37F64E5A"/>
    <w:rsid w:val="382C13BF"/>
    <w:rsid w:val="393877C9"/>
    <w:rsid w:val="39A15577"/>
    <w:rsid w:val="3A64139F"/>
    <w:rsid w:val="3AAC2987"/>
    <w:rsid w:val="3B324F0A"/>
    <w:rsid w:val="3BDB37C4"/>
    <w:rsid w:val="3C915CEA"/>
    <w:rsid w:val="3CC64842"/>
    <w:rsid w:val="3D826FB7"/>
    <w:rsid w:val="3E026795"/>
    <w:rsid w:val="3E344565"/>
    <w:rsid w:val="3E505B15"/>
    <w:rsid w:val="3E950E30"/>
    <w:rsid w:val="3F20542C"/>
    <w:rsid w:val="3F452F1F"/>
    <w:rsid w:val="3FA66E2C"/>
    <w:rsid w:val="405C3CEF"/>
    <w:rsid w:val="41015E36"/>
    <w:rsid w:val="4132102E"/>
    <w:rsid w:val="416C2DEC"/>
    <w:rsid w:val="41A62B12"/>
    <w:rsid w:val="41B5654C"/>
    <w:rsid w:val="426F5C8F"/>
    <w:rsid w:val="42811A67"/>
    <w:rsid w:val="428A43DB"/>
    <w:rsid w:val="4317087A"/>
    <w:rsid w:val="44076CF3"/>
    <w:rsid w:val="44491F39"/>
    <w:rsid w:val="44F80B7D"/>
    <w:rsid w:val="44F847B8"/>
    <w:rsid w:val="454065CB"/>
    <w:rsid w:val="45557649"/>
    <w:rsid w:val="461421F4"/>
    <w:rsid w:val="46BA1BAF"/>
    <w:rsid w:val="47B57737"/>
    <w:rsid w:val="47CA3692"/>
    <w:rsid w:val="48097153"/>
    <w:rsid w:val="48715367"/>
    <w:rsid w:val="488A335A"/>
    <w:rsid w:val="49795073"/>
    <w:rsid w:val="4A554004"/>
    <w:rsid w:val="4BB60F0B"/>
    <w:rsid w:val="4C697031"/>
    <w:rsid w:val="4D843F2D"/>
    <w:rsid w:val="4E39448B"/>
    <w:rsid w:val="4E743362"/>
    <w:rsid w:val="501F67D6"/>
    <w:rsid w:val="509249AF"/>
    <w:rsid w:val="51AF5995"/>
    <w:rsid w:val="52124A5D"/>
    <w:rsid w:val="529D0AD8"/>
    <w:rsid w:val="52FC1A62"/>
    <w:rsid w:val="53360754"/>
    <w:rsid w:val="54330A96"/>
    <w:rsid w:val="543935BF"/>
    <w:rsid w:val="557471B2"/>
    <w:rsid w:val="5612773D"/>
    <w:rsid w:val="572F53A3"/>
    <w:rsid w:val="580402B5"/>
    <w:rsid w:val="593C6C29"/>
    <w:rsid w:val="59A000D2"/>
    <w:rsid w:val="5A403287"/>
    <w:rsid w:val="5A6C34F9"/>
    <w:rsid w:val="5A992DDA"/>
    <w:rsid w:val="5AAA355C"/>
    <w:rsid w:val="5ABC6031"/>
    <w:rsid w:val="5B1D1C39"/>
    <w:rsid w:val="5B8D3A0D"/>
    <w:rsid w:val="5BE53248"/>
    <w:rsid w:val="5CED25E8"/>
    <w:rsid w:val="5D1576EA"/>
    <w:rsid w:val="5DBD7723"/>
    <w:rsid w:val="5DCB1A25"/>
    <w:rsid w:val="5E492F33"/>
    <w:rsid w:val="5EB8654E"/>
    <w:rsid w:val="5F8039B2"/>
    <w:rsid w:val="5FDA7E6F"/>
    <w:rsid w:val="60010E7B"/>
    <w:rsid w:val="605440F6"/>
    <w:rsid w:val="60F76C10"/>
    <w:rsid w:val="61001FD9"/>
    <w:rsid w:val="617C34F5"/>
    <w:rsid w:val="61AB1A7E"/>
    <w:rsid w:val="61D041D6"/>
    <w:rsid w:val="61DB0EBC"/>
    <w:rsid w:val="61F21B32"/>
    <w:rsid w:val="626649A7"/>
    <w:rsid w:val="635E6E54"/>
    <w:rsid w:val="63BC6840"/>
    <w:rsid w:val="643568ED"/>
    <w:rsid w:val="644145B6"/>
    <w:rsid w:val="645E499E"/>
    <w:rsid w:val="64D54C4B"/>
    <w:rsid w:val="65791AFD"/>
    <w:rsid w:val="658F73E8"/>
    <w:rsid w:val="659F030B"/>
    <w:rsid w:val="665A1887"/>
    <w:rsid w:val="668867A4"/>
    <w:rsid w:val="671051F8"/>
    <w:rsid w:val="6739134E"/>
    <w:rsid w:val="67C24913"/>
    <w:rsid w:val="67DF4E9D"/>
    <w:rsid w:val="68431EA6"/>
    <w:rsid w:val="684733AB"/>
    <w:rsid w:val="68E72E4E"/>
    <w:rsid w:val="68EA034D"/>
    <w:rsid w:val="69596C0B"/>
    <w:rsid w:val="69A363F7"/>
    <w:rsid w:val="6A100096"/>
    <w:rsid w:val="6A48377B"/>
    <w:rsid w:val="6AD46B0B"/>
    <w:rsid w:val="6AE74452"/>
    <w:rsid w:val="6BC903CF"/>
    <w:rsid w:val="6BFD0DAF"/>
    <w:rsid w:val="6C5A04C7"/>
    <w:rsid w:val="6C732537"/>
    <w:rsid w:val="6C763B22"/>
    <w:rsid w:val="6C7D3E8A"/>
    <w:rsid w:val="6CA56FC0"/>
    <w:rsid w:val="6D433460"/>
    <w:rsid w:val="6EB47D19"/>
    <w:rsid w:val="6F1F0F4B"/>
    <w:rsid w:val="701C582C"/>
    <w:rsid w:val="703813E8"/>
    <w:rsid w:val="708243A0"/>
    <w:rsid w:val="713D1B96"/>
    <w:rsid w:val="718E6B6A"/>
    <w:rsid w:val="71A371BE"/>
    <w:rsid w:val="71FC2250"/>
    <w:rsid w:val="72B604C4"/>
    <w:rsid w:val="72CE2769"/>
    <w:rsid w:val="73D000C7"/>
    <w:rsid w:val="73F439B2"/>
    <w:rsid w:val="7408093E"/>
    <w:rsid w:val="743250D3"/>
    <w:rsid w:val="74902198"/>
    <w:rsid w:val="759B5BE5"/>
    <w:rsid w:val="75AC700E"/>
    <w:rsid w:val="75BF44A3"/>
    <w:rsid w:val="75CF5309"/>
    <w:rsid w:val="75E75A9F"/>
    <w:rsid w:val="76130B46"/>
    <w:rsid w:val="76D15993"/>
    <w:rsid w:val="77767EF4"/>
    <w:rsid w:val="78726190"/>
    <w:rsid w:val="78857C92"/>
    <w:rsid w:val="79C925E6"/>
    <w:rsid w:val="7A696F8D"/>
    <w:rsid w:val="7A732714"/>
    <w:rsid w:val="7B356549"/>
    <w:rsid w:val="7BD140FF"/>
    <w:rsid w:val="7BDC516A"/>
    <w:rsid w:val="7BE537FF"/>
    <w:rsid w:val="7CC84E37"/>
    <w:rsid w:val="7D4517A8"/>
    <w:rsid w:val="7DB80AC4"/>
    <w:rsid w:val="7E680957"/>
    <w:rsid w:val="7E7B1E8E"/>
    <w:rsid w:val="7ED87E7D"/>
    <w:rsid w:val="7EDA752C"/>
    <w:rsid w:val="7EF93F72"/>
    <w:rsid w:val="7F644346"/>
    <w:rsid w:val="7FAB1FCB"/>
    <w:rsid w:val="7FD04205"/>
    <w:rsid w:val="7FEF6F56"/>
    <w:rsid w:val="8F19F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semiHidden="0"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name="annotation reference"/>
    <w:lsdException w:uiPriority="99" w:name="line number"/>
    <w:lsdException w:uiPriority="99" w:name="page number"/>
    <w:lsdException w:qFormat="1" w:uiPriority="99" w:semiHidden="0" w:name="endnote reference"/>
    <w:lsdException w:qFormat="1"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ind w:firstLine="200" w:firstLineChars="200"/>
    </w:pPr>
    <w:rPr>
      <w:rFonts w:ascii="Times New Roman" w:hAnsi="Times New Roman" w:eastAsia="仿宋_GB2312" w:cstheme="minorBidi"/>
      <w:sz w:val="32"/>
      <w:szCs w:val="22"/>
      <w:lang w:val="en-US" w:eastAsia="zh-CN" w:bidi="ar-SA"/>
    </w:rPr>
  </w:style>
  <w:style w:type="paragraph" w:styleId="5">
    <w:name w:val="heading 1"/>
    <w:basedOn w:val="1"/>
    <w:next w:val="1"/>
    <w:link w:val="39"/>
    <w:qFormat/>
    <w:uiPriority w:val="0"/>
    <w:pPr>
      <w:keepNext/>
      <w:keepLines/>
      <w:spacing w:before="240" w:beforeLines="100" w:after="240" w:afterLines="100" w:line="240" w:lineRule="auto"/>
      <w:ind w:firstLine="643"/>
      <w:outlineLvl w:val="0"/>
    </w:pPr>
    <w:rPr>
      <w:rFonts w:eastAsia="楷体" w:cstheme="majorBidi"/>
      <w:b/>
      <w:bCs/>
      <w:szCs w:val="28"/>
    </w:rPr>
  </w:style>
  <w:style w:type="paragraph" w:styleId="6">
    <w:name w:val="heading 2"/>
    <w:basedOn w:val="1"/>
    <w:next w:val="1"/>
    <w:link w:val="41"/>
    <w:unhideWhenUsed/>
    <w:qFormat/>
    <w:uiPriority w:val="9"/>
    <w:pPr>
      <w:keepNext/>
      <w:keepLines/>
      <w:snapToGrid w:val="0"/>
      <w:spacing w:before="100" w:beforeLines="100"/>
      <w:ind w:firstLine="562"/>
      <w:outlineLvl w:val="1"/>
    </w:pPr>
    <w:rPr>
      <w:rFonts w:eastAsia="楷体_GB2312" w:cstheme="majorBidi"/>
      <w:bCs/>
      <w:szCs w:val="26"/>
    </w:rPr>
  </w:style>
  <w:style w:type="paragraph" w:styleId="7">
    <w:name w:val="heading 3"/>
    <w:basedOn w:val="1"/>
    <w:next w:val="1"/>
    <w:link w:val="40"/>
    <w:unhideWhenUsed/>
    <w:qFormat/>
    <w:uiPriority w:val="9"/>
    <w:pPr>
      <w:keepNext/>
      <w:keepLines/>
      <w:snapToGrid w:val="0"/>
      <w:ind w:firstLine="562"/>
      <w:outlineLvl w:val="2"/>
    </w:pPr>
    <w:rPr>
      <w:rFonts w:cstheme="majorBidi"/>
      <w:b/>
      <w:bCs/>
    </w:rPr>
  </w:style>
  <w:style w:type="paragraph" w:styleId="8">
    <w:name w:val="heading 4"/>
    <w:basedOn w:val="1"/>
    <w:next w:val="1"/>
    <w:link w:val="42"/>
    <w:unhideWhenUsed/>
    <w:qFormat/>
    <w:uiPriority w:val="9"/>
    <w:pPr>
      <w:keepNext/>
      <w:keepLines/>
      <w:spacing w:before="240" w:after="240" w:line="240" w:lineRule="auto"/>
      <w:outlineLvl w:val="3"/>
    </w:pPr>
    <w:rPr>
      <w:rFonts w:ascii="仿宋_GB2312" w:hAnsi="仿宋_GB2312" w:cstheme="majorBidi"/>
      <w:bCs/>
      <w:iCs/>
    </w:rPr>
  </w:style>
  <w:style w:type="paragraph" w:styleId="9">
    <w:name w:val="heading 5"/>
    <w:basedOn w:val="1"/>
    <w:next w:val="1"/>
    <w:link w:val="50"/>
    <w:unhideWhenUsed/>
    <w:qFormat/>
    <w:uiPriority w:val="9"/>
    <w:pPr>
      <w:keepNext/>
      <w:keepLines/>
      <w:spacing w:before="200"/>
      <w:outlineLvl w:val="4"/>
    </w:pPr>
    <w:rPr>
      <w:rFonts w:asciiTheme="majorHAnsi" w:hAnsiTheme="majorHAnsi" w:eastAsiaTheme="majorEastAsia" w:cstheme="majorBidi"/>
      <w:color w:val="254061" w:themeColor="accent1" w:themeShade="80"/>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customStyle="1" w:styleId="2">
    <w:name w:val="正文首行缩进 21"/>
    <w:basedOn w:val="3"/>
    <w:qFormat/>
    <w:uiPriority w:val="0"/>
  </w:style>
  <w:style w:type="paragraph" w:customStyle="1" w:styleId="3">
    <w:name w:val="正文文本缩进1"/>
    <w:basedOn w:val="4"/>
    <w:qFormat/>
    <w:uiPriority w:val="0"/>
    <w:pPr>
      <w:spacing w:line="150" w:lineRule="atLeast"/>
      <w:ind w:firstLine="420" w:firstLineChars="200"/>
      <w:textAlignment w:val="baseline"/>
    </w:pPr>
  </w:style>
  <w:style w:type="paragraph" w:customStyle="1" w:styleId="4">
    <w:name w:val="正文 New"/>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0">
    <w:name w:val="toc 7"/>
    <w:basedOn w:val="1"/>
    <w:next w:val="1"/>
    <w:unhideWhenUsed/>
    <w:qFormat/>
    <w:uiPriority w:val="39"/>
    <w:pPr>
      <w:ind w:left="1440"/>
    </w:pPr>
    <w:rPr>
      <w:rFonts w:asciiTheme="minorHAnsi" w:hAnsiTheme="minorHAnsi" w:cstheme="minorHAnsi"/>
      <w:sz w:val="18"/>
      <w:szCs w:val="18"/>
    </w:rPr>
  </w:style>
  <w:style w:type="paragraph" w:styleId="11">
    <w:name w:val="annotation text"/>
    <w:basedOn w:val="1"/>
    <w:link w:val="137"/>
    <w:semiHidden/>
    <w:unhideWhenUsed/>
    <w:qFormat/>
    <w:uiPriority w:val="99"/>
  </w:style>
  <w:style w:type="paragraph" w:styleId="12">
    <w:name w:val="Body Text"/>
    <w:basedOn w:val="1"/>
    <w:qFormat/>
    <w:uiPriority w:val="0"/>
  </w:style>
  <w:style w:type="paragraph" w:styleId="13">
    <w:name w:val="toc 5"/>
    <w:basedOn w:val="1"/>
    <w:next w:val="1"/>
    <w:unhideWhenUsed/>
    <w:qFormat/>
    <w:uiPriority w:val="39"/>
    <w:pPr>
      <w:ind w:left="960"/>
    </w:pPr>
    <w:rPr>
      <w:rFonts w:asciiTheme="minorHAnsi" w:hAnsiTheme="minorHAnsi" w:cstheme="minorHAnsi"/>
      <w:sz w:val="18"/>
      <w:szCs w:val="18"/>
    </w:rPr>
  </w:style>
  <w:style w:type="paragraph" w:styleId="14">
    <w:name w:val="toc 3"/>
    <w:basedOn w:val="1"/>
    <w:next w:val="1"/>
    <w:unhideWhenUsed/>
    <w:qFormat/>
    <w:uiPriority w:val="39"/>
    <w:pPr>
      <w:ind w:left="480"/>
    </w:pPr>
    <w:rPr>
      <w:rFonts w:asciiTheme="minorHAnsi" w:hAnsiTheme="minorHAnsi" w:cstheme="minorHAnsi"/>
      <w:i/>
      <w:iCs/>
      <w:sz w:val="20"/>
      <w:szCs w:val="20"/>
    </w:rPr>
  </w:style>
  <w:style w:type="paragraph" w:styleId="15">
    <w:name w:val="Plain Text"/>
    <w:basedOn w:val="1"/>
    <w:qFormat/>
    <w:uiPriority w:val="0"/>
    <w:rPr>
      <w:rFonts w:ascii="宋体" w:hAnsi="Courier New"/>
    </w:rPr>
  </w:style>
  <w:style w:type="paragraph" w:styleId="16">
    <w:name w:val="toc 8"/>
    <w:basedOn w:val="1"/>
    <w:next w:val="1"/>
    <w:unhideWhenUsed/>
    <w:qFormat/>
    <w:uiPriority w:val="39"/>
    <w:pPr>
      <w:ind w:left="1680"/>
    </w:pPr>
    <w:rPr>
      <w:rFonts w:asciiTheme="minorHAnsi" w:hAnsiTheme="minorHAnsi" w:cstheme="minorHAnsi"/>
      <w:sz w:val="18"/>
      <w:szCs w:val="18"/>
    </w:rPr>
  </w:style>
  <w:style w:type="paragraph" w:styleId="17">
    <w:name w:val="endnote text"/>
    <w:basedOn w:val="1"/>
    <w:link w:val="134"/>
    <w:unhideWhenUsed/>
    <w:qFormat/>
    <w:uiPriority w:val="99"/>
    <w:pPr>
      <w:snapToGrid w:val="0"/>
    </w:pPr>
  </w:style>
  <w:style w:type="paragraph" w:styleId="18">
    <w:name w:val="Balloon Text"/>
    <w:basedOn w:val="1"/>
    <w:link w:val="48"/>
    <w:unhideWhenUsed/>
    <w:qFormat/>
    <w:uiPriority w:val="99"/>
    <w:pPr>
      <w:spacing w:line="240" w:lineRule="auto"/>
    </w:pPr>
    <w:rPr>
      <w:rFonts w:ascii="宋体" w:eastAsia="宋体"/>
      <w:sz w:val="18"/>
      <w:szCs w:val="18"/>
    </w:rPr>
  </w:style>
  <w:style w:type="paragraph" w:styleId="19">
    <w:name w:val="footer"/>
    <w:basedOn w:val="1"/>
    <w:link w:val="46"/>
    <w:unhideWhenUsed/>
    <w:qFormat/>
    <w:uiPriority w:val="99"/>
    <w:pPr>
      <w:tabs>
        <w:tab w:val="center" w:pos="4320"/>
        <w:tab w:val="right" w:pos="8640"/>
      </w:tabs>
      <w:spacing w:line="240" w:lineRule="auto"/>
    </w:pPr>
  </w:style>
  <w:style w:type="paragraph" w:styleId="20">
    <w:name w:val="header"/>
    <w:basedOn w:val="1"/>
    <w:link w:val="45"/>
    <w:unhideWhenUsed/>
    <w:qFormat/>
    <w:uiPriority w:val="99"/>
    <w:pPr>
      <w:tabs>
        <w:tab w:val="center" w:pos="4320"/>
        <w:tab w:val="right" w:pos="8640"/>
      </w:tabs>
      <w:spacing w:line="240" w:lineRule="auto"/>
    </w:pPr>
  </w:style>
  <w:style w:type="paragraph" w:styleId="21">
    <w:name w:val="toc 1"/>
    <w:basedOn w:val="1"/>
    <w:next w:val="1"/>
    <w:unhideWhenUsed/>
    <w:qFormat/>
    <w:uiPriority w:val="39"/>
    <w:pPr>
      <w:tabs>
        <w:tab w:val="right" w:leader="dot" w:pos="8297"/>
      </w:tabs>
      <w:spacing w:before="120" w:after="120"/>
      <w:ind w:firstLine="0" w:firstLineChars="0"/>
      <w:jc w:val="center"/>
    </w:pPr>
    <w:rPr>
      <w:rFonts w:ascii="黑体" w:hAnsi="黑体" w:eastAsia="黑体" w:cstheme="minorHAnsi"/>
      <w:b/>
      <w:bCs/>
      <w:caps/>
      <w:szCs w:val="24"/>
    </w:rPr>
  </w:style>
  <w:style w:type="paragraph" w:styleId="22">
    <w:name w:val="toc 4"/>
    <w:basedOn w:val="1"/>
    <w:next w:val="1"/>
    <w:unhideWhenUsed/>
    <w:qFormat/>
    <w:uiPriority w:val="39"/>
    <w:pPr>
      <w:ind w:left="720"/>
    </w:pPr>
    <w:rPr>
      <w:rFonts w:asciiTheme="minorHAnsi" w:hAnsiTheme="minorHAnsi" w:cstheme="minorHAnsi"/>
      <w:sz w:val="18"/>
      <w:szCs w:val="18"/>
    </w:rPr>
  </w:style>
  <w:style w:type="paragraph" w:styleId="23">
    <w:name w:val="footnote text"/>
    <w:basedOn w:val="1"/>
    <w:link w:val="44"/>
    <w:unhideWhenUsed/>
    <w:qFormat/>
    <w:uiPriority w:val="99"/>
    <w:pPr>
      <w:spacing w:line="240" w:lineRule="auto"/>
      <w:ind w:firstLine="0" w:firstLineChars="0"/>
    </w:pPr>
    <w:rPr>
      <w:rFonts w:cs="Times New Roman"/>
      <w:sz w:val="20"/>
      <w:szCs w:val="20"/>
    </w:rPr>
  </w:style>
  <w:style w:type="paragraph" w:styleId="24">
    <w:name w:val="toc 6"/>
    <w:basedOn w:val="1"/>
    <w:next w:val="1"/>
    <w:unhideWhenUsed/>
    <w:qFormat/>
    <w:uiPriority w:val="39"/>
    <w:pPr>
      <w:ind w:left="1200"/>
    </w:pPr>
    <w:rPr>
      <w:rFonts w:asciiTheme="minorHAnsi" w:hAnsiTheme="minorHAnsi" w:cstheme="minorHAnsi"/>
      <w:sz w:val="18"/>
      <w:szCs w:val="18"/>
    </w:rPr>
  </w:style>
  <w:style w:type="paragraph" w:styleId="25">
    <w:name w:val="toc 2"/>
    <w:basedOn w:val="1"/>
    <w:next w:val="1"/>
    <w:unhideWhenUsed/>
    <w:qFormat/>
    <w:uiPriority w:val="39"/>
    <w:pPr>
      <w:tabs>
        <w:tab w:val="right" w:leader="dot" w:pos="8297"/>
      </w:tabs>
      <w:ind w:left="240" w:firstLine="0" w:firstLineChars="0"/>
    </w:pPr>
    <w:rPr>
      <w:rFonts w:ascii="黑体" w:hAnsi="黑体" w:eastAsia="黑体" w:cs="Times New Roman"/>
      <w:smallCaps/>
      <w:sz w:val="24"/>
      <w:szCs w:val="20"/>
    </w:rPr>
  </w:style>
  <w:style w:type="paragraph" w:styleId="26">
    <w:name w:val="toc 9"/>
    <w:basedOn w:val="1"/>
    <w:next w:val="1"/>
    <w:unhideWhenUsed/>
    <w:qFormat/>
    <w:uiPriority w:val="39"/>
    <w:pPr>
      <w:ind w:left="1920"/>
    </w:pPr>
    <w:rPr>
      <w:rFonts w:asciiTheme="minorHAnsi" w:hAnsiTheme="minorHAnsi" w:cstheme="minorHAnsi"/>
      <w:sz w:val="18"/>
      <w:szCs w:val="18"/>
    </w:rPr>
  </w:style>
  <w:style w:type="paragraph" w:styleId="27">
    <w:name w:val="Normal (Web)"/>
    <w:basedOn w:val="1"/>
    <w:unhideWhenUsed/>
    <w:qFormat/>
    <w:uiPriority w:val="0"/>
    <w:pPr>
      <w:spacing w:before="100" w:beforeAutospacing="1" w:after="100" w:afterAutospacing="1" w:line="240" w:lineRule="auto"/>
      <w:ind w:firstLine="0" w:firstLineChars="0"/>
    </w:pPr>
    <w:rPr>
      <w:rFonts w:cs="Times New Roman" w:eastAsiaTheme="minorEastAsia"/>
      <w:szCs w:val="24"/>
    </w:rPr>
  </w:style>
  <w:style w:type="paragraph" w:styleId="28">
    <w:name w:val="Title"/>
    <w:basedOn w:val="1"/>
    <w:next w:val="1"/>
    <w:link w:val="43"/>
    <w:qFormat/>
    <w:uiPriority w:val="10"/>
    <w:pPr>
      <w:spacing w:before="240" w:after="240"/>
      <w:ind w:firstLine="0" w:firstLineChars="0"/>
      <w:contextualSpacing/>
      <w:jc w:val="center"/>
    </w:pPr>
    <w:rPr>
      <w:rFonts w:eastAsia="黑体" w:cstheme="majorBidi"/>
      <w:spacing w:val="5"/>
      <w:kern w:val="28"/>
      <w:sz w:val="44"/>
      <w:szCs w:val="52"/>
    </w:rPr>
  </w:style>
  <w:style w:type="paragraph" w:styleId="29">
    <w:name w:val="annotation subject"/>
    <w:basedOn w:val="11"/>
    <w:next w:val="11"/>
    <w:link w:val="138"/>
    <w:semiHidden/>
    <w:unhideWhenUsed/>
    <w:qFormat/>
    <w:uiPriority w:val="99"/>
    <w:rPr>
      <w:b/>
      <w:bCs/>
    </w:rPr>
  </w:style>
  <w:style w:type="table" w:styleId="31">
    <w:name w:val="Table Grid"/>
    <w:basedOn w:val="3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basedOn w:val="32"/>
    <w:qFormat/>
    <w:uiPriority w:val="22"/>
    <w:rPr>
      <w:b/>
    </w:rPr>
  </w:style>
  <w:style w:type="character" w:styleId="34">
    <w:name w:val="endnote reference"/>
    <w:basedOn w:val="32"/>
    <w:unhideWhenUsed/>
    <w:qFormat/>
    <w:uiPriority w:val="99"/>
    <w:rPr>
      <w:vertAlign w:val="superscript"/>
    </w:rPr>
  </w:style>
  <w:style w:type="character" w:styleId="35">
    <w:name w:val="FollowedHyperlink"/>
    <w:basedOn w:val="32"/>
    <w:unhideWhenUsed/>
    <w:qFormat/>
    <w:uiPriority w:val="99"/>
    <w:rPr>
      <w:color w:val="800080"/>
      <w:u w:val="single"/>
    </w:rPr>
  </w:style>
  <w:style w:type="character" w:styleId="36">
    <w:name w:val="Hyperlink"/>
    <w:basedOn w:val="32"/>
    <w:unhideWhenUsed/>
    <w:qFormat/>
    <w:uiPriority w:val="99"/>
    <w:rPr>
      <w:color w:val="0000FF"/>
      <w:u w:val="single"/>
    </w:rPr>
  </w:style>
  <w:style w:type="character" w:styleId="37">
    <w:name w:val="annotation reference"/>
    <w:basedOn w:val="32"/>
    <w:semiHidden/>
    <w:unhideWhenUsed/>
    <w:qFormat/>
    <w:uiPriority w:val="99"/>
    <w:rPr>
      <w:sz w:val="21"/>
      <w:szCs w:val="21"/>
    </w:rPr>
  </w:style>
  <w:style w:type="character" w:styleId="38">
    <w:name w:val="footnote reference"/>
    <w:unhideWhenUsed/>
    <w:qFormat/>
    <w:uiPriority w:val="99"/>
    <w:rPr>
      <w:vertAlign w:val="superscript"/>
    </w:rPr>
  </w:style>
  <w:style w:type="character" w:customStyle="1" w:styleId="39">
    <w:name w:val="标题 1 字符"/>
    <w:basedOn w:val="32"/>
    <w:link w:val="5"/>
    <w:qFormat/>
    <w:uiPriority w:val="9"/>
    <w:rPr>
      <w:rFonts w:ascii="Times New Roman" w:hAnsi="Times New Roman" w:eastAsia="楷体" w:cstheme="majorBidi"/>
      <w:b/>
      <w:bCs/>
      <w:sz w:val="32"/>
      <w:szCs w:val="28"/>
    </w:rPr>
  </w:style>
  <w:style w:type="character" w:customStyle="1" w:styleId="40">
    <w:name w:val="标题 3 字符"/>
    <w:basedOn w:val="32"/>
    <w:link w:val="7"/>
    <w:qFormat/>
    <w:uiPriority w:val="9"/>
    <w:rPr>
      <w:rFonts w:ascii="Times New Roman" w:hAnsi="Times New Roman" w:eastAsia="仿宋_GB2312" w:cstheme="majorBidi"/>
      <w:b/>
      <w:bCs/>
      <w:sz w:val="28"/>
    </w:rPr>
  </w:style>
  <w:style w:type="character" w:customStyle="1" w:styleId="41">
    <w:name w:val="标题 2 字符"/>
    <w:basedOn w:val="32"/>
    <w:link w:val="6"/>
    <w:qFormat/>
    <w:uiPriority w:val="9"/>
    <w:rPr>
      <w:rFonts w:ascii="Times New Roman" w:hAnsi="Times New Roman" w:eastAsia="楷体_GB2312" w:cstheme="majorBidi"/>
      <w:bCs/>
      <w:sz w:val="28"/>
      <w:szCs w:val="26"/>
    </w:rPr>
  </w:style>
  <w:style w:type="character" w:customStyle="1" w:styleId="42">
    <w:name w:val="标题 4 字符"/>
    <w:basedOn w:val="32"/>
    <w:link w:val="8"/>
    <w:qFormat/>
    <w:uiPriority w:val="9"/>
    <w:rPr>
      <w:rFonts w:ascii="仿宋_GB2312" w:hAnsi="仿宋_GB2312" w:eastAsia="仿宋_GB2312" w:cstheme="majorBidi"/>
      <w:bCs/>
      <w:iCs/>
      <w:sz w:val="28"/>
    </w:rPr>
  </w:style>
  <w:style w:type="character" w:customStyle="1" w:styleId="43">
    <w:name w:val="标题 字符"/>
    <w:basedOn w:val="32"/>
    <w:link w:val="28"/>
    <w:qFormat/>
    <w:uiPriority w:val="10"/>
    <w:rPr>
      <w:rFonts w:ascii="Times New Roman" w:hAnsi="Times New Roman" w:eastAsia="黑体" w:cstheme="majorBidi"/>
      <w:spacing w:val="5"/>
      <w:kern w:val="28"/>
      <w:sz w:val="44"/>
      <w:szCs w:val="52"/>
    </w:rPr>
  </w:style>
  <w:style w:type="character" w:customStyle="1" w:styleId="44">
    <w:name w:val="脚注文本 字符"/>
    <w:basedOn w:val="32"/>
    <w:link w:val="23"/>
    <w:semiHidden/>
    <w:qFormat/>
    <w:uiPriority w:val="99"/>
    <w:rPr>
      <w:rFonts w:ascii="Times New Roman" w:hAnsi="Times New Roman" w:eastAsia="仿宋_GB2312" w:cs="Times New Roman"/>
      <w:sz w:val="20"/>
      <w:szCs w:val="20"/>
    </w:rPr>
  </w:style>
  <w:style w:type="character" w:customStyle="1" w:styleId="45">
    <w:name w:val="页眉 字符"/>
    <w:basedOn w:val="32"/>
    <w:link w:val="20"/>
    <w:qFormat/>
    <w:uiPriority w:val="99"/>
    <w:rPr>
      <w:rFonts w:ascii="Times New Roman" w:hAnsi="Times New Roman" w:eastAsia="仿宋_GB2312"/>
      <w:sz w:val="24"/>
    </w:rPr>
  </w:style>
  <w:style w:type="character" w:customStyle="1" w:styleId="46">
    <w:name w:val="页脚 字符"/>
    <w:basedOn w:val="32"/>
    <w:link w:val="19"/>
    <w:qFormat/>
    <w:uiPriority w:val="99"/>
    <w:rPr>
      <w:rFonts w:ascii="Times New Roman" w:hAnsi="Times New Roman" w:eastAsia="仿宋_GB2312"/>
      <w:sz w:val="24"/>
    </w:rPr>
  </w:style>
  <w:style w:type="paragraph" w:customStyle="1" w:styleId="47">
    <w:name w:val="列表段落1"/>
    <w:basedOn w:val="1"/>
    <w:qFormat/>
    <w:uiPriority w:val="34"/>
    <w:pPr>
      <w:ind w:left="720"/>
      <w:contextualSpacing/>
    </w:pPr>
  </w:style>
  <w:style w:type="character" w:customStyle="1" w:styleId="48">
    <w:name w:val="批注框文本 字符"/>
    <w:basedOn w:val="32"/>
    <w:link w:val="18"/>
    <w:semiHidden/>
    <w:qFormat/>
    <w:uiPriority w:val="99"/>
    <w:rPr>
      <w:rFonts w:ascii="宋体" w:hAnsi="Times New Roman" w:eastAsia="宋体"/>
      <w:sz w:val="18"/>
      <w:szCs w:val="18"/>
    </w:rPr>
  </w:style>
  <w:style w:type="paragraph" w:customStyle="1" w:styleId="49">
    <w:name w:val="Char"/>
    <w:basedOn w:val="1"/>
    <w:qFormat/>
    <w:uiPriority w:val="0"/>
    <w:pPr>
      <w:spacing w:after="160" w:line="240" w:lineRule="exact"/>
      <w:ind w:firstLine="0" w:firstLineChars="0"/>
    </w:pPr>
    <w:rPr>
      <w:rFonts w:cs="Times New Roman"/>
      <w:szCs w:val="32"/>
    </w:rPr>
  </w:style>
  <w:style w:type="character" w:customStyle="1" w:styleId="50">
    <w:name w:val="标题 5 字符"/>
    <w:basedOn w:val="32"/>
    <w:link w:val="9"/>
    <w:semiHidden/>
    <w:qFormat/>
    <w:uiPriority w:val="9"/>
    <w:rPr>
      <w:rFonts w:asciiTheme="majorHAnsi" w:hAnsiTheme="majorHAnsi" w:eastAsiaTheme="majorEastAsia" w:cstheme="majorBidi"/>
      <w:color w:val="254061" w:themeColor="accent1" w:themeShade="80"/>
      <w:sz w:val="24"/>
    </w:rPr>
  </w:style>
  <w:style w:type="paragraph" w:customStyle="1" w:styleId="51">
    <w:name w:val="font0"/>
    <w:basedOn w:val="1"/>
    <w:qFormat/>
    <w:uiPriority w:val="0"/>
    <w:pPr>
      <w:spacing w:before="100" w:beforeAutospacing="1" w:after="100" w:afterAutospacing="1" w:line="240" w:lineRule="auto"/>
      <w:ind w:firstLine="0" w:firstLineChars="0"/>
    </w:pPr>
    <w:rPr>
      <w:rFonts w:eastAsia="Times New Roman" w:cs="Times New Roman"/>
      <w:color w:val="000000"/>
      <w:szCs w:val="24"/>
    </w:rPr>
  </w:style>
  <w:style w:type="paragraph" w:customStyle="1" w:styleId="52">
    <w:name w:val="font5"/>
    <w:basedOn w:val="1"/>
    <w:qFormat/>
    <w:uiPriority w:val="0"/>
    <w:pPr>
      <w:spacing w:before="100" w:beforeAutospacing="1" w:after="100" w:afterAutospacing="1" w:line="240" w:lineRule="auto"/>
      <w:ind w:firstLine="0" w:firstLineChars="0"/>
    </w:pPr>
    <w:rPr>
      <w:rFonts w:eastAsia="Times New Roman" w:cs="Times New Roman"/>
      <w:b/>
      <w:bCs/>
      <w:color w:val="000000"/>
      <w:sz w:val="40"/>
      <w:szCs w:val="40"/>
    </w:rPr>
  </w:style>
  <w:style w:type="paragraph" w:customStyle="1" w:styleId="53">
    <w:name w:val="font6"/>
    <w:basedOn w:val="1"/>
    <w:qFormat/>
    <w:uiPriority w:val="0"/>
    <w:pPr>
      <w:spacing w:before="100" w:beforeAutospacing="1" w:after="100" w:afterAutospacing="1" w:line="240" w:lineRule="auto"/>
      <w:ind w:firstLine="0" w:firstLineChars="0"/>
    </w:pPr>
    <w:rPr>
      <w:rFonts w:ascii="宋体" w:hAnsi="宋体" w:eastAsia="宋体" w:cs="Times New Roman"/>
      <w:b/>
      <w:bCs/>
      <w:color w:val="000000"/>
      <w:sz w:val="40"/>
      <w:szCs w:val="40"/>
    </w:rPr>
  </w:style>
  <w:style w:type="paragraph" w:customStyle="1" w:styleId="54">
    <w:name w:val="font7"/>
    <w:basedOn w:val="1"/>
    <w:qFormat/>
    <w:uiPriority w:val="0"/>
    <w:pPr>
      <w:spacing w:before="100" w:beforeAutospacing="1" w:after="100" w:afterAutospacing="1" w:line="240" w:lineRule="auto"/>
      <w:ind w:firstLine="0" w:firstLineChars="0"/>
    </w:pPr>
    <w:rPr>
      <w:rFonts w:ascii="宋体" w:hAnsi="宋体" w:eastAsia="宋体" w:cs="Times New Roman"/>
      <w:color w:val="000000"/>
      <w:szCs w:val="24"/>
    </w:rPr>
  </w:style>
  <w:style w:type="paragraph" w:customStyle="1" w:styleId="55">
    <w:name w:val="font8"/>
    <w:basedOn w:val="1"/>
    <w:qFormat/>
    <w:uiPriority w:val="0"/>
    <w:pPr>
      <w:spacing w:before="100" w:beforeAutospacing="1" w:after="100" w:afterAutospacing="1" w:line="240" w:lineRule="auto"/>
      <w:ind w:firstLine="0" w:firstLineChars="0"/>
    </w:pPr>
    <w:rPr>
      <w:rFonts w:ascii="宋体" w:hAnsi="宋体" w:eastAsia="宋体" w:cs="Times New Roman"/>
      <w:szCs w:val="24"/>
    </w:rPr>
  </w:style>
  <w:style w:type="paragraph" w:customStyle="1" w:styleId="56">
    <w:name w:val="font9"/>
    <w:basedOn w:val="1"/>
    <w:qFormat/>
    <w:uiPriority w:val="0"/>
    <w:pPr>
      <w:spacing w:before="100" w:beforeAutospacing="1" w:after="100" w:afterAutospacing="1" w:line="240" w:lineRule="auto"/>
      <w:ind w:firstLine="0" w:firstLineChars="0"/>
    </w:pPr>
    <w:rPr>
      <w:rFonts w:eastAsia="Times New Roman" w:cs="Times New Roman"/>
      <w:szCs w:val="24"/>
    </w:rPr>
  </w:style>
  <w:style w:type="paragraph" w:customStyle="1" w:styleId="57">
    <w:name w:val="xl65"/>
    <w:basedOn w:val="1"/>
    <w:qFormat/>
    <w:uiPriority w:val="0"/>
    <w:pPr>
      <w:pBdr>
        <w:bottom w:val="single" w:color="auto" w:sz="8" w:space="0"/>
        <w:right w:val="single" w:color="auto" w:sz="8" w:space="0"/>
      </w:pBdr>
      <w:shd w:val="clear" w:color="000000" w:fill="DBE5F1"/>
      <w:spacing w:before="100" w:beforeAutospacing="1" w:after="100" w:afterAutospacing="1" w:line="240" w:lineRule="auto"/>
      <w:ind w:firstLine="0" w:firstLineChars="0"/>
      <w:jc w:val="center"/>
      <w:textAlignment w:val="center"/>
    </w:pPr>
    <w:rPr>
      <w:rFonts w:ascii="宋体" w:hAnsi="宋体" w:eastAsia="宋体" w:cs="Times New Roman"/>
      <w:b/>
      <w:bCs/>
      <w:szCs w:val="24"/>
    </w:rPr>
  </w:style>
  <w:style w:type="paragraph" w:customStyle="1" w:styleId="58">
    <w:name w:val="xl66"/>
    <w:basedOn w:val="1"/>
    <w:qFormat/>
    <w:uiPriority w:val="0"/>
    <w:pPr>
      <w:spacing w:before="100" w:beforeAutospacing="1" w:after="100" w:afterAutospacing="1" w:line="240" w:lineRule="auto"/>
      <w:ind w:firstLine="0" w:firstLineChars="0"/>
      <w:textAlignment w:val="center"/>
    </w:pPr>
    <w:rPr>
      <w:rFonts w:ascii="宋体" w:hAnsi="宋体" w:eastAsia="宋体" w:cs="Times New Roman"/>
      <w:szCs w:val="24"/>
    </w:rPr>
  </w:style>
  <w:style w:type="paragraph" w:customStyle="1" w:styleId="59">
    <w:name w:val="xl67"/>
    <w:basedOn w:val="1"/>
    <w:qFormat/>
    <w:uiPriority w:val="0"/>
    <w:pPr>
      <w:pBdr>
        <w:bottom w:val="single" w:color="auto" w:sz="8" w:space="0"/>
      </w:pBdr>
      <w:spacing w:before="100" w:beforeAutospacing="1" w:after="100" w:afterAutospacing="1" w:line="240" w:lineRule="auto"/>
      <w:ind w:firstLine="0" w:firstLineChars="0"/>
      <w:textAlignment w:val="center"/>
    </w:pPr>
    <w:rPr>
      <w:rFonts w:ascii="宋体" w:hAnsi="宋体" w:eastAsia="宋体" w:cs="Times New Roman"/>
      <w:szCs w:val="24"/>
    </w:rPr>
  </w:style>
  <w:style w:type="paragraph" w:customStyle="1" w:styleId="60">
    <w:name w:val="xl73"/>
    <w:basedOn w:val="1"/>
    <w:qFormat/>
    <w:uiPriority w:val="0"/>
    <w:pPr>
      <w:pBdr>
        <w:bottom w:val="single" w:color="auto" w:sz="8" w:space="0"/>
        <w:right w:val="single" w:color="auto" w:sz="8" w:space="0"/>
      </w:pBdr>
      <w:spacing w:before="100" w:beforeAutospacing="1" w:after="100" w:afterAutospacing="1" w:line="240" w:lineRule="auto"/>
      <w:ind w:firstLine="0" w:firstLineChars="0"/>
      <w:jc w:val="center"/>
      <w:textAlignment w:val="center"/>
    </w:pPr>
    <w:rPr>
      <w:rFonts w:ascii="宋体" w:hAnsi="宋体" w:eastAsia="宋体" w:cs="Times New Roman"/>
      <w:szCs w:val="24"/>
    </w:rPr>
  </w:style>
  <w:style w:type="paragraph" w:customStyle="1" w:styleId="61">
    <w:name w:val="xl74"/>
    <w:basedOn w:val="1"/>
    <w:qFormat/>
    <w:uiPriority w:val="0"/>
    <w:pPr>
      <w:pBdr>
        <w:bottom w:val="single" w:color="auto" w:sz="8" w:space="0"/>
        <w:right w:val="single" w:color="auto" w:sz="8" w:space="0"/>
      </w:pBdr>
      <w:shd w:val="clear" w:color="000000" w:fill="FFFFFF"/>
      <w:spacing w:before="100" w:beforeAutospacing="1" w:after="100" w:afterAutospacing="1" w:line="240" w:lineRule="auto"/>
      <w:ind w:firstLine="0" w:firstLineChars="0"/>
      <w:jc w:val="center"/>
      <w:textAlignment w:val="center"/>
    </w:pPr>
    <w:rPr>
      <w:rFonts w:ascii="宋体" w:hAnsi="宋体" w:eastAsia="宋体" w:cs="Times New Roman"/>
      <w:szCs w:val="24"/>
    </w:rPr>
  </w:style>
  <w:style w:type="paragraph" w:customStyle="1" w:styleId="62">
    <w:name w:val="xl75"/>
    <w:basedOn w:val="1"/>
    <w:qFormat/>
    <w:uiPriority w:val="0"/>
    <w:pPr>
      <w:pBdr>
        <w:bottom w:val="single" w:color="auto" w:sz="8" w:space="0"/>
        <w:right w:val="single" w:color="auto" w:sz="8" w:space="0"/>
      </w:pBdr>
      <w:spacing w:before="100" w:beforeAutospacing="1" w:after="100" w:afterAutospacing="1" w:line="240" w:lineRule="auto"/>
      <w:ind w:firstLine="0" w:firstLineChars="0"/>
      <w:textAlignment w:val="center"/>
    </w:pPr>
    <w:rPr>
      <w:rFonts w:ascii="宋体" w:hAnsi="宋体" w:eastAsia="宋体" w:cs="Times New Roman"/>
      <w:szCs w:val="24"/>
    </w:rPr>
  </w:style>
  <w:style w:type="paragraph" w:customStyle="1" w:styleId="63">
    <w:name w:val="xl76"/>
    <w:basedOn w:val="1"/>
    <w:qFormat/>
    <w:uiPriority w:val="0"/>
    <w:pPr>
      <w:spacing w:before="100" w:beforeAutospacing="1" w:after="100" w:afterAutospacing="1" w:line="240" w:lineRule="auto"/>
      <w:ind w:firstLine="0" w:firstLineChars="0"/>
      <w:textAlignment w:val="center"/>
    </w:pPr>
    <w:rPr>
      <w:rFonts w:eastAsia="Times New Roman" w:cs="Times New Roman"/>
      <w:szCs w:val="24"/>
    </w:rPr>
  </w:style>
  <w:style w:type="paragraph" w:customStyle="1" w:styleId="64">
    <w:name w:val="xl78"/>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eastAsia="宋体" w:cs="Times New Roman"/>
      <w:szCs w:val="24"/>
    </w:rPr>
  </w:style>
  <w:style w:type="paragraph" w:customStyle="1" w:styleId="65">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宋体" w:hAnsi="宋体" w:eastAsia="宋体" w:cs="Times New Roman"/>
      <w:color w:val="000000"/>
      <w:szCs w:val="24"/>
    </w:rPr>
  </w:style>
  <w:style w:type="paragraph" w:customStyle="1" w:styleId="66">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宋体" w:hAnsi="宋体" w:eastAsia="宋体" w:cs="Times New Roman"/>
      <w:color w:val="000000"/>
      <w:szCs w:val="24"/>
    </w:rPr>
  </w:style>
  <w:style w:type="paragraph" w:customStyle="1" w:styleId="67">
    <w:name w:val="xl81"/>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line="240" w:lineRule="auto"/>
      <w:ind w:firstLine="0" w:firstLineChars="0"/>
      <w:textAlignment w:val="center"/>
    </w:pPr>
    <w:rPr>
      <w:rFonts w:eastAsia="Times New Roman" w:cs="Times New Roman"/>
      <w:szCs w:val="24"/>
    </w:rPr>
  </w:style>
  <w:style w:type="paragraph" w:customStyle="1" w:styleId="68">
    <w:name w:val="xl82"/>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line="240" w:lineRule="auto"/>
      <w:ind w:firstLine="0" w:firstLineChars="0"/>
      <w:textAlignment w:val="center"/>
    </w:pPr>
    <w:rPr>
      <w:rFonts w:ascii="宋体" w:hAnsi="宋体" w:eastAsia="宋体" w:cs="Times New Roman"/>
      <w:szCs w:val="24"/>
    </w:rPr>
  </w:style>
  <w:style w:type="paragraph" w:customStyle="1" w:styleId="69">
    <w:name w:val="xl83"/>
    <w:basedOn w:val="1"/>
    <w:qFormat/>
    <w:uiPriority w:val="0"/>
    <w:pPr>
      <w:pBdr>
        <w:left w:val="single" w:color="auto" w:sz="8" w:space="0"/>
        <w:bottom w:val="single" w:color="auto" w:sz="8" w:space="0"/>
        <w:right w:val="single" w:color="auto" w:sz="8" w:space="0"/>
      </w:pBdr>
      <w:shd w:val="clear" w:color="000000" w:fill="DBE5F1"/>
      <w:spacing w:before="100" w:beforeAutospacing="1" w:after="100" w:afterAutospacing="1" w:line="240" w:lineRule="auto"/>
      <w:ind w:firstLine="0" w:firstLineChars="0"/>
      <w:jc w:val="center"/>
      <w:textAlignment w:val="center"/>
    </w:pPr>
    <w:rPr>
      <w:rFonts w:ascii="宋体" w:hAnsi="宋体" w:eastAsia="宋体" w:cs="Times New Roman"/>
      <w:b/>
      <w:bCs/>
      <w:szCs w:val="24"/>
    </w:rPr>
  </w:style>
  <w:style w:type="paragraph" w:customStyle="1" w:styleId="70">
    <w:name w:val="xl84"/>
    <w:basedOn w:val="1"/>
    <w:qFormat/>
    <w:uiPriority w:val="0"/>
    <w:pPr>
      <w:spacing w:before="100" w:beforeAutospacing="1" w:after="100" w:afterAutospacing="1" w:line="240" w:lineRule="auto"/>
      <w:ind w:firstLine="0" w:firstLineChars="0"/>
      <w:jc w:val="center"/>
      <w:textAlignment w:val="center"/>
    </w:pPr>
    <w:rPr>
      <w:rFonts w:eastAsia="Times New Roman" w:cs="Times New Roman"/>
      <w:b/>
      <w:bCs/>
      <w:sz w:val="40"/>
      <w:szCs w:val="40"/>
    </w:rPr>
  </w:style>
  <w:style w:type="paragraph" w:customStyle="1" w:styleId="71">
    <w:name w:val="xl85"/>
    <w:basedOn w:val="1"/>
    <w:qFormat/>
    <w:uiPriority w:val="0"/>
    <w:pPr>
      <w:spacing w:before="100" w:beforeAutospacing="1" w:after="100" w:afterAutospacing="1" w:line="240" w:lineRule="auto"/>
      <w:ind w:firstLine="0" w:firstLineChars="0"/>
      <w:textAlignment w:val="center"/>
    </w:pPr>
    <w:rPr>
      <w:rFonts w:eastAsia="Times New Roman" w:cs="Times New Roman"/>
      <w:b/>
      <w:bCs/>
      <w:sz w:val="40"/>
      <w:szCs w:val="40"/>
    </w:rPr>
  </w:style>
  <w:style w:type="paragraph" w:customStyle="1" w:styleId="72">
    <w:name w:val="xl86"/>
    <w:basedOn w:val="1"/>
    <w:qFormat/>
    <w:uiPriority w:val="0"/>
    <w:pPr>
      <w:pBdr>
        <w:bottom w:val="single" w:color="auto" w:sz="8" w:space="0"/>
      </w:pBdr>
      <w:spacing w:before="100" w:beforeAutospacing="1" w:after="100" w:afterAutospacing="1" w:line="240" w:lineRule="auto"/>
      <w:ind w:firstLine="0" w:firstLineChars="0"/>
      <w:jc w:val="right"/>
      <w:textAlignment w:val="center"/>
    </w:pPr>
    <w:rPr>
      <w:rFonts w:eastAsia="Times New Roman" w:cs="Times New Roman"/>
      <w:b/>
      <w:bCs/>
      <w:sz w:val="40"/>
      <w:szCs w:val="40"/>
    </w:rPr>
  </w:style>
  <w:style w:type="paragraph" w:customStyle="1" w:styleId="73">
    <w:name w:val="xl87"/>
    <w:basedOn w:val="1"/>
    <w:qFormat/>
    <w:uiPriority w:val="0"/>
    <w:pPr>
      <w:pBdr>
        <w:top w:val="single" w:color="auto" w:sz="8" w:space="0"/>
        <w:left w:val="single" w:color="auto" w:sz="8" w:space="0"/>
        <w:bottom w:val="single" w:color="auto" w:sz="8" w:space="0"/>
      </w:pBdr>
      <w:shd w:val="clear" w:color="000000" w:fill="DBE5F1"/>
      <w:spacing w:before="100" w:beforeAutospacing="1" w:after="100" w:afterAutospacing="1" w:line="240" w:lineRule="auto"/>
      <w:ind w:firstLine="0" w:firstLineChars="0"/>
      <w:jc w:val="center"/>
      <w:textAlignment w:val="center"/>
    </w:pPr>
    <w:rPr>
      <w:rFonts w:ascii="宋体" w:hAnsi="宋体" w:eastAsia="宋体" w:cs="Times New Roman"/>
      <w:b/>
      <w:bCs/>
      <w:szCs w:val="24"/>
    </w:rPr>
  </w:style>
  <w:style w:type="paragraph" w:customStyle="1" w:styleId="74">
    <w:name w:val="xl88"/>
    <w:basedOn w:val="1"/>
    <w:qFormat/>
    <w:uiPriority w:val="0"/>
    <w:pPr>
      <w:pBdr>
        <w:top w:val="single" w:color="auto" w:sz="8" w:space="0"/>
        <w:bottom w:val="single" w:color="auto" w:sz="8" w:space="0"/>
      </w:pBdr>
      <w:shd w:val="clear" w:color="000000" w:fill="DBE5F1"/>
      <w:spacing w:before="100" w:beforeAutospacing="1" w:after="100" w:afterAutospacing="1" w:line="240" w:lineRule="auto"/>
      <w:ind w:firstLine="0" w:firstLineChars="0"/>
      <w:jc w:val="center"/>
      <w:textAlignment w:val="center"/>
    </w:pPr>
    <w:rPr>
      <w:rFonts w:ascii="宋体" w:hAnsi="宋体" w:eastAsia="宋体" w:cs="Times New Roman"/>
      <w:b/>
      <w:bCs/>
      <w:szCs w:val="24"/>
    </w:rPr>
  </w:style>
  <w:style w:type="paragraph" w:customStyle="1" w:styleId="75">
    <w:name w:val="xl89"/>
    <w:basedOn w:val="1"/>
    <w:qFormat/>
    <w:uiPriority w:val="0"/>
    <w:pPr>
      <w:pBdr>
        <w:top w:val="single" w:color="auto" w:sz="8" w:space="0"/>
        <w:bottom w:val="single" w:color="auto" w:sz="8" w:space="0"/>
        <w:right w:val="single" w:color="auto" w:sz="8" w:space="0"/>
      </w:pBdr>
      <w:shd w:val="clear" w:color="000000" w:fill="DBE5F1"/>
      <w:spacing w:before="100" w:beforeAutospacing="1" w:after="100" w:afterAutospacing="1" w:line="240" w:lineRule="auto"/>
      <w:ind w:firstLine="0" w:firstLineChars="0"/>
      <w:jc w:val="center"/>
      <w:textAlignment w:val="center"/>
    </w:pPr>
    <w:rPr>
      <w:rFonts w:ascii="宋体" w:hAnsi="宋体" w:eastAsia="宋体" w:cs="Times New Roman"/>
      <w:b/>
      <w:bCs/>
      <w:szCs w:val="24"/>
    </w:rPr>
  </w:style>
  <w:style w:type="paragraph" w:customStyle="1" w:styleId="76">
    <w:name w:val="xl90"/>
    <w:basedOn w:val="1"/>
    <w:qFormat/>
    <w:uiPriority w:val="0"/>
    <w:pPr>
      <w:pBdr>
        <w:top w:val="single" w:color="auto" w:sz="8" w:space="0"/>
        <w:left w:val="single" w:color="auto" w:sz="8" w:space="0"/>
        <w:right w:val="single" w:color="auto" w:sz="8" w:space="0"/>
      </w:pBdr>
      <w:shd w:val="clear" w:color="000000" w:fill="DBE5F1"/>
      <w:spacing w:before="100" w:beforeAutospacing="1" w:after="100" w:afterAutospacing="1" w:line="240" w:lineRule="auto"/>
      <w:ind w:firstLine="0" w:firstLineChars="0"/>
      <w:jc w:val="center"/>
      <w:textAlignment w:val="center"/>
    </w:pPr>
    <w:rPr>
      <w:rFonts w:ascii="宋体" w:hAnsi="宋体" w:eastAsia="宋体" w:cs="Times New Roman"/>
      <w:b/>
      <w:bCs/>
      <w:szCs w:val="24"/>
    </w:rPr>
  </w:style>
  <w:style w:type="paragraph" w:customStyle="1" w:styleId="77">
    <w:name w:val="xl91"/>
    <w:basedOn w:val="1"/>
    <w:qFormat/>
    <w:uiPriority w:val="0"/>
    <w:pPr>
      <w:pBdr>
        <w:left w:val="single" w:color="auto" w:sz="8" w:space="0"/>
        <w:right w:val="single" w:color="auto" w:sz="8" w:space="0"/>
      </w:pBdr>
      <w:shd w:val="clear" w:color="000000" w:fill="DBE5F1"/>
      <w:spacing w:before="100" w:beforeAutospacing="1" w:after="100" w:afterAutospacing="1" w:line="240" w:lineRule="auto"/>
      <w:ind w:firstLine="0" w:firstLineChars="0"/>
      <w:jc w:val="center"/>
      <w:textAlignment w:val="center"/>
    </w:pPr>
    <w:rPr>
      <w:rFonts w:ascii="宋体" w:hAnsi="宋体" w:eastAsia="宋体" w:cs="Times New Roman"/>
      <w:b/>
      <w:bCs/>
      <w:szCs w:val="24"/>
    </w:rPr>
  </w:style>
  <w:style w:type="paragraph" w:customStyle="1" w:styleId="78">
    <w:name w:val="xl92"/>
    <w:basedOn w:val="1"/>
    <w:qFormat/>
    <w:uiPriority w:val="0"/>
    <w:pPr>
      <w:pBdr>
        <w:top w:val="single" w:color="auto" w:sz="8" w:space="0"/>
        <w:left w:val="single" w:color="auto" w:sz="8" w:space="0"/>
      </w:pBdr>
      <w:shd w:val="clear" w:color="000000" w:fill="DBE5F1"/>
      <w:spacing w:before="100" w:beforeAutospacing="1" w:after="100" w:afterAutospacing="1" w:line="240" w:lineRule="auto"/>
      <w:ind w:firstLine="0" w:firstLineChars="0"/>
      <w:jc w:val="center"/>
      <w:textAlignment w:val="center"/>
    </w:pPr>
    <w:rPr>
      <w:rFonts w:ascii="宋体" w:hAnsi="宋体" w:eastAsia="宋体" w:cs="Times New Roman"/>
      <w:b/>
      <w:bCs/>
      <w:szCs w:val="24"/>
    </w:rPr>
  </w:style>
  <w:style w:type="paragraph" w:customStyle="1" w:styleId="79">
    <w:name w:val="xl93"/>
    <w:basedOn w:val="1"/>
    <w:qFormat/>
    <w:uiPriority w:val="0"/>
    <w:pPr>
      <w:pBdr>
        <w:left w:val="single" w:color="auto" w:sz="8" w:space="0"/>
      </w:pBdr>
      <w:shd w:val="clear" w:color="000000" w:fill="DBE5F1"/>
      <w:spacing w:before="100" w:beforeAutospacing="1" w:after="100" w:afterAutospacing="1" w:line="240" w:lineRule="auto"/>
      <w:ind w:firstLine="0" w:firstLineChars="0"/>
      <w:jc w:val="center"/>
      <w:textAlignment w:val="center"/>
    </w:pPr>
    <w:rPr>
      <w:rFonts w:ascii="宋体" w:hAnsi="宋体" w:eastAsia="宋体" w:cs="Times New Roman"/>
      <w:b/>
      <w:bCs/>
      <w:szCs w:val="24"/>
    </w:rPr>
  </w:style>
  <w:style w:type="paragraph" w:customStyle="1" w:styleId="80">
    <w:name w:val="xl94"/>
    <w:basedOn w:val="1"/>
    <w:qFormat/>
    <w:uiPriority w:val="0"/>
    <w:pPr>
      <w:pBdr>
        <w:left w:val="single" w:color="auto" w:sz="8" w:space="0"/>
        <w:bottom w:val="single" w:color="auto" w:sz="8" w:space="0"/>
      </w:pBdr>
      <w:shd w:val="clear" w:color="000000" w:fill="DBE5F1"/>
      <w:spacing w:before="100" w:beforeAutospacing="1" w:after="100" w:afterAutospacing="1" w:line="240" w:lineRule="auto"/>
      <w:ind w:firstLine="0" w:firstLineChars="0"/>
      <w:jc w:val="center"/>
      <w:textAlignment w:val="center"/>
    </w:pPr>
    <w:rPr>
      <w:rFonts w:ascii="宋体" w:hAnsi="宋体" w:eastAsia="宋体" w:cs="Times New Roman"/>
      <w:b/>
      <w:bCs/>
      <w:szCs w:val="24"/>
    </w:rPr>
  </w:style>
  <w:style w:type="paragraph" w:customStyle="1" w:styleId="81">
    <w:name w:val="xl95"/>
    <w:basedOn w:val="1"/>
    <w:qFormat/>
    <w:uiPriority w:val="0"/>
    <w:pPr>
      <w:pBdr>
        <w:left w:val="single" w:color="auto" w:sz="4" w:space="0"/>
        <w:bottom w:val="single" w:color="auto" w:sz="4" w:space="0"/>
        <w:right w:val="single" w:color="auto" w:sz="8" w:space="0"/>
      </w:pBdr>
      <w:spacing w:before="100" w:beforeAutospacing="1" w:after="100" w:afterAutospacing="1" w:line="240" w:lineRule="auto"/>
      <w:ind w:firstLine="0" w:firstLineChars="0"/>
      <w:textAlignment w:val="center"/>
    </w:pPr>
    <w:rPr>
      <w:rFonts w:ascii="宋体" w:hAnsi="宋体" w:eastAsia="宋体" w:cs="Times New Roman"/>
      <w:szCs w:val="24"/>
    </w:rPr>
  </w:style>
  <w:style w:type="paragraph" w:customStyle="1" w:styleId="82">
    <w:name w:val="xl96"/>
    <w:basedOn w:val="1"/>
    <w:qFormat/>
    <w:uiPriority w:val="0"/>
    <w:pPr>
      <w:pBdr>
        <w:top w:val="single" w:color="auto" w:sz="8" w:space="0"/>
        <w:left w:val="single" w:color="auto" w:sz="8" w:space="0"/>
        <w:bottom w:val="single" w:color="auto" w:sz="4" w:space="0"/>
        <w:right w:val="single" w:color="auto" w:sz="8" w:space="0"/>
      </w:pBdr>
      <w:shd w:val="clear" w:color="000000" w:fill="E4DFEC"/>
      <w:spacing w:before="100" w:beforeAutospacing="1" w:after="100" w:afterAutospacing="1" w:line="240" w:lineRule="auto"/>
      <w:ind w:firstLine="0" w:firstLineChars="0"/>
      <w:jc w:val="center"/>
      <w:textAlignment w:val="center"/>
    </w:pPr>
    <w:rPr>
      <w:rFonts w:ascii="宋体" w:hAnsi="宋体" w:eastAsia="宋体" w:cs="Times New Roman"/>
      <w:b/>
      <w:bCs/>
      <w:szCs w:val="24"/>
    </w:rPr>
  </w:style>
  <w:style w:type="paragraph" w:customStyle="1" w:styleId="83">
    <w:name w:val="xl97"/>
    <w:basedOn w:val="1"/>
    <w:qFormat/>
    <w:uiPriority w:val="0"/>
    <w:pPr>
      <w:pBdr>
        <w:top w:val="single" w:color="auto" w:sz="4" w:space="0"/>
        <w:left w:val="single" w:color="auto" w:sz="8" w:space="0"/>
        <w:bottom w:val="single" w:color="auto" w:sz="8" w:space="0"/>
        <w:right w:val="single" w:color="auto" w:sz="8" w:space="0"/>
      </w:pBdr>
      <w:shd w:val="clear" w:color="000000" w:fill="E4DFEC"/>
      <w:spacing w:before="100" w:beforeAutospacing="1" w:after="100" w:afterAutospacing="1" w:line="240" w:lineRule="auto"/>
      <w:ind w:firstLine="0" w:firstLineChars="0"/>
      <w:jc w:val="center"/>
      <w:textAlignment w:val="center"/>
    </w:pPr>
    <w:rPr>
      <w:rFonts w:ascii="宋体" w:hAnsi="宋体" w:eastAsia="宋体" w:cs="Times New Roman"/>
      <w:b/>
      <w:bCs/>
      <w:szCs w:val="24"/>
    </w:rPr>
  </w:style>
  <w:style w:type="paragraph" w:customStyle="1" w:styleId="84">
    <w:name w:val="xl98"/>
    <w:basedOn w:val="1"/>
    <w:qFormat/>
    <w:uiPriority w:val="0"/>
    <w:pPr>
      <w:pBdr>
        <w:top w:val="single" w:color="auto" w:sz="8" w:space="0"/>
        <w:left w:val="single" w:color="auto" w:sz="8" w:space="0"/>
        <w:right w:val="single" w:color="auto" w:sz="8" w:space="0"/>
      </w:pBdr>
      <w:spacing w:before="100" w:beforeAutospacing="1" w:after="100" w:afterAutospacing="1" w:line="240" w:lineRule="auto"/>
      <w:ind w:firstLine="0" w:firstLineChars="0"/>
      <w:jc w:val="center"/>
      <w:textAlignment w:val="center"/>
    </w:pPr>
    <w:rPr>
      <w:rFonts w:ascii="宋体" w:hAnsi="宋体" w:eastAsia="宋体" w:cs="Times New Roman"/>
      <w:szCs w:val="24"/>
    </w:rPr>
  </w:style>
  <w:style w:type="paragraph" w:customStyle="1" w:styleId="85">
    <w:name w:val="xl99"/>
    <w:basedOn w:val="1"/>
    <w:qFormat/>
    <w:uiPriority w:val="0"/>
    <w:pPr>
      <w:pBdr>
        <w:left w:val="single" w:color="auto" w:sz="8" w:space="0"/>
        <w:right w:val="single" w:color="auto" w:sz="8" w:space="0"/>
      </w:pBdr>
      <w:spacing w:before="100" w:beforeAutospacing="1" w:after="100" w:afterAutospacing="1" w:line="240" w:lineRule="auto"/>
      <w:ind w:firstLine="0" w:firstLineChars="0"/>
      <w:jc w:val="center"/>
      <w:textAlignment w:val="center"/>
    </w:pPr>
    <w:rPr>
      <w:rFonts w:ascii="宋体" w:hAnsi="宋体" w:eastAsia="宋体" w:cs="Times New Roman"/>
      <w:szCs w:val="24"/>
    </w:rPr>
  </w:style>
  <w:style w:type="paragraph" w:customStyle="1" w:styleId="86">
    <w:name w:val="xl100"/>
    <w:basedOn w:val="1"/>
    <w:qFormat/>
    <w:uiPriority w:val="0"/>
    <w:pPr>
      <w:pBdr>
        <w:left w:val="single" w:color="auto" w:sz="8" w:space="0"/>
        <w:bottom w:val="single" w:color="auto" w:sz="8" w:space="0"/>
        <w:right w:val="single" w:color="auto" w:sz="8" w:space="0"/>
      </w:pBdr>
      <w:spacing w:before="100" w:beforeAutospacing="1" w:after="100" w:afterAutospacing="1" w:line="240" w:lineRule="auto"/>
      <w:ind w:firstLine="0" w:firstLineChars="0"/>
      <w:jc w:val="center"/>
      <w:textAlignment w:val="center"/>
    </w:pPr>
    <w:rPr>
      <w:rFonts w:ascii="宋体" w:hAnsi="宋体" w:eastAsia="宋体" w:cs="Times New Roman"/>
      <w:szCs w:val="24"/>
    </w:rPr>
  </w:style>
  <w:style w:type="paragraph" w:customStyle="1" w:styleId="87">
    <w:name w:val="xl101"/>
    <w:basedOn w:val="1"/>
    <w:qFormat/>
    <w:uiPriority w:val="0"/>
    <w:pPr>
      <w:pBdr>
        <w:top w:val="single" w:color="auto" w:sz="8" w:space="0"/>
        <w:left w:val="single" w:color="auto" w:sz="8" w:space="0"/>
        <w:right w:val="single" w:color="auto" w:sz="8" w:space="0"/>
      </w:pBdr>
      <w:shd w:val="clear" w:color="000000" w:fill="FFFFFF"/>
      <w:spacing w:before="100" w:beforeAutospacing="1" w:after="100" w:afterAutospacing="1" w:line="240" w:lineRule="auto"/>
      <w:ind w:firstLine="0" w:firstLineChars="0"/>
      <w:jc w:val="center"/>
      <w:textAlignment w:val="center"/>
    </w:pPr>
    <w:rPr>
      <w:rFonts w:ascii="宋体" w:hAnsi="宋体" w:eastAsia="宋体" w:cs="Times New Roman"/>
      <w:szCs w:val="24"/>
    </w:rPr>
  </w:style>
  <w:style w:type="paragraph" w:customStyle="1" w:styleId="88">
    <w:name w:val="xl102"/>
    <w:basedOn w:val="1"/>
    <w:qFormat/>
    <w:uiPriority w:val="0"/>
    <w:pPr>
      <w:pBdr>
        <w:left w:val="single" w:color="auto" w:sz="8" w:space="0"/>
        <w:right w:val="single" w:color="auto" w:sz="8" w:space="0"/>
      </w:pBdr>
      <w:shd w:val="clear" w:color="000000" w:fill="FFFFFF"/>
      <w:spacing w:before="100" w:beforeAutospacing="1" w:after="100" w:afterAutospacing="1" w:line="240" w:lineRule="auto"/>
      <w:ind w:firstLine="0" w:firstLineChars="0"/>
      <w:jc w:val="center"/>
      <w:textAlignment w:val="center"/>
    </w:pPr>
    <w:rPr>
      <w:rFonts w:ascii="宋体" w:hAnsi="宋体" w:eastAsia="宋体" w:cs="Times New Roman"/>
      <w:szCs w:val="24"/>
    </w:rPr>
  </w:style>
  <w:style w:type="paragraph" w:customStyle="1" w:styleId="89">
    <w:name w:val="xl103"/>
    <w:basedOn w:val="1"/>
    <w:qFormat/>
    <w:uiPriority w:val="0"/>
    <w:pPr>
      <w:pBdr>
        <w:left w:val="single" w:color="auto" w:sz="8" w:space="0"/>
        <w:bottom w:val="single" w:color="auto" w:sz="8" w:space="0"/>
        <w:right w:val="single" w:color="auto" w:sz="8" w:space="0"/>
      </w:pBdr>
      <w:shd w:val="clear" w:color="000000" w:fill="FFFFFF"/>
      <w:spacing w:before="100" w:beforeAutospacing="1" w:after="100" w:afterAutospacing="1" w:line="240" w:lineRule="auto"/>
      <w:ind w:firstLine="0" w:firstLineChars="0"/>
      <w:jc w:val="center"/>
      <w:textAlignment w:val="center"/>
    </w:pPr>
    <w:rPr>
      <w:rFonts w:ascii="宋体" w:hAnsi="宋体" w:eastAsia="宋体" w:cs="Times New Roman"/>
      <w:szCs w:val="24"/>
    </w:rPr>
  </w:style>
  <w:style w:type="paragraph" w:customStyle="1" w:styleId="90">
    <w:name w:val="xl104"/>
    <w:basedOn w:val="1"/>
    <w:qFormat/>
    <w:uiPriority w:val="0"/>
    <w:pPr>
      <w:pBdr>
        <w:top w:val="single" w:color="auto" w:sz="8" w:space="0"/>
        <w:left w:val="single" w:color="auto" w:sz="8" w:space="0"/>
        <w:right w:val="single" w:color="auto" w:sz="8" w:space="0"/>
      </w:pBdr>
      <w:spacing w:before="100" w:beforeAutospacing="1" w:after="100" w:afterAutospacing="1" w:line="240" w:lineRule="auto"/>
      <w:ind w:firstLine="0" w:firstLineChars="0"/>
      <w:textAlignment w:val="center"/>
    </w:pPr>
    <w:rPr>
      <w:rFonts w:ascii="宋体" w:hAnsi="宋体" w:eastAsia="宋体" w:cs="Times New Roman"/>
      <w:szCs w:val="24"/>
    </w:rPr>
  </w:style>
  <w:style w:type="paragraph" w:customStyle="1" w:styleId="91">
    <w:name w:val="xl105"/>
    <w:basedOn w:val="1"/>
    <w:qFormat/>
    <w:uiPriority w:val="0"/>
    <w:pPr>
      <w:pBdr>
        <w:left w:val="single" w:color="auto" w:sz="8" w:space="0"/>
        <w:right w:val="single" w:color="auto" w:sz="8" w:space="0"/>
      </w:pBdr>
      <w:spacing w:before="100" w:beforeAutospacing="1" w:after="100" w:afterAutospacing="1" w:line="240" w:lineRule="auto"/>
      <w:ind w:firstLine="0" w:firstLineChars="0"/>
      <w:textAlignment w:val="center"/>
    </w:pPr>
    <w:rPr>
      <w:rFonts w:ascii="宋体" w:hAnsi="宋体" w:eastAsia="宋体" w:cs="Times New Roman"/>
      <w:szCs w:val="24"/>
    </w:rPr>
  </w:style>
  <w:style w:type="paragraph" w:customStyle="1" w:styleId="92">
    <w:name w:val="xl106"/>
    <w:basedOn w:val="1"/>
    <w:qFormat/>
    <w:uiPriority w:val="0"/>
    <w:pPr>
      <w:pBdr>
        <w:left w:val="single" w:color="auto" w:sz="8" w:space="0"/>
        <w:bottom w:val="single" w:color="auto" w:sz="8" w:space="0"/>
        <w:right w:val="single" w:color="auto" w:sz="8" w:space="0"/>
      </w:pBdr>
      <w:spacing w:before="100" w:beforeAutospacing="1" w:after="100" w:afterAutospacing="1" w:line="240" w:lineRule="auto"/>
      <w:ind w:firstLine="0" w:firstLineChars="0"/>
      <w:textAlignment w:val="center"/>
    </w:pPr>
    <w:rPr>
      <w:rFonts w:ascii="宋体" w:hAnsi="宋体" w:eastAsia="宋体" w:cs="Times New Roman"/>
      <w:szCs w:val="24"/>
    </w:rPr>
  </w:style>
  <w:style w:type="paragraph" w:customStyle="1" w:styleId="93">
    <w:name w:val="xl107"/>
    <w:basedOn w:val="1"/>
    <w:qFormat/>
    <w:uiPriority w:val="0"/>
    <w:pPr>
      <w:pBdr>
        <w:left w:val="single" w:color="auto" w:sz="8"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eastAsia="宋体" w:cs="Times New Roman"/>
      <w:szCs w:val="24"/>
    </w:rPr>
  </w:style>
  <w:style w:type="paragraph" w:customStyle="1" w:styleId="94">
    <w:name w:val="xl108"/>
    <w:basedOn w:val="1"/>
    <w:qFormat/>
    <w:uiPriority w:val="0"/>
    <w:pPr>
      <w:pBdr>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宋体" w:hAnsi="宋体" w:eastAsia="宋体" w:cs="Times New Roman"/>
      <w:color w:val="000000"/>
      <w:szCs w:val="24"/>
    </w:rPr>
  </w:style>
  <w:style w:type="paragraph" w:customStyle="1" w:styleId="95">
    <w:name w:val="xl109"/>
    <w:basedOn w:val="1"/>
    <w:qFormat/>
    <w:uiPriority w:val="0"/>
    <w:pPr>
      <w:pBdr>
        <w:top w:val="single" w:color="auto" w:sz="8" w:space="0"/>
        <w:left w:val="single" w:color="auto" w:sz="8" w:space="0"/>
        <w:bottom w:val="single" w:color="auto" w:sz="4" w:space="0"/>
        <w:right w:val="single" w:color="auto" w:sz="8" w:space="0"/>
      </w:pBdr>
      <w:shd w:val="clear" w:color="000000" w:fill="E4DFEC"/>
      <w:spacing w:before="100" w:beforeAutospacing="1" w:after="100" w:afterAutospacing="1" w:line="240" w:lineRule="auto"/>
      <w:ind w:firstLine="0" w:firstLineChars="0"/>
      <w:jc w:val="center"/>
      <w:textAlignment w:val="center"/>
    </w:pPr>
    <w:rPr>
      <w:rFonts w:ascii="宋体" w:hAnsi="宋体" w:eastAsia="宋体" w:cs="Times New Roman"/>
      <w:b/>
      <w:bCs/>
      <w:szCs w:val="24"/>
    </w:rPr>
  </w:style>
  <w:style w:type="paragraph" w:customStyle="1" w:styleId="96">
    <w:name w:val="xl110"/>
    <w:basedOn w:val="1"/>
    <w:qFormat/>
    <w:uiPriority w:val="0"/>
    <w:pPr>
      <w:pBdr>
        <w:top w:val="single" w:color="auto" w:sz="4" w:space="0"/>
        <w:left w:val="single" w:color="auto" w:sz="8" w:space="0"/>
        <w:bottom w:val="single" w:color="auto" w:sz="8" w:space="0"/>
        <w:right w:val="single" w:color="auto" w:sz="8" w:space="0"/>
      </w:pBdr>
      <w:shd w:val="clear" w:color="000000" w:fill="E4DFEC"/>
      <w:spacing w:before="100" w:beforeAutospacing="1" w:after="100" w:afterAutospacing="1" w:line="240" w:lineRule="auto"/>
      <w:ind w:firstLine="0" w:firstLineChars="0"/>
      <w:jc w:val="center"/>
      <w:textAlignment w:val="center"/>
    </w:pPr>
    <w:rPr>
      <w:rFonts w:ascii="宋体" w:hAnsi="宋体" w:eastAsia="宋体" w:cs="Times New Roman"/>
      <w:b/>
      <w:bCs/>
      <w:szCs w:val="24"/>
    </w:rPr>
  </w:style>
  <w:style w:type="paragraph" w:customStyle="1" w:styleId="97">
    <w:name w:val="xl111"/>
    <w:basedOn w:val="1"/>
    <w:qFormat/>
    <w:uiPriority w:val="0"/>
    <w:pPr>
      <w:pBdr>
        <w:top w:val="single" w:color="auto" w:sz="8" w:space="0"/>
        <w:left w:val="single" w:color="auto" w:sz="8" w:space="0"/>
        <w:right w:val="single" w:color="auto" w:sz="8" w:space="0"/>
      </w:pBdr>
      <w:shd w:val="clear" w:color="000000" w:fill="E4DFEC"/>
      <w:spacing w:before="100" w:beforeAutospacing="1" w:after="100" w:afterAutospacing="1" w:line="240" w:lineRule="auto"/>
      <w:ind w:firstLine="0" w:firstLineChars="0"/>
      <w:jc w:val="center"/>
      <w:textAlignment w:val="center"/>
    </w:pPr>
    <w:rPr>
      <w:rFonts w:ascii="宋体" w:hAnsi="宋体" w:eastAsia="宋体" w:cs="Times New Roman"/>
      <w:b/>
      <w:bCs/>
      <w:szCs w:val="24"/>
    </w:rPr>
  </w:style>
  <w:style w:type="paragraph" w:customStyle="1" w:styleId="98">
    <w:name w:val="xl112"/>
    <w:basedOn w:val="1"/>
    <w:qFormat/>
    <w:uiPriority w:val="0"/>
    <w:pPr>
      <w:pBdr>
        <w:left w:val="single" w:color="auto" w:sz="8" w:space="0"/>
        <w:bottom w:val="single" w:color="auto" w:sz="8" w:space="0"/>
        <w:right w:val="single" w:color="auto" w:sz="8" w:space="0"/>
      </w:pBdr>
      <w:shd w:val="clear" w:color="000000" w:fill="E4DFEC"/>
      <w:spacing w:before="100" w:beforeAutospacing="1" w:after="100" w:afterAutospacing="1" w:line="240" w:lineRule="auto"/>
      <w:ind w:firstLine="0" w:firstLineChars="0"/>
      <w:jc w:val="center"/>
      <w:textAlignment w:val="center"/>
    </w:pPr>
    <w:rPr>
      <w:rFonts w:ascii="宋体" w:hAnsi="宋体" w:eastAsia="宋体" w:cs="Times New Roman"/>
      <w:b/>
      <w:bCs/>
      <w:szCs w:val="24"/>
    </w:rPr>
  </w:style>
  <w:style w:type="paragraph" w:customStyle="1" w:styleId="99">
    <w:name w:val="xl113"/>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eastAsia="宋体" w:cs="Times New Roman"/>
      <w:szCs w:val="24"/>
    </w:rPr>
  </w:style>
  <w:style w:type="paragraph" w:customStyle="1" w:styleId="100">
    <w:name w:val="xl114"/>
    <w:basedOn w:val="1"/>
    <w:qFormat/>
    <w:uiPriority w:val="0"/>
    <w:pPr>
      <w:pBdr>
        <w:top w:val="single" w:color="auto" w:sz="4" w:space="0"/>
        <w:left w:val="single" w:color="auto" w:sz="4" w:space="0"/>
        <w:right w:val="single" w:color="auto" w:sz="4" w:space="0"/>
      </w:pBdr>
      <w:spacing w:before="100" w:beforeAutospacing="1" w:after="100" w:afterAutospacing="1" w:line="240" w:lineRule="auto"/>
      <w:ind w:firstLine="0" w:firstLineChars="0"/>
      <w:textAlignment w:val="center"/>
    </w:pPr>
    <w:rPr>
      <w:rFonts w:ascii="宋体" w:hAnsi="宋体" w:eastAsia="宋体" w:cs="Times New Roman"/>
      <w:color w:val="000000"/>
      <w:szCs w:val="24"/>
    </w:rPr>
  </w:style>
  <w:style w:type="paragraph" w:customStyle="1" w:styleId="101">
    <w:name w:val="xl115"/>
    <w:basedOn w:val="1"/>
    <w:qFormat/>
    <w:uiPriority w:val="0"/>
    <w:pPr>
      <w:pBdr>
        <w:left w:val="single" w:color="auto" w:sz="4" w:space="0"/>
        <w:right w:val="single" w:color="auto" w:sz="4" w:space="0"/>
      </w:pBdr>
      <w:spacing w:before="100" w:beforeAutospacing="1" w:after="100" w:afterAutospacing="1" w:line="240" w:lineRule="auto"/>
      <w:ind w:firstLine="0" w:firstLineChars="0"/>
      <w:textAlignment w:val="center"/>
    </w:pPr>
    <w:rPr>
      <w:rFonts w:ascii="宋体" w:hAnsi="宋体" w:eastAsia="宋体" w:cs="Times New Roman"/>
      <w:color w:val="000000"/>
      <w:szCs w:val="24"/>
    </w:rPr>
  </w:style>
  <w:style w:type="paragraph" w:customStyle="1" w:styleId="102">
    <w:name w:val="xl116"/>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line="240" w:lineRule="auto"/>
      <w:ind w:firstLine="0" w:firstLineChars="0"/>
      <w:textAlignment w:val="top"/>
    </w:pPr>
    <w:rPr>
      <w:rFonts w:eastAsia="Times New Roman" w:cs="Times New Roman"/>
      <w:szCs w:val="24"/>
    </w:rPr>
  </w:style>
  <w:style w:type="paragraph" w:customStyle="1" w:styleId="103">
    <w:name w:val="xl117"/>
    <w:basedOn w:val="1"/>
    <w:qFormat/>
    <w:uiPriority w:val="0"/>
    <w:pPr>
      <w:pBdr>
        <w:top w:val="single" w:color="auto" w:sz="8" w:space="0"/>
        <w:left w:val="single" w:color="auto" w:sz="8" w:space="0"/>
        <w:right w:val="single" w:color="auto" w:sz="8" w:space="0"/>
      </w:pBdr>
      <w:spacing w:before="100" w:beforeAutospacing="1" w:after="100" w:afterAutospacing="1" w:line="240" w:lineRule="auto"/>
      <w:ind w:firstLine="0" w:firstLineChars="0"/>
      <w:jc w:val="center"/>
      <w:textAlignment w:val="center"/>
    </w:pPr>
    <w:rPr>
      <w:rFonts w:ascii="宋体" w:hAnsi="宋体" w:eastAsia="宋体" w:cs="Times New Roman"/>
      <w:b/>
      <w:bCs/>
      <w:szCs w:val="24"/>
    </w:rPr>
  </w:style>
  <w:style w:type="paragraph" w:customStyle="1" w:styleId="104">
    <w:name w:val="xl118"/>
    <w:basedOn w:val="1"/>
    <w:qFormat/>
    <w:uiPriority w:val="0"/>
    <w:pPr>
      <w:pBdr>
        <w:left w:val="single" w:color="auto" w:sz="8" w:space="0"/>
        <w:right w:val="single" w:color="auto" w:sz="8" w:space="0"/>
      </w:pBdr>
      <w:spacing w:before="100" w:beforeAutospacing="1" w:after="100" w:afterAutospacing="1" w:line="240" w:lineRule="auto"/>
      <w:ind w:firstLine="0" w:firstLineChars="0"/>
      <w:jc w:val="center"/>
      <w:textAlignment w:val="center"/>
    </w:pPr>
    <w:rPr>
      <w:rFonts w:ascii="宋体" w:hAnsi="宋体" w:eastAsia="宋体" w:cs="Times New Roman"/>
      <w:b/>
      <w:bCs/>
      <w:szCs w:val="24"/>
    </w:rPr>
  </w:style>
  <w:style w:type="paragraph" w:customStyle="1" w:styleId="105">
    <w:name w:val="xl119"/>
    <w:basedOn w:val="1"/>
    <w:qFormat/>
    <w:uiPriority w:val="0"/>
    <w:pPr>
      <w:pBdr>
        <w:left w:val="single" w:color="auto" w:sz="8" w:space="0"/>
        <w:bottom w:val="single" w:color="auto" w:sz="8" w:space="0"/>
        <w:right w:val="single" w:color="auto" w:sz="8" w:space="0"/>
      </w:pBdr>
      <w:spacing w:before="100" w:beforeAutospacing="1" w:after="100" w:afterAutospacing="1" w:line="240" w:lineRule="auto"/>
      <w:ind w:firstLine="0" w:firstLineChars="0"/>
      <w:jc w:val="center"/>
      <w:textAlignment w:val="center"/>
    </w:pPr>
    <w:rPr>
      <w:rFonts w:ascii="宋体" w:hAnsi="宋体" w:eastAsia="宋体" w:cs="Times New Roman"/>
      <w:b/>
      <w:bCs/>
      <w:szCs w:val="24"/>
    </w:rPr>
  </w:style>
  <w:style w:type="paragraph" w:customStyle="1" w:styleId="106">
    <w:name w:val="xl120"/>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line="240" w:lineRule="auto"/>
      <w:ind w:firstLine="0" w:firstLineChars="0"/>
      <w:textAlignment w:val="center"/>
    </w:pPr>
    <w:rPr>
      <w:rFonts w:eastAsia="Times New Roman" w:cs="Times New Roman"/>
      <w:szCs w:val="24"/>
    </w:rPr>
  </w:style>
  <w:style w:type="paragraph" w:customStyle="1" w:styleId="107">
    <w:name w:val="xl121"/>
    <w:basedOn w:val="1"/>
    <w:qFormat/>
    <w:uiPriority w:val="0"/>
    <w:pPr>
      <w:pBdr>
        <w:left w:val="single" w:color="auto" w:sz="4" w:space="0"/>
        <w:right w:val="single" w:color="auto" w:sz="8" w:space="0"/>
      </w:pBdr>
      <w:spacing w:before="100" w:beforeAutospacing="1" w:after="100" w:afterAutospacing="1" w:line="240" w:lineRule="auto"/>
      <w:ind w:firstLine="0" w:firstLineChars="0"/>
      <w:textAlignment w:val="center"/>
    </w:pPr>
    <w:rPr>
      <w:rFonts w:eastAsia="Times New Roman" w:cs="Times New Roman"/>
      <w:szCs w:val="24"/>
    </w:rPr>
  </w:style>
  <w:style w:type="paragraph" w:customStyle="1" w:styleId="108">
    <w:name w:val="xl122"/>
    <w:basedOn w:val="1"/>
    <w:qFormat/>
    <w:uiPriority w:val="0"/>
    <w:pPr>
      <w:pBdr>
        <w:left w:val="single" w:color="auto" w:sz="4" w:space="0"/>
        <w:bottom w:val="single" w:color="auto" w:sz="4" w:space="0"/>
        <w:right w:val="single" w:color="auto" w:sz="8" w:space="0"/>
      </w:pBdr>
      <w:spacing w:before="100" w:beforeAutospacing="1" w:after="100" w:afterAutospacing="1" w:line="240" w:lineRule="auto"/>
      <w:ind w:firstLine="0" w:firstLineChars="0"/>
      <w:textAlignment w:val="center"/>
    </w:pPr>
    <w:rPr>
      <w:rFonts w:eastAsia="Times New Roman" w:cs="Times New Roman"/>
      <w:szCs w:val="24"/>
    </w:rPr>
  </w:style>
  <w:style w:type="paragraph" w:customStyle="1" w:styleId="109">
    <w:name w:val="xl123"/>
    <w:basedOn w:val="1"/>
    <w:qFormat/>
    <w:uiPriority w:val="0"/>
    <w:pPr>
      <w:pBdr>
        <w:left w:val="single" w:color="auto" w:sz="4" w:space="0"/>
        <w:right w:val="single" w:color="auto" w:sz="4" w:space="0"/>
      </w:pBdr>
      <w:spacing w:before="100" w:beforeAutospacing="1" w:after="100" w:afterAutospacing="1" w:line="240" w:lineRule="auto"/>
      <w:ind w:firstLine="0" w:firstLineChars="0"/>
      <w:textAlignment w:val="center"/>
    </w:pPr>
    <w:rPr>
      <w:rFonts w:ascii="宋体" w:hAnsi="宋体" w:eastAsia="宋体" w:cs="Times New Roman"/>
      <w:color w:val="000000"/>
      <w:szCs w:val="24"/>
    </w:rPr>
  </w:style>
  <w:style w:type="paragraph" w:customStyle="1" w:styleId="110">
    <w:name w:val="xl124"/>
    <w:basedOn w:val="1"/>
    <w:qFormat/>
    <w:uiPriority w:val="0"/>
    <w:pPr>
      <w:pBdr>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宋体" w:hAnsi="宋体" w:eastAsia="宋体" w:cs="Times New Roman"/>
      <w:color w:val="000000"/>
      <w:szCs w:val="24"/>
    </w:rPr>
  </w:style>
  <w:style w:type="paragraph" w:customStyle="1" w:styleId="111">
    <w:name w:val="xl125"/>
    <w:basedOn w:val="1"/>
    <w:qFormat/>
    <w:uiPriority w:val="0"/>
    <w:pPr>
      <w:pBdr>
        <w:top w:val="single" w:color="auto" w:sz="4" w:space="0"/>
        <w:left w:val="single" w:color="auto" w:sz="4" w:space="0"/>
        <w:right w:val="single" w:color="auto" w:sz="4" w:space="0"/>
      </w:pBdr>
      <w:spacing w:before="100" w:beforeAutospacing="1" w:after="100" w:afterAutospacing="1" w:line="240" w:lineRule="auto"/>
      <w:ind w:firstLine="0" w:firstLineChars="0"/>
      <w:textAlignment w:val="center"/>
    </w:pPr>
    <w:rPr>
      <w:rFonts w:ascii="宋体" w:hAnsi="宋体" w:eastAsia="宋体" w:cs="Times New Roman"/>
      <w:szCs w:val="24"/>
    </w:rPr>
  </w:style>
  <w:style w:type="paragraph" w:customStyle="1" w:styleId="112">
    <w:name w:val="xl126"/>
    <w:basedOn w:val="1"/>
    <w:qFormat/>
    <w:uiPriority w:val="0"/>
    <w:pPr>
      <w:pBdr>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宋体" w:hAnsi="宋体" w:eastAsia="宋体" w:cs="Times New Roman"/>
      <w:szCs w:val="24"/>
    </w:rPr>
  </w:style>
  <w:style w:type="paragraph" w:customStyle="1" w:styleId="113">
    <w:name w:val="xl127"/>
    <w:basedOn w:val="1"/>
    <w:qFormat/>
    <w:uiPriority w:val="0"/>
    <w:pPr>
      <w:pBdr>
        <w:left w:val="single" w:color="auto" w:sz="4" w:space="0"/>
        <w:right w:val="single" w:color="auto" w:sz="4" w:space="0"/>
      </w:pBdr>
      <w:spacing w:before="100" w:beforeAutospacing="1" w:after="100" w:afterAutospacing="1" w:line="240" w:lineRule="auto"/>
      <w:ind w:firstLine="0" w:firstLineChars="0"/>
      <w:textAlignment w:val="center"/>
    </w:pPr>
    <w:rPr>
      <w:rFonts w:ascii="宋体" w:hAnsi="宋体" w:eastAsia="宋体" w:cs="Times New Roman"/>
      <w:szCs w:val="24"/>
    </w:rPr>
  </w:style>
  <w:style w:type="paragraph" w:customStyle="1" w:styleId="114">
    <w:name w:val="xl128"/>
    <w:basedOn w:val="1"/>
    <w:qFormat/>
    <w:uiPriority w:val="0"/>
    <w:pPr>
      <w:pBdr>
        <w:top w:val="single" w:color="auto" w:sz="4" w:space="0"/>
        <w:left w:val="single" w:color="auto" w:sz="4" w:space="0"/>
        <w:right w:val="single" w:color="auto" w:sz="8" w:space="0"/>
      </w:pBdr>
      <w:spacing w:before="100" w:beforeAutospacing="1" w:after="100" w:afterAutospacing="1" w:line="240" w:lineRule="auto"/>
      <w:ind w:firstLine="0" w:firstLineChars="0"/>
      <w:textAlignment w:val="center"/>
    </w:pPr>
    <w:rPr>
      <w:rFonts w:eastAsia="Times New Roman" w:cs="Times New Roman"/>
      <w:szCs w:val="24"/>
    </w:rPr>
  </w:style>
  <w:style w:type="paragraph" w:customStyle="1" w:styleId="115">
    <w:name w:val="xl129"/>
    <w:basedOn w:val="1"/>
    <w:qFormat/>
    <w:uiPriority w:val="0"/>
    <w:pPr>
      <w:pBdr>
        <w:top w:val="single" w:color="auto" w:sz="8" w:space="0"/>
        <w:left w:val="single" w:color="auto" w:sz="8" w:space="0"/>
        <w:bottom w:val="single" w:color="auto" w:sz="8" w:space="0"/>
      </w:pBdr>
      <w:spacing w:before="100" w:beforeAutospacing="1" w:after="100" w:afterAutospacing="1" w:line="240" w:lineRule="auto"/>
      <w:ind w:firstLine="0" w:firstLineChars="0"/>
      <w:jc w:val="center"/>
      <w:textAlignment w:val="center"/>
    </w:pPr>
    <w:rPr>
      <w:rFonts w:eastAsia="Times New Roman" w:cs="Times New Roman"/>
      <w:b/>
      <w:bCs/>
      <w:szCs w:val="32"/>
    </w:rPr>
  </w:style>
  <w:style w:type="paragraph" w:customStyle="1" w:styleId="116">
    <w:name w:val="xl130"/>
    <w:basedOn w:val="1"/>
    <w:qFormat/>
    <w:uiPriority w:val="0"/>
    <w:pPr>
      <w:pBdr>
        <w:top w:val="single" w:color="auto" w:sz="8" w:space="0"/>
        <w:bottom w:val="single" w:color="auto" w:sz="8" w:space="0"/>
      </w:pBdr>
      <w:spacing w:before="100" w:beforeAutospacing="1" w:after="100" w:afterAutospacing="1" w:line="240" w:lineRule="auto"/>
      <w:ind w:firstLine="0" w:firstLineChars="0"/>
      <w:jc w:val="center"/>
      <w:textAlignment w:val="center"/>
    </w:pPr>
    <w:rPr>
      <w:rFonts w:eastAsia="Times New Roman" w:cs="Times New Roman"/>
      <w:b/>
      <w:bCs/>
      <w:szCs w:val="32"/>
    </w:rPr>
  </w:style>
  <w:style w:type="paragraph" w:customStyle="1" w:styleId="117">
    <w:name w:val="xl131"/>
    <w:basedOn w:val="1"/>
    <w:qFormat/>
    <w:uiPriority w:val="0"/>
    <w:pPr>
      <w:pBdr>
        <w:top w:val="single" w:color="auto" w:sz="8" w:space="0"/>
        <w:left w:val="single" w:color="auto" w:sz="8" w:space="0"/>
        <w:bottom w:val="single" w:color="auto" w:sz="8" w:space="0"/>
      </w:pBdr>
      <w:shd w:val="clear" w:color="000000" w:fill="E4DFEC"/>
      <w:spacing w:before="100" w:beforeAutospacing="1" w:after="100" w:afterAutospacing="1" w:line="240" w:lineRule="auto"/>
      <w:ind w:firstLine="0" w:firstLineChars="0"/>
      <w:jc w:val="center"/>
      <w:textAlignment w:val="center"/>
    </w:pPr>
    <w:rPr>
      <w:rFonts w:ascii="宋体" w:hAnsi="宋体" w:eastAsia="宋体" w:cs="Times New Roman"/>
      <w:b/>
      <w:bCs/>
      <w:szCs w:val="24"/>
    </w:rPr>
  </w:style>
  <w:style w:type="paragraph" w:customStyle="1" w:styleId="118">
    <w:name w:val="xl132"/>
    <w:basedOn w:val="1"/>
    <w:qFormat/>
    <w:uiPriority w:val="0"/>
    <w:pPr>
      <w:pBdr>
        <w:top w:val="single" w:color="auto" w:sz="8" w:space="0"/>
        <w:bottom w:val="single" w:color="auto" w:sz="8" w:space="0"/>
      </w:pBdr>
      <w:shd w:val="clear" w:color="000000" w:fill="E4DFEC"/>
      <w:spacing w:before="100" w:beforeAutospacing="1" w:after="100" w:afterAutospacing="1" w:line="240" w:lineRule="auto"/>
      <w:ind w:firstLine="0" w:firstLineChars="0"/>
      <w:jc w:val="center"/>
      <w:textAlignment w:val="center"/>
    </w:pPr>
    <w:rPr>
      <w:rFonts w:ascii="宋体" w:hAnsi="宋体" w:eastAsia="宋体" w:cs="Times New Roman"/>
      <w:b/>
      <w:bCs/>
      <w:szCs w:val="24"/>
    </w:rPr>
  </w:style>
  <w:style w:type="paragraph" w:customStyle="1" w:styleId="119">
    <w:name w:val="xl133"/>
    <w:basedOn w:val="1"/>
    <w:qFormat/>
    <w:uiPriority w:val="0"/>
    <w:pPr>
      <w:pBdr>
        <w:top w:val="single" w:color="auto" w:sz="8" w:space="0"/>
        <w:bottom w:val="single" w:color="auto" w:sz="8" w:space="0"/>
        <w:right w:val="single" w:color="auto" w:sz="8" w:space="0"/>
      </w:pBdr>
      <w:shd w:val="clear" w:color="000000" w:fill="E4DFEC"/>
      <w:spacing w:before="100" w:beforeAutospacing="1" w:after="100" w:afterAutospacing="1" w:line="240" w:lineRule="auto"/>
      <w:ind w:firstLine="0" w:firstLineChars="0"/>
      <w:jc w:val="center"/>
      <w:textAlignment w:val="center"/>
    </w:pPr>
    <w:rPr>
      <w:rFonts w:ascii="宋体" w:hAnsi="宋体" w:eastAsia="宋体" w:cs="Times New Roman"/>
      <w:b/>
      <w:bCs/>
      <w:szCs w:val="24"/>
    </w:rPr>
  </w:style>
  <w:style w:type="paragraph" w:customStyle="1" w:styleId="120">
    <w:name w:val="xl134"/>
    <w:basedOn w:val="1"/>
    <w:qFormat/>
    <w:uiPriority w:val="0"/>
    <w:pPr>
      <w:pBdr>
        <w:left w:val="single" w:color="auto" w:sz="8" w:space="0"/>
        <w:bottom w:val="single" w:color="auto" w:sz="8" w:space="0"/>
      </w:pBdr>
      <w:spacing w:before="100" w:beforeAutospacing="1" w:after="100" w:afterAutospacing="1" w:line="240" w:lineRule="auto"/>
      <w:ind w:firstLine="0" w:firstLineChars="0"/>
      <w:jc w:val="center"/>
      <w:textAlignment w:val="center"/>
    </w:pPr>
    <w:rPr>
      <w:rFonts w:eastAsia="Times New Roman" w:cs="Times New Roman"/>
      <w:color w:val="000000"/>
      <w:szCs w:val="32"/>
    </w:rPr>
  </w:style>
  <w:style w:type="paragraph" w:customStyle="1" w:styleId="121">
    <w:name w:val="xl135"/>
    <w:basedOn w:val="1"/>
    <w:qFormat/>
    <w:uiPriority w:val="0"/>
    <w:pPr>
      <w:pBdr>
        <w:bottom w:val="single" w:color="auto" w:sz="8" w:space="0"/>
      </w:pBdr>
      <w:spacing w:before="100" w:beforeAutospacing="1" w:after="100" w:afterAutospacing="1" w:line="240" w:lineRule="auto"/>
      <w:ind w:firstLine="0" w:firstLineChars="0"/>
      <w:jc w:val="center"/>
      <w:textAlignment w:val="center"/>
    </w:pPr>
    <w:rPr>
      <w:rFonts w:eastAsia="Times New Roman" w:cs="Times New Roman"/>
      <w:color w:val="000000"/>
      <w:szCs w:val="32"/>
    </w:rPr>
  </w:style>
  <w:style w:type="paragraph" w:customStyle="1" w:styleId="122">
    <w:name w:val="xl136"/>
    <w:basedOn w:val="1"/>
    <w:qFormat/>
    <w:uiPriority w:val="0"/>
    <w:pPr>
      <w:pBdr>
        <w:bottom w:val="single" w:color="auto" w:sz="8" w:space="0"/>
        <w:right w:val="single" w:color="auto" w:sz="8" w:space="0"/>
      </w:pBdr>
      <w:spacing w:before="100" w:beforeAutospacing="1" w:after="100" w:afterAutospacing="1" w:line="240" w:lineRule="auto"/>
      <w:ind w:firstLine="0" w:firstLineChars="0"/>
      <w:jc w:val="center"/>
      <w:textAlignment w:val="center"/>
    </w:pPr>
    <w:rPr>
      <w:rFonts w:eastAsia="Times New Roman" w:cs="Times New Roman"/>
      <w:color w:val="000000"/>
      <w:szCs w:val="32"/>
    </w:rPr>
  </w:style>
  <w:style w:type="paragraph" w:customStyle="1" w:styleId="123">
    <w:name w:val="xl137"/>
    <w:basedOn w:val="1"/>
    <w:qFormat/>
    <w:uiPriority w:val="0"/>
    <w:pPr>
      <w:pBdr>
        <w:top w:val="single" w:color="auto" w:sz="4" w:space="0"/>
        <w:left w:val="single" w:color="auto" w:sz="8" w:space="0"/>
        <w:bottom w:val="single" w:color="auto" w:sz="8" w:space="0"/>
        <w:right w:val="single" w:color="auto" w:sz="4" w:space="0"/>
      </w:pBdr>
      <w:spacing w:before="100" w:beforeAutospacing="1" w:after="100" w:afterAutospacing="1" w:line="240" w:lineRule="auto"/>
      <w:ind w:firstLine="0" w:firstLineChars="0"/>
      <w:jc w:val="center"/>
      <w:textAlignment w:val="center"/>
    </w:pPr>
    <w:rPr>
      <w:rFonts w:ascii="宋体" w:hAnsi="宋体" w:eastAsia="宋体" w:cs="Times New Roman"/>
      <w:szCs w:val="24"/>
    </w:rPr>
  </w:style>
  <w:style w:type="paragraph" w:customStyle="1" w:styleId="124">
    <w:name w:val="xl138"/>
    <w:basedOn w:val="1"/>
    <w:qFormat/>
    <w:uiPriority w:val="0"/>
    <w:pPr>
      <w:pBdr>
        <w:left w:val="single" w:color="auto" w:sz="4" w:space="0"/>
        <w:bottom w:val="single" w:color="auto" w:sz="8" w:space="0"/>
        <w:right w:val="single" w:color="auto" w:sz="4" w:space="0"/>
      </w:pBdr>
      <w:spacing w:before="100" w:beforeAutospacing="1" w:after="100" w:afterAutospacing="1" w:line="240" w:lineRule="auto"/>
      <w:ind w:firstLine="0" w:firstLineChars="0"/>
      <w:textAlignment w:val="center"/>
    </w:pPr>
    <w:rPr>
      <w:rFonts w:ascii="宋体" w:hAnsi="宋体" w:eastAsia="宋体" w:cs="Times New Roman"/>
      <w:color w:val="000000"/>
      <w:szCs w:val="24"/>
    </w:rPr>
  </w:style>
  <w:style w:type="paragraph" w:customStyle="1" w:styleId="125">
    <w:name w:val="xl139"/>
    <w:basedOn w:val="1"/>
    <w:qFormat/>
    <w:uiPriority w:val="0"/>
    <w:pPr>
      <w:pBdr>
        <w:top w:val="single" w:color="auto" w:sz="4" w:space="0"/>
        <w:left w:val="single" w:color="auto" w:sz="4" w:space="0"/>
        <w:right w:val="single" w:color="auto" w:sz="8" w:space="0"/>
      </w:pBdr>
      <w:spacing w:before="100" w:beforeAutospacing="1" w:after="100" w:afterAutospacing="1" w:line="240" w:lineRule="auto"/>
      <w:ind w:firstLine="0" w:firstLineChars="0"/>
      <w:textAlignment w:val="center"/>
    </w:pPr>
    <w:rPr>
      <w:rFonts w:ascii="宋体" w:hAnsi="宋体" w:eastAsia="宋体" w:cs="Times New Roman"/>
      <w:szCs w:val="24"/>
    </w:rPr>
  </w:style>
  <w:style w:type="paragraph" w:customStyle="1" w:styleId="126">
    <w:name w:val="xl140"/>
    <w:basedOn w:val="1"/>
    <w:qFormat/>
    <w:uiPriority w:val="0"/>
    <w:pPr>
      <w:pBdr>
        <w:left w:val="single" w:color="auto" w:sz="4" w:space="0"/>
        <w:right w:val="single" w:color="auto" w:sz="8" w:space="0"/>
      </w:pBdr>
      <w:spacing w:before="100" w:beforeAutospacing="1" w:after="100" w:afterAutospacing="1" w:line="240" w:lineRule="auto"/>
      <w:ind w:firstLine="0" w:firstLineChars="0"/>
      <w:textAlignment w:val="center"/>
    </w:pPr>
    <w:rPr>
      <w:rFonts w:ascii="宋体" w:hAnsi="宋体" w:eastAsia="宋体" w:cs="Times New Roman"/>
      <w:szCs w:val="24"/>
    </w:rPr>
  </w:style>
  <w:style w:type="paragraph" w:customStyle="1" w:styleId="127">
    <w:name w:val="xl141"/>
    <w:basedOn w:val="1"/>
    <w:qFormat/>
    <w:uiPriority w:val="0"/>
    <w:pPr>
      <w:pBdr>
        <w:top w:val="single" w:color="auto" w:sz="4" w:space="0"/>
        <w:left w:val="single" w:color="auto" w:sz="4" w:space="0"/>
        <w:right w:val="single" w:color="auto" w:sz="8" w:space="0"/>
      </w:pBdr>
      <w:spacing w:before="100" w:beforeAutospacing="1" w:after="100" w:afterAutospacing="1" w:line="240" w:lineRule="auto"/>
      <w:ind w:firstLine="0" w:firstLineChars="0"/>
      <w:textAlignment w:val="center"/>
    </w:pPr>
    <w:rPr>
      <w:rFonts w:ascii="宋体" w:hAnsi="宋体" w:eastAsia="宋体" w:cs="Times New Roman"/>
      <w:szCs w:val="24"/>
    </w:rPr>
  </w:style>
  <w:style w:type="paragraph" w:customStyle="1" w:styleId="128">
    <w:name w:val="xl142"/>
    <w:basedOn w:val="1"/>
    <w:qFormat/>
    <w:uiPriority w:val="0"/>
    <w:pPr>
      <w:pBdr>
        <w:left w:val="single" w:color="auto" w:sz="4" w:space="0"/>
        <w:bottom w:val="single" w:color="auto" w:sz="8" w:space="0"/>
        <w:right w:val="single" w:color="auto" w:sz="8" w:space="0"/>
      </w:pBdr>
      <w:spacing w:before="100" w:beforeAutospacing="1" w:after="100" w:afterAutospacing="1" w:line="240" w:lineRule="auto"/>
      <w:ind w:firstLine="0" w:firstLineChars="0"/>
      <w:textAlignment w:val="center"/>
    </w:pPr>
    <w:rPr>
      <w:rFonts w:eastAsia="Times New Roman" w:cs="Times New Roman"/>
      <w:szCs w:val="24"/>
    </w:rPr>
  </w:style>
  <w:style w:type="table" w:customStyle="1" w:styleId="129">
    <w:name w:val="网格型1"/>
    <w:basedOn w:val="3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0">
    <w:name w:val="TOC 标题1"/>
    <w:basedOn w:val="5"/>
    <w:next w:val="1"/>
    <w:unhideWhenUsed/>
    <w:qFormat/>
    <w:uiPriority w:val="39"/>
    <w:pPr>
      <w:spacing w:before="480" w:after="0" w:line="276" w:lineRule="auto"/>
      <w:ind w:firstLine="0" w:firstLineChars="0"/>
      <w:outlineLvl w:val="9"/>
    </w:pPr>
    <w:rPr>
      <w:rFonts w:asciiTheme="majorHAnsi" w:hAnsiTheme="majorHAnsi" w:eastAsiaTheme="majorEastAsia"/>
      <w:color w:val="376092" w:themeColor="accent1" w:themeShade="BF"/>
    </w:rPr>
  </w:style>
  <w:style w:type="table" w:customStyle="1" w:styleId="131">
    <w:name w:val="网格型2"/>
    <w:basedOn w:val="30"/>
    <w:qFormat/>
    <w:uiPriority w:val="3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2">
    <w:name w:val="网格型3"/>
    <w:basedOn w:val="3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3">
    <w:name w:val="网格型5"/>
    <w:basedOn w:val="3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4">
    <w:name w:val="尾注文本 字符"/>
    <w:basedOn w:val="32"/>
    <w:link w:val="17"/>
    <w:semiHidden/>
    <w:qFormat/>
    <w:uiPriority w:val="99"/>
    <w:rPr>
      <w:rFonts w:ascii="Times New Roman" w:hAnsi="Times New Roman" w:eastAsia="仿宋_GB2312"/>
      <w:sz w:val="28"/>
    </w:rPr>
  </w:style>
  <w:style w:type="paragraph" w:customStyle="1" w:styleId="135">
    <w:name w:val="TOC 标题2"/>
    <w:basedOn w:val="5"/>
    <w:next w:val="1"/>
    <w:unhideWhenUsed/>
    <w:qFormat/>
    <w:uiPriority w:val="39"/>
    <w:pPr>
      <w:spacing w:before="340" w:beforeLines="0" w:after="330" w:afterLines="0" w:line="578" w:lineRule="auto"/>
      <w:ind w:firstLine="200"/>
      <w:outlineLvl w:val="9"/>
    </w:pPr>
    <w:rPr>
      <w:rFonts w:eastAsia="仿宋_GB2312" w:cstheme="minorBidi"/>
      <w:kern w:val="44"/>
      <w:sz w:val="44"/>
      <w:szCs w:val="44"/>
    </w:rPr>
  </w:style>
  <w:style w:type="paragraph" w:styleId="136">
    <w:name w:val="List Paragraph"/>
    <w:basedOn w:val="1"/>
    <w:qFormat/>
    <w:uiPriority w:val="99"/>
    <w:pPr>
      <w:ind w:firstLine="420"/>
    </w:pPr>
  </w:style>
  <w:style w:type="character" w:customStyle="1" w:styleId="137">
    <w:name w:val="批注文字 字符"/>
    <w:basedOn w:val="32"/>
    <w:link w:val="11"/>
    <w:semiHidden/>
    <w:qFormat/>
    <w:uiPriority w:val="99"/>
    <w:rPr>
      <w:rFonts w:ascii="Times New Roman" w:hAnsi="Times New Roman" w:eastAsia="仿宋_GB2312"/>
      <w:sz w:val="28"/>
      <w:szCs w:val="22"/>
    </w:rPr>
  </w:style>
  <w:style w:type="character" w:customStyle="1" w:styleId="138">
    <w:name w:val="批注主题 字符"/>
    <w:basedOn w:val="137"/>
    <w:link w:val="29"/>
    <w:semiHidden/>
    <w:qFormat/>
    <w:uiPriority w:val="99"/>
    <w:rPr>
      <w:rFonts w:ascii="Times New Roman" w:hAnsi="Times New Roman" w:eastAsia="仿宋_GB2312"/>
      <w:b/>
      <w:bCs/>
      <w:sz w:val="28"/>
      <w:szCs w:val="22"/>
    </w:rPr>
  </w:style>
  <w:style w:type="character" w:customStyle="1" w:styleId="139">
    <w:name w:val="font31"/>
    <w:basedOn w:val="32"/>
    <w:qFormat/>
    <w:uiPriority w:val="0"/>
    <w:rPr>
      <w:rFonts w:hint="eastAsia" w:ascii="仿宋_GB2312" w:eastAsia="仿宋_GB2312" w:cs="仿宋_GB2312"/>
      <w:b/>
      <w:bCs/>
      <w:color w:val="000000"/>
      <w:sz w:val="22"/>
      <w:szCs w:val="22"/>
      <w:u w:val="none"/>
    </w:rPr>
  </w:style>
  <w:style w:type="character" w:customStyle="1" w:styleId="140">
    <w:name w:val="font21"/>
    <w:basedOn w:val="32"/>
    <w:qFormat/>
    <w:uiPriority w:val="0"/>
    <w:rPr>
      <w:rFonts w:hint="eastAsia" w:ascii="仿宋_GB2312" w:eastAsia="仿宋_GB2312" w:cs="仿宋_GB2312"/>
      <w:color w:val="000000"/>
      <w:sz w:val="22"/>
      <w:szCs w:val="22"/>
      <w:u w:val="none"/>
    </w:rPr>
  </w:style>
  <w:style w:type="paragraph" w:customStyle="1" w:styleId="141">
    <w:name w:val="WPSOffice手动目录 1"/>
    <w:qFormat/>
    <w:uiPriority w:val="0"/>
    <w:rPr>
      <w:rFonts w:ascii="Times New Roman" w:hAnsi="Times New Roman" w:eastAsia="宋体" w:cs="Times New Roman"/>
      <w:lang w:val="en-US" w:eastAsia="zh-CN" w:bidi="ar-SA"/>
    </w:rPr>
  </w:style>
  <w:style w:type="paragraph" w:customStyle="1" w:styleId="142">
    <w:name w:val="WPSOffice手动目录 2"/>
    <w:qFormat/>
    <w:uiPriority w:val="0"/>
    <w:pPr>
      <w:ind w:left="200" w:leftChars="200"/>
    </w:pPr>
    <w:rPr>
      <w:rFonts w:ascii="Times New Roman" w:hAnsi="Times New Roman" w:eastAsia="宋体" w:cs="Times New Roman"/>
      <w:lang w:val="en-US" w:eastAsia="zh-CN" w:bidi="ar-SA"/>
    </w:rPr>
  </w:style>
  <w:style w:type="paragraph" w:styleId="143">
    <w:name w:val="Quote"/>
    <w:basedOn w:val="1"/>
    <w:next w:val="1"/>
    <w:qFormat/>
    <w:uiPriority w:val="29"/>
    <w:pPr>
      <w:spacing w:line="240" w:lineRule="auto"/>
    </w:pPr>
    <w:rPr>
      <w:rFonts w:ascii="仿宋_GB2312" w:hAnsiTheme="minorHAnsi"/>
      <w:sz w:val="24"/>
      <w:szCs w:val="24"/>
    </w:rPr>
  </w:style>
  <w:style w:type="character" w:customStyle="1" w:styleId="144">
    <w:name w:val="fontstyle01"/>
    <w:basedOn w:val="32"/>
    <w:qFormat/>
    <w:uiPriority w:val="0"/>
    <w:rPr>
      <w:rFonts w:ascii="仿宋_GB2312" w:hAnsi="仿宋_GB2312" w:eastAsia="仿宋_GB2312" w:cs="仿宋_GB2312"/>
      <w:color w:val="000000"/>
      <w:sz w:val="32"/>
      <w:szCs w:val="32"/>
    </w:rPr>
  </w:style>
  <w:style w:type="paragraph" w:customStyle="1" w:styleId="145">
    <w:name w:val="目录 1 New"/>
    <w:basedOn w:val="146"/>
    <w:next w:val="146"/>
    <w:qFormat/>
    <w:uiPriority w:val="0"/>
  </w:style>
  <w:style w:type="paragraph" w:customStyle="1" w:styleId="146">
    <w:name w:val="正文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7">
    <w:name w:val="正文1"/>
    <w:qFormat/>
    <w:uiPriority w:val="0"/>
    <w:pPr>
      <w:jc w:val="both"/>
    </w:pPr>
    <w:rPr>
      <w:rFonts w:ascii="Calibri" w:hAnsi="Calibri" w:eastAsia="宋体" w:cs="Times New Roman"/>
      <w:kern w:val="2"/>
      <w:sz w:val="21"/>
      <w:lang w:val="en-US" w:eastAsia="zh-CN" w:bidi="ar-SA"/>
    </w:rPr>
  </w:style>
  <w:style w:type="character" w:customStyle="1" w:styleId="148">
    <w:name w:val="font11"/>
    <w:basedOn w:val="32"/>
    <w:qFormat/>
    <w:uiPriority w:val="0"/>
    <w:rPr>
      <w:rFonts w:hint="eastAsia" w:ascii="宋体" w:hAnsi="宋体" w:eastAsia="宋体" w:cs="宋体"/>
      <w:b/>
      <w:bCs/>
      <w:color w:val="0000FF"/>
      <w:sz w:val="18"/>
      <w:szCs w:val="18"/>
      <w:u w:val="none"/>
    </w:rPr>
  </w:style>
  <w:style w:type="character" w:customStyle="1" w:styleId="149">
    <w:name w:val="font91"/>
    <w:basedOn w:val="32"/>
    <w:qFormat/>
    <w:uiPriority w:val="0"/>
    <w:rPr>
      <w:rFonts w:hint="eastAsia" w:ascii="宋体" w:hAnsi="宋体" w:eastAsia="宋体" w:cs="宋体"/>
      <w:b/>
      <w:bCs/>
      <w:color w:val="000000"/>
      <w:sz w:val="28"/>
      <w:szCs w:val="28"/>
      <w:u w:val="none"/>
    </w:rPr>
  </w:style>
  <w:style w:type="character" w:customStyle="1" w:styleId="150">
    <w:name w:val="font01"/>
    <w:basedOn w:val="32"/>
    <w:qFormat/>
    <w:uiPriority w:val="0"/>
    <w:rPr>
      <w:rFonts w:hint="eastAsia" w:ascii="宋体" w:hAnsi="宋体" w:eastAsia="宋体" w:cs="宋体"/>
      <w:color w:val="FF0000"/>
      <w:sz w:val="28"/>
      <w:szCs w:val="28"/>
      <w:u w:val="none"/>
    </w:rPr>
  </w:style>
  <w:style w:type="character" w:customStyle="1" w:styleId="151">
    <w:name w:val="font81"/>
    <w:basedOn w:val="32"/>
    <w:qFormat/>
    <w:uiPriority w:val="0"/>
    <w:rPr>
      <w:rFonts w:hint="eastAsia" w:ascii="宋体" w:hAnsi="宋体" w:eastAsia="宋体" w:cs="宋体"/>
      <w:color w:val="000000"/>
      <w:sz w:val="28"/>
      <w:szCs w:val="28"/>
      <w:u w:val="none"/>
    </w:rPr>
  </w:style>
  <w:style w:type="character" w:customStyle="1" w:styleId="152">
    <w:name w:val="font101"/>
    <w:basedOn w:val="32"/>
    <w:qFormat/>
    <w:uiPriority w:val="0"/>
    <w:rPr>
      <w:rFonts w:hint="eastAsia" w:ascii="宋体" w:hAnsi="宋体" w:eastAsia="宋体" w:cs="宋体"/>
      <w:color w:val="5B9BD5"/>
      <w:sz w:val="28"/>
      <w:szCs w:val="28"/>
      <w:u w:val="none"/>
    </w:rPr>
  </w:style>
  <w:style w:type="character" w:customStyle="1" w:styleId="153">
    <w:name w:val="font111"/>
    <w:basedOn w:val="32"/>
    <w:qFormat/>
    <w:uiPriority w:val="0"/>
    <w:rPr>
      <w:rFonts w:hint="eastAsia" w:ascii="宋体" w:hAnsi="宋体" w:eastAsia="宋体" w:cs="宋体"/>
      <w:b/>
      <w:bCs/>
      <w:color w:val="000000"/>
      <w:sz w:val="28"/>
      <w:szCs w:val="28"/>
      <w:u w:val="none"/>
    </w:rPr>
  </w:style>
  <w:style w:type="character" w:customStyle="1" w:styleId="154">
    <w:name w:val="font71"/>
    <w:basedOn w:val="32"/>
    <w:qFormat/>
    <w:uiPriority w:val="0"/>
    <w:rPr>
      <w:rFonts w:hint="eastAsia" w:ascii="宋体" w:hAnsi="宋体" w:eastAsia="宋体" w:cs="宋体"/>
      <w:color w:val="000000"/>
      <w:sz w:val="28"/>
      <w:szCs w:val="28"/>
      <w:u w:val="none"/>
    </w:rPr>
  </w:style>
  <w:style w:type="character" w:customStyle="1" w:styleId="155">
    <w:name w:val="font41"/>
    <w:basedOn w:val="32"/>
    <w:qFormat/>
    <w:uiPriority w:val="0"/>
    <w:rPr>
      <w:rFonts w:hint="default" w:ascii="Times New Roman" w:hAnsi="Times New Roman" w:cs="Times New Roman"/>
      <w:color w:val="000000"/>
      <w:sz w:val="24"/>
      <w:szCs w:val="24"/>
      <w:u w:val="none"/>
    </w:rPr>
  </w:style>
  <w:style w:type="paragraph" w:customStyle="1" w:styleId="156">
    <w:name w:val="修订1"/>
    <w:hidden/>
    <w:semiHidden/>
    <w:qFormat/>
    <w:uiPriority w:val="99"/>
    <w:rPr>
      <w:rFonts w:ascii="Times New Roman" w:hAnsi="Times New Roman" w:eastAsia="仿宋_GB2312" w:cstheme="minorBidi"/>
      <w:sz w:val="32"/>
      <w:szCs w:val="22"/>
      <w:lang w:val="en-US" w:eastAsia="zh-CN" w:bidi="ar-SA"/>
    </w:rPr>
  </w:style>
  <w:style w:type="paragraph" w:customStyle="1" w:styleId="157">
    <w:name w:val="TOC 标题3"/>
    <w:basedOn w:val="5"/>
    <w:next w:val="1"/>
    <w:unhideWhenUsed/>
    <w:qFormat/>
    <w:uiPriority w:val="39"/>
    <w:pPr>
      <w:spacing w:beforeLines="0" w:after="0" w:afterLines="0" w:line="259" w:lineRule="auto"/>
      <w:ind w:firstLine="0" w:firstLineChars="0"/>
      <w:outlineLvl w:val="9"/>
    </w:pPr>
    <w:rPr>
      <w:rFonts w:asciiTheme="majorHAnsi" w:hAnsiTheme="majorHAnsi" w:eastAsiaTheme="majorEastAsia"/>
      <w:b w:val="0"/>
      <w:bCs w:val="0"/>
      <w:color w:val="376092" w:themeColor="accent1" w:themeShade="BF"/>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footnotes" Target="footnotes.xml"/><Relationship Id="rId29" Type="http://schemas.openxmlformats.org/officeDocument/2006/relationships/customXml" Target="../customXml/item1.xml"/><Relationship Id="rId28" Type="http://schemas.openxmlformats.org/officeDocument/2006/relationships/chart" Target="charts/chart9.xml"/><Relationship Id="rId27" Type="http://schemas.openxmlformats.org/officeDocument/2006/relationships/chart" Target="charts/chart8.xml"/><Relationship Id="rId26" Type="http://schemas.openxmlformats.org/officeDocument/2006/relationships/chart" Target="charts/chart7.xml"/><Relationship Id="rId25" Type="http://schemas.openxmlformats.org/officeDocument/2006/relationships/chart" Target="charts/chart6.xml"/><Relationship Id="rId24" Type="http://schemas.openxmlformats.org/officeDocument/2006/relationships/chart" Target="charts/chart5.xml"/><Relationship Id="rId23" Type="http://schemas.openxmlformats.org/officeDocument/2006/relationships/chart" Target="charts/chart4.xml"/><Relationship Id="rId22" Type="http://schemas.openxmlformats.org/officeDocument/2006/relationships/chart" Target="charts/chart3.xml"/><Relationship Id="rId21" Type="http://schemas.openxmlformats.org/officeDocument/2006/relationships/chart" Target="charts/chart2.xml"/><Relationship Id="rId20" Type="http://schemas.openxmlformats.org/officeDocument/2006/relationships/chart" Target="charts/chart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header" Target="header6.xml"/><Relationship Id="rId15" Type="http://schemas.openxmlformats.org/officeDocument/2006/relationships/footer" Target="footer6.xml"/><Relationship Id="rId14" Type="http://schemas.openxmlformats.org/officeDocument/2006/relationships/header" Target="header5.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8.xml"/><Relationship Id="rId2" Type="http://schemas.microsoft.com/office/2011/relationships/chartStyle" Target="style8.xml"/><Relationship Id="rId1" Type="http://schemas.openxmlformats.org/officeDocument/2006/relationships/oleObject" Target="file:///E:\BaiduNetdiskDownload\&#12304;1&#12305;&#38902;&#20851;\2023&#24180;\&#25991;&#24191;&#20307;&#32946;&#23616;\&#12304;&#23454;&#26045;&#12305;&#38902;&#20851;&#24066;2022&#24180;&#25991;&#24191;&#26053;&#20307;&#23616;&#37096;&#38376;&#25972;&#20307;&#32489;&#25928;&#35780;&#20215;&#39033;&#30446;20231031\4.&#39033;&#30446;&#36807;&#31243;&#26448;&#26009;\2.&#39033;&#30446;&#20998;&#26512;&#36807;&#31243;&#36164;&#26009;\&#25351;&#26631;&#20998;&#26512;.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E:\BaiduNetdiskDownload\&#12304;1&#12305;&#38902;&#20851;\2023&#24180;\&#25991;&#24191;&#20307;&#32946;&#23616;\&#12304;&#23454;&#26045;&#12305;&#38902;&#20851;&#24066;2022&#24180;&#25991;&#24191;&#26053;&#20307;&#23616;&#37096;&#38376;&#25972;&#20307;&#32489;&#25928;&#35780;&#20215;&#39033;&#30446;20231031\4.&#39033;&#30446;&#36807;&#31243;&#26448;&#26009;\2.&#39033;&#30446;&#20998;&#26512;&#36807;&#31243;&#36164;&#26009;\&#25351;&#26631;&#20998;&#26512;.xlsx"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oleObject" Target="file:///E:\A&#26700;&#38754;\Desktop\&#25991;&#24191;&#25351;&#26631;&#35780;&#20998;&#34920;-&#25968;&#25454;&#22788;&#29702;-0908.xlsx&#65288;&#21457;&#65289;.xlsx"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oleObject" Target="file:///E:\BaiduNetdiskDownload\&#12304;1&#12305;&#38902;&#20851;\2023&#24180;\&#25991;&#24191;&#20307;&#32946;&#23616;\&#12304;&#23454;&#26045;&#12305;&#38902;&#20851;&#24066;2022&#24180;&#25991;&#24191;&#26053;&#20307;&#23616;&#37096;&#38376;&#25972;&#20307;&#32489;&#25928;&#35780;&#20215;&#39033;&#30446;20231031\4.&#39033;&#30446;&#36807;&#31243;&#26448;&#26009;\2.&#39033;&#30446;&#20998;&#26512;&#36807;&#31243;&#36164;&#26009;\&#25351;&#26631;&#20998;&#26512;.xlsx" TargetMode="External"/></Relationships>
</file>

<file path=word/charts/_rels/chart5.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E:\BaiduNetdiskDownload\&#12304;1&#12305;&#38902;&#20851;\2023&#24180;\&#25991;&#24191;&#20307;&#32946;&#23616;\&#12304;&#23454;&#26045;&#12305;&#38902;&#20851;&#24066;2022&#24180;&#25991;&#24191;&#26053;&#20307;&#23616;&#37096;&#38376;&#25972;&#20307;&#32489;&#25928;&#35780;&#20215;&#39033;&#30446;20231031\4.&#39033;&#30446;&#36807;&#31243;&#26448;&#26009;\2.&#39033;&#30446;&#20998;&#26512;&#36807;&#31243;&#36164;&#26009;\&#25351;&#26631;&#20998;&#26512;.xlsx" TargetMode="External"/></Relationships>
</file>

<file path=word/charts/_rels/chart6.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E:\A&#26700;&#38754;\Desktop\&#25991;&#24191;&#25351;&#26631;&#35780;&#20998;&#34920;-&#25968;&#25454;&#22788;&#29702;-0908.xlsx&#65288;&#21457;&#65289;.xlsx" TargetMode="External"/></Relationships>
</file>

<file path=word/charts/_rels/chart7.xml.rels><?xml version="1.0" encoding="UTF-8" standalone="yes"?>
<Relationships xmlns="http://schemas.openxmlformats.org/package/2006/relationships"><Relationship Id="rId3" Type="http://schemas.microsoft.com/office/2011/relationships/chartColorStyle" Target="colors9.xml"/><Relationship Id="rId2" Type="http://schemas.microsoft.com/office/2011/relationships/chartStyle" Target="style9.xml"/><Relationship Id="rId1" Type="http://schemas.openxmlformats.org/officeDocument/2006/relationships/oleObject" Target="file:///E:\A&#26700;&#38754;\Desktop\&#25991;&#24191;&#25351;&#26631;&#35780;&#20998;&#34920;-&#25968;&#25454;&#22788;&#29702;-0908.xlsx&#65288;&#21457;&#65289;.xlsx" TargetMode="External"/></Relationships>
</file>

<file path=word/charts/_rels/chart8.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file:///E:\A&#26700;&#38754;\Desktop\&#25991;&#24191;&#25351;&#26631;&#35780;&#20998;&#34920;-&#25968;&#25454;&#22788;&#29702;-0908.xlsx&#65288;&#21457;&#65289;.xlsx" TargetMode="External"/></Relationships>
</file>

<file path=word/charts/_rels/chart9.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oleObject" Target="file:///E:\A&#26700;&#38754;\Desktop\&#25991;&#24191;&#25351;&#26631;&#35780;&#20998;&#34920;-&#25968;&#25454;&#22788;&#29702;-0908.xlsx&#65288;&#21457;&#6528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部门整体绩效目标效益指标完成情况</c:v>
                </c:pt>
                <c:pt idx="1">
                  <c:v>部门整体绩效目标产出指标完成情况</c:v>
                </c:pt>
              </c:strCache>
            </c:strRef>
          </c:cat>
          <c:val>
            <c:numRef>
              <c:f>Sheet1!$B$2:$B$3</c:f>
              <c:numCache>
                <c:formatCode>0%</c:formatCode>
                <c:ptCount val="2"/>
                <c:pt idx="0">
                  <c:v>0.8</c:v>
                </c:pt>
                <c:pt idx="1">
                  <c:v>0.95</c:v>
                </c:pt>
              </c:numCache>
            </c:numRef>
          </c:val>
        </c:ser>
        <c:dLbls>
          <c:showLegendKey val="0"/>
          <c:showVal val="0"/>
          <c:showCatName val="0"/>
          <c:showSerName val="0"/>
          <c:showPercent val="0"/>
          <c:showBubbleSize val="0"/>
        </c:dLbls>
        <c:gapWidth val="182"/>
        <c:axId val="1537049680"/>
        <c:axId val="1605479392"/>
      </c:barChart>
      <c:catAx>
        <c:axId val="15370496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605479392"/>
        <c:crosses val="autoZero"/>
        <c:auto val="1"/>
        <c:lblAlgn val="ctr"/>
        <c:lblOffset val="100"/>
        <c:noMultiLvlLbl val="0"/>
      </c:catAx>
      <c:valAx>
        <c:axId val="1605479392"/>
        <c:scaling>
          <c:orientation val="minMax"/>
        </c:scaling>
        <c:delete val="0"/>
        <c:axPos val="b"/>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5370496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Sheet1!$A$15:$A$16</c:f>
              <c:strCache>
                <c:ptCount val="2"/>
                <c:pt idx="0">
                  <c:v>中省资金支出率</c:v>
                </c:pt>
                <c:pt idx="1">
                  <c:v>中省资金绩效完成情况</c:v>
                </c:pt>
              </c:strCache>
            </c:strRef>
          </c:cat>
          <c:val>
            <c:numRef>
              <c:f>Sheet1!$B$15:$B$16</c:f>
              <c:numCache>
                <c:formatCode>0%</c:formatCode>
                <c:ptCount val="2"/>
                <c:pt idx="0">
                  <c:v>0.77</c:v>
                </c:pt>
                <c:pt idx="1">
                  <c:v>0.8</c:v>
                </c:pt>
              </c:numCache>
            </c:numRef>
          </c:val>
        </c:ser>
        <c:dLbls>
          <c:showLegendKey val="0"/>
          <c:showVal val="0"/>
          <c:showCatName val="0"/>
          <c:showSerName val="0"/>
          <c:showPercent val="0"/>
          <c:showBubbleSize val="0"/>
        </c:dLbls>
        <c:gapWidth val="182"/>
        <c:axId val="1626690112"/>
        <c:axId val="2045397328"/>
      </c:barChart>
      <c:catAx>
        <c:axId val="16266901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045397328"/>
        <c:crosses val="autoZero"/>
        <c:auto val="1"/>
        <c:lblAlgn val="ctr"/>
        <c:lblOffset val="100"/>
        <c:noMultiLvlLbl val="0"/>
      </c:catAx>
      <c:valAx>
        <c:axId val="2045397328"/>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6266901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41395909343919"/>
          <c:y val="0.234751596617286"/>
          <c:w val="0.610460972525578"/>
          <c:h val="0.633323520753606"/>
        </c:manualLayout>
      </c:layout>
      <c:barChart>
        <c:barDir val="bar"/>
        <c:grouping val="clustered"/>
        <c:varyColors val="0"/>
        <c:ser>
          <c:idx val="0"/>
          <c:order val="0"/>
          <c:tx>
            <c:strRef>
              <c:f>"得分率"</c:f>
              <c:strCache>
                <c:ptCount val="1"/>
                <c:pt idx="0">
                  <c:v>得分率</c:v>
                </c:pt>
              </c:strCache>
            </c:strRef>
          </c:tx>
          <c:spPr>
            <a:solidFill>
              <a:schemeClr val="accent1"/>
            </a:solidFill>
            <a:ln>
              <a:noFill/>
            </a:ln>
            <a:effectLst/>
          </c:spPr>
          <c:invertIfNegative val="0"/>
          <c:dLbls>
            <c:dLbl>
              <c:idx val="0"/>
              <c:layout/>
              <c:tx>
                <c:rich>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r>
                      <a:rPr lang="en-US" altLang="zh-CN"/>
                      <a:t>94.00%</a:t>
                    </a:r>
                    <a:endParaRPr lang="en-US" altLang="zh-CN"/>
                  </a:p>
                </c:rich>
              </c:tx>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'[文广指标评分表-数据处理-0908.xlsx（发）.xlsx]管理效率'!$I$2</c:f>
              <c:strCache>
                <c:ptCount val="1"/>
                <c:pt idx="0">
                  <c:v>预算项目事前绩效评估</c:v>
                </c:pt>
              </c:strCache>
            </c:strRef>
          </c:cat>
          <c:val>
            <c:numRef>
              <c:f>'[文广指标评分表-数据处理-0908.xlsx（发）.xlsx]管理效率'!$J$2</c:f>
              <c:numCache>
                <c:formatCode>0.00%</c:formatCode>
                <c:ptCount val="1"/>
                <c:pt idx="0">
                  <c:v>0.9</c:v>
                </c:pt>
              </c:numCache>
            </c:numRef>
          </c:val>
        </c:ser>
        <c:dLbls>
          <c:showLegendKey val="0"/>
          <c:showVal val="1"/>
          <c:showCatName val="0"/>
          <c:showSerName val="0"/>
          <c:showPercent val="0"/>
          <c:showBubbleSize val="0"/>
        </c:dLbls>
        <c:gapWidth val="182"/>
        <c:axId val="452443162"/>
        <c:axId val="148235138"/>
      </c:barChart>
      <c:catAx>
        <c:axId val="452443162"/>
        <c:scaling>
          <c:orientation val="maxMin"/>
        </c:scaling>
        <c:delete val="0"/>
        <c:axPos val="l"/>
        <c:numFmt formatCode="General" sourceLinked="0"/>
        <c:majorTickMark val="none"/>
        <c:minorTickMark val="none"/>
        <c:tickLblPos val="nextTo"/>
        <c:spPr>
          <a:noFill/>
          <a:ln w="0" cap="flat" cmpd="sng" algn="ctr">
            <a:solidFill>
              <a:schemeClr val="tx1"/>
            </a:solid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48235138"/>
        <c:crosses val="autoZero"/>
        <c:auto val="1"/>
        <c:lblAlgn val="ctr"/>
        <c:lblOffset val="100"/>
        <c:noMultiLvlLbl val="0"/>
      </c:catAx>
      <c:valAx>
        <c:axId val="148235138"/>
        <c:scaling>
          <c:orientation val="minMax"/>
        </c:scaling>
        <c:delete val="0"/>
        <c:axPos val="b"/>
        <c:numFmt formatCode="0.00%" sourceLinked="1"/>
        <c:majorTickMark val="in"/>
        <c:minorTickMark val="none"/>
        <c:tickLblPos val="nextTo"/>
        <c:spPr>
          <a:noFill/>
          <a:ln w="0" cmpd="sng">
            <a:solidFill>
              <a:schemeClr val="tx1"/>
            </a:solidFill>
            <a:prstDash val="soli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52443162"/>
        <c:crosses val="max"/>
        <c:crossBetween val="between"/>
        <c:majorUnit val="0.2"/>
      </c:valAx>
      <c:spPr>
        <a:noFill/>
        <a:ln>
          <a:noFill/>
        </a:ln>
        <a:effectLst/>
      </c:spPr>
    </c:plotArea>
    <c:plotVisOnly val="1"/>
    <c:dispBlanksAs val="gap"/>
    <c:showDLblsOverMax val="0"/>
  </c:chart>
  <c:spPr>
    <a:solidFill>
      <a:schemeClr val="bg1"/>
    </a:solidFill>
    <a:ln w="9525" cap="flat" cmpd="sng" algn="ctr">
      <a:solidFill>
        <a:sysClr val="windowText" lastClr="000000"/>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Sheet1!$A$23:$A$24</c:f>
              <c:strCache>
                <c:ptCount val="2"/>
                <c:pt idx="0">
                  <c:v>财务管理合规性</c:v>
                </c:pt>
                <c:pt idx="1">
                  <c:v>预算编制约束性</c:v>
                </c:pt>
              </c:strCache>
            </c:strRef>
          </c:cat>
          <c:val>
            <c:numRef>
              <c:f>Sheet1!$B$23:$B$24</c:f>
              <c:numCache>
                <c:formatCode>0.00%</c:formatCode>
                <c:ptCount val="2"/>
                <c:pt idx="0">
                  <c:v>0.9883</c:v>
                </c:pt>
                <c:pt idx="1">
                  <c:v>0.722222222222222</c:v>
                </c:pt>
              </c:numCache>
            </c:numRef>
          </c:val>
        </c:ser>
        <c:dLbls>
          <c:showLegendKey val="0"/>
          <c:showVal val="0"/>
          <c:showCatName val="0"/>
          <c:showSerName val="0"/>
          <c:showPercent val="0"/>
          <c:showBubbleSize val="0"/>
        </c:dLbls>
        <c:gapWidth val="182"/>
        <c:axId val="1653011296"/>
        <c:axId val="2045394416"/>
      </c:barChart>
      <c:catAx>
        <c:axId val="165301129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045394416"/>
        <c:crosses val="autoZero"/>
        <c:auto val="1"/>
        <c:lblAlgn val="ctr"/>
        <c:lblOffset val="100"/>
        <c:noMultiLvlLbl val="0"/>
      </c:catAx>
      <c:valAx>
        <c:axId val="2045394416"/>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6530112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Sheet1!$A$32:$A$33</c:f>
              <c:strCache>
                <c:ptCount val="2"/>
                <c:pt idx="0">
                  <c:v>绩效信息公开情况</c:v>
                </c:pt>
                <c:pt idx="1">
                  <c:v>预决算公开合规性</c:v>
                </c:pt>
              </c:strCache>
            </c:strRef>
          </c:cat>
          <c:val>
            <c:numRef>
              <c:f>Sheet1!$B$32:$B$33</c:f>
              <c:numCache>
                <c:formatCode>0%</c:formatCode>
                <c:ptCount val="2"/>
                <c:pt idx="0">
                  <c:v>1</c:v>
                </c:pt>
                <c:pt idx="1">
                  <c:v>1</c:v>
                </c:pt>
              </c:numCache>
            </c:numRef>
          </c:val>
        </c:ser>
        <c:dLbls>
          <c:showLegendKey val="0"/>
          <c:showVal val="0"/>
          <c:showCatName val="0"/>
          <c:showSerName val="0"/>
          <c:showPercent val="0"/>
          <c:showBubbleSize val="0"/>
        </c:dLbls>
        <c:gapWidth val="182"/>
        <c:axId val="1951958128"/>
        <c:axId val="1021568464"/>
      </c:barChart>
      <c:catAx>
        <c:axId val="195195812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21568464"/>
        <c:crosses val="autoZero"/>
        <c:auto val="1"/>
        <c:lblAlgn val="ctr"/>
        <c:lblOffset val="100"/>
        <c:noMultiLvlLbl val="0"/>
      </c:catAx>
      <c:valAx>
        <c:axId val="1021568464"/>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9519581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"得分率"</c:f>
              <c:strCache>
                <c:ptCount val="1"/>
                <c:pt idx="0">
                  <c:v>得分率</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multiLvlStrRef>
              <c:f>'[文广指标评分表-数据处理-0908.xlsx（发）.xlsx]管理效率'!$H$7:$I$8</c:f>
              <c:multiLvlStrCache>
                <c:ptCount val="2"/>
                <c:lvl>
                  <c:pt idx="0">
                    <c:v>绩效管理制度建设</c:v>
                  </c:pt>
                  <c:pt idx="1">
                    <c:v>绩效管理制度执行</c:v>
                  </c:pt>
                </c:lvl>
                <c:lvl>
                  <c:pt idx="0">
                    <c:v>绩效管理</c:v>
                  </c:pt>
                </c:lvl>
              </c:multiLvlStrCache>
            </c:multiLvlStrRef>
          </c:cat>
          <c:val>
            <c:numRef>
              <c:f>'[文广指标评分表-数据处理-0908.xlsx（发）.xlsx]管理效率'!$J$7:$J$8</c:f>
              <c:numCache>
                <c:formatCode>0.00%</c:formatCode>
                <c:ptCount val="2"/>
                <c:pt idx="0">
                  <c:v>1</c:v>
                </c:pt>
                <c:pt idx="1">
                  <c:v>0.666666666666667</c:v>
                </c:pt>
              </c:numCache>
            </c:numRef>
          </c:val>
        </c:ser>
        <c:dLbls>
          <c:showLegendKey val="0"/>
          <c:showVal val="1"/>
          <c:showCatName val="0"/>
          <c:showSerName val="0"/>
          <c:showPercent val="0"/>
          <c:showBubbleSize val="0"/>
        </c:dLbls>
        <c:gapWidth val="182"/>
        <c:axId val="989674060"/>
        <c:axId val="520790372"/>
      </c:barChart>
      <c:catAx>
        <c:axId val="989674060"/>
        <c:scaling>
          <c:orientation val="maxMin"/>
        </c:scaling>
        <c:delete val="0"/>
        <c:axPos val="l"/>
        <c:numFmt formatCode="General" sourceLinked="0"/>
        <c:majorTickMark val="none"/>
        <c:minorTickMark val="none"/>
        <c:tickLblPos val="nextTo"/>
        <c:spPr>
          <a:noFill/>
          <a:ln w="0" cap="flat" cmpd="sng" algn="ctr">
            <a:solidFill>
              <a:schemeClr val="tx1"/>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20790372"/>
        <c:crosses val="autoZero"/>
        <c:auto val="1"/>
        <c:lblAlgn val="ctr"/>
        <c:lblOffset val="100"/>
        <c:noMultiLvlLbl val="0"/>
      </c:catAx>
      <c:valAx>
        <c:axId val="520790372"/>
        <c:scaling>
          <c:orientation val="minMax"/>
        </c:scaling>
        <c:delete val="0"/>
        <c:axPos val="b"/>
        <c:numFmt formatCode="0.00%" sourceLinked="1"/>
        <c:majorTickMark val="in"/>
        <c:minorTickMark val="none"/>
        <c:tickLblPos val="nextTo"/>
        <c:spPr>
          <a:noFill/>
          <a:ln w="0" cmpd="sng">
            <a:solidFill>
              <a:schemeClr val="tx1"/>
            </a:solidFill>
            <a:prstDash val="soli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89674060"/>
        <c:crosses val="max"/>
        <c:crossBetween val="between"/>
      </c:valAx>
      <c:spPr>
        <a:noFill/>
        <a:ln>
          <a:noFill/>
        </a:ln>
        <a:effectLst/>
      </c:spPr>
    </c:plotArea>
    <c:plotVisOnly val="1"/>
    <c:dispBlanksAs val="gap"/>
    <c:showDLblsOverMax val="0"/>
  </c:chart>
  <c:spPr>
    <a:solidFill>
      <a:schemeClr val="bg1"/>
    </a:solidFill>
    <a:ln w="9525" cap="flat" cmpd="sng" algn="ctr">
      <a:solidFill>
        <a:sysClr val="windowText" lastClr="000000"/>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"得分率"</c:f>
              <c:strCache>
                <c:ptCount val="1"/>
                <c:pt idx="0">
                  <c:v>得分率</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multiLvlStrRef>
              <c:f>'[文广指标评分表-数据处理-0908.xlsx（发）.xlsx]管理效率'!$H$9:$I$14</c:f>
              <c:multiLvlStrCache>
                <c:ptCount val="6"/>
                <c:lvl>
                  <c:pt idx="0">
                    <c:v>采购意向公开合规性</c:v>
                  </c:pt>
                  <c:pt idx="1">
                    <c:v>采购内控制度建设</c:v>
                  </c:pt>
                  <c:pt idx="2">
                    <c:v>采购活动合规性</c:v>
                  </c:pt>
                  <c:pt idx="3">
                    <c:v>采购合同签订时效性</c:v>
                  </c:pt>
                  <c:pt idx="4">
                    <c:v>合同备案时效性</c:v>
                  </c:pt>
                  <c:pt idx="5">
                    <c:v>采购政策效能</c:v>
                  </c:pt>
                </c:lvl>
                <c:lvl>
                  <c:pt idx="0">
                    <c:v>采购管理</c:v>
                  </c:pt>
                </c:lvl>
              </c:multiLvlStrCache>
            </c:multiLvlStrRef>
          </c:cat>
          <c:val>
            <c:numRef>
              <c:f>'[文广指标评分表-数据处理-0908.xlsx（发）.xlsx]管理效率'!$J$9:$J$14</c:f>
              <c:numCache>
                <c:formatCode>0.00%</c:formatCode>
                <c:ptCount val="6"/>
                <c:pt idx="0">
                  <c:v>1</c:v>
                </c:pt>
                <c:pt idx="1">
                  <c:v>0.5</c:v>
                </c:pt>
                <c:pt idx="2">
                  <c:v>1</c:v>
                </c:pt>
                <c:pt idx="3">
                  <c:v>0.6667</c:v>
                </c:pt>
                <c:pt idx="4">
                  <c:v>0.5</c:v>
                </c:pt>
                <c:pt idx="5">
                  <c:v>1</c:v>
                </c:pt>
              </c:numCache>
            </c:numRef>
          </c:val>
        </c:ser>
        <c:dLbls>
          <c:showLegendKey val="0"/>
          <c:showVal val="1"/>
          <c:showCatName val="0"/>
          <c:showSerName val="0"/>
          <c:showPercent val="0"/>
          <c:showBubbleSize val="0"/>
        </c:dLbls>
        <c:gapWidth val="182"/>
        <c:axId val="351064931"/>
        <c:axId val="360097436"/>
      </c:barChart>
      <c:catAx>
        <c:axId val="351064931"/>
        <c:scaling>
          <c:orientation val="maxMin"/>
        </c:scaling>
        <c:delete val="0"/>
        <c:axPos val="l"/>
        <c:numFmt formatCode="General" sourceLinked="0"/>
        <c:majorTickMark val="none"/>
        <c:minorTickMark val="none"/>
        <c:tickLblPos val="nextTo"/>
        <c:spPr>
          <a:noFill/>
          <a:ln w="0" cap="flat" cmpd="sng" algn="ctr">
            <a:solidFill>
              <a:schemeClr val="tx1"/>
            </a:solid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60097436"/>
        <c:crosses val="autoZero"/>
        <c:auto val="1"/>
        <c:lblAlgn val="ctr"/>
        <c:lblOffset val="100"/>
        <c:noMultiLvlLbl val="0"/>
      </c:catAx>
      <c:valAx>
        <c:axId val="360097436"/>
        <c:scaling>
          <c:orientation val="minMax"/>
        </c:scaling>
        <c:delete val="0"/>
        <c:axPos val="b"/>
        <c:numFmt formatCode="0.00%" sourceLinked="1"/>
        <c:majorTickMark val="in"/>
        <c:minorTickMark val="none"/>
        <c:tickLblPos val="nextTo"/>
        <c:spPr>
          <a:noFill/>
          <a:ln w="0" cmpd="sng">
            <a:solidFill>
              <a:schemeClr val="tx1"/>
            </a:solidFill>
            <a:prstDash val="soli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51064931"/>
        <c:crosses val="max"/>
        <c:crossBetween val="between"/>
      </c:valAx>
      <c:spPr>
        <a:noFill/>
        <a:ln>
          <a:noFill/>
        </a:ln>
        <a:effectLst/>
      </c:spPr>
    </c:plotArea>
    <c:plotVisOnly val="1"/>
    <c:dispBlanksAs val="gap"/>
    <c:showDLblsOverMax val="0"/>
  </c:chart>
  <c:spPr>
    <a:solidFill>
      <a:schemeClr val="bg1"/>
    </a:solidFill>
    <a:ln w="9525" cap="flat" cmpd="sng" algn="ctr">
      <a:solidFill>
        <a:sysClr val="windowText" lastClr="000000"/>
      </a:solidFill>
      <a:round/>
    </a:ln>
    <a:effectLst/>
  </c:spPr>
  <c:txPr>
    <a:bodyPr/>
    <a:lstStyle/>
    <a:p>
      <a:pPr>
        <a:defRPr lang="zh-CN"/>
      </a:pPr>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"得分率"</c:f>
              <c:strCache>
                <c:ptCount val="1"/>
                <c:pt idx="0">
                  <c:v>得分率</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multiLvlStrRef>
              <c:f>'[文广指标评分表-数据处理-0908.xlsx（发）.xlsx]管理效率'!$H$15:$I$20</c:f>
              <c:multiLvlStrCache>
                <c:ptCount val="6"/>
                <c:lvl>
                  <c:pt idx="0">
                    <c:v>资产配置合规性</c:v>
                  </c:pt>
                  <c:pt idx="1">
                    <c:v>资产收益上缴的及时性</c:v>
                  </c:pt>
                  <c:pt idx="2">
                    <c:v>资产盘点情况</c:v>
                  </c:pt>
                  <c:pt idx="3">
                    <c:v>数据质量</c:v>
                  </c:pt>
                  <c:pt idx="4">
                    <c:v>资产管理合规性</c:v>
                  </c:pt>
                  <c:pt idx="5">
                    <c:v>固定资产利用率</c:v>
                  </c:pt>
                </c:lvl>
                <c:lvl>
                  <c:pt idx="0">
                    <c:v>资产管理</c:v>
                  </c:pt>
                </c:lvl>
              </c:multiLvlStrCache>
            </c:multiLvlStrRef>
          </c:cat>
          <c:val>
            <c:numRef>
              <c:f>'[文广指标评分表-数据处理-0908.xlsx（发）.xlsx]管理效率'!$J$15:$J$20</c:f>
              <c:numCache>
                <c:formatCode>0.00%</c:formatCode>
                <c:ptCount val="6"/>
                <c:pt idx="0">
                  <c:v>0.75</c:v>
                </c:pt>
                <c:pt idx="1">
                  <c:v>1</c:v>
                </c:pt>
                <c:pt idx="2">
                  <c:v>0.5</c:v>
                </c:pt>
                <c:pt idx="3">
                  <c:v>0.5</c:v>
                </c:pt>
                <c:pt idx="4">
                  <c:v>0.5</c:v>
                </c:pt>
                <c:pt idx="5">
                  <c:v>0.25</c:v>
                </c:pt>
              </c:numCache>
            </c:numRef>
          </c:val>
        </c:ser>
        <c:dLbls>
          <c:showLegendKey val="0"/>
          <c:showVal val="1"/>
          <c:showCatName val="0"/>
          <c:showSerName val="0"/>
          <c:showPercent val="0"/>
          <c:showBubbleSize val="0"/>
        </c:dLbls>
        <c:gapWidth val="182"/>
        <c:axId val="118159304"/>
        <c:axId val="957605361"/>
      </c:barChart>
      <c:catAx>
        <c:axId val="118159304"/>
        <c:scaling>
          <c:orientation val="maxMin"/>
        </c:scaling>
        <c:delete val="0"/>
        <c:axPos val="l"/>
        <c:numFmt formatCode="General" sourceLinked="0"/>
        <c:majorTickMark val="none"/>
        <c:minorTickMark val="none"/>
        <c:tickLblPos val="nextTo"/>
        <c:spPr>
          <a:noFill/>
          <a:ln w="0" cap="flat" cmpd="sng" algn="ctr">
            <a:solidFill>
              <a:schemeClr val="tx1"/>
            </a:solid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57605361"/>
        <c:crosses val="autoZero"/>
        <c:auto val="1"/>
        <c:lblAlgn val="ctr"/>
        <c:lblOffset val="100"/>
        <c:noMultiLvlLbl val="0"/>
      </c:catAx>
      <c:valAx>
        <c:axId val="957605361"/>
        <c:scaling>
          <c:orientation val="minMax"/>
        </c:scaling>
        <c:delete val="0"/>
        <c:axPos val="b"/>
        <c:numFmt formatCode="0.00%" sourceLinked="1"/>
        <c:majorTickMark val="in"/>
        <c:minorTickMark val="none"/>
        <c:tickLblPos val="nextTo"/>
        <c:spPr>
          <a:noFill/>
          <a:ln w="0" cmpd="sng">
            <a:solidFill>
              <a:schemeClr val="tx1"/>
            </a:solidFill>
            <a:prstDash val="soli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8159304"/>
        <c:crosses val="max"/>
        <c:crossBetween val="between"/>
      </c:valAx>
      <c:spPr>
        <a:noFill/>
        <a:ln>
          <a:noFill/>
        </a:ln>
        <a:effectLst/>
      </c:spPr>
    </c:plotArea>
    <c:plotVisOnly val="1"/>
    <c:dispBlanksAs val="gap"/>
    <c:showDLblsOverMax val="0"/>
  </c:chart>
  <c:spPr>
    <a:solidFill>
      <a:schemeClr val="bg1"/>
    </a:solidFill>
    <a:ln w="9525" cap="flat" cmpd="sng" algn="ctr">
      <a:solidFill>
        <a:sysClr val="windowText" lastClr="000000"/>
      </a:solidFill>
      <a:round/>
    </a:ln>
    <a:effectLst/>
  </c:spPr>
  <c:txPr>
    <a:bodyPr/>
    <a:lstStyle/>
    <a:p>
      <a:pPr>
        <a:defRPr lang="zh-CN"/>
      </a:pPr>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98286833088595"/>
          <c:y val="0.192592592592592"/>
          <c:w val="0.544591287322565"/>
          <c:h val="0.711666666666667"/>
        </c:manualLayout>
      </c:layout>
      <c:barChart>
        <c:barDir val="bar"/>
        <c:grouping val="clustered"/>
        <c:varyColors val="0"/>
        <c:ser>
          <c:idx val="0"/>
          <c:order val="0"/>
          <c:tx>
            <c:strRef>
              <c:f>"得分率"</c:f>
              <c:strCache>
                <c:ptCount val="1"/>
                <c:pt idx="0">
                  <c:v>得分率</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multiLvlStrRef>
              <c:f>'[文广指标评分表-数据处理-0908.xlsx（发）.xlsx]管理效率'!$H$21:$I$22</c:f>
              <c:multiLvlStrCache>
                <c:ptCount val="2"/>
                <c:lvl>
                  <c:pt idx="0">
                    <c:v>经济成本控制情况</c:v>
                  </c:pt>
                  <c:pt idx="1">
                    <c:v>“三公”经费控制情况</c:v>
                  </c:pt>
                </c:lvl>
                <c:lvl>
                  <c:pt idx="0">
                    <c:v>运行成本</c:v>
                  </c:pt>
                </c:lvl>
              </c:multiLvlStrCache>
            </c:multiLvlStrRef>
          </c:cat>
          <c:val>
            <c:numRef>
              <c:f>'[文广指标评分表-数据处理-0908.xlsx（发）.xlsx]管理效率'!$J$21:$J$22</c:f>
              <c:numCache>
                <c:formatCode>0.00%</c:formatCode>
                <c:ptCount val="2"/>
                <c:pt idx="0">
                  <c:v>0.666666666666667</c:v>
                </c:pt>
                <c:pt idx="1">
                  <c:v>1</c:v>
                </c:pt>
              </c:numCache>
            </c:numRef>
          </c:val>
        </c:ser>
        <c:dLbls>
          <c:showLegendKey val="0"/>
          <c:showVal val="1"/>
          <c:showCatName val="0"/>
          <c:showSerName val="0"/>
          <c:showPercent val="0"/>
          <c:showBubbleSize val="0"/>
        </c:dLbls>
        <c:gapWidth val="182"/>
        <c:axId val="308896745"/>
        <c:axId val="643925345"/>
      </c:barChart>
      <c:catAx>
        <c:axId val="308896745"/>
        <c:scaling>
          <c:orientation val="maxMin"/>
        </c:scaling>
        <c:delete val="0"/>
        <c:axPos val="l"/>
        <c:numFmt formatCode="General" sourceLinked="0"/>
        <c:majorTickMark val="none"/>
        <c:minorTickMark val="none"/>
        <c:tickLblPos val="nextTo"/>
        <c:spPr>
          <a:noFill/>
          <a:ln w="0" cap="flat" cmpd="sng" algn="ctr">
            <a:solidFill>
              <a:schemeClr val="tx1"/>
            </a:solid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43925345"/>
        <c:crosses val="autoZero"/>
        <c:auto val="1"/>
        <c:lblAlgn val="ctr"/>
        <c:lblOffset val="100"/>
        <c:noMultiLvlLbl val="0"/>
      </c:catAx>
      <c:valAx>
        <c:axId val="643925345"/>
        <c:scaling>
          <c:orientation val="minMax"/>
        </c:scaling>
        <c:delete val="0"/>
        <c:axPos val="b"/>
        <c:numFmt formatCode="0.00%" sourceLinked="1"/>
        <c:majorTickMark val="in"/>
        <c:minorTickMark val="none"/>
        <c:tickLblPos val="nextTo"/>
        <c:spPr>
          <a:noFill/>
          <a:ln w="0" cmpd="sng">
            <a:solidFill>
              <a:schemeClr val="tx1"/>
            </a:solidFill>
            <a:prstDash val="soli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08896745"/>
        <c:crosses val="max"/>
        <c:crossBetween val="between"/>
      </c:valAx>
      <c:spPr>
        <a:noFill/>
        <a:ln>
          <a:noFill/>
        </a:ln>
        <a:effectLst/>
      </c:spPr>
    </c:plotArea>
    <c:plotVisOnly val="1"/>
    <c:dispBlanksAs val="gap"/>
    <c:showDLblsOverMax val="0"/>
  </c:chart>
  <c:spPr>
    <a:solidFill>
      <a:schemeClr val="bg1"/>
    </a:solidFill>
    <a:ln w="9525" cap="flat" cmpd="sng" algn="ctr">
      <a:solidFill>
        <a:sysClr val="windowText" lastClr="000000"/>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49</Pages>
  <Words>4940</Words>
  <Characters>28162</Characters>
  <Lines>234</Lines>
  <Paragraphs>66</Paragraphs>
  <TotalTime>30</TotalTime>
  <ScaleCrop>false</ScaleCrop>
  <LinksUpToDate>false</LinksUpToDate>
  <CharactersWithSpaces>33036</CharactersWithSpaces>
  <Application>WPS Office_11.8.2.1122_F1E327BC-269C-435d-A152-05C5408002CA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2023-12-18T15:25:00Z</dcterms:created>
  <dc:creator>QUEENIE DENG</dc:creator>
  <cp:lastModifiedBy>user</cp:lastModifiedBy>
  <cp:lastPrinted>2018-08-22T06:06:00Z</cp:lastPrinted>
  <dcterms:modified xsi:type="dcterms:W3CDTF">2023-12-18T16:47:18Z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2052-11.8.2.1122</vt:lpwstr>
  </property>
  <property fmtid="{D5CDD505-2E9C-101B-9397-08002B2CF9AE}" pid="3" name="ICV">
    <vt:lpwstr>09F50FDDE10449E9AAAB87D04294D68F</vt:lpwstr>
  </property>
  <property fmtid="{D5CDD505-2E9C-101B-9397-08002B2CF9AE}" pid="4" name="ribbonExt">
    <vt:lpwstr>{"WPSExtOfficeTab":{"OnGetEnabled":false,"OnGetVisible":false}}</vt:lpwstr>
  </property>
</Properties>
</file>