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10.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olors1.xml" ContentType="application/vnd.ms-office.chartcolorstyle+xml"/>
  <Override PartName="/word/charts/colors10.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colors8.xml" ContentType="application/vnd.ms-office.chartcolorstyle+xml"/>
  <Override PartName="/word/charts/colors9.xml" ContentType="application/vnd.ms-office.chartcolorstyle+xml"/>
  <Override PartName="/word/charts/style1.xml" ContentType="application/vnd.ms-office.chartstyle+xml"/>
  <Override PartName="/word/charts/style10.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charts/style8.xml" ContentType="application/vnd.ms-office.chartstyle+xml"/>
  <Override PartName="/word/charts/style9.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Calibri" w:hAnsi="Calibri" w:eastAsia="宋体" w:cs="Times New Roman"/>
          <w:szCs w:val="24"/>
        </w:rPr>
        <w:id w:val="-1"/>
      </w:sdtPr>
      <w:sdtEndPr>
        <w:rPr>
          <w:rFonts w:ascii="Calibri" w:hAnsi="Calibri" w:eastAsia="宋体" w:cs="Times New Roman"/>
          <w:szCs w:val="24"/>
          <w:lang w:val="zh-CN"/>
        </w:rPr>
      </w:sdtEndPr>
      <w:sdtContent>
        <w:p>
          <w:pPr>
            <w:spacing w:line="540" w:lineRule="exact"/>
            <w:ind w:left="0" w:leftChars="0" w:firstLine="0" w:firstLineChars="0"/>
            <w:jc w:val="left"/>
            <w:rPr>
              <w:rFonts w:hint="eastAsia" w:ascii="等线" w:hAnsi="等线" w:eastAsia="宋体" w:cs="Times New Roman"/>
              <w:spacing w:val="10"/>
              <w:sz w:val="44"/>
              <w:lang w:eastAsia="zh-CN"/>
            </w:rPr>
          </w:pPr>
          <w:bookmarkStart w:id="0" w:name="_Toc145061807"/>
          <w:r>
            <w:rPr>
              <w:rFonts w:hint="eastAsia" w:ascii="CESI黑体-GB2312" w:hAnsi="CESI黑体-GB2312" w:eastAsia="CESI黑体-GB2312" w:cs="CESI黑体-GB2312"/>
              <w:szCs w:val="24"/>
              <w:lang w:eastAsia="zh-CN"/>
            </w:rPr>
            <w:t>附件</w:t>
          </w:r>
        </w:p>
        <w:p>
          <w:pPr>
            <w:spacing w:line="360" w:lineRule="auto"/>
            <w:ind w:firstLine="883"/>
            <w:jc w:val="center"/>
            <w:rPr>
              <w:rFonts w:eastAsia="宋体" w:cs="Times New Roman"/>
              <w:b/>
              <w:bCs/>
              <w:sz w:val="44"/>
              <w:szCs w:val="44"/>
            </w:rPr>
          </w:pPr>
          <w:bookmarkStart w:id="1" w:name="_Hlk144278903"/>
        </w:p>
        <w:p>
          <w:pPr>
            <w:spacing w:line="360" w:lineRule="auto"/>
            <w:ind w:firstLine="883"/>
            <w:jc w:val="center"/>
            <w:rPr>
              <w:rFonts w:eastAsia="宋体" w:cs="Times New Roman"/>
              <w:b/>
              <w:bCs/>
              <w:sz w:val="44"/>
              <w:szCs w:val="44"/>
            </w:rPr>
          </w:pPr>
        </w:p>
        <w:p>
          <w:pPr>
            <w:spacing w:line="360" w:lineRule="auto"/>
            <w:ind w:firstLine="883"/>
            <w:jc w:val="center"/>
            <w:rPr>
              <w:rFonts w:eastAsia="宋体" w:cs="Times New Roman"/>
              <w:b/>
              <w:bCs/>
              <w:sz w:val="44"/>
              <w:szCs w:val="44"/>
            </w:rPr>
          </w:pPr>
        </w:p>
        <w:p>
          <w:pPr>
            <w:spacing w:line="360" w:lineRule="auto"/>
            <w:ind w:firstLine="883"/>
            <w:jc w:val="center"/>
            <w:rPr>
              <w:rFonts w:eastAsia="宋体" w:cs="Times New Roman"/>
              <w:b/>
              <w:bCs/>
              <w:sz w:val="44"/>
              <w:szCs w:val="44"/>
            </w:rPr>
          </w:pPr>
        </w:p>
        <w:p>
          <w:pPr>
            <w:spacing w:line="360" w:lineRule="auto"/>
            <w:ind w:firstLine="0" w:firstLineChars="0"/>
            <w:jc w:val="center"/>
            <w:rPr>
              <w:rFonts w:ascii="方正小标宋_GBK" w:eastAsia="方正小标宋_GBK" w:cs="Times New Roman"/>
              <w:b/>
              <w:bCs/>
              <w:sz w:val="48"/>
              <w:szCs w:val="48"/>
            </w:rPr>
          </w:pPr>
        </w:p>
        <w:p>
          <w:pPr>
            <w:spacing w:line="360" w:lineRule="auto"/>
            <w:ind w:firstLine="0" w:firstLineChars="0"/>
            <w:jc w:val="center"/>
            <w:rPr>
              <w:rFonts w:ascii="方正小标宋_GBK" w:eastAsia="方正小标宋_GBK" w:cs="Times New Roman"/>
              <w:b/>
              <w:bCs/>
              <w:sz w:val="48"/>
              <w:szCs w:val="48"/>
            </w:rPr>
          </w:pPr>
        </w:p>
        <w:p>
          <w:pPr>
            <w:spacing w:line="360" w:lineRule="auto"/>
            <w:ind w:firstLine="0" w:firstLineChars="0"/>
            <w:jc w:val="center"/>
            <w:rPr>
              <w:rFonts w:ascii="方正小标宋_GBK" w:eastAsia="方正小标宋_GBK" w:cs="Times New Roman"/>
              <w:b/>
              <w:bCs/>
              <w:sz w:val="48"/>
              <w:szCs w:val="48"/>
            </w:rPr>
          </w:pPr>
          <w:r>
            <w:rPr>
              <w:rFonts w:hint="eastAsia" w:ascii="方正小标宋_GBK" w:eastAsia="方正小标宋_GBK" w:cs="Times New Roman"/>
              <w:b/>
              <w:bCs/>
              <w:sz w:val="48"/>
              <w:szCs w:val="48"/>
            </w:rPr>
            <w:t>韶关市卫生健康局2022年度</w:t>
          </w:r>
        </w:p>
        <w:p>
          <w:pPr>
            <w:spacing w:line="360" w:lineRule="auto"/>
            <w:ind w:firstLine="0" w:firstLineChars="0"/>
            <w:jc w:val="center"/>
            <w:rPr>
              <w:rFonts w:ascii="方正小标宋_GBK" w:eastAsia="方正小标宋_GBK" w:cs="Times New Roman"/>
              <w:b/>
              <w:bCs/>
              <w:sz w:val="48"/>
              <w:szCs w:val="48"/>
            </w:rPr>
          </w:pPr>
          <w:r>
            <w:rPr>
              <w:rFonts w:hint="eastAsia" w:ascii="方正小标宋_GBK" w:eastAsia="方正小标宋_GBK" w:cs="Times New Roman"/>
              <w:b/>
              <w:bCs/>
              <w:sz w:val="48"/>
              <w:szCs w:val="48"/>
            </w:rPr>
            <w:t>部门整体支出</w:t>
          </w:r>
          <w:bookmarkEnd w:id="1"/>
          <w:r>
            <w:rPr>
              <w:rFonts w:hint="eastAsia" w:ascii="方正小标宋_GBK" w:eastAsia="方正小标宋_GBK" w:cs="Times New Roman"/>
              <w:b/>
              <w:bCs/>
              <w:sz w:val="48"/>
              <w:szCs w:val="48"/>
            </w:rPr>
            <w:t>绩效评价报告</w:t>
          </w:r>
        </w:p>
        <w:p>
          <w:pPr>
            <w:spacing w:line="540" w:lineRule="exact"/>
            <w:ind w:firstLine="0" w:firstLineChars="0"/>
            <w:rPr>
              <w:rFonts w:ascii="等线" w:hAnsi="等线" w:eastAsia="黑体" w:cs="Times New Roman"/>
              <w:sz w:val="24"/>
            </w:rPr>
          </w:pPr>
        </w:p>
        <w:p>
          <w:pPr>
            <w:spacing w:line="540" w:lineRule="exact"/>
            <w:ind w:firstLine="0" w:firstLineChars="0"/>
            <w:jc w:val="center"/>
            <w:rPr>
              <w:rFonts w:ascii="等线" w:hAnsi="等线" w:eastAsia="黑体" w:cs="Times New Roman"/>
              <w:sz w:val="44"/>
              <w:szCs w:val="44"/>
            </w:rPr>
          </w:pPr>
        </w:p>
        <w:p>
          <w:pPr>
            <w:spacing w:line="540" w:lineRule="exact"/>
            <w:ind w:firstLine="0" w:firstLineChars="0"/>
            <w:rPr>
              <w:rFonts w:ascii="等线" w:hAnsi="等线" w:eastAsia="黑体" w:cs="Times New Roman"/>
              <w:sz w:val="44"/>
              <w:szCs w:val="44"/>
            </w:rPr>
          </w:pPr>
        </w:p>
        <w:p>
          <w:pPr>
            <w:spacing w:line="540" w:lineRule="exact"/>
            <w:ind w:firstLine="0" w:firstLineChars="0"/>
            <w:rPr>
              <w:rFonts w:ascii="等线" w:hAnsi="等线" w:eastAsia="黑体" w:cs="Times New Roman"/>
              <w:sz w:val="44"/>
              <w:szCs w:val="44"/>
            </w:rPr>
          </w:pPr>
        </w:p>
        <w:p>
          <w:pPr>
            <w:spacing w:line="540" w:lineRule="exact"/>
            <w:ind w:firstLine="0" w:firstLineChars="0"/>
            <w:jc w:val="center"/>
            <w:rPr>
              <w:rFonts w:ascii="等线" w:hAnsi="等线" w:eastAsia="黑体" w:cs="Times New Roman"/>
              <w:sz w:val="44"/>
              <w:szCs w:val="44"/>
            </w:rPr>
          </w:pPr>
        </w:p>
        <w:p>
          <w:pPr>
            <w:spacing w:line="360" w:lineRule="auto"/>
            <w:ind w:firstLine="0" w:firstLineChars="0"/>
            <w:jc w:val="center"/>
            <w:rPr>
              <w:rFonts w:ascii="等线" w:hAnsi="等线" w:eastAsia="黑体" w:cs="Times New Roman"/>
              <w:sz w:val="44"/>
              <w:szCs w:val="44"/>
            </w:rPr>
          </w:pPr>
        </w:p>
        <w:p>
          <w:pPr>
            <w:spacing w:line="360" w:lineRule="auto"/>
            <w:ind w:firstLine="0" w:firstLineChars="0"/>
            <w:jc w:val="center"/>
            <w:rPr>
              <w:rFonts w:ascii="等线" w:hAnsi="等线" w:eastAsia="黑体" w:cs="Times New Roman"/>
              <w:sz w:val="44"/>
              <w:szCs w:val="44"/>
            </w:rPr>
          </w:pPr>
        </w:p>
        <w:p>
          <w:pPr>
            <w:spacing w:line="360" w:lineRule="auto"/>
            <w:ind w:firstLine="0" w:firstLineChars="0"/>
            <w:jc w:val="center"/>
            <w:rPr>
              <w:rFonts w:eastAsia="宋体" w:cs="Times New Roman"/>
              <w:szCs w:val="32"/>
            </w:rPr>
          </w:pPr>
          <w:r>
            <w:rPr>
              <w:rFonts w:hint="eastAsia" w:eastAsia="宋体" w:cs="Times New Roman"/>
              <w:szCs w:val="32"/>
            </w:rPr>
            <w:t>委托单位：韶关市财政局</w:t>
          </w:r>
        </w:p>
        <w:p>
          <w:pPr>
            <w:spacing w:line="360" w:lineRule="auto"/>
            <w:ind w:firstLine="0" w:firstLineChars="0"/>
            <w:jc w:val="center"/>
            <w:rPr>
              <w:rFonts w:eastAsia="宋体" w:cs="Times New Roman"/>
              <w:szCs w:val="32"/>
            </w:rPr>
          </w:pPr>
          <w:r>
            <w:rPr>
              <w:rFonts w:eastAsia="宋体" w:cs="Times New Roman"/>
              <w:szCs w:val="32"/>
            </w:rPr>
            <w:t>评价机构：广东中大管理咨询集团股份有限公司</w:t>
          </w:r>
        </w:p>
        <w:p>
          <w:pPr>
            <w:spacing w:line="360" w:lineRule="auto"/>
            <w:ind w:firstLine="0" w:firstLineChars="0"/>
            <w:jc w:val="center"/>
            <w:rPr>
              <w:rFonts w:eastAsia="宋体" w:cs="Times New Roman"/>
              <w:spacing w:val="10"/>
              <w:szCs w:val="36"/>
            </w:rPr>
          </w:pPr>
          <w:r>
            <w:rPr>
              <w:rFonts w:eastAsia="宋体" w:cs="Times New Roman"/>
              <w:szCs w:val="32"/>
            </w:rPr>
            <w:t>二〇二</w:t>
          </w:r>
          <w:r>
            <w:rPr>
              <w:rFonts w:hint="eastAsia" w:eastAsia="宋体" w:cs="Times New Roman"/>
              <w:szCs w:val="32"/>
            </w:rPr>
            <w:t>三</w:t>
          </w:r>
          <w:r>
            <w:rPr>
              <w:rFonts w:eastAsia="宋体" w:cs="Times New Roman"/>
              <w:szCs w:val="32"/>
            </w:rPr>
            <w:t>年</w:t>
          </w:r>
          <w:r>
            <w:rPr>
              <w:rFonts w:hint="eastAsia" w:eastAsia="宋体" w:cs="Times New Roman"/>
              <w:szCs w:val="32"/>
              <w:lang w:eastAsia="zh-CN"/>
            </w:rPr>
            <w:t>十二</w:t>
          </w:r>
          <w:r>
            <w:rPr>
              <w:rFonts w:eastAsia="宋体" w:cs="Times New Roman"/>
              <w:szCs w:val="32"/>
            </w:rPr>
            <w:t>月</w:t>
          </w:r>
        </w:p>
      </w:sdtContent>
    </w:sdt>
    <w:p>
      <w:pPr>
        <w:widowControl/>
        <w:ind w:firstLine="660"/>
        <w:jc w:val="center"/>
        <w:outlineLvl w:val="0"/>
        <w:rPr>
          <w:rFonts w:cs="Times New Roman"/>
          <w:spacing w:val="10"/>
          <w:kern w:val="0"/>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widowControl/>
        <w:ind w:firstLine="0" w:firstLineChars="0"/>
        <w:jc w:val="center"/>
        <w:rPr>
          <w:sz w:val="44"/>
          <w:szCs w:val="44"/>
        </w:rPr>
      </w:pPr>
      <w:bookmarkStart w:id="2" w:name="_Toc147654905"/>
      <w:r>
        <w:rPr>
          <w:rFonts w:hint="eastAsia" w:eastAsia="黑体" w:cs="Times New Roman"/>
          <w:b/>
          <w:bCs/>
          <w:spacing w:val="10"/>
          <w:kern w:val="0"/>
          <w:sz w:val="44"/>
          <w:szCs w:val="44"/>
        </w:rPr>
        <w:t>摘</w:t>
      </w:r>
      <w:r>
        <w:rPr>
          <w:rFonts w:eastAsia="黑体" w:cs="Times New Roman"/>
          <w:b/>
          <w:bCs/>
          <w:spacing w:val="10"/>
          <w:kern w:val="0"/>
          <w:sz w:val="44"/>
          <w:szCs w:val="44"/>
        </w:rPr>
        <w:t xml:space="preserve"> 要</w:t>
      </w:r>
      <w:bookmarkEnd w:id="2"/>
    </w:p>
    <w:p>
      <w:pPr>
        <w:widowControl/>
        <w:spacing w:line="560" w:lineRule="exact"/>
        <w:ind w:firstLine="660"/>
        <w:rPr>
          <w:rFonts w:ascii="仿宋_GB2312" w:hAnsi="仿宋_GB2312" w:cs="仿宋_GB2312"/>
          <w:spacing w:val="10"/>
          <w:kern w:val="0"/>
        </w:rPr>
      </w:pPr>
      <w:r>
        <w:rPr>
          <w:rFonts w:hint="eastAsia" w:ascii="仿宋_GB2312" w:hAnsi="仿宋_GB2312" w:cs="仿宋_GB2312"/>
          <w:spacing w:val="10"/>
          <w:kern w:val="0"/>
        </w:rPr>
        <w:t>为深入了解韶关市卫生健康局2022年基本支出和项目支出的整体绩效，强化部门预算绩效管理意识，促进被评价部门提升整体预算绩效管理工作水平，提高财政资金使用效益，受韶关市财政局（下称“市财政局”）的委托，广东中大管理咨询集团股份有限公司（下称“中大咨询”）组建绩效评价工作组对韶关市卫生健康局（下称“市卫健局”）2022年度部门整体支出开展绩效评价工作。</w:t>
      </w:r>
    </w:p>
    <w:p>
      <w:pPr>
        <w:widowControl/>
        <w:spacing w:line="560" w:lineRule="exact"/>
        <w:ind w:firstLine="660"/>
        <w:rPr>
          <w:rFonts w:ascii="仿宋_GB2312" w:hAnsi="仿宋_GB2312" w:cs="仿宋_GB2312"/>
          <w:spacing w:val="10"/>
          <w:kern w:val="0"/>
        </w:rPr>
      </w:pPr>
      <w:r>
        <w:rPr>
          <w:rFonts w:hint="eastAsia" w:ascii="仿宋_GB2312" w:hAnsi="仿宋_GB2312" w:cs="仿宋_GB2312"/>
          <w:spacing w:val="10"/>
          <w:kern w:val="0"/>
        </w:rPr>
        <w:t>本次评价范围包括市卫健局内设的16个职能股室所纳入编制范围的基本支出预算和项目支出预算，评价基准日为2022年12月31日。</w:t>
      </w:r>
    </w:p>
    <w:p>
      <w:pPr>
        <w:pStyle w:val="4"/>
        <w:spacing w:before="0" w:beforeAutospacing="0" w:after="0" w:afterAutospacing="0" w:line="54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2022年市卫健局年初批复预算12.82亿元，年中调减0.21亿元，年末预算为12.61亿元。决算支出10.70亿元，预算执行率为84.85%。</w:t>
      </w:r>
    </w:p>
    <w:p>
      <w:pPr>
        <w:pStyle w:val="4"/>
        <w:spacing w:before="0" w:beforeAutospacing="0" w:after="0" w:afterAutospacing="0" w:line="56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根据现有评价材料，结合书面评价、现场调研情况，韶关市卫生健康局2022年部门整体绩效评价综合得分</w:t>
      </w:r>
      <w:r>
        <w:rPr>
          <w:rFonts w:ascii="仿宋_GB2312" w:hAnsi="仿宋_GB2312" w:eastAsia="仿宋_GB2312" w:cs="仿宋_GB2312"/>
          <w:sz w:val="32"/>
          <w:szCs w:val="32"/>
        </w:rPr>
        <w:t>87</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9分，等级为“良”。</w:t>
      </w:r>
    </w:p>
    <w:p>
      <w:pPr>
        <w:spacing w:line="560" w:lineRule="exact"/>
        <w:ind w:firstLine="660"/>
        <w:rPr>
          <w:rFonts w:ascii="仿宋_GB2312" w:hAnsi="仿宋_GB2312" w:cs="仿宋_GB2312"/>
          <w:spacing w:val="10"/>
          <w:kern w:val="0"/>
        </w:rPr>
      </w:pPr>
      <w:r>
        <w:rPr>
          <w:rFonts w:hint="eastAsia" w:ascii="仿宋_GB2312" w:hAnsi="仿宋_GB2312" w:cs="仿宋_GB2312"/>
          <w:spacing w:val="10"/>
          <w:kern w:val="0"/>
        </w:rPr>
        <w:t>主要存在以下不足：</w:t>
      </w:r>
      <w:r>
        <w:rPr>
          <w:rFonts w:hint="eastAsia" w:ascii="仿宋_GB2312" w:hAnsi="仿宋_GB2312" w:cs="仿宋_GB2312"/>
          <w:b/>
          <w:bCs/>
          <w:spacing w:val="10"/>
        </w:rPr>
        <w:t>第一，</w:t>
      </w:r>
      <w:r>
        <w:rPr>
          <w:rFonts w:hint="eastAsia" w:ascii="仿宋_GB2312" w:hAnsi="仿宋_GB2312" w:cs="仿宋_GB2312"/>
          <w:b/>
          <w:bCs/>
          <w:spacing w:val="10"/>
          <w:kern w:val="0"/>
        </w:rPr>
        <w:t>采购监管不到位，政府采买不规范。</w:t>
      </w:r>
      <w:r>
        <w:rPr>
          <w:rFonts w:hint="eastAsia" w:ascii="仿宋_GB2312" w:hAnsi="仿宋_GB2312" w:cs="仿宋_GB2312"/>
          <w:spacing w:val="10"/>
          <w:kern w:val="0"/>
        </w:rPr>
        <w:t>一是部分政府采购的项目未能在规定时间内签订合同。二是部分项目未能在规定时间内完成合同备案，三是部分项目采购流程倒置。四是部分项目未按规定形式实施采购。五是部分项目采购的时间范围超出政府采购要求。</w:t>
      </w:r>
      <w:r>
        <w:rPr>
          <w:rFonts w:hint="eastAsia" w:ascii="仿宋_GB2312" w:hAnsi="仿宋_GB2312" w:cs="仿宋_GB2312"/>
          <w:b/>
          <w:bCs/>
          <w:spacing w:val="10"/>
          <w:kern w:val="0"/>
        </w:rPr>
        <w:t>第二，项目管理不到位，项目进度延缓滞后。</w:t>
      </w:r>
      <w:r>
        <w:rPr>
          <w:rFonts w:hint="eastAsia" w:ascii="仿宋_GB2312" w:hAnsi="仿宋_GB2312" w:cs="仿宋_GB2312"/>
          <w:spacing w:val="10"/>
          <w:kern w:val="0"/>
        </w:rPr>
        <w:t>项目监督机制不完善，项目执行缺少政策约束。</w:t>
      </w:r>
      <w:r>
        <w:rPr>
          <w:rFonts w:hint="eastAsia" w:ascii="仿宋_GB2312" w:hAnsi="仿宋_GB2312" w:cs="仿宋_GB2312"/>
          <w:b/>
          <w:bCs/>
          <w:spacing w:val="10"/>
          <w:kern w:val="0"/>
        </w:rPr>
        <w:t>第三，财务管理不到位。</w:t>
      </w:r>
      <w:r>
        <w:rPr>
          <w:rFonts w:hint="eastAsia" w:ascii="仿宋_GB2312" w:hAnsi="仿宋_GB2312" w:cs="仿宋_GB2312"/>
          <w:spacing w:val="10"/>
          <w:kern w:val="0"/>
        </w:rPr>
        <w:t>一是“三公”经费账表数据不一致。二是资金支出依据不充分。</w:t>
      </w:r>
      <w:r>
        <w:rPr>
          <w:rFonts w:hint="eastAsia" w:ascii="仿宋_GB2312" w:hAnsi="仿宋_GB2312" w:cs="仿宋_GB2312"/>
          <w:b/>
          <w:bCs/>
          <w:spacing w:val="10"/>
          <w:kern w:val="0"/>
        </w:rPr>
        <w:t>第四，资产管理不到位，国有资产存在流失风险。</w:t>
      </w:r>
      <w:r>
        <w:rPr>
          <w:rFonts w:hint="eastAsia" w:ascii="仿宋_GB2312" w:hAnsi="仿宋_GB2312" w:cs="仿宋_GB2312"/>
          <w:spacing w:val="10"/>
          <w:kern w:val="0"/>
        </w:rPr>
        <w:t>一是固定资产账务管理不规范。二是资产处置方式不规范。</w:t>
      </w:r>
    </w:p>
    <w:p>
      <w:pPr>
        <w:spacing w:line="560" w:lineRule="exact"/>
        <w:ind w:firstLine="660"/>
        <w:rPr>
          <w:rFonts w:ascii="仿宋_GB2312" w:hAnsi="仿宋_GB2312" w:cs="仿宋_GB2312"/>
          <w:spacing w:val="10"/>
          <w:kern w:val="0"/>
        </w:rPr>
      </w:pPr>
      <w:r>
        <w:rPr>
          <w:rFonts w:hint="eastAsia" w:ascii="仿宋_GB2312" w:hAnsi="仿宋_GB2312" w:cs="仿宋_GB2312"/>
          <w:spacing w:val="10"/>
          <w:kern w:val="0"/>
        </w:rPr>
        <w:t>针对以上问题，提出建议如下：</w:t>
      </w:r>
      <w:r>
        <w:rPr>
          <w:rFonts w:hint="eastAsia" w:ascii="仿宋_GB2312" w:hAnsi="仿宋_GB2312" w:cs="仿宋_GB2312"/>
          <w:b/>
          <w:bCs/>
          <w:spacing w:val="10"/>
          <w:kern w:val="0"/>
        </w:rPr>
        <w:t>第一，加强政府采购规范化管理，提高政府采买效益。</w:t>
      </w:r>
      <w:r>
        <w:rPr>
          <w:rFonts w:hint="eastAsia" w:ascii="仿宋_GB2312" w:hAnsi="仿宋_GB2312" w:cs="仿宋_GB2312"/>
          <w:spacing w:val="10"/>
          <w:kern w:val="0"/>
        </w:rPr>
        <w:t>一是完善政府采购管理制度，营造阳光政府采购环境。二是加强政府采购过程管理，促进政府采购合规开展。三是清查纠正政府采购漏洞，巩固阳光采购成效。</w:t>
      </w:r>
      <w:r>
        <w:rPr>
          <w:rFonts w:hint="eastAsia" w:ascii="仿宋_GB2312" w:hAnsi="仿宋_GB2312" w:cs="仿宋_GB2312"/>
          <w:b/>
          <w:bCs/>
          <w:spacing w:val="10"/>
          <w:kern w:val="0"/>
        </w:rPr>
        <w:t>第二，完善项目管理机制，常态化开展监督管理。</w:t>
      </w:r>
      <w:r>
        <w:rPr>
          <w:rFonts w:hint="eastAsia" w:ascii="仿宋_GB2312" w:hAnsi="仿宋_GB2312" w:cs="仿宋_GB2312"/>
          <w:spacing w:val="10"/>
          <w:kern w:val="0"/>
        </w:rPr>
        <w:t>加强项目管理，推进项目有效执行。</w:t>
      </w:r>
      <w:r>
        <w:rPr>
          <w:rFonts w:hint="eastAsia" w:ascii="仿宋_GB2312" w:hAnsi="仿宋_GB2312" w:cs="仿宋_GB2312"/>
          <w:b/>
          <w:bCs/>
          <w:spacing w:val="10"/>
          <w:kern w:val="0"/>
        </w:rPr>
        <w:t>第三，加强财务监督管理，提高财政资金使用效益。第四，加强固定资产管理，保障国有资产安全。</w:t>
      </w:r>
      <w:r>
        <w:rPr>
          <w:rFonts w:hint="eastAsia" w:ascii="仿宋_GB2312" w:hAnsi="仿宋_GB2312" w:cs="仿宋_GB2312"/>
          <w:spacing w:val="10"/>
          <w:kern w:val="0"/>
        </w:rPr>
        <w:t>一是完善部门固定资产管理机制，营造良好资产管理秩序。二是规范固定资产账务处理，防止资产管理与财务管理脱节。</w:t>
      </w:r>
    </w:p>
    <w:p>
      <w:pPr>
        <w:ind w:firstLine="660"/>
        <w:rPr>
          <w:rFonts w:cs="Times New Roman"/>
          <w:spacing w:val="10"/>
          <w:kern w:val="0"/>
        </w:rPr>
      </w:pPr>
      <w:r>
        <w:rPr>
          <w:rFonts w:cs="Times New Roman"/>
          <w:spacing w:val="10"/>
          <w:kern w:val="0"/>
        </w:rPr>
        <w:br w:type="page"/>
      </w:r>
    </w:p>
    <w:sdt>
      <w:sdtPr>
        <w:rPr>
          <w:rFonts w:asciiTheme="minorHAnsi" w:hAnsiTheme="minorHAnsi" w:eastAsiaTheme="minorEastAsia" w:cstheme="minorBidi"/>
          <w:bCs w:val="0"/>
          <w:color w:val="auto"/>
          <w:kern w:val="2"/>
          <w:sz w:val="21"/>
          <w:szCs w:val="22"/>
          <w:lang w:val="zh-CN"/>
        </w:rPr>
        <w:id w:val="120582180"/>
        <w:docPartObj>
          <w:docPartGallery w:val="Table of Contents"/>
          <w:docPartUnique/>
        </w:docPartObj>
      </w:sdtPr>
      <w:sdtEndPr>
        <w:rPr>
          <w:rFonts w:hint="eastAsia" w:ascii="仿宋_GB2312" w:hAnsi="Times New Roman" w:eastAsia="仿宋_GB2312" w:cstheme="minorBidi"/>
          <w:b/>
          <w:bCs w:val="0"/>
          <w:color w:val="auto"/>
          <w:kern w:val="2"/>
          <w:sz w:val="28"/>
          <w:szCs w:val="28"/>
          <w:lang w:val="zh-CN"/>
        </w:rPr>
      </w:sdtEndPr>
      <w:sdtContent>
        <w:p>
          <w:pPr>
            <w:pStyle w:val="35"/>
            <w:jc w:val="center"/>
            <w:rPr>
              <w:rFonts w:ascii="黑体" w:hAnsi="黑体" w:eastAsia="黑体"/>
              <w:bCs w:val="0"/>
              <w:color w:val="auto"/>
              <w:sz w:val="44"/>
              <w:szCs w:val="44"/>
              <w:lang w:val="zh-CN"/>
            </w:rPr>
          </w:pPr>
          <w:r>
            <w:rPr>
              <w:rFonts w:ascii="黑体" w:hAnsi="黑体" w:eastAsia="黑体"/>
              <w:bCs w:val="0"/>
              <w:color w:val="auto"/>
              <w:sz w:val="44"/>
              <w:szCs w:val="44"/>
              <w:lang w:val="zh-CN"/>
            </w:rPr>
            <w:t>目</w:t>
          </w:r>
          <w:r>
            <w:rPr>
              <w:rFonts w:hint="eastAsia" w:ascii="黑体" w:hAnsi="黑体" w:eastAsia="黑体"/>
              <w:bCs w:val="0"/>
              <w:color w:val="auto"/>
              <w:sz w:val="44"/>
              <w:szCs w:val="44"/>
              <w:lang w:val="zh-CN"/>
            </w:rPr>
            <w:t xml:space="preserve"> </w:t>
          </w:r>
          <w:r>
            <w:rPr>
              <w:rFonts w:ascii="黑体" w:hAnsi="黑体" w:eastAsia="黑体"/>
              <w:bCs w:val="0"/>
              <w:color w:val="auto"/>
              <w:sz w:val="44"/>
              <w:szCs w:val="44"/>
              <w:lang w:val="zh-CN"/>
            </w:rPr>
            <w:t>录</w:t>
          </w:r>
        </w:p>
        <w:p>
          <w:pPr>
            <w:pStyle w:val="12"/>
            <w:rPr>
              <w:rFonts w:ascii="宋体" w:hAnsi="宋体" w:eastAsia="宋体" w:cstheme="minorBidi"/>
              <w:b w:val="0"/>
              <w:bCs w:val="0"/>
              <w:spacing w:val="0"/>
              <w:kern w:val="2"/>
              <w14:ligatures w14:val="standardContextual"/>
            </w:rPr>
          </w:pPr>
          <w:r>
            <w:fldChar w:fldCharType="begin"/>
          </w:r>
          <w:r>
            <w:instrText xml:space="preserve"> TOC \o "1-2" \h \z \u </w:instrText>
          </w:r>
          <w:r>
            <w:fldChar w:fldCharType="separate"/>
          </w:r>
          <w:r>
            <w:fldChar w:fldCharType="begin"/>
          </w:r>
          <w:r>
            <w:instrText xml:space="preserve"> HYPERLINK \l "_Toc150765117" </w:instrText>
          </w:r>
          <w:r>
            <w:fldChar w:fldCharType="separate"/>
          </w:r>
          <w:r>
            <w:rPr>
              <w:rStyle w:val="21"/>
              <w:rFonts w:ascii="宋体" w:hAnsi="宋体" w:eastAsia="宋体"/>
            </w:rPr>
            <w:t>一、部门基本情况</w:t>
          </w:r>
          <w:r>
            <w:rPr>
              <w:rFonts w:ascii="宋体" w:hAnsi="宋体" w:eastAsia="宋体"/>
            </w:rPr>
            <w:tab/>
          </w:r>
          <w:r>
            <w:rPr>
              <w:rFonts w:ascii="宋体" w:hAnsi="宋体" w:eastAsia="宋体"/>
            </w:rPr>
            <w:fldChar w:fldCharType="begin"/>
          </w:r>
          <w:r>
            <w:rPr>
              <w:rFonts w:ascii="宋体" w:hAnsi="宋体" w:eastAsia="宋体"/>
            </w:rPr>
            <w:instrText xml:space="preserve"> PAGEREF _Toc150765117 \h </w:instrText>
          </w:r>
          <w:r>
            <w:rPr>
              <w:rFonts w:ascii="宋体" w:hAnsi="宋体" w:eastAsia="宋体"/>
            </w:rPr>
            <w:fldChar w:fldCharType="separate"/>
          </w:r>
          <w:r>
            <w:rPr>
              <w:rFonts w:ascii="宋体" w:hAnsi="宋体" w:eastAsia="宋体"/>
            </w:rPr>
            <w:t>- 1 -</w:t>
          </w:r>
          <w:r>
            <w:rPr>
              <w:rFonts w:ascii="宋体" w:hAnsi="宋体" w:eastAsia="宋体"/>
            </w:rPr>
            <w:fldChar w:fldCharType="end"/>
          </w:r>
          <w:r>
            <w:rPr>
              <w:rFonts w:ascii="宋体" w:hAnsi="宋体" w:eastAsia="宋体"/>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"_Toc150765118" </w:instrText>
          </w:r>
          <w:r>
            <w:fldChar w:fldCharType="separate"/>
          </w:r>
          <w:r>
            <w:rPr>
              <w:rStyle w:val="21"/>
              <w:rFonts w:ascii="宋体" w:hAnsi="宋体" w:eastAsia="宋体"/>
              <w:sz w:val="28"/>
              <w:szCs w:val="28"/>
            </w:rPr>
            <w:t>（一）部门概要</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_Toc150765118 \h </w:instrText>
          </w:r>
          <w:r>
            <w:rPr>
              <w:rFonts w:ascii="宋体" w:hAnsi="宋体" w:eastAsia="宋体"/>
              <w:sz w:val="28"/>
              <w:szCs w:val="28"/>
            </w:rPr>
            <w:fldChar w:fldCharType="separate"/>
          </w:r>
          <w:r>
            <w:rPr>
              <w:rFonts w:ascii="宋体" w:hAnsi="宋体" w:eastAsia="宋体"/>
              <w:sz w:val="28"/>
              <w:szCs w:val="28"/>
            </w:rPr>
            <w:t>- 1 -</w:t>
          </w:r>
          <w:r>
            <w:rPr>
              <w:rFonts w:ascii="宋体" w:hAnsi="宋体" w:eastAsia="宋体"/>
              <w:sz w:val="28"/>
              <w:szCs w:val="28"/>
            </w:rPr>
            <w:fldChar w:fldCharType="end"/>
          </w:r>
          <w:r>
            <w:rPr>
              <w:rFonts w:ascii="宋体" w:hAnsi="宋体" w:eastAsia="宋体"/>
              <w:sz w:val="28"/>
              <w:szCs w:val="28"/>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"_Toc150765119" </w:instrText>
          </w:r>
          <w:r>
            <w:fldChar w:fldCharType="separate"/>
          </w:r>
          <w:r>
            <w:rPr>
              <w:rStyle w:val="21"/>
              <w:rFonts w:ascii="宋体" w:hAnsi="宋体" w:eastAsia="宋体"/>
              <w:sz w:val="28"/>
              <w:szCs w:val="28"/>
            </w:rPr>
            <w:t>（二）年度总体工作及重点工作任务</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_Toc150765119 \h </w:instrText>
          </w:r>
          <w:r>
            <w:rPr>
              <w:rFonts w:ascii="宋体" w:hAnsi="宋体" w:eastAsia="宋体"/>
              <w:sz w:val="28"/>
              <w:szCs w:val="28"/>
            </w:rPr>
            <w:fldChar w:fldCharType="separate"/>
          </w:r>
          <w:r>
            <w:rPr>
              <w:rFonts w:ascii="宋体" w:hAnsi="宋体" w:eastAsia="宋体"/>
              <w:sz w:val="28"/>
              <w:szCs w:val="28"/>
            </w:rPr>
            <w:t>- 2 -</w:t>
          </w:r>
          <w:r>
            <w:rPr>
              <w:rFonts w:ascii="宋体" w:hAnsi="宋体" w:eastAsia="宋体"/>
              <w:sz w:val="28"/>
              <w:szCs w:val="28"/>
            </w:rPr>
            <w:fldChar w:fldCharType="end"/>
          </w:r>
          <w:r>
            <w:rPr>
              <w:rFonts w:ascii="宋体" w:hAnsi="宋体" w:eastAsia="宋体"/>
              <w:sz w:val="28"/>
              <w:szCs w:val="28"/>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"_Toc150765120" </w:instrText>
          </w:r>
          <w:r>
            <w:fldChar w:fldCharType="separate"/>
          </w:r>
          <w:r>
            <w:rPr>
              <w:rStyle w:val="21"/>
              <w:rFonts w:ascii="宋体" w:hAnsi="宋体" w:eastAsia="宋体"/>
              <w:sz w:val="28"/>
              <w:szCs w:val="28"/>
            </w:rPr>
            <w:t>（三）部门整体支出绩效目标</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_Toc150765120 \h </w:instrText>
          </w:r>
          <w:r>
            <w:rPr>
              <w:rFonts w:ascii="宋体" w:hAnsi="宋体" w:eastAsia="宋体"/>
              <w:sz w:val="28"/>
              <w:szCs w:val="28"/>
            </w:rPr>
            <w:fldChar w:fldCharType="separate"/>
          </w:r>
          <w:r>
            <w:rPr>
              <w:rFonts w:ascii="宋体" w:hAnsi="宋体" w:eastAsia="宋体"/>
              <w:sz w:val="28"/>
              <w:szCs w:val="28"/>
            </w:rPr>
            <w:t>- 3 -</w:t>
          </w:r>
          <w:r>
            <w:rPr>
              <w:rFonts w:ascii="宋体" w:hAnsi="宋体" w:eastAsia="宋体"/>
              <w:sz w:val="28"/>
              <w:szCs w:val="28"/>
            </w:rPr>
            <w:fldChar w:fldCharType="end"/>
          </w:r>
          <w:r>
            <w:rPr>
              <w:rFonts w:ascii="宋体" w:hAnsi="宋体" w:eastAsia="宋体"/>
              <w:sz w:val="28"/>
              <w:szCs w:val="28"/>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"_Toc150765121" </w:instrText>
          </w:r>
          <w:r>
            <w:fldChar w:fldCharType="separate"/>
          </w:r>
          <w:r>
            <w:rPr>
              <w:rStyle w:val="21"/>
              <w:rFonts w:ascii="宋体" w:hAnsi="宋体" w:eastAsia="宋体"/>
              <w:sz w:val="28"/>
              <w:szCs w:val="28"/>
            </w:rPr>
            <w:t>（四）部门整体收支情况</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_Toc150765121 \h </w:instrText>
          </w:r>
          <w:r>
            <w:rPr>
              <w:rFonts w:ascii="宋体" w:hAnsi="宋体" w:eastAsia="宋体"/>
              <w:sz w:val="28"/>
              <w:szCs w:val="28"/>
            </w:rPr>
            <w:fldChar w:fldCharType="separate"/>
          </w:r>
          <w:r>
            <w:rPr>
              <w:rFonts w:ascii="宋体" w:hAnsi="宋体" w:eastAsia="宋体"/>
              <w:sz w:val="28"/>
              <w:szCs w:val="28"/>
            </w:rPr>
            <w:t>- 4 -</w:t>
          </w:r>
          <w:r>
            <w:rPr>
              <w:rFonts w:ascii="宋体" w:hAnsi="宋体" w:eastAsia="宋体"/>
              <w:sz w:val="28"/>
              <w:szCs w:val="28"/>
            </w:rPr>
            <w:fldChar w:fldCharType="end"/>
          </w:r>
          <w:r>
            <w:rPr>
              <w:rFonts w:ascii="宋体" w:hAnsi="宋体" w:eastAsia="宋体"/>
              <w:sz w:val="28"/>
              <w:szCs w:val="28"/>
            </w:rPr>
            <w:fldChar w:fldCharType="end"/>
          </w:r>
        </w:p>
        <w:p>
          <w:pPr>
            <w:pStyle w:val="12"/>
            <w:rPr>
              <w:rFonts w:ascii="宋体" w:hAnsi="宋体" w:eastAsia="宋体" w:cstheme="minorBidi"/>
              <w:b w:val="0"/>
              <w:bCs w:val="0"/>
              <w:spacing w:val="0"/>
              <w:kern w:val="2"/>
              <w14:ligatures w14:val="standardContextual"/>
            </w:rPr>
          </w:pPr>
          <w:r>
            <w:fldChar w:fldCharType="begin"/>
          </w:r>
          <w:r>
            <w:instrText xml:space="preserve"> HYPERLINK \l "_Toc150765122" </w:instrText>
          </w:r>
          <w:r>
            <w:fldChar w:fldCharType="separate"/>
          </w:r>
          <w:r>
            <w:rPr>
              <w:rStyle w:val="21"/>
              <w:rFonts w:ascii="宋体" w:hAnsi="宋体" w:eastAsia="宋体"/>
            </w:rPr>
            <w:t>二、评价结果</w:t>
          </w:r>
          <w:r>
            <w:rPr>
              <w:rFonts w:ascii="宋体" w:hAnsi="宋体" w:eastAsia="宋体"/>
            </w:rPr>
            <w:tab/>
          </w:r>
          <w:r>
            <w:rPr>
              <w:rFonts w:ascii="宋体" w:hAnsi="宋体" w:eastAsia="宋体"/>
            </w:rPr>
            <w:fldChar w:fldCharType="begin"/>
          </w:r>
          <w:r>
            <w:rPr>
              <w:rFonts w:ascii="宋体" w:hAnsi="宋体" w:eastAsia="宋体"/>
            </w:rPr>
            <w:instrText xml:space="preserve"> PAGEREF _Toc150765122 \h </w:instrText>
          </w:r>
          <w:r>
            <w:rPr>
              <w:rFonts w:ascii="宋体" w:hAnsi="宋体" w:eastAsia="宋体"/>
            </w:rPr>
            <w:fldChar w:fldCharType="separate"/>
          </w:r>
          <w:r>
            <w:rPr>
              <w:rFonts w:ascii="宋体" w:hAnsi="宋体" w:eastAsia="宋体"/>
            </w:rPr>
            <w:t>- 5 -</w:t>
          </w:r>
          <w:r>
            <w:rPr>
              <w:rFonts w:ascii="宋体" w:hAnsi="宋体" w:eastAsia="宋体"/>
            </w:rPr>
            <w:fldChar w:fldCharType="end"/>
          </w:r>
          <w:r>
            <w:rPr>
              <w:rFonts w:ascii="宋体" w:hAnsi="宋体" w:eastAsia="宋体"/>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"_Toc150765123" </w:instrText>
          </w:r>
          <w:r>
            <w:fldChar w:fldCharType="separate"/>
          </w:r>
          <w:r>
            <w:rPr>
              <w:rStyle w:val="21"/>
              <w:rFonts w:ascii="宋体" w:hAnsi="宋体" w:eastAsia="宋体"/>
              <w:sz w:val="28"/>
              <w:szCs w:val="28"/>
            </w:rPr>
            <w:t>（一）年度工作任务及绩效目标完成情况</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_Toc150765123 \h </w:instrText>
          </w:r>
          <w:r>
            <w:rPr>
              <w:rFonts w:ascii="宋体" w:hAnsi="宋体" w:eastAsia="宋体"/>
              <w:sz w:val="28"/>
              <w:szCs w:val="28"/>
            </w:rPr>
            <w:fldChar w:fldCharType="separate"/>
          </w:r>
          <w:r>
            <w:rPr>
              <w:rFonts w:ascii="宋体" w:hAnsi="宋体" w:eastAsia="宋体"/>
              <w:sz w:val="28"/>
              <w:szCs w:val="28"/>
            </w:rPr>
            <w:t>- 5 -</w:t>
          </w:r>
          <w:r>
            <w:rPr>
              <w:rFonts w:ascii="宋体" w:hAnsi="宋体" w:eastAsia="宋体"/>
              <w:sz w:val="28"/>
              <w:szCs w:val="28"/>
            </w:rPr>
            <w:fldChar w:fldCharType="end"/>
          </w:r>
          <w:r>
            <w:rPr>
              <w:rFonts w:ascii="宋体" w:hAnsi="宋体" w:eastAsia="宋体"/>
              <w:sz w:val="28"/>
              <w:szCs w:val="28"/>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"_Toc150765124" </w:instrText>
          </w:r>
          <w:r>
            <w:fldChar w:fldCharType="separate"/>
          </w:r>
          <w:r>
            <w:rPr>
              <w:rStyle w:val="21"/>
              <w:rFonts w:ascii="宋体" w:hAnsi="宋体" w:eastAsia="宋体"/>
              <w:sz w:val="28"/>
              <w:szCs w:val="28"/>
            </w:rPr>
            <w:t>（二）指标分析</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_Toc150765124 \h </w:instrText>
          </w:r>
          <w:r>
            <w:rPr>
              <w:rFonts w:ascii="宋体" w:hAnsi="宋体" w:eastAsia="宋体"/>
              <w:sz w:val="28"/>
              <w:szCs w:val="28"/>
            </w:rPr>
            <w:fldChar w:fldCharType="separate"/>
          </w:r>
          <w:r>
            <w:rPr>
              <w:rFonts w:ascii="宋体" w:hAnsi="宋体" w:eastAsia="宋体"/>
              <w:sz w:val="28"/>
              <w:szCs w:val="28"/>
            </w:rPr>
            <w:t>- 9 -</w:t>
          </w:r>
          <w:r>
            <w:rPr>
              <w:rFonts w:ascii="宋体" w:hAnsi="宋体" w:eastAsia="宋体"/>
              <w:sz w:val="28"/>
              <w:szCs w:val="28"/>
            </w:rPr>
            <w:fldChar w:fldCharType="end"/>
          </w:r>
          <w:r>
            <w:rPr>
              <w:rFonts w:ascii="宋体" w:hAnsi="宋体" w:eastAsia="宋体"/>
              <w:sz w:val="28"/>
              <w:szCs w:val="28"/>
            </w:rPr>
            <w:fldChar w:fldCharType="end"/>
          </w:r>
        </w:p>
        <w:p>
          <w:pPr>
            <w:pStyle w:val="12"/>
            <w:rPr>
              <w:rFonts w:ascii="宋体" w:hAnsi="宋体" w:eastAsia="宋体" w:cstheme="minorBidi"/>
              <w:b w:val="0"/>
              <w:bCs w:val="0"/>
              <w:spacing w:val="0"/>
              <w:kern w:val="2"/>
              <w14:ligatures w14:val="standardContextual"/>
            </w:rPr>
          </w:pPr>
          <w:r>
            <w:fldChar w:fldCharType="begin"/>
          </w:r>
          <w:r>
            <w:instrText xml:space="preserve"> HYPERLINK \l "_Toc150765125" </w:instrText>
          </w:r>
          <w:r>
            <w:fldChar w:fldCharType="separate"/>
          </w:r>
          <w:r>
            <w:rPr>
              <w:rStyle w:val="21"/>
              <w:rFonts w:ascii="宋体" w:hAnsi="宋体" w:eastAsia="宋体"/>
            </w:rPr>
            <w:t>三、评价结论</w:t>
          </w:r>
          <w:r>
            <w:rPr>
              <w:rFonts w:ascii="宋体" w:hAnsi="宋体" w:eastAsia="宋体"/>
            </w:rPr>
            <w:tab/>
          </w:r>
          <w:r>
            <w:rPr>
              <w:rFonts w:ascii="宋体" w:hAnsi="宋体" w:eastAsia="宋体"/>
            </w:rPr>
            <w:fldChar w:fldCharType="begin"/>
          </w:r>
          <w:r>
            <w:rPr>
              <w:rFonts w:ascii="宋体" w:hAnsi="宋体" w:eastAsia="宋体"/>
            </w:rPr>
            <w:instrText xml:space="preserve"> PAGEREF _Toc150765125 \h </w:instrText>
          </w:r>
          <w:r>
            <w:rPr>
              <w:rFonts w:ascii="宋体" w:hAnsi="宋体" w:eastAsia="宋体"/>
            </w:rPr>
            <w:fldChar w:fldCharType="separate"/>
          </w:r>
          <w:r>
            <w:rPr>
              <w:rFonts w:ascii="宋体" w:hAnsi="宋体" w:eastAsia="宋体"/>
            </w:rPr>
            <w:t>- 26 -</w:t>
          </w:r>
          <w:r>
            <w:rPr>
              <w:rFonts w:ascii="宋体" w:hAnsi="宋体" w:eastAsia="宋体"/>
            </w:rPr>
            <w:fldChar w:fldCharType="end"/>
          </w:r>
          <w:r>
            <w:rPr>
              <w:rFonts w:ascii="宋体" w:hAnsi="宋体" w:eastAsia="宋体"/>
            </w:rPr>
            <w:fldChar w:fldCharType="end"/>
          </w:r>
        </w:p>
        <w:p>
          <w:pPr>
            <w:pStyle w:val="12"/>
            <w:rPr>
              <w:rFonts w:ascii="宋体" w:hAnsi="宋体" w:eastAsia="宋体" w:cstheme="minorBidi"/>
              <w:b w:val="0"/>
              <w:bCs w:val="0"/>
              <w:spacing w:val="0"/>
              <w:kern w:val="2"/>
              <w14:ligatures w14:val="standardContextual"/>
            </w:rPr>
          </w:pPr>
          <w:r>
            <w:fldChar w:fldCharType="begin"/>
          </w:r>
          <w:r>
            <w:instrText xml:space="preserve"> HYPERLINK \l "_Toc150765126" </w:instrText>
          </w:r>
          <w:r>
            <w:fldChar w:fldCharType="separate"/>
          </w:r>
          <w:r>
            <w:rPr>
              <w:rStyle w:val="21"/>
              <w:rFonts w:ascii="宋体" w:hAnsi="宋体" w:eastAsia="宋体"/>
            </w:rPr>
            <w:t>四、主要绩效</w:t>
          </w:r>
          <w:r>
            <w:rPr>
              <w:rFonts w:ascii="宋体" w:hAnsi="宋体" w:eastAsia="宋体"/>
            </w:rPr>
            <w:tab/>
          </w:r>
          <w:r>
            <w:rPr>
              <w:rFonts w:ascii="宋体" w:hAnsi="宋体" w:eastAsia="宋体"/>
            </w:rPr>
            <w:fldChar w:fldCharType="begin"/>
          </w:r>
          <w:r>
            <w:rPr>
              <w:rFonts w:ascii="宋体" w:hAnsi="宋体" w:eastAsia="宋体"/>
            </w:rPr>
            <w:instrText xml:space="preserve"> PAGEREF _Toc150765126 \h </w:instrText>
          </w:r>
          <w:r>
            <w:rPr>
              <w:rFonts w:ascii="宋体" w:hAnsi="宋体" w:eastAsia="宋体"/>
            </w:rPr>
            <w:fldChar w:fldCharType="separate"/>
          </w:r>
          <w:r>
            <w:rPr>
              <w:rFonts w:ascii="宋体" w:hAnsi="宋体" w:eastAsia="宋体"/>
            </w:rPr>
            <w:t>- 27 -</w:t>
          </w:r>
          <w:r>
            <w:rPr>
              <w:rFonts w:ascii="宋体" w:hAnsi="宋体" w:eastAsia="宋体"/>
            </w:rPr>
            <w:fldChar w:fldCharType="end"/>
          </w:r>
          <w:r>
            <w:rPr>
              <w:rFonts w:ascii="宋体" w:hAnsi="宋体" w:eastAsia="宋体"/>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"_Toc150765127" </w:instrText>
          </w:r>
          <w:r>
            <w:fldChar w:fldCharType="separate"/>
          </w:r>
          <w:r>
            <w:rPr>
              <w:rStyle w:val="21"/>
              <w:rFonts w:ascii="宋体" w:hAnsi="宋体" w:eastAsia="宋体"/>
              <w:sz w:val="28"/>
              <w:szCs w:val="28"/>
            </w:rPr>
            <w:t>（一）全力做好疫情防控，保障社会健康运转</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_Toc150765127 \h </w:instrText>
          </w:r>
          <w:r>
            <w:rPr>
              <w:rFonts w:ascii="宋体" w:hAnsi="宋体" w:eastAsia="宋体"/>
              <w:sz w:val="28"/>
              <w:szCs w:val="28"/>
            </w:rPr>
            <w:fldChar w:fldCharType="separate"/>
          </w:r>
          <w:r>
            <w:rPr>
              <w:rFonts w:ascii="宋体" w:hAnsi="宋体" w:eastAsia="宋体"/>
              <w:sz w:val="28"/>
              <w:szCs w:val="28"/>
            </w:rPr>
            <w:t>- 27 -</w:t>
          </w:r>
          <w:r>
            <w:rPr>
              <w:rFonts w:ascii="宋体" w:hAnsi="宋体" w:eastAsia="宋体"/>
              <w:sz w:val="28"/>
              <w:szCs w:val="28"/>
            </w:rPr>
            <w:fldChar w:fldCharType="end"/>
          </w:r>
          <w:r>
            <w:rPr>
              <w:rFonts w:ascii="宋体" w:hAnsi="宋体" w:eastAsia="宋体"/>
              <w:sz w:val="28"/>
              <w:szCs w:val="28"/>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"_Toc150765128" </w:instrText>
          </w:r>
          <w:r>
            <w:fldChar w:fldCharType="separate"/>
          </w:r>
          <w:r>
            <w:rPr>
              <w:rStyle w:val="21"/>
              <w:rFonts w:ascii="宋体" w:hAnsi="宋体" w:eastAsia="宋体"/>
              <w:sz w:val="28"/>
              <w:szCs w:val="28"/>
            </w:rPr>
            <w:t>（二）落实韶关民生实事，把好健康关口</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_Toc150765128 \h </w:instrText>
          </w:r>
          <w:r>
            <w:rPr>
              <w:rFonts w:ascii="宋体" w:hAnsi="宋体" w:eastAsia="宋体"/>
              <w:sz w:val="28"/>
              <w:szCs w:val="28"/>
            </w:rPr>
            <w:fldChar w:fldCharType="separate"/>
          </w:r>
          <w:r>
            <w:rPr>
              <w:rFonts w:ascii="宋体" w:hAnsi="宋体" w:eastAsia="宋体"/>
              <w:sz w:val="28"/>
              <w:szCs w:val="28"/>
            </w:rPr>
            <w:t>- 28 -</w:t>
          </w:r>
          <w:r>
            <w:rPr>
              <w:rFonts w:ascii="宋体" w:hAnsi="宋体" w:eastAsia="宋体"/>
              <w:sz w:val="28"/>
              <w:szCs w:val="28"/>
            </w:rPr>
            <w:fldChar w:fldCharType="end"/>
          </w:r>
          <w:r>
            <w:rPr>
              <w:rFonts w:ascii="宋体" w:hAnsi="宋体" w:eastAsia="宋体"/>
              <w:sz w:val="28"/>
              <w:szCs w:val="28"/>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"_Toc150765129" </w:instrText>
          </w:r>
          <w:r>
            <w:fldChar w:fldCharType="separate"/>
          </w:r>
          <w:r>
            <w:rPr>
              <w:rStyle w:val="21"/>
              <w:rFonts w:ascii="宋体" w:hAnsi="宋体" w:eastAsia="宋体"/>
              <w:sz w:val="28"/>
              <w:szCs w:val="28"/>
            </w:rPr>
            <w:t>（三）推进卫生健康基本公共服务均等化</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_Toc150765129 \h </w:instrText>
          </w:r>
          <w:r>
            <w:rPr>
              <w:rFonts w:ascii="宋体" w:hAnsi="宋体" w:eastAsia="宋体"/>
              <w:sz w:val="28"/>
              <w:szCs w:val="28"/>
            </w:rPr>
            <w:fldChar w:fldCharType="separate"/>
          </w:r>
          <w:r>
            <w:rPr>
              <w:rFonts w:ascii="宋体" w:hAnsi="宋体" w:eastAsia="宋体"/>
              <w:sz w:val="28"/>
              <w:szCs w:val="28"/>
            </w:rPr>
            <w:t>- 29 -</w:t>
          </w:r>
          <w:r>
            <w:rPr>
              <w:rFonts w:ascii="宋体" w:hAnsi="宋体" w:eastAsia="宋体"/>
              <w:sz w:val="28"/>
              <w:szCs w:val="28"/>
            </w:rPr>
            <w:fldChar w:fldCharType="end"/>
          </w:r>
          <w:r>
            <w:rPr>
              <w:rFonts w:ascii="宋体" w:hAnsi="宋体" w:eastAsia="宋体"/>
              <w:sz w:val="28"/>
              <w:szCs w:val="28"/>
            </w:rPr>
            <w:fldChar w:fldCharType="end"/>
          </w:r>
        </w:p>
        <w:p>
          <w:pPr>
            <w:pStyle w:val="12"/>
            <w:rPr>
              <w:rFonts w:ascii="宋体" w:hAnsi="宋体" w:eastAsia="宋体" w:cstheme="minorBidi"/>
              <w:b w:val="0"/>
              <w:bCs w:val="0"/>
              <w:spacing w:val="0"/>
              <w:kern w:val="2"/>
              <w14:ligatures w14:val="standardContextual"/>
            </w:rPr>
          </w:pPr>
          <w:r>
            <w:fldChar w:fldCharType="begin"/>
          </w:r>
          <w:r>
            <w:instrText xml:space="preserve"> HYPERLINK \l "_Toc150765130" </w:instrText>
          </w:r>
          <w:r>
            <w:fldChar w:fldCharType="separate"/>
          </w:r>
          <w:r>
            <w:rPr>
              <w:rStyle w:val="21"/>
              <w:rFonts w:ascii="宋体" w:hAnsi="宋体" w:eastAsia="宋体"/>
            </w:rPr>
            <w:t>五、存在问题与改进建议</w:t>
          </w:r>
          <w:r>
            <w:rPr>
              <w:rFonts w:ascii="宋体" w:hAnsi="宋体" w:eastAsia="宋体"/>
            </w:rPr>
            <w:tab/>
          </w:r>
          <w:r>
            <w:rPr>
              <w:rFonts w:ascii="宋体" w:hAnsi="宋体" w:eastAsia="宋体"/>
            </w:rPr>
            <w:fldChar w:fldCharType="begin"/>
          </w:r>
          <w:r>
            <w:rPr>
              <w:rFonts w:ascii="宋体" w:hAnsi="宋体" w:eastAsia="宋体"/>
            </w:rPr>
            <w:instrText xml:space="preserve"> PAGEREF _Toc150765130 \h </w:instrText>
          </w:r>
          <w:r>
            <w:rPr>
              <w:rFonts w:ascii="宋体" w:hAnsi="宋体" w:eastAsia="宋体"/>
            </w:rPr>
            <w:fldChar w:fldCharType="separate"/>
          </w:r>
          <w:r>
            <w:rPr>
              <w:rFonts w:ascii="宋体" w:hAnsi="宋体" w:eastAsia="宋体"/>
            </w:rPr>
            <w:t>- 30 -</w:t>
          </w:r>
          <w:r>
            <w:rPr>
              <w:rFonts w:ascii="宋体" w:hAnsi="宋体" w:eastAsia="宋体"/>
            </w:rPr>
            <w:fldChar w:fldCharType="end"/>
          </w:r>
          <w:r>
            <w:rPr>
              <w:rFonts w:ascii="宋体" w:hAnsi="宋体" w:eastAsia="宋体"/>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"_Toc150765131" </w:instrText>
          </w:r>
          <w:r>
            <w:fldChar w:fldCharType="separate"/>
          </w:r>
          <w:r>
            <w:rPr>
              <w:rStyle w:val="21"/>
              <w:rFonts w:ascii="宋体" w:hAnsi="宋体" w:eastAsia="宋体"/>
              <w:sz w:val="28"/>
              <w:szCs w:val="28"/>
            </w:rPr>
            <w:t>（一）存在问题</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_Toc150765131 \h </w:instrText>
          </w:r>
          <w:r>
            <w:rPr>
              <w:rFonts w:ascii="宋体" w:hAnsi="宋体" w:eastAsia="宋体"/>
              <w:sz w:val="28"/>
              <w:szCs w:val="28"/>
            </w:rPr>
            <w:fldChar w:fldCharType="separate"/>
          </w:r>
          <w:r>
            <w:rPr>
              <w:rFonts w:ascii="宋体" w:hAnsi="宋体" w:eastAsia="宋体"/>
              <w:sz w:val="28"/>
              <w:szCs w:val="28"/>
            </w:rPr>
            <w:t>- 30 -</w:t>
          </w:r>
          <w:r>
            <w:rPr>
              <w:rFonts w:ascii="宋体" w:hAnsi="宋体" w:eastAsia="宋体"/>
              <w:sz w:val="28"/>
              <w:szCs w:val="28"/>
            </w:rPr>
            <w:fldChar w:fldCharType="end"/>
          </w:r>
          <w:r>
            <w:rPr>
              <w:rFonts w:ascii="宋体" w:hAnsi="宋体" w:eastAsia="宋体"/>
              <w:sz w:val="28"/>
              <w:szCs w:val="28"/>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"_Toc150765132" </w:instrText>
          </w:r>
          <w:r>
            <w:fldChar w:fldCharType="separate"/>
          </w:r>
          <w:r>
            <w:rPr>
              <w:rStyle w:val="21"/>
              <w:rFonts w:ascii="宋体" w:hAnsi="宋体" w:eastAsia="宋体"/>
              <w:sz w:val="28"/>
              <w:szCs w:val="28"/>
            </w:rPr>
            <w:t>（二）改进建议</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_Toc150765132 \h </w:instrText>
          </w:r>
          <w:r>
            <w:rPr>
              <w:rFonts w:ascii="宋体" w:hAnsi="宋体" w:eastAsia="宋体"/>
              <w:sz w:val="28"/>
              <w:szCs w:val="28"/>
            </w:rPr>
            <w:fldChar w:fldCharType="separate"/>
          </w:r>
          <w:r>
            <w:rPr>
              <w:rFonts w:ascii="宋体" w:hAnsi="宋体" w:eastAsia="宋体"/>
              <w:sz w:val="28"/>
              <w:szCs w:val="28"/>
            </w:rPr>
            <w:t>- 34 -</w:t>
          </w:r>
          <w:r>
            <w:rPr>
              <w:rFonts w:ascii="宋体" w:hAnsi="宋体" w:eastAsia="宋体"/>
              <w:sz w:val="28"/>
              <w:szCs w:val="28"/>
            </w:rPr>
            <w:fldChar w:fldCharType="end"/>
          </w:r>
          <w:r>
            <w:rPr>
              <w:rFonts w:ascii="宋体" w:hAnsi="宋体" w:eastAsia="宋体"/>
              <w:sz w:val="28"/>
              <w:szCs w:val="28"/>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"_Toc150765133" </w:instrText>
          </w:r>
          <w:r>
            <w:fldChar w:fldCharType="separate"/>
          </w:r>
          <w:r>
            <w:rPr>
              <w:rStyle w:val="21"/>
              <w:rFonts w:ascii="宋体" w:hAnsi="宋体" w:eastAsia="宋体" w:cs="CESI黑体-GB2312"/>
              <w:bCs/>
              <w:sz w:val="28"/>
              <w:szCs w:val="28"/>
            </w:rPr>
            <w:t>附件1</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_Toc150765133 \h </w:instrText>
          </w:r>
          <w:r>
            <w:rPr>
              <w:rFonts w:ascii="宋体" w:hAnsi="宋体" w:eastAsia="宋体"/>
              <w:sz w:val="28"/>
              <w:szCs w:val="28"/>
            </w:rPr>
            <w:fldChar w:fldCharType="separate"/>
          </w:r>
          <w:r>
            <w:rPr>
              <w:rFonts w:ascii="宋体" w:hAnsi="宋体" w:eastAsia="宋体"/>
              <w:sz w:val="28"/>
              <w:szCs w:val="28"/>
            </w:rPr>
            <w:t>- 38 -</w:t>
          </w:r>
          <w:r>
            <w:rPr>
              <w:rFonts w:ascii="宋体" w:hAnsi="宋体" w:eastAsia="宋体"/>
              <w:sz w:val="28"/>
              <w:szCs w:val="28"/>
            </w:rPr>
            <w:fldChar w:fldCharType="end"/>
          </w:r>
          <w:r>
            <w:rPr>
              <w:rFonts w:ascii="宋体" w:hAnsi="宋体" w:eastAsia="宋体"/>
              <w:sz w:val="28"/>
              <w:szCs w:val="28"/>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"_Toc150765135" </w:instrText>
          </w:r>
          <w:r>
            <w:fldChar w:fldCharType="separate"/>
          </w:r>
          <w:r>
            <w:rPr>
              <w:rStyle w:val="21"/>
              <w:rFonts w:ascii="宋体" w:hAnsi="宋体" w:eastAsia="宋体" w:cs="CESI黑体-GB2312"/>
              <w:bCs/>
              <w:sz w:val="28"/>
              <w:szCs w:val="28"/>
            </w:rPr>
            <w:t>附件2</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_Toc150765135 \h </w:instrText>
          </w:r>
          <w:r>
            <w:rPr>
              <w:rFonts w:ascii="宋体" w:hAnsi="宋体" w:eastAsia="宋体"/>
              <w:sz w:val="28"/>
              <w:szCs w:val="28"/>
            </w:rPr>
            <w:fldChar w:fldCharType="separate"/>
          </w:r>
          <w:r>
            <w:rPr>
              <w:rFonts w:ascii="宋体" w:hAnsi="宋体" w:eastAsia="宋体"/>
              <w:sz w:val="28"/>
              <w:szCs w:val="28"/>
            </w:rPr>
            <w:t>- 49 -</w:t>
          </w:r>
          <w:r>
            <w:rPr>
              <w:rFonts w:ascii="宋体" w:hAnsi="宋体" w:eastAsia="宋体"/>
              <w:sz w:val="28"/>
              <w:szCs w:val="28"/>
            </w:rPr>
            <w:fldChar w:fldCharType="end"/>
          </w:r>
          <w:r>
            <w:rPr>
              <w:rFonts w:ascii="宋体" w:hAnsi="宋体" w:eastAsia="宋体"/>
              <w:sz w:val="28"/>
              <w:szCs w:val="28"/>
            </w:rPr>
            <w:fldChar w:fldCharType="end"/>
          </w:r>
        </w:p>
        <w:p>
          <w:pPr>
            <w:pStyle w:val="14"/>
            <w:tabs>
              <w:tab w:val="right" w:leader="dot" w:pos="8296"/>
            </w:tabs>
            <w:ind w:firstLine="640"/>
            <w:rPr>
              <w:rFonts w:ascii="宋体" w:hAnsi="宋体" w:eastAsia="宋体"/>
              <w:sz w:val="28"/>
              <w:szCs w:val="28"/>
              <w14:ligatures w14:val="standardContextual"/>
            </w:rPr>
          </w:pPr>
          <w:r>
            <w:fldChar w:fldCharType="begin"/>
          </w:r>
          <w:r>
            <w:instrText xml:space="preserve"> HYPERLINK \l "_Toc150765137" </w:instrText>
          </w:r>
          <w:r>
            <w:fldChar w:fldCharType="separate"/>
          </w:r>
          <w:r>
            <w:rPr>
              <w:rStyle w:val="21"/>
              <w:rFonts w:ascii="宋体" w:hAnsi="宋体" w:eastAsia="宋体" w:cs="CESI黑体-GB2312"/>
              <w:bCs/>
              <w:sz w:val="28"/>
              <w:szCs w:val="28"/>
            </w:rPr>
            <w:t>附件3</w:t>
          </w:r>
          <w:r>
            <w:rPr>
              <w:rFonts w:ascii="宋体" w:hAnsi="宋体" w:eastAsia="宋体"/>
              <w:sz w:val="28"/>
              <w:szCs w:val="28"/>
            </w:rPr>
            <w:tab/>
          </w:r>
          <w:r>
            <w:rPr>
              <w:rFonts w:ascii="宋体" w:hAnsi="宋体" w:eastAsia="宋体"/>
              <w:sz w:val="28"/>
              <w:szCs w:val="28"/>
            </w:rPr>
            <w:fldChar w:fldCharType="begin"/>
          </w:r>
          <w:r>
            <w:rPr>
              <w:rFonts w:ascii="宋体" w:hAnsi="宋体" w:eastAsia="宋体"/>
              <w:sz w:val="28"/>
              <w:szCs w:val="28"/>
            </w:rPr>
            <w:instrText xml:space="preserve"> PAGEREF _Toc150765137 \h </w:instrText>
          </w:r>
          <w:r>
            <w:rPr>
              <w:rFonts w:ascii="宋体" w:hAnsi="宋体" w:eastAsia="宋体"/>
              <w:sz w:val="28"/>
              <w:szCs w:val="28"/>
            </w:rPr>
            <w:fldChar w:fldCharType="separate"/>
          </w:r>
          <w:r>
            <w:rPr>
              <w:rFonts w:ascii="宋体" w:hAnsi="宋体" w:eastAsia="宋体"/>
              <w:sz w:val="28"/>
              <w:szCs w:val="28"/>
            </w:rPr>
            <w:t>- 51 -</w:t>
          </w:r>
          <w:r>
            <w:rPr>
              <w:rFonts w:ascii="宋体" w:hAnsi="宋体" w:eastAsia="宋体"/>
              <w:sz w:val="28"/>
              <w:szCs w:val="28"/>
            </w:rPr>
            <w:fldChar w:fldCharType="end"/>
          </w:r>
          <w:r>
            <w:rPr>
              <w:rFonts w:ascii="宋体" w:hAnsi="宋体" w:eastAsia="宋体"/>
              <w:sz w:val="28"/>
              <w:szCs w:val="28"/>
            </w:rPr>
            <w:fldChar w:fldCharType="end"/>
          </w:r>
        </w:p>
        <w:p>
          <w:pPr>
            <w:spacing w:line="560" w:lineRule="exact"/>
            <w:ind w:firstLine="640"/>
            <w:rPr>
              <w:rFonts w:ascii="仿宋_GB2312"/>
              <w:b/>
              <w:sz w:val="28"/>
              <w:szCs w:val="28"/>
              <w:lang w:val="zh-CN"/>
            </w:rPr>
          </w:pPr>
          <w:r>
            <w:rPr>
              <w:rFonts w:ascii="仿宋_GB2312" w:hAnsi="黑体" w:cs="Times New Roman"/>
              <w:spacing w:val="10"/>
              <w:kern w:val="0"/>
              <w:szCs w:val="28"/>
            </w:rPr>
            <w:fldChar w:fldCharType="end"/>
          </w:r>
        </w:p>
      </w:sdtContent>
    </w:sdt>
    <w:p>
      <w:pPr>
        <w:spacing w:line="560" w:lineRule="exact"/>
        <w:ind w:firstLine="562"/>
        <w:rPr>
          <w:rFonts w:ascii="仿宋_GB2312"/>
          <w:b/>
          <w:sz w:val="28"/>
          <w:szCs w:val="28"/>
          <w:lang w:val="zh-CN"/>
        </w:rPr>
        <w:sectPr>
          <w:footerReference r:id="rId11" w:type="default"/>
          <w:pgSz w:w="11906" w:h="16838"/>
          <w:pgMar w:top="1440" w:right="1800" w:bottom="1440" w:left="1800" w:header="851" w:footer="992" w:gutter="0"/>
          <w:pgNumType w:start="1"/>
          <w:cols w:space="425" w:num="1"/>
          <w:docGrid w:type="lines" w:linePitch="312" w:charSpace="0"/>
        </w:sectPr>
      </w:pPr>
    </w:p>
    <w:p>
      <w:pPr>
        <w:pStyle w:val="2"/>
        <w:ind w:firstLine="663"/>
      </w:pPr>
      <w:bookmarkStart w:id="3" w:name="_Toc150765117"/>
      <w:bookmarkStart w:id="4" w:name="_Toc147654906"/>
      <w:r>
        <w:rPr>
          <w:rFonts w:hint="eastAsia"/>
        </w:rPr>
        <w:t>一、部门基本</w:t>
      </w:r>
      <w:r>
        <w:t>情况</w:t>
      </w:r>
      <w:bookmarkEnd w:id="0"/>
      <w:bookmarkEnd w:id="3"/>
      <w:bookmarkEnd w:id="4"/>
    </w:p>
    <w:p>
      <w:pPr>
        <w:pStyle w:val="3"/>
        <w:ind w:firstLine="643"/>
      </w:pPr>
      <w:bookmarkStart w:id="5" w:name="_Toc11396"/>
      <w:bookmarkStart w:id="6" w:name="_Toc147654907"/>
      <w:bookmarkStart w:id="7" w:name="_Toc150765118"/>
      <w:r>
        <w:rPr>
          <w:rFonts w:hint="eastAsia"/>
        </w:rPr>
        <w:t>（一）</w:t>
      </w:r>
      <w:bookmarkEnd w:id="5"/>
      <w:r>
        <w:rPr>
          <w:rFonts w:hint="eastAsia"/>
        </w:rPr>
        <w:t>部门概要</w:t>
      </w:r>
      <w:bookmarkEnd w:id="6"/>
      <w:bookmarkEnd w:id="7"/>
    </w:p>
    <w:p>
      <w:pPr>
        <w:spacing w:line="360" w:lineRule="auto"/>
        <w:ind w:firstLine="643"/>
        <w:outlineLvl w:val="2"/>
        <w:rPr>
          <w:rFonts w:ascii="仿宋_GB2312" w:hAnsi="仿宋_GB2312" w:cs="仿宋_GB2312"/>
          <w:b/>
          <w:bCs/>
          <w:szCs w:val="32"/>
        </w:rPr>
      </w:pPr>
      <w:bookmarkStart w:id="8" w:name="_Toc114664777"/>
      <w:bookmarkStart w:id="9" w:name="_Toc112424045"/>
      <w:bookmarkStart w:id="10" w:name="_Toc118298500"/>
      <w:bookmarkStart w:id="11" w:name="_Hlk19539218"/>
      <w:r>
        <w:rPr>
          <w:rFonts w:hint="eastAsia" w:ascii="仿宋_GB2312" w:hAnsi="仿宋_GB2312" w:cs="仿宋_GB2312"/>
          <w:b/>
          <w:bCs/>
          <w:szCs w:val="32"/>
        </w:rPr>
        <w:t>1.部门主要职能</w:t>
      </w:r>
      <w:bookmarkEnd w:id="8"/>
      <w:bookmarkEnd w:id="9"/>
      <w:bookmarkEnd w:id="10"/>
    </w:p>
    <w:p>
      <w:pPr>
        <w:pStyle w:val="4"/>
        <w:spacing w:before="0" w:beforeAutospacing="0" w:after="0" w:afterAutospacing="0" w:line="560" w:lineRule="exact"/>
        <w:ind w:firstLine="640"/>
        <w:jc w:val="both"/>
        <w:rPr>
          <w:rFonts w:ascii="仿宋_GB2312" w:hAnsi="仿宋_GB2312" w:eastAsia="仿宋_GB2312" w:cs="仿宋_GB2312"/>
          <w:sz w:val="32"/>
          <w:szCs w:val="22"/>
        </w:rPr>
      </w:pPr>
      <w:r>
        <w:rPr>
          <w:rFonts w:hint="eastAsia" w:ascii="仿宋_GB2312" w:hAnsi="仿宋_GB2312" w:eastAsia="仿宋_GB2312" w:cs="仿宋_GB2312"/>
          <w:kern w:val="2"/>
          <w:sz w:val="32"/>
          <w:szCs w:val="32"/>
        </w:rPr>
        <w:t>韶关市卫生健康局（以下简称“市卫生健康局”）是韶关市人民政府工作部门，为正处级，主要负责主管全市卫生健康工作。主要职责包括拟订卫生健康事业发展规划、政策措施，协调推进深化医药卫生体制改革，拟订并组织落实重大疾病防治规划以及严重危害人民健康公共卫生问题的干预措施，协调落实应对人口老龄化政策措施，落实国家、省药物政策和基本药物制度，负责职责范围内的职业卫生、放射卫生、环境卫生、学校卫生、公共场所卫生、饮用水卫生等公共卫生的监督管理，负责医疗机构、医疗服务行业管理办法的监督实施，负责计划生育管理和服务工作，指导县（市、区）卫生健康工作，负责保健对象的医疗保健工作，研究拟订全市卫生健康人才发展政策并组织实施，拟订促进全市中医药事业发展规划并组织实施，完成市委、市政府和省卫生健康委、省中医药局交办的其他任务。</w:t>
      </w:r>
      <w:bookmarkEnd w:id="11"/>
      <w:bookmarkStart w:id="12" w:name="_Hlk19540859"/>
    </w:p>
    <w:p>
      <w:pPr>
        <w:spacing w:line="360" w:lineRule="auto"/>
        <w:ind w:firstLine="643"/>
        <w:outlineLvl w:val="2"/>
        <w:rPr>
          <w:rFonts w:ascii="仿宋_GB2312" w:hAnsi="仿宋_GB2312" w:cs="仿宋_GB2312"/>
          <w:b/>
          <w:bCs/>
          <w:szCs w:val="32"/>
        </w:rPr>
      </w:pPr>
      <w:bookmarkStart w:id="13" w:name="_Toc112424046"/>
      <w:bookmarkStart w:id="14" w:name="_Toc114664778"/>
      <w:bookmarkStart w:id="15" w:name="_Toc118298501"/>
      <w:r>
        <w:rPr>
          <w:rFonts w:hint="eastAsia" w:ascii="仿宋_GB2312" w:hAnsi="仿宋_GB2312" w:cs="仿宋_GB2312"/>
          <w:b/>
          <w:bCs/>
          <w:szCs w:val="32"/>
        </w:rPr>
        <w:t>2.部门机构设置</w:t>
      </w:r>
      <w:bookmarkEnd w:id="13"/>
      <w:bookmarkEnd w:id="14"/>
      <w:r>
        <w:rPr>
          <w:rFonts w:hint="eastAsia" w:ascii="仿宋_GB2312" w:hAnsi="仿宋_GB2312" w:cs="仿宋_GB2312"/>
          <w:b/>
          <w:bCs/>
          <w:szCs w:val="32"/>
        </w:rPr>
        <w:t>和人员情况</w:t>
      </w:r>
      <w:bookmarkEnd w:id="15"/>
    </w:p>
    <w:p>
      <w:pPr>
        <w:pStyle w:val="4"/>
        <w:spacing w:before="0" w:beforeAutospacing="0" w:after="0" w:afterAutospacing="0" w:line="540" w:lineRule="exact"/>
        <w:ind w:firstLine="640"/>
        <w:jc w:val="both"/>
        <w:rPr>
          <w:rFonts w:ascii="仿宋_GB2312" w:hAnsi="仿宋_GB2312" w:eastAsia="仿宋_GB2312" w:cs="仿宋_GB2312"/>
          <w:sz w:val="32"/>
          <w:szCs w:val="22"/>
        </w:rPr>
      </w:pPr>
      <w:r>
        <w:rPr>
          <w:rFonts w:hint="eastAsia" w:ascii="仿宋_GB2312" w:hAnsi="仿宋_GB2312" w:eastAsia="仿宋_GB2312" w:cs="仿宋_GB2312"/>
          <w:sz w:val="32"/>
          <w:szCs w:val="22"/>
        </w:rPr>
        <w:t>市卫生健康局内设16个职能科室，分别为：办公室、规划与统计科、财务科、法规与综合监督科、体制改革科、疾病预防控制科、医政科、基层卫生健康科、妇幼健康科、职业健康与宣传科、人口监测与家庭发展科、科技教育与干部保健科、爱卫科、中医科、人事科、工委办公室。共有机关行政编制62名，其中设：局长1名，副局长4名，正科级领导职数16名，副科级领导职数16名。共有17个下属单位，其中：韶关市卫生监督所、韶关市疾病预防控制中心、韶关市计划生育协会等3个下属单位为参公单位，韶关市中心血站、韶关市职业卫生与健康教育所、韶关市应急救护指挥中心、韶关市计划生育药具管理站等4个下属单位为公益一类单位，粤北人民医院、韶关市第一人民医院、韶关市中医院、韶关市妇幼保健院、韶关市第二人民医院、粤北第二人民医院、粤北第三人民医院、韶州人民医院、韶关市慢性病防治院、韶关市口腔医院等10个下属单位为公益二类单位。</w:t>
      </w:r>
      <w:bookmarkEnd w:id="12"/>
      <w:bookmarkStart w:id="16" w:name="_Toc147654908"/>
    </w:p>
    <w:p>
      <w:pPr>
        <w:spacing w:line="360" w:lineRule="auto"/>
        <w:ind w:firstLine="643"/>
        <w:outlineLvl w:val="1"/>
        <w:rPr>
          <w:rFonts w:eastAsia="楷体_GB2312"/>
          <w:b/>
          <w:bCs/>
          <w:szCs w:val="32"/>
        </w:rPr>
      </w:pPr>
      <w:bookmarkStart w:id="17" w:name="_Toc118298502"/>
      <w:bookmarkStart w:id="18" w:name="_Toc150765119"/>
      <w:bookmarkStart w:id="19" w:name="_Toc112424047"/>
      <w:r>
        <w:rPr>
          <w:rFonts w:hint="eastAsia" w:eastAsia="楷体_GB2312"/>
          <w:b/>
          <w:bCs/>
          <w:szCs w:val="32"/>
        </w:rPr>
        <w:t>（二）年度总体工作及重点工作任务</w:t>
      </w:r>
      <w:bookmarkEnd w:id="17"/>
      <w:bookmarkEnd w:id="18"/>
      <w:bookmarkEnd w:id="19"/>
    </w:p>
    <w:p>
      <w:pPr>
        <w:ind w:firstLine="640"/>
        <w:rPr>
          <w:rFonts w:ascii="仿宋_GB2312" w:hAnsi="仿宋_GB2312" w:cs="仿宋_GB2312"/>
        </w:rPr>
      </w:pPr>
      <w:r>
        <w:rPr>
          <w:rFonts w:hint="eastAsia" w:ascii="仿宋_GB2312" w:hAnsi="仿宋_GB2312" w:cs="仿宋_GB2312"/>
        </w:rPr>
        <w:t>2022年，市卫生健康局</w:t>
      </w:r>
      <w:r>
        <w:rPr>
          <w:rFonts w:hint="eastAsia" w:ascii="仿宋_GB2312" w:hAnsi="仿宋_GB2312" w:cs="仿宋_GB2312"/>
          <w:szCs w:val="32"/>
        </w:rPr>
        <w:t>共有四项年度重点工作任务</w:t>
      </w:r>
      <w:r>
        <w:rPr>
          <w:rFonts w:hint="eastAsia" w:ascii="仿宋_GB2312" w:hAnsi="仿宋_GB2312" w:cs="仿宋_GB2312"/>
        </w:rPr>
        <w:t>：一是应检尽检人群核酸检测，全力做好疫情防控工作，持续落实常态化防控各项工作措施，持续提升早发现早报告的能力；严格集中隔离点管理和院感防控，坚决守好疫情防控广东“北大门”。二是开展耳聋基因早筛，通过基因技术开展疾病早筛，为2022年全市约1.6万新生儿开展耳聋基因筛查，实现早发现早干预的闭环式出生缺陷防控。三是开展肠癌早筛，通过开展疾病早筛，为全市约1.1万40-75周岁人群开展肠癌早筛，实现早发现早干预的肿瘤防控解决方案。四是积极推进卫生健康基层服务多样化，实施居民健康档案管理、健康教育、预防接种、0～6岁儿童健康管理、孕产妇健康管理、老年人健康管理、慢性病患者健康管理（包括高血压患者健康管理和2型糖尿病患者健康管理）、严重精神障碍患者管理、肺结核患者健康管理、中医药健康管理、传染病及突发公共卫生事件报告和处理、卫生计生监督协管等原有十二项基本公共卫生服务项目，以及从原重大公共卫生服务和计划生育服务项目中划入的妇幼卫生、老年健康服务、医养结合、卫生应急、孕前检查等基本公共卫生服务</w:t>
      </w:r>
      <w:r>
        <w:rPr>
          <w:rFonts w:hint="eastAsia" w:ascii="仿宋_GB2312" w:hAnsi="仿宋_GB2312" w:cs="仿宋_GB2312"/>
          <w:szCs w:val="32"/>
        </w:rPr>
        <w:t>。</w:t>
      </w:r>
    </w:p>
    <w:p>
      <w:pPr>
        <w:pStyle w:val="3"/>
        <w:ind w:firstLine="643"/>
      </w:pPr>
      <w:bookmarkStart w:id="20" w:name="_Toc150765120"/>
      <w:r>
        <w:rPr>
          <w:rFonts w:hint="eastAsia"/>
        </w:rPr>
        <w:t>（三）部门整体支出绩效目标</w:t>
      </w:r>
      <w:bookmarkEnd w:id="16"/>
      <w:bookmarkEnd w:id="20"/>
    </w:p>
    <w:p>
      <w:pPr>
        <w:ind w:firstLine="640"/>
        <w:rPr>
          <w:rFonts w:ascii="仿宋_GB2312" w:hAnsi="仿宋_GB2312" w:cs="仿宋_GB2312"/>
        </w:rPr>
      </w:pPr>
      <w:bookmarkStart w:id="21" w:name="_Hlk103456589"/>
      <w:r>
        <w:rPr>
          <w:rFonts w:hint="eastAsia" w:ascii="仿宋_GB2312" w:hAnsi="仿宋_GB2312" w:cs="仿宋_GB2312"/>
        </w:rPr>
        <w:t>围绕年度重点工作任务，市卫生健康局确定了2022年部门整体支出总体绩效目标：拟订卫生健康事业发展规划、政策措施，推进卫生健康基本公共服务均等化。推进深化医药卫生体制改革，组织深化公立医院综合改革，健全现代医院管理制度，推动卫生健康公共服务提供主体多元化。组织落实重大疾病防治规划以及严重危害人民健康公共卫生问题的干预措施，组织实施免疫规划，负责卫生应急工作。落实国家、省药物政策和基本药物制度，落实食品安全地方标准，开展食品安全风险监测评估。开展职责范围内的职业卫生、放射卫生、环境卫生、学校卫生、公共场所卫生、饮用水卫生等公共卫生的监督管理，负责医疗机构、医疗服务行业管理办法的监督实施，建立医疗服务评价和监督管理体系。负责和开展计划生育管理和服务工作。指导基层医疗卫生、妇幼健康服务体系和全科医生队伍建设，推动高素质专业化卫生健康人才队伍建设。</w:t>
      </w:r>
      <w:bookmarkEnd w:id="21"/>
      <w:bookmarkStart w:id="22" w:name="_Toc6210"/>
      <w:bookmarkStart w:id="23" w:name="_Toc147654909"/>
    </w:p>
    <w:p>
      <w:pPr>
        <w:pStyle w:val="3"/>
        <w:ind w:firstLine="643"/>
      </w:pPr>
      <w:bookmarkStart w:id="24" w:name="_Toc150765121"/>
      <w:r>
        <w:rPr>
          <w:rFonts w:hint="eastAsia"/>
        </w:rPr>
        <w:t>（四）</w:t>
      </w:r>
      <w:bookmarkEnd w:id="22"/>
      <w:r>
        <w:rPr>
          <w:rFonts w:hint="eastAsia"/>
        </w:rPr>
        <w:t>部门整体收支情况</w:t>
      </w:r>
      <w:bookmarkEnd w:id="23"/>
      <w:bookmarkEnd w:id="24"/>
    </w:p>
    <w:p>
      <w:pPr>
        <w:spacing w:line="360" w:lineRule="auto"/>
        <w:ind w:firstLine="643"/>
        <w:outlineLvl w:val="2"/>
        <w:rPr>
          <w:rFonts w:ascii="仿宋_GB2312" w:hAnsi="仿宋_GB2312" w:cs="仿宋_GB2312"/>
          <w:b/>
          <w:bCs/>
          <w:szCs w:val="32"/>
        </w:rPr>
      </w:pPr>
      <w:r>
        <w:rPr>
          <w:rFonts w:hint="eastAsia" w:ascii="仿宋_GB2312" w:hAnsi="仿宋_GB2312" w:cs="仿宋_GB2312"/>
          <w:b/>
          <w:bCs/>
          <w:szCs w:val="32"/>
        </w:rPr>
        <w:t>1.卫健系统整体预决算情况</w:t>
      </w:r>
    </w:p>
    <w:p>
      <w:pPr>
        <w:pStyle w:val="4"/>
        <w:spacing w:before="0" w:beforeAutospacing="0" w:after="0" w:afterAutospacing="0" w:line="54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2022年市卫健局（系统）年初批复预算12.82亿元，年中调减0.21亿元，年末预算为12.61亿元。年初预算12.82亿元资金来源为：中央财政资金3.76亿元，省级财政资金5.04亿元，市级财政资金4.02亿元（含专项债资金1.78亿元），各资金占比分别为29.33%、39.31%、31.36%。</w:t>
      </w:r>
    </w:p>
    <w:p>
      <w:pPr>
        <w:pStyle w:val="4"/>
        <w:spacing w:before="0" w:beforeAutospacing="0" w:after="0" w:afterAutospacing="0" w:line="54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2022年市卫健局（系统）决算10.70亿元，预算执行率为84.85%。其中：转移支付5.72亿元，在途支付1.13亿元，直接支付3.85亿元，各资金支付占比分别为45.36%、8.96%、30.53%。</w:t>
      </w:r>
    </w:p>
    <w:p>
      <w:pPr>
        <w:spacing w:line="360" w:lineRule="auto"/>
        <w:ind w:firstLine="643"/>
        <w:outlineLvl w:val="2"/>
        <w:rPr>
          <w:rFonts w:ascii="仿宋_GB2312" w:hAnsi="仿宋_GB2312" w:cs="仿宋_GB2312"/>
          <w:b/>
          <w:bCs/>
          <w:szCs w:val="32"/>
        </w:rPr>
      </w:pPr>
      <w:r>
        <w:rPr>
          <w:rFonts w:hint="eastAsia" w:ascii="仿宋_GB2312" w:hAnsi="仿宋_GB2312" w:cs="仿宋_GB2312"/>
          <w:b/>
          <w:bCs/>
          <w:szCs w:val="32"/>
        </w:rPr>
        <w:t>2.卫健局本级预决算情况</w:t>
      </w:r>
    </w:p>
    <w:p>
      <w:pPr>
        <w:pStyle w:val="4"/>
        <w:spacing w:before="0" w:beforeAutospacing="0" w:after="0" w:afterAutospacing="0" w:line="54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2022年市卫健局（本级）预算28,609.73万元，其中：基本支出预算10,156.26万元</w:t>
      </w:r>
      <w:r>
        <w:rPr>
          <w:rStyle w:val="23"/>
          <w:rFonts w:hint="eastAsia" w:ascii="仿宋_GB2312" w:hAnsi="仿宋_GB2312" w:eastAsia="仿宋_GB2312" w:cs="仿宋_GB2312"/>
          <w:sz w:val="32"/>
          <w:szCs w:val="32"/>
        </w:rPr>
        <w:footnoteReference w:id="0"/>
      </w:r>
      <w:r>
        <w:rPr>
          <w:rFonts w:hint="eastAsia" w:ascii="仿宋_GB2312" w:hAnsi="仿宋_GB2312" w:eastAsia="仿宋_GB2312" w:cs="仿宋_GB2312"/>
          <w:sz w:val="32"/>
          <w:szCs w:val="32"/>
        </w:rPr>
        <w:t>，项目支出预算18,453.47万元，资金分别占比35.50%、64.50%。决算支出397,566.28万元，预算执行率为1389.62%。其中：基本支出321,264.51万元，项目支出76,301.68万元，预算执行率分别为3,163.22%、413.48%。具体见表1-1、1-2。</w:t>
      </w:r>
    </w:p>
    <w:p>
      <w:pPr>
        <w:spacing w:line="360" w:lineRule="auto"/>
        <w:ind w:firstLine="0" w:firstLineChars="0"/>
        <w:jc w:val="center"/>
        <w:rPr>
          <w:rFonts w:ascii="CESI宋体-GB2312" w:hAnsi="CESI宋体-GB2312" w:eastAsia="CESI宋体-GB2312" w:cs="CESI宋体-GB2312"/>
          <w:b/>
          <w:bCs/>
          <w:sz w:val="28"/>
          <w:szCs w:val="28"/>
        </w:rPr>
      </w:pPr>
      <w:r>
        <w:rPr>
          <w:rFonts w:hint="eastAsia" w:ascii="CESI宋体-GB2312" w:hAnsi="CESI宋体-GB2312" w:eastAsia="CESI宋体-GB2312" w:cs="CESI宋体-GB2312"/>
          <w:b/>
          <w:bCs/>
          <w:sz w:val="28"/>
          <w:szCs w:val="28"/>
        </w:rPr>
        <w:t>表1-1  市卫生健康局2022年部门基本支出预算及支出</w:t>
      </w:r>
    </w:p>
    <w:tbl>
      <w:tblPr>
        <w:tblStyle w:val="18"/>
        <w:tblW w:w="89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93"/>
        <w:gridCol w:w="2141"/>
        <w:gridCol w:w="1895"/>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2405"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基本支出</w:t>
            </w:r>
          </w:p>
        </w:tc>
        <w:tc>
          <w:tcPr>
            <w:tcW w:w="1985"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预算（万元）</w:t>
            </w:r>
          </w:p>
        </w:tc>
        <w:tc>
          <w:tcPr>
            <w:tcW w:w="1757"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支出（万元）</w:t>
            </w:r>
          </w:p>
        </w:tc>
        <w:tc>
          <w:tcPr>
            <w:tcW w:w="2149"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5"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一般公共服务支出</w:t>
            </w:r>
          </w:p>
        </w:tc>
        <w:tc>
          <w:tcPr>
            <w:tcW w:w="1985"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1,168.52</w:t>
            </w:r>
          </w:p>
        </w:tc>
        <w:tc>
          <w:tcPr>
            <w:tcW w:w="1757"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1,348.12</w:t>
            </w:r>
          </w:p>
        </w:tc>
        <w:tc>
          <w:tcPr>
            <w:tcW w:w="2149"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115.37%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5"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社会保障和就业支出</w:t>
            </w:r>
          </w:p>
        </w:tc>
        <w:tc>
          <w:tcPr>
            <w:tcW w:w="1985"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bookmarkStart w:id="25" w:name="_Hlk145604056"/>
            <w:r>
              <w:rPr>
                <w:rFonts w:hint="eastAsia" w:ascii="CESI宋体-GB2312" w:hAnsi="CESI宋体-GB2312" w:eastAsia="CESI宋体-GB2312" w:cs="CESI宋体-GB2312"/>
                <w:kern w:val="0"/>
                <w:sz w:val="18"/>
                <w:szCs w:val="18"/>
              </w:rPr>
              <w:t>1,169.34</w:t>
            </w:r>
            <w:bookmarkEnd w:id="25"/>
          </w:p>
        </w:tc>
        <w:tc>
          <w:tcPr>
            <w:tcW w:w="1757"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1,991.36</w:t>
            </w:r>
          </w:p>
        </w:tc>
        <w:tc>
          <w:tcPr>
            <w:tcW w:w="2149"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170.30%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5"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卫生健康支出</w:t>
            </w:r>
          </w:p>
        </w:tc>
        <w:tc>
          <w:tcPr>
            <w:tcW w:w="1985"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7,258.76</w:t>
            </w:r>
          </w:p>
        </w:tc>
        <w:tc>
          <w:tcPr>
            <w:tcW w:w="1757"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317,324.40</w:t>
            </w:r>
          </w:p>
        </w:tc>
        <w:tc>
          <w:tcPr>
            <w:tcW w:w="2149"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4,371.61%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5"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住房保障支出</w:t>
            </w:r>
          </w:p>
        </w:tc>
        <w:tc>
          <w:tcPr>
            <w:tcW w:w="1985"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559.65</w:t>
            </w:r>
          </w:p>
        </w:tc>
        <w:tc>
          <w:tcPr>
            <w:tcW w:w="1757"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600.63</w:t>
            </w:r>
          </w:p>
        </w:tc>
        <w:tc>
          <w:tcPr>
            <w:tcW w:w="2149"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107.32%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05"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合计</w:t>
            </w:r>
          </w:p>
        </w:tc>
        <w:tc>
          <w:tcPr>
            <w:tcW w:w="1985" w:type="dxa"/>
            <w:vAlign w:val="center"/>
          </w:tcPr>
          <w:p>
            <w:pPr>
              <w:widowControl/>
              <w:tabs>
                <w:tab w:val="left" w:pos="0"/>
              </w:tabs>
              <w:adjustRightInd w:val="0"/>
              <w:snapToGrid w:val="0"/>
              <w:ind w:left="4" w:hanging="4" w:hangingChars="2"/>
              <w:jc w:val="right"/>
              <w:rPr>
                <w:rFonts w:ascii="CESI宋体-GB2312" w:hAnsi="CESI宋体-GB2312" w:eastAsia="CESI宋体-GB2312" w:cs="CESI宋体-GB2312"/>
                <w:b/>
                <w:bCs/>
                <w:kern w:val="0"/>
                <w:sz w:val="18"/>
                <w:szCs w:val="18"/>
              </w:rPr>
            </w:pPr>
            <w:r>
              <w:rPr>
                <w:rFonts w:hint="eastAsia" w:ascii="CESI宋体-GB2312" w:hAnsi="CESI宋体-GB2312" w:eastAsia="CESI宋体-GB2312" w:cs="CESI宋体-GB2312"/>
                <w:b/>
                <w:bCs/>
                <w:kern w:val="0"/>
                <w:sz w:val="18"/>
                <w:szCs w:val="18"/>
              </w:rPr>
              <w:t>10,156.27</w:t>
            </w:r>
          </w:p>
        </w:tc>
        <w:tc>
          <w:tcPr>
            <w:tcW w:w="1757" w:type="dxa"/>
            <w:vAlign w:val="center"/>
          </w:tcPr>
          <w:p>
            <w:pPr>
              <w:widowControl/>
              <w:tabs>
                <w:tab w:val="left" w:pos="0"/>
              </w:tabs>
              <w:adjustRightInd w:val="0"/>
              <w:snapToGrid w:val="0"/>
              <w:ind w:left="4" w:hanging="4" w:hangingChars="2"/>
              <w:jc w:val="right"/>
              <w:rPr>
                <w:rFonts w:ascii="CESI宋体-GB2312" w:hAnsi="CESI宋体-GB2312" w:eastAsia="CESI宋体-GB2312" w:cs="CESI宋体-GB2312"/>
                <w:b/>
                <w:bCs/>
                <w:kern w:val="0"/>
                <w:sz w:val="18"/>
                <w:szCs w:val="18"/>
              </w:rPr>
            </w:pPr>
            <w:r>
              <w:rPr>
                <w:rFonts w:hint="eastAsia" w:ascii="CESI宋体-GB2312" w:hAnsi="CESI宋体-GB2312" w:eastAsia="CESI宋体-GB2312" w:cs="CESI宋体-GB2312"/>
                <w:b/>
                <w:bCs/>
                <w:kern w:val="0"/>
                <w:sz w:val="18"/>
                <w:szCs w:val="18"/>
              </w:rPr>
              <w:t>321,264.51</w:t>
            </w:r>
          </w:p>
        </w:tc>
        <w:tc>
          <w:tcPr>
            <w:tcW w:w="2149" w:type="dxa"/>
            <w:vAlign w:val="center"/>
          </w:tcPr>
          <w:p>
            <w:pPr>
              <w:widowControl/>
              <w:tabs>
                <w:tab w:val="left" w:pos="0"/>
              </w:tabs>
              <w:adjustRightInd w:val="0"/>
              <w:snapToGrid w:val="0"/>
              <w:ind w:left="4" w:hanging="4" w:hangingChars="2"/>
              <w:jc w:val="right"/>
              <w:rPr>
                <w:rFonts w:ascii="CESI宋体-GB2312" w:hAnsi="CESI宋体-GB2312" w:eastAsia="CESI宋体-GB2312" w:cs="CESI宋体-GB2312"/>
                <w:b/>
                <w:bCs/>
                <w:kern w:val="0"/>
                <w:sz w:val="18"/>
                <w:szCs w:val="18"/>
              </w:rPr>
            </w:pPr>
            <w:bookmarkStart w:id="26" w:name="_Hlk145604791"/>
            <w:r>
              <w:rPr>
                <w:rFonts w:hint="eastAsia" w:ascii="CESI宋体-GB2312" w:hAnsi="CESI宋体-GB2312" w:eastAsia="CESI宋体-GB2312" w:cs="CESI宋体-GB2312"/>
                <w:b/>
                <w:bCs/>
                <w:kern w:val="0"/>
                <w:sz w:val="18"/>
                <w:szCs w:val="18"/>
              </w:rPr>
              <w:t>3,163.21%</w:t>
            </w:r>
            <w:bookmarkEnd w:id="26"/>
          </w:p>
        </w:tc>
      </w:tr>
    </w:tbl>
    <w:p>
      <w:pPr>
        <w:spacing w:line="360" w:lineRule="auto"/>
        <w:ind w:firstLine="0" w:firstLineChars="0"/>
        <w:jc w:val="center"/>
        <w:rPr>
          <w:rFonts w:ascii="CESI宋体-GB2312" w:hAnsi="CESI宋体-GB2312" w:eastAsia="CESI宋体-GB2312" w:cs="CESI宋体-GB2312"/>
          <w:b/>
          <w:bCs/>
          <w:sz w:val="28"/>
          <w:szCs w:val="28"/>
        </w:rPr>
      </w:pPr>
      <w:r>
        <w:rPr>
          <w:rFonts w:hint="eastAsia" w:ascii="CESI宋体-GB2312" w:hAnsi="CESI宋体-GB2312" w:eastAsia="CESI宋体-GB2312" w:cs="CESI宋体-GB2312"/>
          <w:b/>
          <w:bCs/>
          <w:sz w:val="28"/>
          <w:szCs w:val="28"/>
        </w:rPr>
        <w:t>表1-2  市卫生健康局2022年部门项目支出预算及支出</w:t>
      </w:r>
    </w:p>
    <w:tbl>
      <w:tblPr>
        <w:tblStyle w:val="18"/>
        <w:tblW w:w="89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46"/>
        <w:gridCol w:w="2140"/>
        <w:gridCol w:w="1988"/>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2547" w:type="dxa"/>
            <w:vAlign w:val="center"/>
          </w:tcPr>
          <w:p>
            <w:pPr>
              <w:widowControl/>
              <w:tabs>
                <w:tab w:val="left" w:pos="0"/>
              </w:tabs>
              <w:adjustRightInd w:val="0"/>
              <w:snapToGrid w:val="0"/>
              <w:ind w:left="4" w:hanging="4" w:hangingChars="2"/>
              <w:jc w:val="center"/>
              <w:rPr>
                <w:rFonts w:ascii="CESI宋体-GB2312" w:hAnsi="CESI宋体-GB2312" w:eastAsia="CESI宋体-GB2312" w:cs="CESI宋体-GB2312"/>
                <w:b/>
                <w:bCs/>
                <w:kern w:val="0"/>
                <w:sz w:val="18"/>
                <w:szCs w:val="18"/>
              </w:rPr>
            </w:pPr>
            <w:r>
              <w:rPr>
                <w:rFonts w:hint="eastAsia" w:ascii="CESI宋体-GB2312" w:hAnsi="CESI宋体-GB2312" w:eastAsia="CESI宋体-GB2312" w:cs="CESI宋体-GB2312"/>
                <w:b/>
                <w:bCs/>
                <w:kern w:val="0"/>
                <w:sz w:val="18"/>
                <w:szCs w:val="18"/>
              </w:rPr>
              <w:t>基本支出</w:t>
            </w:r>
          </w:p>
        </w:tc>
        <w:tc>
          <w:tcPr>
            <w:tcW w:w="1984" w:type="dxa"/>
            <w:vAlign w:val="center"/>
          </w:tcPr>
          <w:p>
            <w:pPr>
              <w:widowControl/>
              <w:tabs>
                <w:tab w:val="left" w:pos="0"/>
              </w:tabs>
              <w:adjustRightInd w:val="0"/>
              <w:snapToGrid w:val="0"/>
              <w:ind w:left="4" w:hanging="4" w:hangingChars="2"/>
              <w:jc w:val="center"/>
              <w:rPr>
                <w:rFonts w:ascii="CESI宋体-GB2312" w:hAnsi="CESI宋体-GB2312" w:eastAsia="CESI宋体-GB2312" w:cs="CESI宋体-GB2312"/>
                <w:b/>
                <w:bCs/>
                <w:kern w:val="0"/>
                <w:sz w:val="18"/>
                <w:szCs w:val="18"/>
              </w:rPr>
            </w:pPr>
            <w:r>
              <w:rPr>
                <w:rFonts w:hint="eastAsia" w:ascii="CESI宋体-GB2312" w:hAnsi="CESI宋体-GB2312" w:eastAsia="CESI宋体-GB2312" w:cs="CESI宋体-GB2312"/>
                <w:b/>
                <w:bCs/>
                <w:kern w:val="0"/>
                <w:sz w:val="18"/>
                <w:szCs w:val="18"/>
              </w:rPr>
              <w:t>预算（万元）</w:t>
            </w:r>
          </w:p>
        </w:tc>
        <w:tc>
          <w:tcPr>
            <w:tcW w:w="1843" w:type="dxa"/>
            <w:vAlign w:val="center"/>
          </w:tcPr>
          <w:p>
            <w:pPr>
              <w:widowControl/>
              <w:tabs>
                <w:tab w:val="left" w:pos="0"/>
              </w:tabs>
              <w:adjustRightInd w:val="0"/>
              <w:snapToGrid w:val="0"/>
              <w:ind w:left="4" w:hanging="4" w:hangingChars="2"/>
              <w:jc w:val="center"/>
              <w:rPr>
                <w:rFonts w:ascii="CESI宋体-GB2312" w:hAnsi="CESI宋体-GB2312" w:eastAsia="CESI宋体-GB2312" w:cs="CESI宋体-GB2312"/>
                <w:b/>
                <w:bCs/>
                <w:kern w:val="0"/>
                <w:sz w:val="18"/>
                <w:szCs w:val="18"/>
              </w:rPr>
            </w:pPr>
            <w:r>
              <w:rPr>
                <w:rFonts w:hint="eastAsia" w:ascii="CESI宋体-GB2312" w:hAnsi="CESI宋体-GB2312" w:eastAsia="CESI宋体-GB2312" w:cs="CESI宋体-GB2312"/>
                <w:b/>
                <w:bCs/>
                <w:kern w:val="0"/>
                <w:sz w:val="18"/>
                <w:szCs w:val="18"/>
              </w:rPr>
              <w:t>支出（万元）</w:t>
            </w:r>
          </w:p>
        </w:tc>
        <w:tc>
          <w:tcPr>
            <w:tcW w:w="1922" w:type="dxa"/>
            <w:vAlign w:val="center"/>
          </w:tcPr>
          <w:p>
            <w:pPr>
              <w:widowControl/>
              <w:tabs>
                <w:tab w:val="left" w:pos="0"/>
              </w:tabs>
              <w:adjustRightInd w:val="0"/>
              <w:snapToGrid w:val="0"/>
              <w:ind w:left="4" w:hanging="4" w:hangingChars="2"/>
              <w:jc w:val="center"/>
              <w:rPr>
                <w:rFonts w:ascii="CESI宋体-GB2312" w:hAnsi="CESI宋体-GB2312" w:eastAsia="CESI宋体-GB2312" w:cs="CESI宋体-GB2312"/>
                <w:b/>
                <w:bCs/>
                <w:kern w:val="0"/>
                <w:sz w:val="18"/>
                <w:szCs w:val="18"/>
              </w:rPr>
            </w:pPr>
            <w:r>
              <w:rPr>
                <w:rFonts w:hint="eastAsia" w:ascii="CESI宋体-GB2312" w:hAnsi="CESI宋体-GB2312" w:eastAsia="CESI宋体-GB2312" w:cs="CESI宋体-GB2312"/>
                <w:b/>
                <w:bCs/>
                <w:kern w:val="0"/>
                <w:sz w:val="18"/>
                <w:szCs w:val="18"/>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47"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一般公共服务支出</w:t>
            </w:r>
          </w:p>
        </w:tc>
        <w:tc>
          <w:tcPr>
            <w:tcW w:w="1984"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0.00</w:t>
            </w:r>
          </w:p>
        </w:tc>
        <w:tc>
          <w:tcPr>
            <w:tcW w:w="1843"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1,155.77</w:t>
            </w:r>
          </w:p>
        </w:tc>
        <w:tc>
          <w:tcPr>
            <w:tcW w:w="1922"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47"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教育支出</w:t>
            </w:r>
          </w:p>
        </w:tc>
        <w:tc>
          <w:tcPr>
            <w:tcW w:w="1984"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0.00</w:t>
            </w:r>
          </w:p>
        </w:tc>
        <w:tc>
          <w:tcPr>
            <w:tcW w:w="1843"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33.23</w:t>
            </w:r>
          </w:p>
        </w:tc>
        <w:tc>
          <w:tcPr>
            <w:tcW w:w="1922"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47"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社会保障和就业支出</w:t>
            </w:r>
          </w:p>
        </w:tc>
        <w:tc>
          <w:tcPr>
            <w:tcW w:w="1984"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0.00</w:t>
            </w:r>
          </w:p>
        </w:tc>
        <w:tc>
          <w:tcPr>
            <w:tcW w:w="1843"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351.09</w:t>
            </w:r>
          </w:p>
        </w:tc>
        <w:tc>
          <w:tcPr>
            <w:tcW w:w="1922"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47"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卫生健康支出</w:t>
            </w:r>
          </w:p>
        </w:tc>
        <w:tc>
          <w:tcPr>
            <w:tcW w:w="1984"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18,453.47</w:t>
            </w:r>
          </w:p>
        </w:tc>
        <w:tc>
          <w:tcPr>
            <w:tcW w:w="1843"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57,871.09</w:t>
            </w:r>
          </w:p>
        </w:tc>
        <w:tc>
          <w:tcPr>
            <w:tcW w:w="1922"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313.61%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47"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粮油物资储备支出</w:t>
            </w:r>
          </w:p>
        </w:tc>
        <w:tc>
          <w:tcPr>
            <w:tcW w:w="1984"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0.00</w:t>
            </w:r>
          </w:p>
        </w:tc>
        <w:tc>
          <w:tcPr>
            <w:tcW w:w="1843"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446.00</w:t>
            </w:r>
          </w:p>
        </w:tc>
        <w:tc>
          <w:tcPr>
            <w:tcW w:w="1922"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47"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其他支出</w:t>
            </w:r>
          </w:p>
        </w:tc>
        <w:tc>
          <w:tcPr>
            <w:tcW w:w="1984"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0.00</w:t>
            </w:r>
          </w:p>
        </w:tc>
        <w:tc>
          <w:tcPr>
            <w:tcW w:w="1843"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16,444.60</w:t>
            </w:r>
          </w:p>
        </w:tc>
        <w:tc>
          <w:tcPr>
            <w:tcW w:w="1922"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47" w:type="dxa"/>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合计</w:t>
            </w:r>
          </w:p>
        </w:tc>
        <w:tc>
          <w:tcPr>
            <w:tcW w:w="1984"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18,453.47</w:t>
            </w:r>
          </w:p>
        </w:tc>
        <w:tc>
          <w:tcPr>
            <w:tcW w:w="1843"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76,301.78</w:t>
            </w:r>
          </w:p>
        </w:tc>
        <w:tc>
          <w:tcPr>
            <w:tcW w:w="1922"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413.48%</w:t>
            </w:r>
          </w:p>
        </w:tc>
      </w:tr>
    </w:tbl>
    <w:p>
      <w:pPr>
        <w:spacing w:line="540" w:lineRule="exact"/>
        <w:ind w:firstLine="640"/>
        <w:rPr>
          <w:rFonts w:ascii="仿宋_GB2312" w:hAnsi="仿宋_GB2312" w:cs="仿宋_GB2312"/>
          <w:kern w:val="0"/>
          <w:szCs w:val="32"/>
        </w:rPr>
      </w:pPr>
      <w:r>
        <w:rPr>
          <w:rFonts w:hint="eastAsia" w:ascii="仿宋_GB2312" w:hAnsi="仿宋_GB2312" w:cs="仿宋_GB2312"/>
          <w:kern w:val="0"/>
          <w:szCs w:val="32"/>
        </w:rPr>
        <w:t>其中，2022年市卫健局重点项目预算金额4,817.73万元，决算支出4,379.41万元，资金执行率为90.90%，具体项目支出如表1-3所示。</w:t>
      </w:r>
    </w:p>
    <w:p>
      <w:pPr>
        <w:spacing w:line="360" w:lineRule="auto"/>
        <w:ind w:firstLine="0" w:firstLineChars="0"/>
        <w:jc w:val="center"/>
        <w:rPr>
          <w:rFonts w:ascii="CESI宋体-GB2312" w:hAnsi="CESI宋体-GB2312" w:eastAsia="CESI宋体-GB2312" w:cs="CESI宋体-GB2312"/>
          <w:b/>
          <w:bCs/>
          <w:sz w:val="28"/>
          <w:szCs w:val="28"/>
        </w:rPr>
      </w:pPr>
      <w:r>
        <w:rPr>
          <w:rFonts w:hint="eastAsia" w:ascii="CESI宋体-GB2312" w:hAnsi="CESI宋体-GB2312" w:eastAsia="CESI宋体-GB2312" w:cs="CESI宋体-GB2312"/>
          <w:b/>
          <w:bCs/>
          <w:sz w:val="28"/>
          <w:szCs w:val="28"/>
        </w:rPr>
        <w:t>表1-3 市卫生健康局2022年度部门重点项目预算及支出</w:t>
      </w:r>
    </w:p>
    <w:tbl>
      <w:tblPr>
        <w:tblStyle w:val="17"/>
        <w:tblW w:w="89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1418"/>
        <w:gridCol w:w="1417"/>
        <w:gridCol w:w="1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673" w:type="dxa"/>
            <w:shd w:val="clear" w:color="auto" w:fill="auto"/>
            <w:vAlign w:val="center"/>
          </w:tcPr>
          <w:p>
            <w:pPr>
              <w:widowControl/>
              <w:tabs>
                <w:tab w:val="left" w:pos="0"/>
              </w:tabs>
              <w:adjustRightInd w:val="0"/>
              <w:snapToGrid w:val="0"/>
              <w:ind w:left="4" w:hanging="4" w:hangingChars="2"/>
              <w:jc w:val="center"/>
              <w:rPr>
                <w:rFonts w:ascii="CESI宋体-GB2312" w:hAnsi="CESI宋体-GB2312" w:eastAsia="CESI宋体-GB2312" w:cs="CESI宋体-GB2312"/>
                <w:b/>
                <w:bCs/>
                <w:kern w:val="0"/>
                <w:sz w:val="18"/>
                <w:szCs w:val="18"/>
              </w:rPr>
            </w:pPr>
            <w:r>
              <w:rPr>
                <w:rFonts w:hint="eastAsia" w:ascii="CESI宋体-GB2312" w:hAnsi="CESI宋体-GB2312" w:eastAsia="CESI宋体-GB2312" w:cs="CESI宋体-GB2312"/>
                <w:b/>
                <w:bCs/>
                <w:kern w:val="0"/>
                <w:sz w:val="18"/>
                <w:szCs w:val="18"/>
              </w:rPr>
              <w:t>项目名称</w:t>
            </w:r>
          </w:p>
        </w:tc>
        <w:tc>
          <w:tcPr>
            <w:tcW w:w="1418" w:type="dxa"/>
            <w:shd w:val="clear" w:color="auto" w:fill="auto"/>
            <w:vAlign w:val="center"/>
          </w:tcPr>
          <w:p>
            <w:pPr>
              <w:widowControl/>
              <w:tabs>
                <w:tab w:val="left" w:pos="0"/>
              </w:tabs>
              <w:adjustRightInd w:val="0"/>
              <w:snapToGrid w:val="0"/>
              <w:ind w:left="4" w:hanging="4" w:hangingChars="2"/>
              <w:jc w:val="center"/>
              <w:rPr>
                <w:rFonts w:ascii="CESI宋体-GB2312" w:hAnsi="CESI宋体-GB2312" w:eastAsia="CESI宋体-GB2312" w:cs="CESI宋体-GB2312"/>
                <w:b/>
                <w:bCs/>
                <w:kern w:val="0"/>
                <w:sz w:val="18"/>
                <w:szCs w:val="18"/>
              </w:rPr>
            </w:pPr>
            <w:r>
              <w:rPr>
                <w:rFonts w:hint="eastAsia" w:ascii="CESI宋体-GB2312" w:hAnsi="CESI宋体-GB2312" w:eastAsia="CESI宋体-GB2312" w:cs="CESI宋体-GB2312"/>
                <w:b/>
                <w:bCs/>
                <w:kern w:val="0"/>
                <w:sz w:val="18"/>
                <w:szCs w:val="18"/>
              </w:rPr>
              <w:t>预算（万元）</w:t>
            </w:r>
          </w:p>
        </w:tc>
        <w:tc>
          <w:tcPr>
            <w:tcW w:w="1417" w:type="dxa"/>
            <w:shd w:val="clear" w:color="auto" w:fill="auto"/>
            <w:vAlign w:val="center"/>
          </w:tcPr>
          <w:p>
            <w:pPr>
              <w:widowControl/>
              <w:tabs>
                <w:tab w:val="left" w:pos="0"/>
              </w:tabs>
              <w:adjustRightInd w:val="0"/>
              <w:snapToGrid w:val="0"/>
              <w:ind w:left="4" w:hanging="4" w:hangingChars="2"/>
              <w:jc w:val="center"/>
              <w:rPr>
                <w:rFonts w:ascii="CESI宋体-GB2312" w:hAnsi="CESI宋体-GB2312" w:eastAsia="CESI宋体-GB2312" w:cs="CESI宋体-GB2312"/>
                <w:b/>
                <w:bCs/>
                <w:kern w:val="0"/>
                <w:sz w:val="18"/>
                <w:szCs w:val="18"/>
              </w:rPr>
            </w:pPr>
            <w:r>
              <w:rPr>
                <w:rFonts w:hint="eastAsia" w:ascii="CESI宋体-GB2312" w:hAnsi="CESI宋体-GB2312" w:eastAsia="CESI宋体-GB2312" w:cs="CESI宋体-GB2312"/>
                <w:b/>
                <w:bCs/>
                <w:kern w:val="0"/>
                <w:sz w:val="18"/>
                <w:szCs w:val="18"/>
              </w:rPr>
              <w:t>决算（万元）</w:t>
            </w:r>
          </w:p>
        </w:tc>
        <w:tc>
          <w:tcPr>
            <w:tcW w:w="1439" w:type="dxa"/>
            <w:vAlign w:val="center"/>
          </w:tcPr>
          <w:p>
            <w:pPr>
              <w:widowControl/>
              <w:tabs>
                <w:tab w:val="left" w:pos="0"/>
              </w:tabs>
              <w:adjustRightInd w:val="0"/>
              <w:snapToGrid w:val="0"/>
              <w:ind w:left="4" w:hanging="4" w:hangingChars="2"/>
              <w:jc w:val="center"/>
              <w:rPr>
                <w:rFonts w:ascii="CESI宋体-GB2312" w:hAnsi="CESI宋体-GB2312" w:eastAsia="CESI宋体-GB2312" w:cs="CESI宋体-GB2312"/>
                <w:b/>
                <w:bCs/>
                <w:kern w:val="0"/>
                <w:sz w:val="18"/>
                <w:szCs w:val="18"/>
              </w:rPr>
            </w:pPr>
            <w:r>
              <w:rPr>
                <w:rFonts w:hint="eastAsia" w:ascii="CESI宋体-GB2312" w:hAnsi="CESI宋体-GB2312" w:eastAsia="CESI宋体-GB2312" w:cs="CESI宋体-GB2312"/>
                <w:b/>
                <w:bCs/>
                <w:kern w:val="0"/>
                <w:sz w:val="18"/>
                <w:szCs w:val="18"/>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73" w:type="dxa"/>
            <w:shd w:val="clear" w:color="auto" w:fill="auto"/>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从业人员健康体检项目经费</w:t>
            </w:r>
          </w:p>
        </w:tc>
        <w:tc>
          <w:tcPr>
            <w:tcW w:w="1418" w:type="dxa"/>
            <w:shd w:val="clear" w:color="auto" w:fill="auto"/>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600.00</w:t>
            </w:r>
          </w:p>
        </w:tc>
        <w:tc>
          <w:tcPr>
            <w:tcW w:w="1417" w:type="dxa"/>
            <w:shd w:val="clear" w:color="auto" w:fill="auto"/>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386.87</w:t>
            </w:r>
          </w:p>
        </w:tc>
        <w:tc>
          <w:tcPr>
            <w:tcW w:w="1439"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64.48%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73" w:type="dxa"/>
            <w:shd w:val="clear" w:color="auto" w:fill="auto"/>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广东省农村部分计划生育家庭奖励、市城镇独生子女父母计划生育奖励政、省农村计划生育节育奖励</w:t>
            </w:r>
          </w:p>
        </w:tc>
        <w:tc>
          <w:tcPr>
            <w:tcW w:w="1418" w:type="dxa"/>
            <w:shd w:val="clear" w:color="auto" w:fill="auto"/>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2,130.60</w:t>
            </w:r>
          </w:p>
        </w:tc>
        <w:tc>
          <w:tcPr>
            <w:tcW w:w="1417" w:type="dxa"/>
            <w:shd w:val="clear" w:color="auto" w:fill="auto"/>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2,103.62</w:t>
            </w:r>
          </w:p>
        </w:tc>
        <w:tc>
          <w:tcPr>
            <w:tcW w:w="1439"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98.73%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73" w:type="dxa"/>
            <w:shd w:val="clear" w:color="auto" w:fill="auto"/>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深入推进医防融合大力实施健康韶关建设</w:t>
            </w:r>
          </w:p>
        </w:tc>
        <w:tc>
          <w:tcPr>
            <w:tcW w:w="1418" w:type="dxa"/>
            <w:shd w:val="clear" w:color="auto" w:fill="auto"/>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488.00</w:t>
            </w:r>
          </w:p>
        </w:tc>
        <w:tc>
          <w:tcPr>
            <w:tcW w:w="1417" w:type="dxa"/>
            <w:shd w:val="clear" w:color="auto" w:fill="auto"/>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462.30</w:t>
            </w:r>
          </w:p>
        </w:tc>
        <w:tc>
          <w:tcPr>
            <w:tcW w:w="1439"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94.73%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73" w:type="dxa"/>
            <w:shd w:val="clear" w:color="auto" w:fill="auto"/>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广东省出生缺陷综合防控项目</w:t>
            </w:r>
          </w:p>
        </w:tc>
        <w:tc>
          <w:tcPr>
            <w:tcW w:w="1418" w:type="dxa"/>
            <w:shd w:val="clear" w:color="auto" w:fill="auto"/>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313.31</w:t>
            </w:r>
          </w:p>
        </w:tc>
        <w:tc>
          <w:tcPr>
            <w:tcW w:w="1417" w:type="dxa"/>
            <w:shd w:val="clear" w:color="auto" w:fill="auto"/>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234.88</w:t>
            </w:r>
          </w:p>
        </w:tc>
        <w:tc>
          <w:tcPr>
            <w:tcW w:w="1439"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74.97%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73" w:type="dxa"/>
            <w:shd w:val="clear" w:color="auto" w:fill="auto"/>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适龄女生HPV疫苗免费接种市级配套</w:t>
            </w:r>
          </w:p>
        </w:tc>
        <w:tc>
          <w:tcPr>
            <w:tcW w:w="1418" w:type="dxa"/>
            <w:shd w:val="clear" w:color="auto" w:fill="auto"/>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25.48</w:t>
            </w:r>
          </w:p>
        </w:tc>
        <w:tc>
          <w:tcPr>
            <w:tcW w:w="1417" w:type="dxa"/>
            <w:shd w:val="clear" w:color="auto" w:fill="auto"/>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25.48</w:t>
            </w:r>
          </w:p>
        </w:tc>
        <w:tc>
          <w:tcPr>
            <w:tcW w:w="1439"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73" w:type="dxa"/>
            <w:shd w:val="clear" w:color="auto" w:fill="auto"/>
            <w:vAlign w:val="center"/>
          </w:tcPr>
          <w:p>
            <w:pPr>
              <w:widowControl/>
              <w:tabs>
                <w:tab w:val="left" w:pos="0"/>
              </w:tabs>
              <w:adjustRightInd w:val="0"/>
              <w:snapToGrid w:val="0"/>
              <w:ind w:left="4" w:hanging="3" w:hangingChars="2"/>
              <w:jc w:val="center"/>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基本公共卫生服务项目补助资金</w:t>
            </w:r>
          </w:p>
        </w:tc>
        <w:tc>
          <w:tcPr>
            <w:tcW w:w="1418" w:type="dxa"/>
            <w:shd w:val="clear" w:color="auto" w:fill="auto"/>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1,260.34</w:t>
            </w:r>
          </w:p>
        </w:tc>
        <w:tc>
          <w:tcPr>
            <w:tcW w:w="1417" w:type="dxa"/>
            <w:shd w:val="clear" w:color="auto" w:fill="auto"/>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1,166.26</w:t>
            </w:r>
          </w:p>
        </w:tc>
        <w:tc>
          <w:tcPr>
            <w:tcW w:w="1439" w:type="dxa"/>
            <w:vAlign w:val="center"/>
          </w:tcPr>
          <w:p>
            <w:pPr>
              <w:widowControl/>
              <w:tabs>
                <w:tab w:val="left" w:pos="0"/>
              </w:tabs>
              <w:adjustRightInd w:val="0"/>
              <w:snapToGrid w:val="0"/>
              <w:ind w:left="4" w:hanging="3" w:hangingChars="2"/>
              <w:jc w:val="right"/>
              <w:rPr>
                <w:rFonts w:ascii="CESI宋体-GB2312" w:hAnsi="CESI宋体-GB2312" w:eastAsia="CESI宋体-GB2312" w:cs="CESI宋体-GB2312"/>
                <w:kern w:val="0"/>
                <w:sz w:val="18"/>
                <w:szCs w:val="18"/>
              </w:rPr>
            </w:pPr>
            <w:r>
              <w:rPr>
                <w:rFonts w:hint="eastAsia" w:ascii="CESI宋体-GB2312" w:hAnsi="CESI宋体-GB2312" w:eastAsia="CESI宋体-GB2312" w:cs="CESI宋体-GB2312"/>
                <w:kern w:val="0"/>
                <w:sz w:val="18"/>
                <w:szCs w:val="18"/>
              </w:rPr>
              <w:t>92.54%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73" w:type="dxa"/>
            <w:shd w:val="clear" w:color="auto" w:fill="auto"/>
            <w:vAlign w:val="center"/>
          </w:tcPr>
          <w:p>
            <w:pPr>
              <w:widowControl/>
              <w:tabs>
                <w:tab w:val="left" w:pos="0"/>
              </w:tabs>
              <w:adjustRightInd w:val="0"/>
              <w:snapToGrid w:val="0"/>
              <w:ind w:left="4" w:hanging="4" w:hangingChars="2"/>
              <w:jc w:val="center"/>
              <w:rPr>
                <w:rFonts w:ascii="CESI宋体-GB2312" w:hAnsi="CESI宋体-GB2312" w:eastAsia="CESI宋体-GB2312" w:cs="CESI宋体-GB2312"/>
                <w:b/>
                <w:bCs/>
                <w:kern w:val="0"/>
                <w:sz w:val="18"/>
                <w:szCs w:val="18"/>
              </w:rPr>
            </w:pPr>
            <w:r>
              <w:rPr>
                <w:rFonts w:hint="eastAsia" w:ascii="CESI宋体-GB2312" w:hAnsi="CESI宋体-GB2312" w:eastAsia="CESI宋体-GB2312" w:cs="CESI宋体-GB2312"/>
                <w:b/>
                <w:bCs/>
                <w:kern w:val="0"/>
                <w:sz w:val="18"/>
                <w:szCs w:val="18"/>
              </w:rPr>
              <w:t>　合计</w:t>
            </w:r>
          </w:p>
        </w:tc>
        <w:tc>
          <w:tcPr>
            <w:tcW w:w="1418" w:type="dxa"/>
            <w:shd w:val="clear" w:color="auto" w:fill="auto"/>
            <w:vAlign w:val="center"/>
          </w:tcPr>
          <w:p>
            <w:pPr>
              <w:widowControl/>
              <w:tabs>
                <w:tab w:val="left" w:pos="0"/>
              </w:tabs>
              <w:adjustRightInd w:val="0"/>
              <w:snapToGrid w:val="0"/>
              <w:ind w:left="4" w:hanging="4" w:hangingChars="2"/>
              <w:jc w:val="right"/>
              <w:rPr>
                <w:rFonts w:ascii="CESI宋体-GB2312" w:hAnsi="CESI宋体-GB2312" w:eastAsia="CESI宋体-GB2312" w:cs="CESI宋体-GB2312"/>
                <w:b/>
                <w:bCs/>
                <w:kern w:val="0"/>
                <w:sz w:val="18"/>
                <w:szCs w:val="18"/>
              </w:rPr>
            </w:pPr>
            <w:r>
              <w:rPr>
                <w:rFonts w:hint="eastAsia" w:ascii="CESI宋体-GB2312" w:hAnsi="CESI宋体-GB2312" w:eastAsia="CESI宋体-GB2312" w:cs="CESI宋体-GB2312"/>
                <w:b/>
                <w:bCs/>
                <w:kern w:val="0"/>
                <w:sz w:val="18"/>
                <w:szCs w:val="18"/>
              </w:rPr>
              <w:t>4,817.73</w:t>
            </w:r>
          </w:p>
        </w:tc>
        <w:tc>
          <w:tcPr>
            <w:tcW w:w="1417" w:type="dxa"/>
            <w:shd w:val="clear" w:color="auto" w:fill="auto"/>
            <w:vAlign w:val="center"/>
          </w:tcPr>
          <w:p>
            <w:pPr>
              <w:widowControl/>
              <w:tabs>
                <w:tab w:val="left" w:pos="0"/>
              </w:tabs>
              <w:adjustRightInd w:val="0"/>
              <w:snapToGrid w:val="0"/>
              <w:ind w:left="4" w:hanging="4" w:hangingChars="2"/>
              <w:jc w:val="right"/>
              <w:rPr>
                <w:rFonts w:ascii="CESI宋体-GB2312" w:hAnsi="CESI宋体-GB2312" w:eastAsia="CESI宋体-GB2312" w:cs="CESI宋体-GB2312"/>
                <w:b/>
                <w:bCs/>
                <w:kern w:val="0"/>
                <w:sz w:val="18"/>
                <w:szCs w:val="18"/>
              </w:rPr>
            </w:pPr>
            <w:bookmarkStart w:id="27" w:name="_Hlk145608386"/>
            <w:r>
              <w:rPr>
                <w:rFonts w:hint="eastAsia" w:ascii="CESI宋体-GB2312" w:hAnsi="CESI宋体-GB2312" w:eastAsia="CESI宋体-GB2312" w:cs="CESI宋体-GB2312"/>
                <w:b/>
                <w:bCs/>
                <w:kern w:val="0"/>
                <w:sz w:val="18"/>
                <w:szCs w:val="18"/>
              </w:rPr>
              <w:t>4,379.41</w:t>
            </w:r>
            <w:bookmarkEnd w:id="27"/>
          </w:p>
        </w:tc>
        <w:tc>
          <w:tcPr>
            <w:tcW w:w="1439" w:type="dxa"/>
            <w:vAlign w:val="center"/>
          </w:tcPr>
          <w:p>
            <w:pPr>
              <w:widowControl/>
              <w:tabs>
                <w:tab w:val="left" w:pos="0"/>
              </w:tabs>
              <w:adjustRightInd w:val="0"/>
              <w:snapToGrid w:val="0"/>
              <w:ind w:left="4" w:hanging="4" w:hangingChars="2"/>
              <w:jc w:val="right"/>
              <w:rPr>
                <w:rFonts w:ascii="CESI宋体-GB2312" w:hAnsi="CESI宋体-GB2312" w:eastAsia="CESI宋体-GB2312" w:cs="CESI宋体-GB2312"/>
                <w:b/>
                <w:bCs/>
                <w:kern w:val="0"/>
                <w:sz w:val="18"/>
                <w:szCs w:val="18"/>
              </w:rPr>
            </w:pPr>
            <w:r>
              <w:rPr>
                <w:rFonts w:hint="eastAsia" w:ascii="CESI宋体-GB2312" w:hAnsi="CESI宋体-GB2312" w:eastAsia="CESI宋体-GB2312" w:cs="CESI宋体-GB2312"/>
                <w:b/>
                <w:bCs/>
                <w:kern w:val="0"/>
                <w:sz w:val="18"/>
                <w:szCs w:val="18"/>
              </w:rPr>
              <w:t>90.90%</w:t>
            </w:r>
          </w:p>
        </w:tc>
      </w:tr>
    </w:tbl>
    <w:p>
      <w:pPr>
        <w:pStyle w:val="2"/>
        <w:ind w:firstLine="663"/>
      </w:pPr>
      <w:bookmarkStart w:id="28" w:name="_Toc31150"/>
      <w:bookmarkStart w:id="29" w:name="_Toc144752168"/>
      <w:bookmarkStart w:id="30" w:name="_Toc150765122"/>
      <w:bookmarkStart w:id="31" w:name="_Toc145061813"/>
      <w:bookmarkStart w:id="32" w:name="_Toc147654910"/>
      <w:r>
        <w:rPr>
          <w:rFonts w:hint="eastAsia"/>
        </w:rPr>
        <w:t>二、评价结果</w:t>
      </w:r>
      <w:bookmarkEnd w:id="28"/>
      <w:bookmarkEnd w:id="29"/>
      <w:bookmarkEnd w:id="30"/>
      <w:bookmarkEnd w:id="31"/>
      <w:bookmarkEnd w:id="32"/>
    </w:p>
    <w:p>
      <w:pPr>
        <w:pStyle w:val="3"/>
        <w:ind w:firstLine="643"/>
      </w:pPr>
      <w:bookmarkStart w:id="33" w:name="_Toc150765123"/>
      <w:bookmarkStart w:id="34" w:name="_Toc147654911"/>
      <w:r>
        <w:rPr>
          <w:rFonts w:hint="eastAsia"/>
        </w:rPr>
        <w:t>（一）</w:t>
      </w:r>
      <w:r>
        <w:rPr>
          <w:rFonts w:hint="eastAsia" w:ascii="楷体_GB2312"/>
        </w:rPr>
        <w:t>年度工作任务及绩效目标完成情况</w:t>
      </w:r>
      <w:bookmarkEnd w:id="33"/>
      <w:bookmarkEnd w:id="34"/>
    </w:p>
    <w:p>
      <w:pPr>
        <w:ind w:firstLine="640"/>
        <w:rPr>
          <w:rFonts w:ascii="仿宋_GB2312" w:hAnsi="仿宋_GB2312" w:cs="仿宋_GB2312"/>
        </w:rPr>
      </w:pPr>
      <w:bookmarkStart w:id="35" w:name="_Toc146026865"/>
      <w:r>
        <w:rPr>
          <w:rFonts w:hint="eastAsia" w:ascii="仿宋_GB2312" w:hAnsi="仿宋_GB2312" w:cs="仿宋_GB2312"/>
        </w:rPr>
        <w:t>结合部门整体支出绩效目标表、部门整体支出绩效自评表统计，2022年市卫健局共设置110个部门整体绩效指标，其中：</w:t>
      </w:r>
      <w:r>
        <w:rPr>
          <w:rFonts w:ascii="仿宋_GB2312" w:hAnsi="仿宋_GB2312" w:cs="仿宋_GB2312"/>
        </w:rPr>
        <w:t>110</w:t>
      </w:r>
      <w:r>
        <w:rPr>
          <w:rFonts w:hint="eastAsia" w:ascii="仿宋_GB2312" w:hAnsi="仿宋_GB2312" w:cs="仿宋_GB2312"/>
        </w:rPr>
        <w:t>个指标已完成年初目标，指标完成率达到</w:t>
      </w:r>
      <w:r>
        <w:rPr>
          <w:rFonts w:ascii="仿宋_GB2312" w:hAnsi="仿宋_GB2312" w:cs="仿宋_GB2312"/>
        </w:rPr>
        <w:t>100</w:t>
      </w:r>
      <w:r>
        <w:rPr>
          <w:rFonts w:hint="eastAsia" w:ascii="仿宋_GB2312" w:hAnsi="仿宋_GB2312" w:cs="仿宋_GB2312"/>
        </w:rPr>
        <w:t>.</w:t>
      </w:r>
      <w:r>
        <w:rPr>
          <w:rFonts w:ascii="仿宋_GB2312" w:hAnsi="仿宋_GB2312" w:cs="仿宋_GB2312"/>
        </w:rPr>
        <w:t>00</w:t>
      </w:r>
      <w:r>
        <w:rPr>
          <w:rFonts w:hint="eastAsia" w:ascii="仿宋_GB2312" w:hAnsi="仿宋_GB2312" w:cs="仿宋_GB2312"/>
        </w:rPr>
        <w:t>%。具体如表2-1所示。</w:t>
      </w:r>
    </w:p>
    <w:p>
      <w:pPr>
        <w:spacing w:line="360" w:lineRule="auto"/>
        <w:ind w:firstLine="0" w:firstLineChars="0"/>
        <w:jc w:val="center"/>
        <w:rPr>
          <w:rFonts w:hint="eastAsia" w:ascii="CESI宋体-GB2312" w:hAnsi="CESI宋体-GB2312" w:eastAsia="CESI宋体-GB2312" w:cs="CESI宋体-GB2312"/>
          <w:b/>
          <w:bCs/>
          <w:sz w:val="28"/>
          <w:szCs w:val="28"/>
        </w:rPr>
      </w:pPr>
    </w:p>
    <w:p>
      <w:pPr>
        <w:spacing w:line="360" w:lineRule="auto"/>
        <w:ind w:firstLine="0" w:firstLineChars="0"/>
        <w:jc w:val="center"/>
        <w:rPr>
          <w:rFonts w:ascii="CESI宋体-GB2312" w:hAnsi="CESI宋体-GB2312" w:eastAsia="CESI宋体-GB2312" w:cs="CESI宋体-GB2312"/>
          <w:b/>
          <w:bCs/>
          <w:sz w:val="28"/>
          <w:szCs w:val="28"/>
        </w:rPr>
      </w:pPr>
      <w:r>
        <w:rPr>
          <w:rFonts w:hint="eastAsia" w:ascii="CESI宋体-GB2312" w:hAnsi="CESI宋体-GB2312" w:eastAsia="CESI宋体-GB2312" w:cs="CESI宋体-GB2312"/>
          <w:b/>
          <w:bCs/>
          <w:sz w:val="28"/>
          <w:szCs w:val="28"/>
        </w:rPr>
        <w:t>表2-1 韶关市卫生健康局2022年部门整体支出绩效目标完成情况</w:t>
      </w:r>
    </w:p>
    <w:tbl>
      <w:tblPr>
        <w:tblStyle w:val="17"/>
        <w:tblW w:w="9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3260"/>
        <w:gridCol w:w="2128"/>
        <w:gridCol w:w="2126"/>
        <w:gridCol w:w="1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jc w:val="center"/>
        </w:trPr>
        <w:tc>
          <w:tcPr>
            <w:tcW w:w="511" w:type="pct"/>
            <w:shd w:val="clear" w:color="auto" w:fill="auto"/>
            <w:noWrap/>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4" w:hangingChars="2"/>
              <w:jc w:val="center"/>
              <w:textAlignment w:val="auto"/>
              <w:rPr>
                <w:rFonts w:eastAsia="宋体" w:cs="Times New Roman"/>
                <w:b/>
                <w:bCs/>
                <w:sz w:val="18"/>
                <w:szCs w:val="18"/>
              </w:rPr>
            </w:pPr>
            <w:r>
              <w:rPr>
                <w:rFonts w:hint="eastAsia" w:eastAsia="宋体" w:cs="Times New Roman"/>
                <w:b/>
                <w:bCs/>
                <w:sz w:val="18"/>
                <w:szCs w:val="18"/>
              </w:rPr>
              <w:t>指标类型</w:t>
            </w:r>
          </w:p>
        </w:tc>
        <w:tc>
          <w:tcPr>
            <w:tcW w:w="1699" w:type="pct"/>
            <w:shd w:val="clear" w:color="auto" w:fill="auto"/>
            <w:noWrap/>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4" w:hangingChars="2"/>
              <w:jc w:val="center"/>
              <w:textAlignment w:val="auto"/>
              <w:rPr>
                <w:rFonts w:eastAsia="宋体" w:cs="Times New Roman"/>
                <w:b/>
                <w:bCs/>
                <w:sz w:val="18"/>
                <w:szCs w:val="18"/>
              </w:rPr>
            </w:pPr>
            <w:r>
              <w:rPr>
                <w:rFonts w:hint="eastAsia" w:eastAsia="宋体" w:cs="Times New Roman"/>
                <w:b/>
                <w:bCs/>
                <w:sz w:val="18"/>
                <w:szCs w:val="18"/>
              </w:rPr>
              <w:t>指标名称</w:t>
            </w:r>
          </w:p>
        </w:tc>
        <w:tc>
          <w:tcPr>
            <w:tcW w:w="1109" w:type="pct"/>
            <w:shd w:val="clear" w:color="auto" w:fill="auto"/>
            <w:noWrap/>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4" w:hangingChars="2"/>
              <w:jc w:val="center"/>
              <w:textAlignment w:val="auto"/>
              <w:rPr>
                <w:rFonts w:eastAsia="宋体" w:cs="Times New Roman"/>
                <w:b/>
                <w:bCs/>
                <w:sz w:val="18"/>
                <w:szCs w:val="18"/>
              </w:rPr>
            </w:pPr>
            <w:r>
              <w:rPr>
                <w:rFonts w:hint="eastAsia" w:eastAsia="宋体" w:cs="Times New Roman"/>
                <w:b/>
                <w:bCs/>
                <w:sz w:val="18"/>
                <w:szCs w:val="18"/>
              </w:rPr>
              <w:t>年度计划</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4" w:hangingChars="2"/>
              <w:jc w:val="center"/>
              <w:textAlignment w:val="auto"/>
              <w:rPr>
                <w:rFonts w:eastAsia="宋体" w:cs="Times New Roman"/>
                <w:b/>
                <w:bCs/>
                <w:sz w:val="18"/>
                <w:szCs w:val="18"/>
              </w:rPr>
            </w:pPr>
            <w:r>
              <w:rPr>
                <w:rFonts w:hint="eastAsia" w:eastAsia="宋体" w:cs="Times New Roman"/>
                <w:b/>
                <w:bCs/>
                <w:sz w:val="18"/>
                <w:szCs w:val="18"/>
              </w:rPr>
              <w:t>完成情况</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4" w:hangingChars="2"/>
              <w:jc w:val="center"/>
              <w:textAlignment w:val="auto"/>
              <w:rPr>
                <w:rFonts w:eastAsia="宋体" w:cs="Times New Roman"/>
                <w:b/>
                <w:bCs/>
                <w:sz w:val="18"/>
                <w:szCs w:val="18"/>
              </w:rPr>
            </w:pPr>
            <w:r>
              <w:rPr>
                <w:rFonts w:hint="eastAsia" w:eastAsia="宋体" w:cs="Times New Roman"/>
                <w:b/>
                <w:bCs/>
                <w:sz w:val="18"/>
                <w:szCs w:val="18"/>
              </w:rPr>
              <w:t>是否完成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restar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产出指标</w:t>
            </w: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发展规划、政策和规范性文件起草工作数量</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w:t>
            </w:r>
            <w:r>
              <w:rPr>
                <w:rFonts w:hint="eastAsia" w:eastAsia="宋体" w:cs="Times New Roman"/>
                <w:sz w:val="18"/>
                <w:szCs w:val="18"/>
              </w:rPr>
              <w:t>份</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w:t>
            </w:r>
            <w:r>
              <w:rPr>
                <w:rFonts w:hint="eastAsia" w:eastAsia="宋体" w:cs="Times New Roman"/>
                <w:sz w:val="18"/>
                <w:szCs w:val="18"/>
              </w:rPr>
              <w:t>份</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系统维护数量</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w:t>
            </w:r>
            <w:r>
              <w:rPr>
                <w:rFonts w:hint="eastAsia" w:eastAsia="宋体" w:cs="Times New Roman"/>
                <w:sz w:val="18"/>
                <w:szCs w:val="18"/>
              </w:rPr>
              <w:t>个系统</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w:t>
            </w:r>
            <w:r>
              <w:rPr>
                <w:rFonts w:hint="eastAsia" w:eastAsia="宋体" w:cs="Times New Roman"/>
                <w:sz w:val="18"/>
                <w:szCs w:val="18"/>
              </w:rPr>
              <w:t>个系统</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系统正常运转率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24</w:t>
            </w:r>
            <w:r>
              <w:rPr>
                <w:rFonts w:hint="eastAsia" w:eastAsia="宋体" w:cs="Times New Roman"/>
                <w:sz w:val="18"/>
                <w:szCs w:val="18"/>
              </w:rPr>
              <w:t>小时正常运转</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24</w:t>
            </w:r>
            <w:r>
              <w:rPr>
                <w:rFonts w:hint="eastAsia" w:eastAsia="宋体" w:cs="Times New Roman"/>
                <w:sz w:val="18"/>
                <w:szCs w:val="18"/>
              </w:rPr>
              <w:t>小时正常运转</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业务系统稳定性</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保证系统用户正常使用</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保证系统用户正常使用</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三级医院平均住院日</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公立医院低于</w:t>
            </w:r>
            <w:r>
              <w:rPr>
                <w:rFonts w:eastAsia="宋体" w:cs="Times New Roman"/>
                <w:sz w:val="18"/>
                <w:szCs w:val="18"/>
              </w:rPr>
              <w:t>9.35</w:t>
            </w:r>
            <w:r>
              <w:rPr>
                <w:rFonts w:hint="eastAsia" w:eastAsia="宋体" w:cs="Times New Roman"/>
                <w:sz w:val="18"/>
                <w:szCs w:val="18"/>
              </w:rPr>
              <w:t>天</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公立医院低于</w:t>
            </w:r>
            <w:r>
              <w:rPr>
                <w:rFonts w:eastAsia="宋体" w:cs="Times New Roman"/>
                <w:sz w:val="18"/>
                <w:szCs w:val="18"/>
              </w:rPr>
              <w:t>9.35天</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公立医院药占比（不含中药饮片）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30%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19.61%</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公立医院医疗服务收入（不含药品、耗材、检查、化验收入）占医疗收入比重</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较上年提高</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较上年提高</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居民电子健康档案建档率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上报及时率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传染病报告及时率≥</w:t>
            </w:r>
            <w:r>
              <w:rPr>
                <w:rFonts w:eastAsia="宋体" w:cs="Times New Roman"/>
                <w:sz w:val="18"/>
                <w:szCs w:val="18"/>
              </w:rPr>
              <w:t>95%</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传染病报告及时率≥</w:t>
            </w:r>
            <w:r>
              <w:rPr>
                <w:rFonts w:eastAsia="宋体" w:cs="Times New Roman"/>
                <w:sz w:val="18"/>
                <w:szCs w:val="18"/>
              </w:rPr>
              <w:t>95%</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严重精神障碍患者规范管理率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食品、公共场所、驾驶员人员从业人员补助发放人数</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实际体检人数</w:t>
            </w:r>
          </w:p>
        </w:tc>
        <w:tc>
          <w:tcPr>
            <w:tcW w:w="1108" w:type="pct"/>
            <w:vAlign w:val="center"/>
          </w:tcPr>
          <w:p>
            <w:pPr>
              <w:keepNext w:val="0"/>
              <w:keepLines w:val="0"/>
              <w:pageBreakBefore w:val="0"/>
              <w:widowControl/>
              <w:kinsoku/>
              <w:wordWrap/>
              <w:overflowPunct/>
              <w:topLinePunct w:val="0"/>
              <w:autoSpaceDE/>
              <w:autoSpaceDN/>
              <w:bidi w:val="0"/>
              <w:spacing w:line="260" w:lineRule="exact"/>
              <w:ind w:firstLine="0" w:firstLineChars="0"/>
              <w:jc w:val="center"/>
              <w:textAlignment w:val="auto"/>
              <w:rPr>
                <w:rFonts w:eastAsia="宋体" w:cs="Times New Roman"/>
                <w:sz w:val="18"/>
                <w:szCs w:val="18"/>
              </w:rPr>
            </w:pPr>
            <w:r>
              <w:rPr>
                <w:rFonts w:hint="eastAsia" w:eastAsia="宋体" w:cs="Times New Roman"/>
                <w:sz w:val="18"/>
                <w:szCs w:val="18"/>
              </w:rPr>
              <w:t>实际体检人数</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严重精神障碍患者报告率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5‰</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5‰</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严重精神障碍患者规律服药率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60%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60%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严重精神障碍患者服药率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80%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80%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严重精神障碍患者管理率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90%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90%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国家免疫规划疫苗接种率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全市</w:t>
            </w:r>
            <w:r>
              <w:rPr>
                <w:rFonts w:eastAsia="宋体" w:cs="Times New Roman"/>
                <w:sz w:val="18"/>
                <w:szCs w:val="18"/>
              </w:rPr>
              <w:t>1.1</w:t>
            </w:r>
            <w:r>
              <w:rPr>
                <w:rFonts w:hint="eastAsia" w:eastAsia="宋体" w:cs="Times New Roman"/>
                <w:sz w:val="18"/>
                <w:szCs w:val="18"/>
              </w:rPr>
              <w:t>万名</w:t>
            </w:r>
            <w:r>
              <w:rPr>
                <w:rFonts w:eastAsia="宋体" w:cs="Times New Roman"/>
                <w:sz w:val="18"/>
                <w:szCs w:val="18"/>
              </w:rPr>
              <w:t>40-75</w:t>
            </w:r>
            <w:r>
              <w:rPr>
                <w:rFonts w:hint="eastAsia" w:eastAsia="宋体" w:cs="Times New Roman"/>
                <w:sz w:val="18"/>
                <w:szCs w:val="18"/>
              </w:rPr>
              <w:t>周岁人群肠癌早筛</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1.1</w:t>
            </w:r>
            <w:r>
              <w:rPr>
                <w:rFonts w:hint="eastAsia" w:eastAsia="宋体" w:cs="Times New Roman"/>
                <w:sz w:val="18"/>
                <w:szCs w:val="18"/>
              </w:rPr>
              <w:t>万人</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11171人</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肠癌早筛回访率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98.08%</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取得心肺复苏培训证书的普通人群比例</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3%</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5%</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8.1</w:t>
            </w:r>
            <w:r>
              <w:rPr>
                <w:rFonts w:hint="eastAsia" w:eastAsia="宋体" w:cs="Times New Roman"/>
                <w:sz w:val="18"/>
                <w:szCs w:val="18"/>
              </w:rPr>
              <w:t>万人的心肺复苏技能培训目标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8.1</w:t>
            </w:r>
            <w:r>
              <w:rPr>
                <w:rFonts w:hint="eastAsia" w:eastAsia="宋体" w:cs="Times New Roman"/>
                <w:sz w:val="18"/>
                <w:szCs w:val="18"/>
              </w:rPr>
              <w:t>万人</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81100人</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阻断病毒传播</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有效阻断新冠病毒传播</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有效阻断新冠病毒传播</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免费核酸检测计划参与人数</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为应检尽检人群开展免费核酸检测</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约</w:t>
            </w:r>
            <w:r>
              <w:rPr>
                <w:rFonts w:eastAsia="宋体" w:cs="Times New Roman"/>
                <w:sz w:val="18"/>
                <w:szCs w:val="18"/>
              </w:rPr>
              <w:t>15万人次</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检测工作完成及时性</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采样</w:t>
            </w:r>
            <w:r>
              <w:rPr>
                <w:rFonts w:eastAsia="宋体" w:cs="Times New Roman"/>
                <w:sz w:val="18"/>
                <w:szCs w:val="18"/>
              </w:rPr>
              <w:t>24</w:t>
            </w:r>
            <w:r>
              <w:rPr>
                <w:rFonts w:hint="eastAsia" w:eastAsia="宋体" w:cs="Times New Roman"/>
                <w:sz w:val="18"/>
                <w:szCs w:val="18"/>
              </w:rPr>
              <w:t>小时内出检测结果</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可在省系统直接查询</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派出支援队伍人次</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130</w:t>
            </w:r>
            <w:r>
              <w:rPr>
                <w:rFonts w:hint="eastAsia" w:eastAsia="宋体" w:cs="Times New Roman"/>
                <w:sz w:val="18"/>
                <w:szCs w:val="18"/>
              </w:rPr>
              <w:t>人次</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130人次</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协助派出范围</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按省下达要求派出</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支援梅州、深圳、河源、东莞、佛山、广州等地</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慰问疫情防控工作人员</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按文件要求发放慰问</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3060人次</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是否印发应急储备物资管理制度</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管理制度健全</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印发通知</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应急储备物资种类合理</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符合应急物资储备目录要求</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按最低参考目录储备</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应急储备物资购置数量合理</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符合应急物资储备目录要求</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按最低参考目录储备</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应急储备物资验收是否符合要求</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符合要求</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按最低参考目录储备</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群众文化机构组织文艺活动次数</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组织全市老年人文艺比赛</w:t>
            </w:r>
            <w:r>
              <w:rPr>
                <w:rFonts w:eastAsia="宋体" w:cs="Times New Roman"/>
                <w:sz w:val="18"/>
                <w:szCs w:val="18"/>
              </w:rPr>
              <w:t>1</w:t>
            </w:r>
            <w:r>
              <w:rPr>
                <w:rFonts w:hint="eastAsia" w:eastAsia="宋体" w:cs="Times New Roman"/>
                <w:sz w:val="18"/>
                <w:szCs w:val="18"/>
              </w:rPr>
              <w:t>次</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组织全市老年人文艺比赛</w:t>
            </w:r>
            <w:r>
              <w:rPr>
                <w:rFonts w:eastAsia="宋体" w:cs="Times New Roman"/>
                <w:sz w:val="18"/>
                <w:szCs w:val="18"/>
              </w:rPr>
              <w:t>1次</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老年人城乡社区规范健康管理服务率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老年人城乡社区规范健康管理服务率≥</w:t>
            </w:r>
            <w:r>
              <w:rPr>
                <w:rFonts w:eastAsia="宋体" w:cs="Times New Roman"/>
                <w:sz w:val="18"/>
                <w:szCs w:val="18"/>
              </w:rPr>
              <w:t>55%</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老年人城乡社区规范健康管理服务率≥</w:t>
            </w:r>
            <w:r>
              <w:rPr>
                <w:rFonts w:eastAsia="宋体" w:cs="Times New Roman"/>
                <w:sz w:val="18"/>
                <w:szCs w:val="18"/>
              </w:rPr>
              <w:t>55%</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活动覆盖人数</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组织重阳节参加人次</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韶关市“喜迎二十大、庆重阳敬老杯”门球邀请赛共</w:t>
            </w:r>
            <w:r>
              <w:rPr>
                <w:rFonts w:eastAsia="宋体" w:cs="Times New Roman"/>
                <w:sz w:val="18"/>
                <w:szCs w:val="18"/>
              </w:rPr>
              <w:t>180人</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加强基层社区（村）配套基础设施</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w:t>
            </w:r>
            <w:r>
              <w:rPr>
                <w:rFonts w:hint="eastAsia" w:eastAsia="宋体" w:cs="Times New Roman"/>
                <w:sz w:val="18"/>
                <w:szCs w:val="18"/>
              </w:rPr>
              <w:t>个</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始兴县城南镇社区、新丰县沙田镇阳福村成功创建全国示范性老年友好型社区（村）</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组织敬老爱老助老活动</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开展韶关市“反诈防骗</w:t>
            </w:r>
            <w:r>
              <w:rPr>
                <w:rFonts w:eastAsia="宋体" w:cs="Times New Roman"/>
                <w:sz w:val="18"/>
                <w:szCs w:val="18"/>
              </w:rPr>
              <w:t xml:space="preserve"> </w:t>
            </w:r>
            <w:r>
              <w:rPr>
                <w:rFonts w:hint="eastAsia" w:eastAsia="宋体" w:cs="Times New Roman"/>
                <w:sz w:val="18"/>
                <w:szCs w:val="18"/>
              </w:rPr>
              <w:t>敬老助老”敬老月进社区活动</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开展韶关市“反诈防骗</w:t>
            </w:r>
            <w:r>
              <w:rPr>
                <w:rFonts w:eastAsia="宋体" w:cs="Times New Roman"/>
                <w:sz w:val="18"/>
                <w:szCs w:val="18"/>
              </w:rPr>
              <w:t xml:space="preserve"> 敬老助老”敬老月进社区活动</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加强市老干部大学基础设施水平</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完善市老干部大学基础设施费用</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完善市老干部大学基础设施费用</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印制宣传手册</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3000</w:t>
            </w:r>
            <w:r>
              <w:rPr>
                <w:rFonts w:hint="eastAsia" w:eastAsia="宋体" w:cs="Times New Roman"/>
                <w:sz w:val="18"/>
                <w:szCs w:val="18"/>
              </w:rPr>
              <w:t>本左右</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3000本左右</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开展调研</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考察调研医疗康养产业高质量发展情况</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考察调研医疗康养产业高质量发展情况</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合同执行情况</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完成至少一份医疗康养产业招商合同</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完成至少一份医疗康养产业招商合同</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举办活动及时度</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每年举办韶关市医疗康养产业招商引资推荐会</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每年举办韶关市医疗康养产业招商引资推荐会</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政府办基层医疗卫生机构实施国家基本药物制度覆盖率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100%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100%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制度覆盖率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各县市区实现基本药物制度全覆盖</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各县市区实现基本药物制度全覆盖</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食源性疾病病例监测个案调查任务完成数</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185</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185</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完成上级下达防控任务</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完成省食品安全风险监测任务</w:t>
            </w:r>
            <w:r>
              <w:rPr>
                <w:rFonts w:eastAsia="宋体" w:cs="Times New Roman"/>
                <w:sz w:val="18"/>
                <w:szCs w:val="18"/>
              </w:rPr>
              <w:t>413</w:t>
            </w:r>
            <w:r>
              <w:rPr>
                <w:rFonts w:hint="eastAsia" w:eastAsia="宋体" w:cs="Times New Roman"/>
                <w:sz w:val="18"/>
                <w:szCs w:val="18"/>
              </w:rPr>
              <w:t>份</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完成省食品安全风险监测任务</w:t>
            </w:r>
            <w:r>
              <w:rPr>
                <w:rFonts w:eastAsia="宋体" w:cs="Times New Roman"/>
                <w:sz w:val="18"/>
                <w:szCs w:val="18"/>
              </w:rPr>
              <w:t>413</w:t>
            </w:r>
            <w:r>
              <w:rPr>
                <w:rFonts w:hint="eastAsia" w:eastAsia="宋体" w:cs="Times New Roman"/>
                <w:sz w:val="18"/>
                <w:szCs w:val="18"/>
              </w:rPr>
              <w:t>份</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配套设施</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补充和更换毒鼠屋</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完成更换</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服务范围</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市区沿河被侵泡的公共区域和重点场所</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灾后专业消杀</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全市补助乡镇数量（个）</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申报（复审）省级卫生镇村数量</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成功申报</w:t>
            </w:r>
            <w:r>
              <w:rPr>
                <w:rFonts w:eastAsia="宋体" w:cs="Times New Roman"/>
                <w:sz w:val="18"/>
                <w:szCs w:val="18"/>
              </w:rPr>
              <w:t>23个</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补助的行政村数量</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申报（复审）省级卫生镇村数量</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成功申报</w:t>
            </w:r>
            <w:r>
              <w:rPr>
                <w:rFonts w:eastAsia="宋体" w:cs="Times New Roman"/>
                <w:sz w:val="18"/>
                <w:szCs w:val="18"/>
              </w:rPr>
              <w:t>77个</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年度任务完成</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完成当年度的省级卫生镇村申报（复审）</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已完成</w:t>
            </w:r>
            <w:r>
              <w:rPr>
                <w:rFonts w:eastAsia="宋体" w:cs="Times New Roman"/>
                <w:sz w:val="18"/>
                <w:szCs w:val="18"/>
              </w:rPr>
              <w:t>17个</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服务范围</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市辖三区日常监督</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日常督导通报</w:t>
            </w:r>
            <w:r>
              <w:rPr>
                <w:rFonts w:eastAsia="宋体" w:cs="Times New Roman"/>
                <w:sz w:val="18"/>
                <w:szCs w:val="18"/>
              </w:rPr>
              <w:t>3次</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提高全省放射诊疗卫生监督执法技能水平（是</w:t>
            </w:r>
            <w:r>
              <w:rPr>
                <w:rFonts w:eastAsia="宋体" w:cs="Times New Roman"/>
                <w:sz w:val="18"/>
                <w:szCs w:val="18"/>
              </w:rPr>
              <w:t>/</w:t>
            </w:r>
            <w:r>
              <w:rPr>
                <w:rFonts w:hint="eastAsia" w:eastAsia="宋体" w:cs="Times New Roman"/>
                <w:sz w:val="18"/>
                <w:szCs w:val="18"/>
              </w:rPr>
              <w:t>否）</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实训卫生监督员现场执法能力得到提高（是</w:t>
            </w:r>
            <w:r>
              <w:rPr>
                <w:rFonts w:eastAsia="宋体" w:cs="Times New Roman"/>
                <w:sz w:val="18"/>
                <w:szCs w:val="18"/>
              </w:rPr>
              <w:t>/</w:t>
            </w:r>
            <w:r>
              <w:rPr>
                <w:rFonts w:hint="eastAsia" w:eastAsia="宋体" w:cs="Times New Roman"/>
                <w:sz w:val="18"/>
                <w:szCs w:val="18"/>
              </w:rPr>
              <w:t>否）</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提供考试席位数</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2022</w:t>
            </w:r>
            <w:r>
              <w:rPr>
                <w:rFonts w:hint="eastAsia" w:eastAsia="宋体" w:cs="Times New Roman"/>
                <w:sz w:val="18"/>
                <w:szCs w:val="18"/>
              </w:rPr>
              <w:t>年预计可提供</w:t>
            </w:r>
            <w:r>
              <w:rPr>
                <w:rFonts w:eastAsia="宋体" w:cs="Times New Roman"/>
                <w:sz w:val="18"/>
                <w:szCs w:val="18"/>
              </w:rPr>
              <w:t>7500</w:t>
            </w:r>
            <w:r>
              <w:rPr>
                <w:rFonts w:hint="eastAsia" w:eastAsia="宋体" w:cs="Times New Roman"/>
                <w:sz w:val="18"/>
                <w:szCs w:val="18"/>
              </w:rPr>
              <w:t>席左右</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2022年提供</w:t>
            </w:r>
            <w:r>
              <w:rPr>
                <w:rFonts w:hint="eastAsia" w:eastAsia="宋体" w:cs="Times New Roman"/>
                <w:sz w:val="18"/>
                <w:szCs w:val="18"/>
              </w:rPr>
              <w:t>约</w:t>
            </w:r>
            <w:r>
              <w:rPr>
                <w:rFonts w:eastAsia="宋体" w:cs="Times New Roman"/>
                <w:sz w:val="18"/>
                <w:szCs w:val="18"/>
              </w:rPr>
              <w:t>7500席</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举办考试、招聘、评审次数</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9</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9</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项目通过率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科研立项通过率≥</w:t>
            </w:r>
            <w:r>
              <w:rPr>
                <w:rFonts w:eastAsia="宋体" w:cs="Times New Roman"/>
                <w:sz w:val="18"/>
                <w:szCs w:val="18"/>
              </w:rPr>
              <w:t>80%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科研立项通过率≥</w:t>
            </w:r>
            <w:r>
              <w:rPr>
                <w:rFonts w:eastAsia="宋体" w:cs="Times New Roman"/>
                <w:sz w:val="18"/>
                <w:szCs w:val="18"/>
              </w:rPr>
              <w:t>80%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当年参加医师资格考试考生人数</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预计</w:t>
            </w:r>
            <w:r>
              <w:rPr>
                <w:rFonts w:eastAsia="宋体" w:cs="Times New Roman"/>
                <w:sz w:val="18"/>
                <w:szCs w:val="18"/>
              </w:rPr>
              <w:t>800</w:t>
            </w:r>
            <w:r>
              <w:rPr>
                <w:rFonts w:hint="eastAsia" w:eastAsia="宋体" w:cs="Times New Roman"/>
                <w:sz w:val="18"/>
                <w:szCs w:val="18"/>
              </w:rPr>
              <w:t>人左右</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883人</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传统医学师承和确有专长人员医师资格通过考核人次</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15</w:t>
            </w:r>
            <w:r>
              <w:rPr>
                <w:rFonts w:hint="eastAsia" w:eastAsia="宋体" w:cs="Times New Roman"/>
                <w:sz w:val="18"/>
                <w:szCs w:val="18"/>
              </w:rPr>
              <w:t>人</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15人</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奖金</w:t>
            </w:r>
            <w:r>
              <w:rPr>
                <w:rFonts w:eastAsia="宋体" w:cs="Times New Roman"/>
                <w:sz w:val="18"/>
                <w:szCs w:val="18"/>
              </w:rPr>
              <w:t>/</w:t>
            </w:r>
            <w:r>
              <w:rPr>
                <w:rFonts w:hint="eastAsia" w:eastAsia="宋体" w:cs="Times New Roman"/>
                <w:sz w:val="18"/>
                <w:szCs w:val="18"/>
              </w:rPr>
              <w:t>补助金发放到位率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100%</w:t>
            </w:r>
          </w:p>
        </w:tc>
        <w:tc>
          <w:tcPr>
            <w:tcW w:w="1108" w:type="pct"/>
            <w:vAlign w:val="center"/>
          </w:tcPr>
          <w:p>
            <w:pPr>
              <w:keepNext w:val="0"/>
              <w:keepLines w:val="0"/>
              <w:pageBreakBefore w:val="0"/>
              <w:widowControl/>
              <w:kinsoku/>
              <w:wordWrap/>
              <w:overflowPunct/>
              <w:topLinePunct w:val="0"/>
              <w:autoSpaceDE/>
              <w:autoSpaceDN/>
              <w:bidi w:val="0"/>
              <w:spacing w:line="260" w:lineRule="exact"/>
              <w:ind w:firstLine="0" w:firstLineChars="0"/>
              <w:jc w:val="center"/>
              <w:textAlignment w:val="auto"/>
              <w:rPr>
                <w:rFonts w:eastAsia="宋体" w:cs="Times New Roman"/>
                <w:sz w:val="18"/>
                <w:szCs w:val="18"/>
              </w:rPr>
            </w:pPr>
            <w:r>
              <w:rPr>
                <w:rFonts w:eastAsia="宋体" w:cs="Times New Roman"/>
                <w:sz w:val="18"/>
                <w:szCs w:val="18"/>
              </w:rPr>
              <w:t>100%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符合条件补助对象覆盖率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100%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100%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每年开展托育机构业务培训</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w:t>
            </w:r>
            <w:r>
              <w:rPr>
                <w:rFonts w:hint="eastAsia" w:eastAsia="宋体" w:cs="Times New Roman"/>
                <w:sz w:val="18"/>
                <w:szCs w:val="18"/>
              </w:rPr>
              <w:t>次</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2次</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每年对申请备案的托育机构开展卫生保健评价</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按申请情况评价</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已评价</w:t>
            </w:r>
            <w:r>
              <w:rPr>
                <w:rFonts w:eastAsia="宋体" w:cs="Times New Roman"/>
                <w:sz w:val="18"/>
                <w:szCs w:val="18"/>
              </w:rPr>
              <w:t>13例</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积极推进婴幼儿照护服务优质示范点创建</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示范点建设</w:t>
            </w:r>
            <w:r>
              <w:rPr>
                <w:rFonts w:eastAsia="宋体" w:cs="Times New Roman"/>
                <w:sz w:val="18"/>
                <w:szCs w:val="18"/>
              </w:rPr>
              <w:t>1</w:t>
            </w:r>
            <w:r>
              <w:rPr>
                <w:rFonts w:hint="eastAsia" w:eastAsia="宋体" w:cs="Times New Roman"/>
                <w:sz w:val="18"/>
                <w:szCs w:val="18"/>
              </w:rPr>
              <w:t>例</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示范点建设</w:t>
            </w:r>
            <w:r>
              <w:rPr>
                <w:rFonts w:eastAsia="宋体" w:cs="Times New Roman"/>
                <w:sz w:val="18"/>
                <w:szCs w:val="18"/>
              </w:rPr>
              <w:t>2例</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新生儿耳聋基因筛查任务数（人）</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1.6</w:t>
            </w:r>
            <w:r>
              <w:rPr>
                <w:rFonts w:hint="eastAsia" w:eastAsia="宋体" w:cs="Times New Roman"/>
                <w:sz w:val="18"/>
                <w:szCs w:val="18"/>
              </w:rPr>
              <w:t>万</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1.6万</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新生儿听力障碍筛查率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95%</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95%</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新生儿听力筛查率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新生儿遗传代谢性疾病筛查率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98%</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98%</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新生儿筛查率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95%</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95%</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孕产妇产前筛查率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覆盖率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项目开展县区数达全市县区数的</w:t>
            </w:r>
            <w:r>
              <w:rPr>
                <w:rFonts w:eastAsia="宋体" w:cs="Times New Roman"/>
                <w:sz w:val="18"/>
                <w:szCs w:val="18"/>
              </w:rPr>
              <w:t>90%</w:t>
            </w:r>
            <w:r>
              <w:rPr>
                <w:rFonts w:hint="eastAsia" w:eastAsia="宋体" w:cs="Times New Roman"/>
                <w:sz w:val="18"/>
                <w:szCs w:val="18"/>
              </w:rPr>
              <w:t>以上</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项目开展县区数达全市县区数的</w:t>
            </w:r>
            <w:r>
              <w:rPr>
                <w:rFonts w:eastAsia="宋体" w:cs="Times New Roman"/>
                <w:sz w:val="18"/>
                <w:szCs w:val="18"/>
              </w:rPr>
              <w:t>90%以上</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知情同意</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签署知情同意书</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签署知情同意书</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两癌检查建档率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100%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100%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宫颈癌早诊率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乳腺癌早诊率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60%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60%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保健项目服务人次</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按实际发生医疗费人数结算</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当年完成</w:t>
            </w:r>
            <w:r>
              <w:rPr>
                <w:rFonts w:eastAsia="宋体" w:cs="Times New Roman"/>
                <w:sz w:val="18"/>
                <w:szCs w:val="18"/>
              </w:rPr>
              <w:t>1092笔费用核报</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对重点保健对象开展服务</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对重点保健对象开展服务</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按名单范围内</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承办重要会议及重大活动的医疗保障</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医务人员派出人次</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省中运会资金等医务人员派出</w:t>
            </w:r>
            <w:r>
              <w:rPr>
                <w:rFonts w:eastAsia="宋体" w:cs="Times New Roman"/>
                <w:sz w:val="18"/>
                <w:szCs w:val="18"/>
              </w:rPr>
              <w:t>393人次</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丹霞英才补助人数</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约</w:t>
            </w:r>
            <w:r>
              <w:rPr>
                <w:rFonts w:eastAsia="宋体" w:cs="Times New Roman"/>
                <w:sz w:val="18"/>
                <w:szCs w:val="18"/>
              </w:rPr>
              <w:t>100</w:t>
            </w:r>
            <w:r>
              <w:rPr>
                <w:rFonts w:hint="eastAsia" w:eastAsia="宋体" w:cs="Times New Roman"/>
                <w:sz w:val="18"/>
                <w:szCs w:val="18"/>
              </w:rPr>
              <w:t>人</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101人</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补助合规性</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按文件要求补助</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按文件要求补助</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住院医师规范化培训招收完成率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住院医师规范化培训结业考核通过率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住院医师规范化社会人培训中央财政补助标准</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3</w:t>
            </w:r>
            <w:r>
              <w:rPr>
                <w:rFonts w:hint="eastAsia" w:eastAsia="宋体" w:cs="Times New Roman"/>
                <w:sz w:val="18"/>
                <w:szCs w:val="18"/>
              </w:rPr>
              <w:t>万元</w:t>
            </w:r>
            <w:r>
              <w:rPr>
                <w:rFonts w:eastAsia="宋体" w:cs="Times New Roman"/>
                <w:sz w:val="18"/>
                <w:szCs w:val="18"/>
              </w:rPr>
              <w:t>/</w:t>
            </w:r>
            <w:r>
              <w:rPr>
                <w:rFonts w:hint="eastAsia" w:eastAsia="宋体" w:cs="Times New Roman"/>
                <w:sz w:val="18"/>
                <w:szCs w:val="18"/>
              </w:rPr>
              <w:t>人</w:t>
            </w:r>
            <w:r>
              <w:rPr>
                <w:rFonts w:eastAsia="宋体" w:cs="Times New Roman"/>
                <w:sz w:val="18"/>
                <w:szCs w:val="18"/>
              </w:rPr>
              <w:t>/</w:t>
            </w:r>
            <w:r>
              <w:rPr>
                <w:rFonts w:hint="eastAsia" w:eastAsia="宋体" w:cs="Times New Roman"/>
                <w:sz w:val="18"/>
                <w:szCs w:val="18"/>
              </w:rPr>
              <w:t>年</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3万元/人/年</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完成进度</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按实际招收学员支付</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按实际招收学员支付</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住院医师规范化社会人培训市级财政补助标准</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社会人</w:t>
            </w:r>
            <w:r>
              <w:rPr>
                <w:rFonts w:eastAsia="宋体" w:cs="Times New Roman"/>
                <w:sz w:val="18"/>
                <w:szCs w:val="18"/>
              </w:rPr>
              <w:t>1.5</w:t>
            </w:r>
            <w:r>
              <w:rPr>
                <w:rFonts w:hint="eastAsia" w:eastAsia="宋体" w:cs="Times New Roman"/>
                <w:sz w:val="18"/>
                <w:szCs w:val="18"/>
              </w:rPr>
              <w:t>万元</w:t>
            </w:r>
            <w:r>
              <w:rPr>
                <w:rFonts w:eastAsia="宋体" w:cs="Times New Roman"/>
                <w:sz w:val="18"/>
                <w:szCs w:val="18"/>
              </w:rPr>
              <w:t>/</w:t>
            </w:r>
            <w:r>
              <w:rPr>
                <w:rFonts w:hint="eastAsia" w:eastAsia="宋体" w:cs="Times New Roman"/>
                <w:sz w:val="18"/>
                <w:szCs w:val="18"/>
              </w:rPr>
              <w:t>人</w:t>
            </w:r>
            <w:r>
              <w:rPr>
                <w:rFonts w:eastAsia="宋体" w:cs="Times New Roman"/>
                <w:sz w:val="18"/>
                <w:szCs w:val="18"/>
              </w:rPr>
              <w:t>/</w:t>
            </w:r>
            <w:r>
              <w:rPr>
                <w:rFonts w:hint="eastAsia" w:eastAsia="宋体" w:cs="Times New Roman"/>
                <w:sz w:val="18"/>
                <w:szCs w:val="18"/>
              </w:rPr>
              <w:t>年</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社会人</w:t>
            </w:r>
            <w:r>
              <w:rPr>
                <w:rFonts w:eastAsia="宋体" w:cs="Times New Roman"/>
                <w:sz w:val="18"/>
                <w:szCs w:val="18"/>
              </w:rPr>
              <w:t>1.5万元/人/年</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补助标准</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按省补助标准</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按省补助标准</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完成时间</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当年内完成</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当年内完成</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发展规划、政策和规范性文件起草工作数量</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w:t>
            </w:r>
            <w:r>
              <w:rPr>
                <w:rFonts w:hint="eastAsia" w:eastAsia="宋体" w:cs="Times New Roman"/>
                <w:sz w:val="18"/>
                <w:szCs w:val="18"/>
              </w:rPr>
              <w:t>份</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1份</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培训次数</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w:t>
            </w:r>
            <w:r>
              <w:rPr>
                <w:rFonts w:hint="eastAsia" w:eastAsia="宋体" w:cs="Times New Roman"/>
                <w:sz w:val="18"/>
                <w:szCs w:val="18"/>
              </w:rPr>
              <w:t>次</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w:t>
            </w:r>
            <w:r>
              <w:rPr>
                <w:rFonts w:hint="eastAsia" w:eastAsia="宋体" w:cs="Times New Roman"/>
                <w:sz w:val="18"/>
                <w:szCs w:val="18"/>
              </w:rPr>
              <w:t>次</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培训人数（人）</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34</w:t>
            </w:r>
            <w:r>
              <w:rPr>
                <w:rFonts w:hint="eastAsia" w:eastAsia="宋体" w:cs="Times New Roman"/>
                <w:sz w:val="18"/>
                <w:szCs w:val="18"/>
              </w:rPr>
              <w:t>人</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34人</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培训合格率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提高党员水平</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每年开展党员活动</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每年开展党员活动</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宣传报道次数</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通过局网站、微信公众号发布党建宣传</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通过局网站、微信公众号发布党建宣传</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完成进度</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每年通过局网站、微信公众号完成党建宣传</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通过局网站、微信公众号发布党建宣传</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党报党刊订阅量</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每年订阅购买党报党刊及党建书籍</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每年订阅购买党报党刊及党建书籍</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restar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效果指标</w:t>
            </w: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地级市市域住院率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95%</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2022年第三季度市域住院率96.3%</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县域内住院率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2022年第三季度县域住院率80.7%</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现代医院管理制度</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加快建立</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加快建立</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免费避孕药具覆盖率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20%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20%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促成“引进来”项目协议投资额</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促成医疗康养产业招商引资协议签订</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促成医疗康养产业招商引资协议签订</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管理水平</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蟑螂密度控制国家标准</w:t>
            </w:r>
            <w:r>
              <w:rPr>
                <w:rFonts w:eastAsia="宋体" w:cs="Times New Roman"/>
                <w:sz w:val="18"/>
                <w:szCs w:val="18"/>
              </w:rPr>
              <w:t>C</w:t>
            </w:r>
            <w:r>
              <w:rPr>
                <w:rFonts w:hint="eastAsia" w:eastAsia="宋体" w:cs="Times New Roman"/>
                <w:sz w:val="18"/>
                <w:szCs w:val="18"/>
              </w:rPr>
              <w:t>级水平</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蟑螂密度控制国家标准</w:t>
            </w:r>
            <w:r>
              <w:rPr>
                <w:rFonts w:eastAsia="宋体" w:cs="Times New Roman"/>
                <w:sz w:val="18"/>
                <w:szCs w:val="18"/>
              </w:rPr>
              <w:t>C级水平</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指标水平</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鼠、蚊、蝇密度控制在国家标准</w:t>
            </w:r>
            <w:r>
              <w:rPr>
                <w:rFonts w:eastAsia="宋体" w:cs="Times New Roman"/>
                <w:sz w:val="18"/>
                <w:szCs w:val="18"/>
              </w:rPr>
              <w:t>B</w:t>
            </w:r>
            <w:r>
              <w:rPr>
                <w:rFonts w:hint="eastAsia" w:eastAsia="宋体" w:cs="Times New Roman"/>
                <w:sz w:val="18"/>
                <w:szCs w:val="18"/>
              </w:rPr>
              <w:t>级水平</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鼠、蚊、蝇密度控制在国家标准</w:t>
            </w:r>
            <w:r>
              <w:rPr>
                <w:rFonts w:eastAsia="宋体" w:cs="Times New Roman"/>
                <w:sz w:val="18"/>
                <w:szCs w:val="18"/>
              </w:rPr>
              <w:t>B级水平</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监督实训基地开展培训期数（期）和培训人数</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w:t>
            </w:r>
            <w:r>
              <w:rPr>
                <w:rFonts w:hint="eastAsia" w:eastAsia="宋体" w:cs="Times New Roman"/>
                <w:sz w:val="18"/>
                <w:szCs w:val="18"/>
              </w:rPr>
              <w:t>期</w:t>
            </w:r>
            <w:r>
              <w:rPr>
                <w:rFonts w:eastAsia="宋体" w:cs="Times New Roman"/>
                <w:sz w:val="18"/>
                <w:szCs w:val="18"/>
              </w:rPr>
              <w:t>60</w:t>
            </w:r>
            <w:r>
              <w:rPr>
                <w:rFonts w:hint="eastAsia" w:eastAsia="宋体" w:cs="Times New Roman"/>
                <w:sz w:val="18"/>
                <w:szCs w:val="18"/>
              </w:rPr>
              <w:t>人</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2</w:t>
            </w:r>
            <w:r>
              <w:rPr>
                <w:rFonts w:hint="eastAsia" w:eastAsia="宋体" w:cs="Times New Roman"/>
                <w:sz w:val="18"/>
                <w:szCs w:val="18"/>
              </w:rPr>
              <w:t>期</w:t>
            </w:r>
            <w:r>
              <w:rPr>
                <w:rFonts w:eastAsia="宋体" w:cs="Times New Roman"/>
                <w:sz w:val="18"/>
                <w:szCs w:val="18"/>
              </w:rPr>
              <w:t>60人</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保障考试安全、公平、公正</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保障考试安全、公平、公正</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保障考试安全、公平、公正</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减少儿童听力障碍发生</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通过对筛查阳性儿童的干预，实现早诊早治</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按实际情况随访</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确诊病例治疗率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知晓率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初一女生及家长宫颈癌防控知识（含疫苗接种）知晓率≥</w:t>
            </w:r>
            <w:r>
              <w:rPr>
                <w:rFonts w:eastAsia="宋体" w:cs="Times New Roman"/>
                <w:sz w:val="18"/>
                <w:szCs w:val="18"/>
              </w:rPr>
              <w:t>90%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初一女生及家长宫颈癌防控知识（含疫苗接种）知晓率≥</w:t>
            </w:r>
            <w:r>
              <w:rPr>
                <w:rFonts w:eastAsia="宋体" w:cs="Times New Roman"/>
                <w:sz w:val="18"/>
                <w:szCs w:val="18"/>
              </w:rPr>
              <w:t>90%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重要会议及重大活动的医疗保障满足疫情防控需求</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满足</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满足</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提高党建水平</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每年开展党建活动</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每年开展党建活动</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restar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满意度指标</w:t>
            </w: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居民对基层医疗卫生机构服务满意度</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投资人满意度</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80%</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11" w:type="pct"/>
            <w:vMerge w:val="continue"/>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p>
        </w:tc>
        <w:tc>
          <w:tcPr>
            <w:tcW w:w="169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培训满意率</w:t>
            </w:r>
          </w:p>
        </w:tc>
        <w:tc>
          <w:tcPr>
            <w:tcW w:w="1109" w:type="pct"/>
            <w:shd w:val="clear" w:color="auto" w:fill="auto"/>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eastAsia="宋体" w:cs="Times New Roman"/>
                <w:sz w:val="18"/>
                <w:szCs w:val="18"/>
              </w:rPr>
              <w:t>90%</w:t>
            </w:r>
          </w:p>
        </w:tc>
        <w:tc>
          <w:tcPr>
            <w:tcW w:w="1108"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w:t>
            </w:r>
            <w:r>
              <w:rPr>
                <w:rFonts w:eastAsia="宋体" w:cs="Times New Roman"/>
                <w:sz w:val="18"/>
                <w:szCs w:val="18"/>
              </w:rPr>
              <w:t>96%</w:t>
            </w:r>
          </w:p>
        </w:tc>
        <w:tc>
          <w:tcPr>
            <w:tcW w:w="571" w:type="pct"/>
            <w:vAlign w:val="center"/>
          </w:tcPr>
          <w:p>
            <w:pPr>
              <w:keepNext w:val="0"/>
              <w:keepLines w:val="0"/>
              <w:pageBreakBefore w:val="0"/>
              <w:widowControl/>
              <w:tabs>
                <w:tab w:val="left" w:pos="0"/>
              </w:tabs>
              <w:kinsoku/>
              <w:wordWrap/>
              <w:overflowPunct/>
              <w:topLinePunct w:val="0"/>
              <w:autoSpaceDE/>
              <w:autoSpaceDN/>
              <w:bidi w:val="0"/>
              <w:adjustRightInd w:val="0"/>
              <w:snapToGrid w:val="0"/>
              <w:spacing w:line="260" w:lineRule="exact"/>
              <w:ind w:left="4" w:hanging="3" w:hangingChars="2"/>
              <w:jc w:val="center"/>
              <w:textAlignment w:val="auto"/>
              <w:rPr>
                <w:rFonts w:eastAsia="宋体" w:cs="Times New Roman"/>
                <w:sz w:val="18"/>
                <w:szCs w:val="18"/>
              </w:rPr>
            </w:pPr>
            <w:r>
              <w:rPr>
                <w:rFonts w:hint="eastAsia" w:eastAsia="宋体" w:cs="Times New Roman"/>
                <w:sz w:val="18"/>
                <w:szCs w:val="18"/>
              </w:rPr>
              <w:t>是</w:t>
            </w:r>
          </w:p>
        </w:tc>
      </w:tr>
    </w:tbl>
    <w:p>
      <w:pPr>
        <w:spacing w:line="360" w:lineRule="auto"/>
        <w:ind w:firstLine="640"/>
        <w:outlineLvl w:val="1"/>
        <w:rPr>
          <w:rFonts w:ascii="楷体_GB2312" w:eastAsia="楷体_GB2312"/>
          <w:szCs w:val="32"/>
        </w:rPr>
      </w:pPr>
      <w:bookmarkStart w:id="36" w:name="_Toc150765124"/>
      <w:bookmarkStart w:id="37" w:name="_Toc118298507"/>
      <w:bookmarkStart w:id="38" w:name="_Toc112424052"/>
      <w:r>
        <w:rPr>
          <w:rFonts w:hint="eastAsia" w:ascii="楷体_GB2312" w:eastAsia="楷体_GB2312"/>
          <w:szCs w:val="32"/>
        </w:rPr>
        <w:t>（二）指标分析</w:t>
      </w:r>
      <w:bookmarkEnd w:id="36"/>
      <w:bookmarkEnd w:id="37"/>
      <w:bookmarkEnd w:id="38"/>
    </w:p>
    <w:p>
      <w:pPr>
        <w:ind w:firstLine="640"/>
        <w:rPr>
          <w:rFonts w:ascii="仿宋_GB2312" w:hAnsi="仿宋_GB2312" w:cs="仿宋_GB2312"/>
        </w:rPr>
      </w:pPr>
      <w:r>
        <w:rPr>
          <w:rFonts w:hint="eastAsia" w:ascii="仿宋_GB2312" w:hAnsi="仿宋_GB2312" w:cs="仿宋_GB2312"/>
        </w:rPr>
        <w:t>1.整体效能（得</w:t>
      </w:r>
      <w:r>
        <w:rPr>
          <w:rFonts w:hint="eastAsia" w:ascii="仿宋_GB2312" w:hAnsi="仿宋_GB2312" w:cs="仿宋_GB2312"/>
          <w:spacing w:val="10"/>
        </w:rPr>
        <w:t>1</w:t>
      </w:r>
      <w:r>
        <w:rPr>
          <w:rFonts w:ascii="仿宋_GB2312" w:hAnsi="仿宋_GB2312" w:cs="仿宋_GB2312"/>
          <w:spacing w:val="10"/>
        </w:rPr>
        <w:t>9</w:t>
      </w:r>
      <w:r>
        <w:rPr>
          <w:rFonts w:hint="eastAsia" w:ascii="仿宋_GB2312" w:hAnsi="仿宋_GB2312" w:cs="仿宋_GB2312"/>
          <w:spacing w:val="10"/>
        </w:rPr>
        <w:t>.50</w:t>
      </w:r>
      <w:r>
        <w:rPr>
          <w:rFonts w:hint="eastAsia" w:ascii="仿宋_GB2312" w:hAnsi="仿宋_GB2312" w:cs="仿宋_GB2312"/>
        </w:rPr>
        <w:t>分）</w:t>
      </w:r>
    </w:p>
    <w:p>
      <w:pPr>
        <w:ind w:firstLine="640"/>
        <w:rPr>
          <w:rFonts w:ascii="仿宋_GB2312" w:hAnsi="仿宋_GB2312" w:cs="仿宋_GB2312"/>
          <w:szCs w:val="32"/>
        </w:rPr>
      </w:pPr>
      <w:r>
        <w:rPr>
          <w:rFonts w:hint="eastAsia" w:ascii="仿宋_GB2312" w:hAnsi="仿宋_GB2312" w:cs="仿宋_GB2312"/>
        </w:rPr>
        <w:t>整体效能</w:t>
      </w:r>
      <w:r>
        <w:rPr>
          <w:rFonts w:hint="eastAsia" w:ascii="仿宋_GB2312" w:hAnsi="仿宋_GB2312" w:cs="仿宋_GB2312"/>
          <w:szCs w:val="32"/>
        </w:rPr>
        <w:t>三级指标得分率如图2-1所示。</w:t>
      </w:r>
    </w:p>
    <w:p>
      <w:pPr>
        <w:ind w:left="0" w:leftChars="0" w:firstLine="0" w:firstLineChars="0"/>
        <w:jc w:val="center"/>
        <w:rPr>
          <w:rFonts w:ascii="仿宋_GB2312" w:hAnsi="仿宋_GB2312" w:cs="仿宋_GB2312"/>
          <w:szCs w:val="32"/>
        </w:rPr>
      </w:pPr>
      <w:r>
        <w:drawing>
          <wp:inline distT="0" distB="0" distL="0" distR="0">
            <wp:extent cx="4632960" cy="1263650"/>
            <wp:effectExtent l="4445" t="4445" r="10795" b="8255"/>
            <wp:docPr id="1298233850"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ind w:firstLine="0" w:firstLineChars="0"/>
        <w:jc w:val="center"/>
        <w:rPr>
          <w:rFonts w:ascii="仿宋_GB2312" w:hAnsi="仿宋_GB2312" w:cs="仿宋_GB2312"/>
          <w:b/>
          <w:color w:val="000000" w:themeColor="text1"/>
          <w:sz w:val="28"/>
          <w:szCs w:val="28"/>
          <w14:textFill>
            <w14:solidFill>
              <w14:schemeClr w14:val="tx1"/>
            </w14:solidFill>
          </w14:textFill>
        </w:rPr>
      </w:pPr>
      <w:r>
        <w:rPr>
          <w:rFonts w:hint="eastAsia" w:ascii="仿宋_GB2312" w:hAnsi="仿宋_GB2312" w:cs="仿宋_GB2312"/>
          <w:b/>
          <w:color w:val="000000" w:themeColor="text1"/>
          <w:sz w:val="28"/>
          <w:szCs w:val="28"/>
          <w14:textFill>
            <w14:solidFill>
              <w14:schemeClr w14:val="tx1"/>
            </w14:solidFill>
          </w14:textFill>
        </w:rPr>
        <w:t>图2-1 整体效能各三级指标得分率</w:t>
      </w:r>
    </w:p>
    <w:p>
      <w:pPr>
        <w:ind w:firstLine="640"/>
        <w:rPr>
          <w:rFonts w:ascii="仿宋_GB2312" w:hAnsi="仿宋_GB2312" w:cs="仿宋_GB2312"/>
          <w:szCs w:val="32"/>
        </w:rPr>
      </w:pPr>
      <w:r>
        <w:rPr>
          <w:rFonts w:hint="eastAsia" w:ascii="仿宋_GB2312" w:hAnsi="仿宋_GB2312" w:cs="仿宋_GB2312"/>
          <w:szCs w:val="32"/>
        </w:rPr>
        <w:t>（1）部门整体绩效目标产出指标完成情况（得10.00分）</w:t>
      </w:r>
    </w:p>
    <w:p>
      <w:pPr>
        <w:ind w:firstLine="640"/>
        <w:rPr>
          <w:rFonts w:ascii="仿宋_GB2312" w:hAnsi="仿宋_GB2312" w:cs="仿宋_GB2312"/>
          <w:szCs w:val="32"/>
        </w:rPr>
      </w:pPr>
      <w:r>
        <w:rPr>
          <w:rFonts w:hint="eastAsia" w:ascii="仿宋_GB2312" w:hAnsi="仿宋_GB2312" w:cs="仿宋_GB2312"/>
          <w:szCs w:val="32"/>
        </w:rPr>
        <w:t>部门整体绩效目标的四级指标得分率如图2-2所示。</w:t>
      </w:r>
    </w:p>
    <w:p>
      <w:pPr>
        <w:ind w:firstLine="640"/>
        <w:rPr>
          <w:szCs w:val="32"/>
        </w:rPr>
      </w:pPr>
      <w:r>
        <w:drawing>
          <wp:inline distT="0" distB="0" distL="0" distR="0">
            <wp:extent cx="4632960" cy="3242310"/>
            <wp:effectExtent l="0" t="0" r="15240" b="15240"/>
            <wp:docPr id="165579211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pPr>
        <w:ind w:firstLine="0" w:firstLineChars="0"/>
        <w:jc w:val="center"/>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图</w:t>
      </w:r>
      <w:r>
        <w:rPr>
          <w:rFonts w:ascii="宋体" w:hAnsi="宋体" w:eastAsia="宋体" w:cs="宋体"/>
          <w:b/>
          <w:color w:val="000000" w:themeColor="text1"/>
          <w:sz w:val="28"/>
          <w:szCs w:val="28"/>
          <w14:textFill>
            <w14:solidFill>
              <w14:schemeClr w14:val="tx1"/>
            </w14:solidFill>
          </w14:textFill>
        </w:rPr>
        <w:t xml:space="preserve">2-2 </w:t>
      </w:r>
      <w:r>
        <w:rPr>
          <w:rFonts w:hint="eastAsia" w:ascii="宋体" w:hAnsi="宋体" w:eastAsia="宋体" w:cs="宋体"/>
          <w:b/>
          <w:color w:val="000000" w:themeColor="text1"/>
          <w:sz w:val="28"/>
          <w:szCs w:val="28"/>
          <w14:textFill>
            <w14:solidFill>
              <w14:schemeClr w14:val="tx1"/>
            </w14:solidFill>
          </w14:textFill>
        </w:rPr>
        <w:t>部门整体绩效目标各四级指标得分率</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1 \* GB3 </w:instrText>
      </w:r>
      <w:r>
        <w:rPr>
          <w:rFonts w:hint="eastAsia" w:ascii="仿宋_GB2312" w:hAnsi="仿宋_GB2312" w:cs="仿宋_GB2312"/>
        </w:rPr>
        <w:fldChar w:fldCharType="separate"/>
      </w:r>
      <w:r>
        <w:rPr>
          <w:rFonts w:hint="eastAsia" w:ascii="仿宋_GB2312" w:hAnsi="仿宋_GB2312" w:cs="仿宋_GB2312"/>
        </w:rPr>
        <w:t>①</w:t>
      </w:r>
      <w:r>
        <w:rPr>
          <w:rFonts w:hint="eastAsia" w:ascii="仿宋_GB2312" w:hAnsi="仿宋_GB2312" w:cs="仿宋_GB2312"/>
        </w:rPr>
        <w:fldChar w:fldCharType="end"/>
      </w:r>
      <w:r>
        <w:rPr>
          <w:rFonts w:hint="eastAsia" w:ascii="仿宋_GB2312" w:hAnsi="仿宋_GB2312" w:cs="仿宋_GB2312"/>
        </w:rPr>
        <w:t>居民电子健康档案建档率。韶关市2022年居民电子健康档案建档率为96.64%，完成“居民电子健康档案建档率≥80%”的目标任务。此项不扣分，得0.50分。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2 \* GB3 </w:instrText>
      </w:r>
      <w:r>
        <w:rPr>
          <w:rFonts w:hint="eastAsia" w:ascii="仿宋_GB2312" w:hAnsi="仿宋_GB2312" w:cs="仿宋_GB2312"/>
        </w:rPr>
        <w:fldChar w:fldCharType="separate"/>
      </w:r>
      <w:r>
        <w:rPr>
          <w:rFonts w:hint="eastAsia" w:ascii="仿宋_GB2312" w:hAnsi="仿宋_GB2312" w:cs="仿宋_GB2312"/>
        </w:rPr>
        <w:t>②</w:t>
      </w:r>
      <w:r>
        <w:rPr>
          <w:rFonts w:hint="eastAsia" w:ascii="仿宋_GB2312" w:hAnsi="仿宋_GB2312" w:cs="仿宋_GB2312"/>
        </w:rPr>
        <w:fldChar w:fldCharType="end"/>
      </w:r>
      <w:r>
        <w:rPr>
          <w:rFonts w:hint="eastAsia" w:ascii="仿宋_GB2312" w:hAnsi="仿宋_GB2312" w:cs="仿宋_GB2312"/>
        </w:rPr>
        <w:t>传染病报告率和报告及时率。韶关市2022年传染病疫情报告率为100%，传染病疫情报告及时率为99.68%，完成“传染病报告率和报告及时率≥95%”的目标任务。此项不扣分，得0.50分。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3 \* GB3 </w:instrText>
      </w:r>
      <w:r>
        <w:rPr>
          <w:rFonts w:hint="eastAsia" w:ascii="仿宋_GB2312" w:hAnsi="仿宋_GB2312" w:cs="仿宋_GB2312"/>
        </w:rPr>
        <w:fldChar w:fldCharType="separate"/>
      </w:r>
      <w:r>
        <w:rPr>
          <w:rFonts w:hint="eastAsia" w:ascii="仿宋_GB2312" w:hAnsi="仿宋_GB2312" w:cs="仿宋_GB2312"/>
        </w:rPr>
        <w:t>③</w:t>
      </w:r>
      <w:r>
        <w:rPr>
          <w:rFonts w:hint="eastAsia" w:ascii="仿宋_GB2312" w:hAnsi="仿宋_GB2312" w:cs="仿宋_GB2312"/>
        </w:rPr>
        <w:fldChar w:fldCharType="end"/>
      </w:r>
      <w:r>
        <w:rPr>
          <w:rFonts w:hint="eastAsia" w:ascii="仿宋_GB2312" w:hAnsi="仿宋_GB2312" w:cs="仿宋_GB2312"/>
        </w:rPr>
        <w:t>突发公共卫生事件相关信息报告率。韶关市2022年共发生13次突发公共安全卫生事件，均已在网络系统中进行创建并进行报告，报告率为100%；全市共发生91起突发公共卫生事件，报告率为100%，完成“突发公共卫生事件相关信息报告率为100%”的目标任务。此项不扣分，得0.50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4 \* GB3 </w:instrText>
      </w:r>
      <w:r>
        <w:rPr>
          <w:rFonts w:hint="eastAsia" w:ascii="仿宋_GB2312" w:hAnsi="仿宋_GB2312" w:cs="仿宋_GB2312"/>
        </w:rPr>
        <w:fldChar w:fldCharType="separate"/>
      </w:r>
      <w:r>
        <w:rPr>
          <w:rFonts w:hint="eastAsia" w:ascii="仿宋_GB2312" w:hAnsi="仿宋_GB2312" w:cs="仿宋_GB2312"/>
        </w:rPr>
        <w:t>④</w:t>
      </w:r>
      <w:r>
        <w:rPr>
          <w:rFonts w:hint="eastAsia" w:ascii="仿宋_GB2312" w:hAnsi="仿宋_GB2312" w:cs="仿宋_GB2312"/>
        </w:rPr>
        <w:fldChar w:fldCharType="end"/>
      </w:r>
      <w:r>
        <w:rPr>
          <w:rFonts w:hint="eastAsia" w:ascii="仿宋_GB2312" w:hAnsi="仿宋_GB2312" w:cs="仿宋_GB2312"/>
        </w:rPr>
        <w:t>患者管理率。2022年韶关市高血压患者规范管理率为75.26%，严重精神障碍患者规范管理率为96.08%，糖尿病患者规范管理率为73.36%，肺结核患者管理率达到93.8</w:t>
      </w:r>
      <w:r>
        <w:rPr>
          <w:rFonts w:ascii="仿宋_GB2312" w:hAnsi="仿宋_GB2312" w:cs="仿宋_GB2312"/>
        </w:rPr>
        <w:t>0</w:t>
      </w:r>
      <w:r>
        <w:rPr>
          <w:rFonts w:hint="eastAsia" w:ascii="仿宋_GB2312" w:hAnsi="仿宋_GB2312" w:cs="仿宋_GB2312"/>
        </w:rPr>
        <w:t>%。按评分标准，得1.00分。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5 \* GB3 </w:instrText>
      </w:r>
      <w:r>
        <w:rPr>
          <w:rFonts w:hint="eastAsia" w:ascii="仿宋_GB2312" w:hAnsi="仿宋_GB2312" w:cs="仿宋_GB2312"/>
        </w:rPr>
        <w:fldChar w:fldCharType="separate"/>
      </w:r>
      <w:r>
        <w:rPr>
          <w:rFonts w:hint="eastAsia" w:ascii="仿宋_GB2312" w:hAnsi="仿宋_GB2312" w:cs="仿宋_GB2312"/>
        </w:rPr>
        <w:t>⑤</w:t>
      </w:r>
      <w:r>
        <w:rPr>
          <w:rFonts w:hint="eastAsia" w:ascii="仿宋_GB2312" w:hAnsi="仿宋_GB2312" w:cs="仿宋_GB2312"/>
        </w:rPr>
        <w:fldChar w:fldCharType="end"/>
      </w:r>
      <w:r>
        <w:rPr>
          <w:rFonts w:hint="eastAsia" w:ascii="仿宋_GB2312" w:hAnsi="仿宋_GB2312" w:cs="仿宋_GB2312"/>
        </w:rPr>
        <w:t>国家免疫规划疫苗接种率。2022年国家免疫规划疫苗接种率大于90%，此项不扣分，得0.50分。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6 \* GB3 </w:instrText>
      </w:r>
      <w:r>
        <w:rPr>
          <w:rFonts w:hint="eastAsia" w:ascii="仿宋_GB2312" w:hAnsi="仿宋_GB2312" w:cs="仿宋_GB2312"/>
        </w:rPr>
        <w:fldChar w:fldCharType="separate"/>
      </w:r>
      <w:r>
        <w:rPr>
          <w:rFonts w:hint="eastAsia" w:ascii="仿宋_GB2312" w:hAnsi="仿宋_GB2312" w:cs="仿宋_GB2312"/>
        </w:rPr>
        <w:t>⑥</w:t>
      </w:r>
      <w:r>
        <w:rPr>
          <w:rFonts w:hint="eastAsia" w:ascii="仿宋_GB2312" w:hAnsi="仿宋_GB2312" w:cs="仿宋_GB2312"/>
        </w:rPr>
        <w:fldChar w:fldCharType="end"/>
      </w:r>
      <w:r>
        <w:rPr>
          <w:rFonts w:hint="eastAsia" w:ascii="仿宋_GB2312" w:hAnsi="仿宋_GB2312" w:cs="仿宋_GB2312"/>
        </w:rPr>
        <w:t>肠癌早筛任务完成情况。2022年韶关市完成肠癌早筛11171人，完成“肠癌早筛任务完成人数≥1.1万人”的任务目标，此项不扣分，得0.50分。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7 \* GB3 </w:instrText>
      </w:r>
      <w:r>
        <w:rPr>
          <w:rFonts w:hint="eastAsia" w:ascii="仿宋_GB2312" w:hAnsi="仿宋_GB2312" w:cs="仿宋_GB2312"/>
        </w:rPr>
        <w:fldChar w:fldCharType="separate"/>
      </w:r>
      <w:r>
        <w:rPr>
          <w:rFonts w:hint="eastAsia" w:ascii="仿宋_GB2312" w:hAnsi="仿宋_GB2312" w:cs="仿宋_GB2312"/>
        </w:rPr>
        <w:t>⑦</w:t>
      </w:r>
      <w:r>
        <w:rPr>
          <w:rFonts w:hint="eastAsia" w:ascii="仿宋_GB2312" w:hAnsi="仿宋_GB2312" w:cs="仿宋_GB2312"/>
        </w:rPr>
        <w:fldChar w:fldCharType="end"/>
      </w:r>
      <w:r>
        <w:rPr>
          <w:rFonts w:hint="eastAsia" w:ascii="仿宋_GB2312" w:hAnsi="仿宋_GB2312" w:cs="仿宋_GB2312"/>
        </w:rPr>
        <w:t>老年人城乡社区规范健康管理服务率。辖区内65岁及以上常住居民数为372,484人，接受健康管理人数总计213,038人，65岁及以上老年人城乡社区规范健康管理服务率为56.89%，完成“老年人城乡社区规范健康管理服务率≥55%”的任务目标，此项不扣分，得0.50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8 \* GB3 </w:instrText>
      </w:r>
      <w:r>
        <w:rPr>
          <w:rFonts w:hint="eastAsia" w:ascii="仿宋_GB2312" w:hAnsi="仿宋_GB2312" w:cs="仿宋_GB2312"/>
        </w:rPr>
        <w:fldChar w:fldCharType="separate"/>
      </w:r>
      <w:r>
        <w:rPr>
          <w:rFonts w:hint="eastAsia" w:ascii="仿宋_GB2312" w:hAnsi="仿宋_GB2312" w:cs="仿宋_GB2312"/>
        </w:rPr>
        <w:t>⑧</w:t>
      </w:r>
      <w:r>
        <w:rPr>
          <w:rFonts w:hint="eastAsia" w:ascii="仿宋_GB2312" w:hAnsi="仿宋_GB2312" w:cs="仿宋_GB2312"/>
        </w:rPr>
        <w:fldChar w:fldCharType="end"/>
      </w:r>
      <w:r>
        <w:rPr>
          <w:rFonts w:hint="eastAsia" w:ascii="仿宋_GB2312" w:hAnsi="仿宋_GB2312" w:cs="仿宋_GB2312"/>
        </w:rPr>
        <w:t>二级及以上综合性医院设置老年医学科的比例。2022年韶关市二级及以上综合性医院设置老年医学科比例达到50%，完成“2022年应达46.5</w:t>
      </w:r>
      <w:r>
        <w:rPr>
          <w:rFonts w:ascii="仿宋_GB2312" w:hAnsi="仿宋_GB2312" w:cs="仿宋_GB2312"/>
        </w:rPr>
        <w:t>0</w:t>
      </w:r>
      <w:r>
        <w:rPr>
          <w:rFonts w:hint="eastAsia" w:ascii="仿宋_GB2312" w:hAnsi="仿宋_GB2312" w:cs="仿宋_GB2312"/>
        </w:rPr>
        <w:t>%”的任务目标，指标得分0.50分。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9 \* GB3 </w:instrText>
      </w:r>
      <w:r>
        <w:rPr>
          <w:rFonts w:hint="eastAsia" w:ascii="仿宋_GB2312" w:hAnsi="仿宋_GB2312" w:cs="仿宋_GB2312"/>
        </w:rPr>
        <w:fldChar w:fldCharType="separate"/>
      </w:r>
      <w:r>
        <w:rPr>
          <w:rFonts w:hint="eastAsia" w:ascii="仿宋_GB2312" w:hAnsi="仿宋_GB2312" w:cs="仿宋_GB2312"/>
        </w:rPr>
        <w:t>⑨</w:t>
      </w:r>
      <w:r>
        <w:rPr>
          <w:rFonts w:hint="eastAsia" w:ascii="仿宋_GB2312" w:hAnsi="仿宋_GB2312" w:cs="仿宋_GB2312"/>
        </w:rPr>
        <w:fldChar w:fldCharType="end"/>
      </w:r>
      <w:r>
        <w:rPr>
          <w:rFonts w:hint="eastAsia" w:ascii="仿宋_GB2312" w:hAnsi="仿宋_GB2312" w:cs="仿宋_GB2312"/>
        </w:rPr>
        <w:t>基本药物配备品种。根据《2022年度广东省公立医疗机构实施国家基本药物制度达标情况排名表》，基层（不含县级）、二级、三级公立医疗卫生机构采购基本药物配备品种数占比分别不少于66、56%、46%。未发现政府办基层（不含县）公立医疗卫生机构基本药物配备品种未达标的卫生机构，未发现二级公立医疗卫生机构基本药物配备品种未达标的卫生机构，未发现三级公立医疗卫生机构基本药物配备品种不达标的卫生机构。此项不扣分，得1.00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10 \* GB3 </w:instrText>
      </w:r>
      <w:r>
        <w:rPr>
          <w:rFonts w:hint="eastAsia" w:ascii="仿宋_GB2312" w:hAnsi="仿宋_GB2312" w:cs="仿宋_GB2312"/>
        </w:rPr>
        <w:fldChar w:fldCharType="separate"/>
      </w:r>
      <w:r>
        <w:rPr>
          <w:rFonts w:hint="eastAsia" w:ascii="仿宋_GB2312" w:hAnsi="仿宋_GB2312" w:cs="仿宋_GB2312"/>
        </w:rPr>
        <w:t>⑩</w:t>
      </w:r>
      <w:r>
        <w:rPr>
          <w:rFonts w:hint="eastAsia" w:ascii="仿宋_GB2312" w:hAnsi="仿宋_GB2312" w:cs="仿宋_GB2312"/>
        </w:rPr>
        <w:fldChar w:fldCharType="end"/>
      </w:r>
      <w:r>
        <w:rPr>
          <w:rFonts w:hint="eastAsia" w:ascii="仿宋_GB2312" w:hAnsi="仿宋_GB2312" w:cs="仿宋_GB2312"/>
        </w:rPr>
        <w:t>政府办基层医疗卫生机构实施国家基本药物制度覆盖率。2022年共设置1186个村卫生站，均实施基本药物制度。政府办基层医疗卫生机构实施国家基本药物制度覆盖率为100%。此项不扣分，得0.50分。</w:t>
      </w:r>
    </w:p>
    <w:p>
      <w:pPr>
        <w:ind w:firstLine="640"/>
        <w:rPr>
          <w:rFonts w:ascii="仿宋_GB2312" w:hAnsi="仿宋_GB2312" w:cs="仿宋_GB2312"/>
        </w:rPr>
      </w:pPr>
      <w:r>
        <w:rPr>
          <w:rFonts w:hint="eastAsia" w:ascii="仿宋_GB2312" w:hAnsi="仿宋_GB2312" w:cs="仿宋_GB2312"/>
        </w:rPr>
        <w:t>⑪食品安全检测任务完成情况。2022年食品中化学污染物及有害因素常规监测完成470份，食品致病微生物及寄生虫监测完成160份；2022年1月至11月，两件病原体监测医院共登记腹泻病例4992人次，采集标本4334份，对1120份标本进行检测。此项不扣分，得1.00分。</w:t>
      </w:r>
    </w:p>
    <w:p>
      <w:pPr>
        <w:ind w:firstLine="640"/>
        <w:rPr>
          <w:rFonts w:ascii="仿宋_GB2312" w:hAnsi="仿宋_GB2312" w:cs="仿宋_GB2312"/>
        </w:rPr>
      </w:pPr>
      <w:r>
        <w:rPr>
          <w:rFonts w:hint="eastAsia" w:ascii="仿宋_GB2312" w:hAnsi="仿宋_GB2312" w:cs="仿宋_GB2312"/>
        </w:rPr>
        <w:t>⑫孕产妇系统管理率。产妇系统管理人数为18,492人，孕妇总数为19,405，孕产妇系统管理率为95.3%，完成“孕产妇系统管理率≥90%”目标任务。此项不扣分，得0.50分。</w:t>
      </w:r>
    </w:p>
    <w:p>
      <w:pPr>
        <w:ind w:firstLine="640"/>
        <w:rPr>
          <w:rFonts w:ascii="仿宋_GB2312" w:hAnsi="仿宋_GB2312" w:cs="仿宋_GB2312"/>
        </w:rPr>
      </w:pPr>
      <w:r>
        <w:rPr>
          <w:rFonts w:hint="eastAsia" w:ascii="仿宋_GB2312" w:hAnsi="仿宋_GB2312" w:cs="仿宋_GB2312"/>
        </w:rPr>
        <w:t>⑬3岁以下儿童系统管理率。3岁以下儿童人数总计为69,750人，系统管理人数总计64,649，3岁以下儿童系统管理率为92.69%。完成“3岁以下儿童系统管理率≥90%”目标任务，此项不扣分，得0.50分。</w:t>
      </w:r>
    </w:p>
    <w:p>
      <w:pPr>
        <w:ind w:firstLine="640"/>
        <w:rPr>
          <w:rFonts w:ascii="仿宋_GB2312" w:hAnsi="仿宋_GB2312" w:cs="仿宋_GB2312"/>
        </w:rPr>
      </w:pPr>
      <w:r>
        <w:rPr>
          <w:rFonts w:hint="eastAsia" w:ascii="仿宋_GB2312" w:hAnsi="仿宋_GB2312" w:cs="仿宋_GB2312"/>
        </w:rPr>
        <w:t>⑭新生儿筛查任务完成情况。2022年新生儿听力障碍筛查人数为19,609，新生儿苯丙酮尿症筛查人数为1962人，先天性甲低筛查19624人，均已完成筛查任务。此项不扣分，得1.00分。</w:t>
      </w:r>
    </w:p>
    <w:p>
      <w:pPr>
        <w:ind w:firstLine="640"/>
        <w:rPr>
          <w:rFonts w:ascii="仿宋_GB2312" w:hAnsi="仿宋_GB2312" w:cs="仿宋_GB2312"/>
        </w:rPr>
      </w:pPr>
      <w:r>
        <w:rPr>
          <w:rFonts w:hint="eastAsia" w:ascii="仿宋_GB2312" w:hAnsi="仿宋_GB2312" w:cs="仿宋_GB2312"/>
        </w:rPr>
        <w:t>⑮两癌工作完成情况。2022年韶关市宫颈癌检查任务完成率即结案率为107.00%，乳腺癌检查任务完成率107.01%，宫颈癌早诊率96.97%，乳腺癌早诊率72.41%。此项不扣分，得1.00分。</w:t>
      </w:r>
    </w:p>
    <w:p>
      <w:pPr>
        <w:ind w:firstLine="640"/>
        <w:rPr>
          <w:rFonts w:ascii="仿宋_GB2312" w:hAnsi="仿宋_GB2312" w:cs="仿宋_GB2312"/>
        </w:rPr>
      </w:pPr>
      <w:r>
        <w:rPr>
          <w:rFonts w:hint="eastAsia" w:ascii="仿宋_GB2312" w:hAnsi="仿宋_GB2312" w:cs="仿宋_GB2312"/>
        </w:rPr>
        <w:t>（2）部门整体绩效目标效益指标完成情况（得</w:t>
      </w:r>
      <w:r>
        <w:rPr>
          <w:rFonts w:ascii="仿宋_GB2312" w:hAnsi="仿宋_GB2312" w:cs="仿宋_GB2312"/>
        </w:rPr>
        <w:t>9</w:t>
      </w:r>
      <w:r>
        <w:rPr>
          <w:rFonts w:hint="eastAsia" w:ascii="仿宋_GB2312" w:hAnsi="仿宋_GB2312" w:cs="仿宋_GB2312"/>
        </w:rPr>
        <w:t>.50分）</w:t>
      </w:r>
    </w:p>
    <w:p>
      <w:pPr>
        <w:ind w:firstLine="640"/>
        <w:rPr>
          <w:rFonts w:ascii="仿宋_GB2312" w:hAnsi="仿宋_GB2312" w:cs="仿宋_GB2312"/>
          <w:szCs w:val="32"/>
        </w:rPr>
      </w:pPr>
      <w:r>
        <w:rPr>
          <w:rFonts w:hint="eastAsia" w:ascii="仿宋_GB2312" w:hAnsi="仿宋_GB2312" w:cs="仿宋_GB2312"/>
        </w:rPr>
        <w:t>部门整体绩效目标效益指标</w:t>
      </w:r>
      <w:r>
        <w:rPr>
          <w:rFonts w:hint="eastAsia" w:ascii="仿宋_GB2312" w:hAnsi="仿宋_GB2312" w:cs="仿宋_GB2312"/>
          <w:szCs w:val="32"/>
        </w:rPr>
        <w:t>的四级指标得分率如图2-3所示。</w:t>
      </w:r>
    </w:p>
    <w:p>
      <w:pPr>
        <w:ind w:firstLine="640"/>
      </w:pPr>
      <w:r>
        <w:drawing>
          <wp:inline distT="0" distB="0" distL="0" distR="0">
            <wp:extent cx="4632960" cy="2048510"/>
            <wp:effectExtent l="4445" t="4445" r="10795" b="23495"/>
            <wp:docPr id="124567041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pPr>
        <w:ind w:firstLine="562"/>
        <w:jc w:val="center"/>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图2-</w:t>
      </w:r>
      <w:r>
        <w:rPr>
          <w:rFonts w:ascii="宋体" w:hAnsi="宋体" w:eastAsia="宋体" w:cs="宋体"/>
          <w:b/>
          <w:color w:val="000000" w:themeColor="text1"/>
          <w:sz w:val="28"/>
          <w:szCs w:val="28"/>
          <w14:textFill>
            <w14:solidFill>
              <w14:schemeClr w14:val="tx1"/>
            </w14:solidFill>
          </w14:textFill>
        </w:rPr>
        <w:t>3</w:t>
      </w:r>
      <w:r>
        <w:rPr>
          <w:rFonts w:hint="eastAsia" w:ascii="宋体" w:hAnsi="宋体" w:eastAsia="宋体" w:cs="宋体"/>
          <w:b/>
          <w:color w:val="000000" w:themeColor="text1"/>
          <w:sz w:val="28"/>
          <w:szCs w:val="28"/>
          <w14:textFill>
            <w14:solidFill>
              <w14:schemeClr w14:val="tx1"/>
            </w14:solidFill>
          </w14:textFill>
        </w:rPr>
        <w:t xml:space="preserve"> 部门整体效益指标四级指标各指标得分率</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1 \* GB3 </w:instrText>
      </w:r>
      <w:r>
        <w:rPr>
          <w:rFonts w:hint="eastAsia" w:ascii="仿宋_GB2312" w:hAnsi="仿宋_GB2312" w:cs="仿宋_GB2312"/>
        </w:rPr>
        <w:fldChar w:fldCharType="separate"/>
      </w:r>
      <w:r>
        <w:rPr>
          <w:rFonts w:hint="eastAsia" w:ascii="仿宋_GB2312" w:hAnsi="仿宋_GB2312" w:cs="仿宋_GB2312"/>
        </w:rPr>
        <w:t>①</w:t>
      </w:r>
      <w:r>
        <w:rPr>
          <w:rFonts w:hint="eastAsia" w:ascii="仿宋_GB2312" w:hAnsi="仿宋_GB2312" w:cs="仿宋_GB2312"/>
        </w:rPr>
        <w:fldChar w:fldCharType="end"/>
      </w:r>
      <w:r>
        <w:rPr>
          <w:rFonts w:hint="eastAsia" w:ascii="仿宋_GB2312" w:hAnsi="仿宋_GB2312" w:cs="仿宋_GB2312"/>
        </w:rPr>
        <w:t>人均预期寿命（岁）。2022年韶关市人均寿命为80.12岁，完成“2022年应达78.6岁”的任务目标，此项不扣分，得1.00分。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2 \* GB3 </w:instrText>
      </w:r>
      <w:r>
        <w:rPr>
          <w:rFonts w:hint="eastAsia" w:ascii="仿宋_GB2312" w:hAnsi="仿宋_GB2312" w:cs="仿宋_GB2312"/>
        </w:rPr>
        <w:fldChar w:fldCharType="separate"/>
      </w:r>
      <w:r>
        <w:rPr>
          <w:rFonts w:hint="eastAsia" w:ascii="仿宋_GB2312" w:hAnsi="仿宋_GB2312" w:cs="仿宋_GB2312"/>
        </w:rPr>
        <w:t>②</w:t>
      </w:r>
      <w:r>
        <w:rPr>
          <w:rFonts w:hint="eastAsia" w:ascii="仿宋_GB2312" w:hAnsi="仿宋_GB2312" w:cs="仿宋_GB2312"/>
        </w:rPr>
        <w:fldChar w:fldCharType="end"/>
      </w:r>
      <w:r>
        <w:rPr>
          <w:rFonts w:hint="eastAsia" w:ascii="仿宋_GB2312" w:hAnsi="仿宋_GB2312" w:cs="仿宋_GB2312"/>
        </w:rPr>
        <w:t>每千常驻人口医疗卫生机构床位数。根据《2022年广东省卫生健康统计信息简本》和《2022年韶关市统计年鉴》统计，2022年韶关市实有床位数为22,126张，常住人口数为286.01万人，每千常驻人口医疗卫生机构床位数为7.74，完成“2022年每千人应达7.44张医疗床位”的任务目标，此项不扣分，得1.00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3 \* GB3 </w:instrText>
      </w:r>
      <w:r>
        <w:rPr>
          <w:rFonts w:hint="eastAsia" w:ascii="仿宋_GB2312" w:hAnsi="仿宋_GB2312" w:cs="仿宋_GB2312"/>
        </w:rPr>
        <w:fldChar w:fldCharType="separate"/>
      </w:r>
      <w:r>
        <w:rPr>
          <w:rFonts w:hint="eastAsia" w:ascii="仿宋_GB2312" w:hAnsi="仿宋_GB2312" w:cs="仿宋_GB2312"/>
        </w:rPr>
        <w:t>③</w:t>
      </w:r>
      <w:r>
        <w:rPr>
          <w:rFonts w:hint="eastAsia" w:ascii="仿宋_GB2312" w:hAnsi="仿宋_GB2312" w:cs="仿宋_GB2312"/>
        </w:rPr>
        <w:fldChar w:fldCharType="end"/>
      </w:r>
      <w:r>
        <w:rPr>
          <w:rFonts w:hint="eastAsia" w:ascii="仿宋_GB2312" w:hAnsi="仿宋_GB2312" w:cs="仿宋_GB2312"/>
        </w:rPr>
        <w:t>每千人口拥有执业（助理）医师数。根据《2022年韶关市统计年鉴》，2022年韶关市执业（助理）医师为8108人，常住人口数为286.01万人，每千人口拥有执业（助理）医师数为2.83，完成“2022年执业（助理）医师不低于2.8人”的任务目标，此项不扣分，得0.50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4 \* GB3 </w:instrText>
      </w:r>
      <w:r>
        <w:rPr>
          <w:rFonts w:hint="eastAsia" w:ascii="仿宋_GB2312" w:hAnsi="仿宋_GB2312" w:cs="仿宋_GB2312"/>
        </w:rPr>
        <w:fldChar w:fldCharType="separate"/>
      </w:r>
      <w:r>
        <w:rPr>
          <w:rFonts w:hint="eastAsia" w:ascii="仿宋_GB2312" w:hAnsi="仿宋_GB2312" w:cs="仿宋_GB2312"/>
        </w:rPr>
        <w:t>④</w:t>
      </w:r>
      <w:r>
        <w:rPr>
          <w:rFonts w:hint="eastAsia" w:ascii="仿宋_GB2312" w:hAnsi="仿宋_GB2312" w:cs="仿宋_GB2312"/>
        </w:rPr>
        <w:fldChar w:fldCharType="end"/>
      </w:r>
      <w:r>
        <w:rPr>
          <w:rFonts w:hint="eastAsia" w:ascii="仿宋_GB2312" w:hAnsi="仿宋_GB2312" w:cs="仿宋_GB2312"/>
        </w:rPr>
        <w:t>每万常住人口全科医生数。2022年已经提前达到2025年每万人口拥有4名以上全科医生的目标，此项不扣分，得1.00分。</w:t>
      </w:r>
    </w:p>
    <w:p>
      <w:pPr>
        <w:ind w:firstLine="640"/>
        <w:rPr>
          <w:rFonts w:ascii="仿宋_GB2312" w:hAnsi="仿宋_GB2312" w:cs="仿宋_GB2312"/>
        </w:rPr>
      </w:pPr>
      <w:r>
        <w:rPr>
          <w:rFonts w:hint="eastAsia" w:ascii="仿宋_GB2312" w:hAnsi="仿宋_GB2312" w:cs="仿宋_GB2312"/>
        </w:rPr>
        <w:t>⑤公立医院高质量发展水平提高。粤北人民医院省级区域医疗中心建设稳步推进，完成当年省级高水平医院建设任务。市第一人民医院省级高水平医院建设稳步推进，已完成新院区主体工程。市中医院新院建设进展顺利，已完成新院区主体结构封顶。市疾控中心粤北区域高水平疾控中心建设进展顺利，建成公共卫生监测预警平台。综合考虑，此项扣0.5分，得1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6 \* GB3 </w:instrText>
      </w:r>
      <w:r>
        <w:rPr>
          <w:rFonts w:hint="eastAsia" w:ascii="仿宋_GB2312" w:hAnsi="仿宋_GB2312" w:cs="仿宋_GB2312"/>
        </w:rPr>
        <w:fldChar w:fldCharType="separate"/>
      </w:r>
      <w:r>
        <w:rPr>
          <w:rFonts w:hint="eastAsia" w:ascii="仿宋_GB2312" w:hAnsi="仿宋_GB2312" w:cs="仿宋_GB2312"/>
        </w:rPr>
        <w:t>⑥</w:t>
      </w:r>
      <w:r>
        <w:rPr>
          <w:rFonts w:hint="eastAsia" w:ascii="仿宋_GB2312" w:hAnsi="仿宋_GB2312" w:cs="仿宋_GB2312"/>
        </w:rPr>
        <w:fldChar w:fldCharType="end"/>
      </w:r>
      <w:r>
        <w:rPr>
          <w:rFonts w:hint="eastAsia" w:ascii="仿宋_GB2312" w:hAnsi="仿宋_GB2312" w:cs="仿宋_GB2312"/>
        </w:rPr>
        <w:t>5岁以下儿童死亡率。根据《2022年七岁以下儿童保健和健康情况年报表》统计，韶关市5岁以下儿童死亡率为2.44‰，完成“2022年应达目标为4.2‰”的任务目标，此项不扣分，得1.00分。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7 \* GB3 </w:instrText>
      </w:r>
      <w:r>
        <w:rPr>
          <w:rFonts w:hint="eastAsia" w:ascii="仿宋_GB2312" w:hAnsi="仿宋_GB2312" w:cs="仿宋_GB2312"/>
        </w:rPr>
        <w:fldChar w:fldCharType="separate"/>
      </w:r>
      <w:r>
        <w:rPr>
          <w:rFonts w:hint="eastAsia" w:ascii="仿宋_GB2312" w:hAnsi="仿宋_GB2312" w:cs="仿宋_GB2312"/>
        </w:rPr>
        <w:t>⑦</w:t>
      </w:r>
      <w:r>
        <w:rPr>
          <w:rFonts w:hint="eastAsia" w:ascii="仿宋_GB2312" w:hAnsi="仿宋_GB2312" w:cs="仿宋_GB2312"/>
        </w:rPr>
        <w:fldChar w:fldCharType="end"/>
      </w:r>
      <w:r>
        <w:rPr>
          <w:rFonts w:hint="eastAsia" w:ascii="仿宋_GB2312" w:hAnsi="仿宋_GB2312" w:cs="仿宋_GB2312"/>
        </w:rPr>
        <w:t>孕产妇死亡率。根据《2022年孕产妇保健和健康情况年报表》，2022年韶关市孕产妇死亡人数为1人，孕妇总数为19,405，孕产妇死亡率为1.92/10万人，完成“2022年应达目标为9.93/10万人”的任务目标，此项不扣分，得1.00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8 \* GB3 </w:instrText>
      </w:r>
      <w:r>
        <w:rPr>
          <w:rFonts w:hint="eastAsia" w:ascii="仿宋_GB2312" w:hAnsi="仿宋_GB2312" w:cs="仿宋_GB2312"/>
        </w:rPr>
        <w:fldChar w:fldCharType="separate"/>
      </w:r>
      <w:r>
        <w:rPr>
          <w:rFonts w:hint="eastAsia" w:ascii="仿宋_GB2312" w:hAnsi="仿宋_GB2312" w:cs="仿宋_GB2312"/>
        </w:rPr>
        <w:t>⑧</w:t>
      </w:r>
      <w:r>
        <w:rPr>
          <w:rFonts w:hint="eastAsia" w:ascii="仿宋_GB2312" w:hAnsi="仿宋_GB2312" w:cs="仿宋_GB2312"/>
        </w:rPr>
        <w:fldChar w:fldCharType="end"/>
      </w:r>
      <w:r>
        <w:rPr>
          <w:rFonts w:hint="eastAsia" w:ascii="仿宋_GB2312" w:hAnsi="仿宋_GB2312" w:cs="仿宋_GB2312"/>
        </w:rPr>
        <w:t>公立医院住院率。根据广东省卫生健康委事务中心第206期《广东省卫生健康统计信息》统计，2022年第三季度韶关市常住居民市域内住院率为96.3%，县域内住院率为83.6%，此项不扣分，得1.00分。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9 \* GB3 </w:instrText>
      </w:r>
      <w:r>
        <w:rPr>
          <w:rFonts w:hint="eastAsia" w:ascii="仿宋_GB2312" w:hAnsi="仿宋_GB2312" w:cs="仿宋_GB2312"/>
        </w:rPr>
        <w:fldChar w:fldCharType="separate"/>
      </w:r>
      <w:r>
        <w:rPr>
          <w:rFonts w:hint="eastAsia" w:ascii="仿宋_GB2312" w:hAnsi="仿宋_GB2312" w:cs="仿宋_GB2312"/>
        </w:rPr>
        <w:t>⑨</w:t>
      </w:r>
      <w:r>
        <w:rPr>
          <w:rFonts w:hint="eastAsia" w:ascii="仿宋_GB2312" w:hAnsi="仿宋_GB2312" w:cs="仿宋_GB2312"/>
        </w:rPr>
        <w:fldChar w:fldCharType="end"/>
      </w:r>
      <w:r>
        <w:rPr>
          <w:rFonts w:hint="eastAsia" w:ascii="仿宋_GB2312" w:hAnsi="仿宋_GB2312" w:cs="仿宋_GB2312"/>
        </w:rPr>
        <w:t>现代医院管理制度。根据《韶关市推动公立医院高质量发展实施方案》可知，韶关市各单位的任务及职责分工较明确，有助于推动现代医院管理制度的建立健全。同时，《韶关市紧密型医共体医防协同试点方案》、《韶关市深入推广福建省三明市经验优化医药卫生体制改革实施方案》从制度层面助于推进紧密型县城医共体建设、推动韶关市深化医疗、医保、医药“三医联动”改革，均有助于加快现代医院管理制度的建设。此项不扣分，得1.00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10 \* GB3 </w:instrText>
      </w:r>
      <w:r>
        <w:rPr>
          <w:rFonts w:hint="eastAsia" w:ascii="仿宋_GB2312" w:hAnsi="仿宋_GB2312" w:cs="仿宋_GB2312"/>
        </w:rPr>
        <w:fldChar w:fldCharType="separate"/>
      </w:r>
      <w:r>
        <w:rPr>
          <w:rFonts w:hint="eastAsia" w:ascii="仿宋_GB2312" w:hAnsi="仿宋_GB2312" w:cs="仿宋_GB2312"/>
        </w:rPr>
        <w:t>⑩</w:t>
      </w:r>
      <w:r>
        <w:rPr>
          <w:rFonts w:hint="eastAsia" w:ascii="仿宋_GB2312" w:hAnsi="仿宋_GB2312" w:cs="仿宋_GB2312"/>
        </w:rPr>
        <w:fldChar w:fldCharType="end"/>
      </w:r>
      <w:r>
        <w:rPr>
          <w:rFonts w:hint="eastAsia" w:ascii="仿宋_GB2312" w:hAnsi="仿宋_GB2312" w:cs="仿宋_GB2312"/>
        </w:rPr>
        <w:t>促成“引进来”项目协议投资额。根据部门自评材料可知，市卫健局2022年已完成医疗康养产业招商引资，项目成效达到预期。此项不扣分，得1.00分。</w:t>
      </w:r>
    </w:p>
    <w:p>
      <w:pPr>
        <w:ind w:firstLine="640"/>
        <w:rPr>
          <w:rFonts w:ascii="仿宋_GB2312" w:hAnsi="仿宋_GB2312" w:cs="仿宋_GB2312"/>
        </w:rPr>
      </w:pPr>
      <w:r>
        <w:rPr>
          <w:rFonts w:hint="eastAsia" w:ascii="仿宋_GB2312" w:hAnsi="仿宋_GB2312" w:cs="仿宋_GB2312"/>
        </w:rPr>
        <w:t>2.专项效能（得</w:t>
      </w:r>
      <w:r>
        <w:rPr>
          <w:rFonts w:hint="eastAsia" w:ascii="仿宋_GB2312" w:hAnsi="仿宋_GB2312" w:cs="仿宋_GB2312"/>
          <w:spacing w:val="10"/>
        </w:rPr>
        <w:t>23.56</w:t>
      </w:r>
      <w:r>
        <w:rPr>
          <w:rFonts w:hint="eastAsia" w:ascii="仿宋_GB2312" w:hAnsi="仿宋_GB2312" w:cs="仿宋_GB2312"/>
        </w:rPr>
        <w:t>分）</w:t>
      </w:r>
    </w:p>
    <w:p>
      <w:pPr>
        <w:ind w:firstLine="640"/>
        <w:rPr>
          <w:rFonts w:ascii="仿宋_GB2312" w:hAnsi="仿宋_GB2312" w:cs="仿宋_GB2312"/>
        </w:rPr>
      </w:pPr>
      <w:r>
        <w:rPr>
          <w:rFonts w:hint="eastAsia" w:ascii="仿宋_GB2312" w:hAnsi="仿宋_GB2312" w:cs="仿宋_GB2312"/>
        </w:rPr>
        <w:t>（1）中省资金绩效完成情况（得</w:t>
      </w:r>
      <w:r>
        <w:rPr>
          <w:rFonts w:hint="eastAsia" w:ascii="仿宋_GB2312" w:hAnsi="仿宋_GB2312" w:cs="仿宋_GB2312"/>
          <w:spacing w:val="10"/>
        </w:rPr>
        <w:t>19.00分</w:t>
      </w:r>
      <w:r>
        <w:rPr>
          <w:rFonts w:hint="eastAsia" w:ascii="仿宋_GB2312" w:hAnsi="仿宋_GB2312" w:cs="仿宋_GB2312"/>
        </w:rPr>
        <w:t>）</w:t>
      </w:r>
    </w:p>
    <w:p>
      <w:pPr>
        <w:ind w:firstLine="640"/>
        <w:rPr>
          <w:rFonts w:ascii="仿宋_GB2312" w:hAnsi="仿宋_GB2312" w:cs="仿宋_GB2312"/>
        </w:rPr>
      </w:pPr>
      <w:r>
        <w:rPr>
          <w:rFonts w:hint="eastAsia" w:ascii="仿宋_GB2312" w:hAnsi="仿宋_GB2312" w:cs="仿宋_GB2312"/>
        </w:rPr>
        <w:t>中省资金绩效完成情况四级指标得分率如图2-4所示。</w:t>
      </w:r>
    </w:p>
    <w:p>
      <w:pPr>
        <w:ind w:firstLine="640"/>
        <w:jc w:val="center"/>
      </w:pPr>
      <w:r>
        <w:drawing>
          <wp:inline distT="0" distB="0" distL="0" distR="0">
            <wp:extent cx="4632960" cy="2545080"/>
            <wp:effectExtent l="0" t="0" r="15240" b="7620"/>
            <wp:docPr id="113067476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pPr>
        <w:ind w:firstLine="0" w:firstLineChars="0"/>
        <w:jc w:val="center"/>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图</w:t>
      </w:r>
      <w:r>
        <w:rPr>
          <w:rFonts w:ascii="宋体" w:hAnsi="宋体" w:eastAsia="宋体" w:cs="宋体"/>
          <w:b/>
          <w:color w:val="000000" w:themeColor="text1"/>
          <w:sz w:val="28"/>
          <w:szCs w:val="28"/>
          <w14:textFill>
            <w14:solidFill>
              <w14:schemeClr w14:val="tx1"/>
            </w14:solidFill>
          </w14:textFill>
        </w:rPr>
        <w:t xml:space="preserve">2-4 </w:t>
      </w:r>
      <w:r>
        <w:rPr>
          <w:rFonts w:hint="eastAsia" w:ascii="宋体" w:hAnsi="宋体" w:eastAsia="宋体" w:cs="宋体"/>
          <w:b/>
          <w:color w:val="000000" w:themeColor="text1"/>
          <w:sz w:val="28"/>
          <w:szCs w:val="28"/>
          <w14:textFill>
            <w14:solidFill>
              <w14:schemeClr w14:val="tx1"/>
            </w14:solidFill>
          </w14:textFill>
        </w:rPr>
        <w:t>中省资金绩效完成情况四级指标得分率</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1 \* GB3 </w:instrText>
      </w:r>
      <w:r>
        <w:rPr>
          <w:rFonts w:hint="eastAsia" w:ascii="仿宋_GB2312" w:hAnsi="仿宋_GB2312" w:cs="仿宋_GB2312"/>
        </w:rPr>
        <w:fldChar w:fldCharType="separate"/>
      </w:r>
      <w:r>
        <w:rPr>
          <w:rFonts w:hint="eastAsia" w:ascii="仿宋_GB2312" w:hAnsi="仿宋_GB2312" w:cs="仿宋_GB2312"/>
        </w:rPr>
        <w:t>①</w:t>
      </w:r>
      <w:r>
        <w:rPr>
          <w:rFonts w:hint="eastAsia" w:ascii="仿宋_GB2312" w:hAnsi="仿宋_GB2312" w:cs="仿宋_GB2312"/>
        </w:rPr>
        <w:fldChar w:fldCharType="end"/>
      </w:r>
      <w:r>
        <w:rPr>
          <w:rFonts w:hint="eastAsia" w:ascii="仿宋_GB2312" w:hAnsi="仿宋_GB2312" w:cs="仿宋_GB2312"/>
        </w:rPr>
        <w:t>重大传染病防控任务完成情况。2022年韶关市已开展国家免疫规划常规免疫46.35万剂次，产妇艾滋病、梅毒以及乙肝感染检测率均达到100%，艾滋病感染孕产妇数不超过9，梅毒感染孕产妇数不超过75，乙肝感染孕产妇数不超过1199，血吸虫病防治病原检测400人，结核病患者治疗及随访管理任务数（例数）不少于858人。此项不扣分，得2.00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2 \* GB3 </w:instrText>
      </w:r>
      <w:r>
        <w:rPr>
          <w:rFonts w:hint="eastAsia" w:ascii="仿宋_GB2312" w:hAnsi="仿宋_GB2312" w:cs="仿宋_GB2312"/>
        </w:rPr>
        <w:fldChar w:fldCharType="separate"/>
      </w:r>
      <w:r>
        <w:rPr>
          <w:rFonts w:hint="eastAsia" w:ascii="仿宋_GB2312" w:hAnsi="仿宋_GB2312" w:cs="仿宋_GB2312"/>
        </w:rPr>
        <w:t>②</w:t>
      </w:r>
      <w:r>
        <w:rPr>
          <w:rFonts w:hint="eastAsia" w:ascii="仿宋_GB2312" w:hAnsi="仿宋_GB2312" w:cs="仿宋_GB2312"/>
        </w:rPr>
        <w:fldChar w:fldCharType="end"/>
      </w:r>
      <w:r>
        <w:rPr>
          <w:rFonts w:hint="eastAsia" w:ascii="仿宋_GB2312" w:hAnsi="仿宋_GB2312" w:cs="仿宋_GB2312"/>
        </w:rPr>
        <w:t>卫生健康人才培养任务完成情况。一是紧缺人才培训招收目标任务完成，2022年省下达韶关市紧缺专业招收计划为35人，实际紧缺专业共招收34人，紧缺人才培训招收完成率达到97.14%。二是住院医师规范化培训招收任务完成，2022年省下达韶关市招收计划总数为71人（年中调增至80人），实际住院医师规范化培训共招收115人（粤北人民医院99人、韶关市第一人民医院16人），住院医师规范化培训招收完成率115%。三是县乡村卫生人才能力提升培训招收任务完成率超过80%。四是住院医师规范化培训结业考核整体通过率为83.39%。此项不扣分，得2.00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3 \* GB3 </w:instrText>
      </w:r>
      <w:r>
        <w:rPr>
          <w:rFonts w:hint="eastAsia" w:ascii="仿宋_GB2312" w:hAnsi="仿宋_GB2312" w:cs="仿宋_GB2312"/>
        </w:rPr>
        <w:fldChar w:fldCharType="separate"/>
      </w:r>
      <w:r>
        <w:rPr>
          <w:rFonts w:hint="eastAsia" w:ascii="仿宋_GB2312" w:hAnsi="仿宋_GB2312" w:cs="仿宋_GB2312"/>
        </w:rPr>
        <w:t>③</w:t>
      </w:r>
      <w:r>
        <w:rPr>
          <w:rFonts w:hint="eastAsia" w:ascii="仿宋_GB2312" w:hAnsi="仿宋_GB2312" w:cs="仿宋_GB2312"/>
        </w:rPr>
        <w:fldChar w:fldCharType="end"/>
      </w:r>
      <w:r>
        <w:rPr>
          <w:rFonts w:hint="eastAsia" w:ascii="仿宋_GB2312" w:hAnsi="仿宋_GB2312" w:cs="仿宋_GB2312"/>
        </w:rPr>
        <w:t>医疗机构能力建设任务完成情况。2022年市卫健局项目覆盖疾控机构服务能力较上年提升，项目覆盖县区级疾控机构基本检验能力较上年提升比例，职业健康技术服务机构管理不断完，辖区住院分娩率为99.98%，此项不扣分，得2.00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4 \* GB3 </w:instrText>
      </w:r>
      <w:r>
        <w:rPr>
          <w:rFonts w:hint="eastAsia" w:ascii="仿宋_GB2312" w:hAnsi="仿宋_GB2312" w:cs="仿宋_GB2312"/>
        </w:rPr>
        <w:fldChar w:fldCharType="separate"/>
      </w:r>
      <w:r>
        <w:rPr>
          <w:rFonts w:hint="eastAsia" w:ascii="仿宋_GB2312" w:hAnsi="仿宋_GB2312" w:cs="仿宋_GB2312"/>
        </w:rPr>
        <w:t>④</w:t>
      </w:r>
      <w:r>
        <w:rPr>
          <w:rFonts w:hint="eastAsia" w:ascii="仿宋_GB2312" w:hAnsi="仿宋_GB2312" w:cs="仿宋_GB2312"/>
        </w:rPr>
        <w:fldChar w:fldCharType="end"/>
      </w:r>
      <w:r>
        <w:rPr>
          <w:rFonts w:hint="eastAsia" w:ascii="仿宋_GB2312" w:hAnsi="仿宋_GB2312" w:cs="仿宋_GB2312"/>
        </w:rPr>
        <w:t>公立医院综合改革任务完成情况。2022韶关市年公立医院医疗服务收入（不含药品、耗材、检查、化验收入）占医疗收入比重为36.18%，三级公立医院出院患者手术占比提高4.91%、基层医疗卫生机构诊疗人次数占医疗卫生机构诊疗总人次数比例提高0.68%、公立医院出院者平均医药费用增长42.68%。按评分标准，此项不扣分，得2.00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5 \* GB3 </w:instrText>
      </w:r>
      <w:r>
        <w:rPr>
          <w:rFonts w:hint="eastAsia" w:ascii="仿宋_GB2312" w:hAnsi="仿宋_GB2312" w:cs="仿宋_GB2312"/>
        </w:rPr>
        <w:fldChar w:fldCharType="separate"/>
      </w:r>
      <w:r>
        <w:rPr>
          <w:rFonts w:hint="eastAsia" w:ascii="仿宋_GB2312" w:hAnsi="仿宋_GB2312" w:cs="仿宋_GB2312"/>
        </w:rPr>
        <w:t>⑤</w:t>
      </w:r>
      <w:r>
        <w:rPr>
          <w:rFonts w:hint="eastAsia" w:ascii="仿宋_GB2312" w:hAnsi="仿宋_GB2312" w:cs="仿宋_GB2312"/>
        </w:rPr>
        <w:fldChar w:fldCharType="end"/>
      </w:r>
      <w:r>
        <w:rPr>
          <w:rFonts w:hint="eastAsia" w:ascii="仿宋_GB2312" w:hAnsi="仿宋_GB2312" w:cs="仿宋_GB2312"/>
        </w:rPr>
        <w:t>计划生育补助任务完成情况。2022年韶关市面向申请计划生育补助人群100%发放计划生育补助，补助发放及时到达。此项不扣分，得2.00分。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6 \* GB3 </w:instrText>
      </w:r>
      <w:r>
        <w:rPr>
          <w:rFonts w:hint="eastAsia" w:ascii="仿宋_GB2312" w:hAnsi="仿宋_GB2312" w:cs="仿宋_GB2312"/>
        </w:rPr>
        <w:fldChar w:fldCharType="separate"/>
      </w:r>
      <w:r>
        <w:rPr>
          <w:rFonts w:hint="eastAsia" w:ascii="仿宋_GB2312" w:hAnsi="仿宋_GB2312" w:cs="仿宋_GB2312"/>
        </w:rPr>
        <w:t>⑥</w:t>
      </w:r>
      <w:r>
        <w:rPr>
          <w:rFonts w:hint="eastAsia" w:ascii="仿宋_GB2312" w:hAnsi="仿宋_GB2312" w:cs="仿宋_GB2312"/>
        </w:rPr>
        <w:fldChar w:fldCharType="end"/>
      </w:r>
      <w:r>
        <w:rPr>
          <w:rFonts w:hint="eastAsia" w:ascii="仿宋_GB2312" w:hAnsi="仿宋_GB2312" w:cs="仿宋_GB2312"/>
        </w:rPr>
        <w:t>适龄女生HPV疫苗接种任务完成情况。根据《2022-2023学年韶关市初一女生HPV疫苗接种情况统计表》统计，2022年韶关市适龄女生HPV疫苗已接种19,526人，项目开展县区率达100%。此项不扣分，得2.00分。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7 \* GB3 </w:instrText>
      </w:r>
      <w:r>
        <w:rPr>
          <w:rFonts w:hint="eastAsia" w:ascii="仿宋_GB2312" w:hAnsi="仿宋_GB2312" w:cs="仿宋_GB2312"/>
        </w:rPr>
        <w:fldChar w:fldCharType="separate"/>
      </w:r>
      <w:r>
        <w:rPr>
          <w:rFonts w:hint="eastAsia" w:ascii="仿宋_GB2312" w:hAnsi="仿宋_GB2312" w:cs="仿宋_GB2312"/>
        </w:rPr>
        <w:t>⑦</w:t>
      </w:r>
      <w:r>
        <w:rPr>
          <w:rFonts w:hint="eastAsia" w:ascii="仿宋_GB2312" w:hAnsi="仿宋_GB2312" w:cs="仿宋_GB2312"/>
        </w:rPr>
        <w:fldChar w:fldCharType="end"/>
      </w:r>
      <w:r>
        <w:rPr>
          <w:rFonts w:hint="eastAsia" w:ascii="仿宋_GB2312" w:hAnsi="仿宋_GB2312" w:cs="仿宋_GB2312"/>
        </w:rPr>
        <w:t>卫生健康领域补助任务完成情况。乡镇卫生院医务人员每月收入稳定，乡村医生月工资数额较为稳定，市级补助农村接生员和赤脚医生资金为3,690,480元，发放生活困难补助市级财政资金拨付率100%，各县边远山区乡镇卫生院医务人员岗位津贴已每月按时发放。此项不扣分，得2.00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8 \* GB3 </w:instrText>
      </w:r>
      <w:r>
        <w:rPr>
          <w:rFonts w:hint="eastAsia" w:ascii="仿宋_GB2312" w:hAnsi="仿宋_GB2312" w:cs="仿宋_GB2312"/>
        </w:rPr>
        <w:fldChar w:fldCharType="separate"/>
      </w:r>
      <w:r>
        <w:rPr>
          <w:rFonts w:hint="eastAsia" w:ascii="仿宋_GB2312" w:hAnsi="仿宋_GB2312" w:cs="仿宋_GB2312"/>
        </w:rPr>
        <w:t>⑧</w:t>
      </w:r>
      <w:r>
        <w:rPr>
          <w:rFonts w:hint="eastAsia" w:ascii="仿宋_GB2312" w:hAnsi="仿宋_GB2312" w:cs="仿宋_GB2312"/>
        </w:rPr>
        <w:fldChar w:fldCharType="end"/>
      </w:r>
      <w:r>
        <w:rPr>
          <w:rFonts w:hint="eastAsia" w:ascii="仿宋_GB2312" w:hAnsi="仿宋_GB2312" w:cs="仿宋_GB2312"/>
        </w:rPr>
        <w:t>疫病防控任务完成情况。结合部门自评材料，2022年韶关市麻风病可疑线索报告完成考核目标，病原学阳性肺结核患者耐药筛查完成考核目标，艾滋病感染者/病人随访检测比例完后考核目标，社区在册居家严重精神障碍患者健康管理率为96.08%。此项不扣分，得2.00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9 \* GB3 </w:instrText>
      </w:r>
      <w:r>
        <w:rPr>
          <w:rFonts w:hint="eastAsia" w:ascii="仿宋_GB2312" w:hAnsi="仿宋_GB2312" w:cs="仿宋_GB2312"/>
        </w:rPr>
        <w:fldChar w:fldCharType="separate"/>
      </w:r>
      <w:r>
        <w:rPr>
          <w:rFonts w:hint="eastAsia" w:ascii="仿宋_GB2312" w:hAnsi="仿宋_GB2312" w:cs="仿宋_GB2312"/>
        </w:rPr>
        <w:t>⑨</w:t>
      </w:r>
      <w:r>
        <w:rPr>
          <w:rFonts w:hint="eastAsia" w:ascii="仿宋_GB2312" w:hAnsi="仿宋_GB2312" w:cs="仿宋_GB2312"/>
        </w:rPr>
        <w:fldChar w:fldCharType="end"/>
      </w:r>
      <w:r>
        <w:rPr>
          <w:rFonts w:hint="eastAsia" w:ascii="仿宋_GB2312" w:hAnsi="仿宋_GB2312" w:cs="仿宋_GB2312"/>
        </w:rPr>
        <w:t>基层医疗卫生人才队伍建设任务完成情况。一是2022年韶关市新增住院医师规范化培训（社会人学员）32人（粤北人民医院29人、韶关市第一人民医院3人），未完成“新增住院医师规范化培训（社会人学员）48人”的任务目标。二是2022年完成1,578名订单定向学生的培养任务；三是下达11名专家的补助；四是专科特岗聘请34人，未完成“专科特岗聘请人数35人”的任务目标。按评分标准，此项扣1.00分，指标得1.00分。</w:t>
      </w:r>
    </w:p>
    <w:p>
      <w:pPr>
        <w:ind w:firstLine="640"/>
        <w:rPr>
          <w:rFonts w:ascii="仿宋_GB2312" w:hAnsi="仿宋_GB2312" w:cs="仿宋_GB2312"/>
        </w:rPr>
      </w:pPr>
      <w:r>
        <w:rPr>
          <w:rFonts w:hint="eastAsia" w:ascii="仿宋_GB2312" w:hAnsi="仿宋_GB2312" w:cs="仿宋_GB2312"/>
        </w:rPr>
        <w:fldChar w:fldCharType="begin"/>
      </w:r>
      <w:r>
        <w:rPr>
          <w:rFonts w:hint="eastAsia" w:ascii="仿宋_GB2312" w:hAnsi="仿宋_GB2312" w:cs="仿宋_GB2312"/>
        </w:rPr>
        <w:instrText xml:space="preserve"> = 10 \* GB3 </w:instrText>
      </w:r>
      <w:r>
        <w:rPr>
          <w:rFonts w:hint="eastAsia" w:ascii="仿宋_GB2312" w:hAnsi="仿宋_GB2312" w:cs="仿宋_GB2312"/>
        </w:rPr>
        <w:fldChar w:fldCharType="separate"/>
      </w:r>
      <w:r>
        <w:rPr>
          <w:rFonts w:hint="eastAsia" w:ascii="仿宋_GB2312" w:hAnsi="仿宋_GB2312" w:cs="仿宋_GB2312"/>
        </w:rPr>
        <w:t>⑩</w:t>
      </w:r>
      <w:r>
        <w:rPr>
          <w:rFonts w:hint="eastAsia" w:ascii="仿宋_GB2312" w:hAnsi="仿宋_GB2312" w:cs="仿宋_GB2312"/>
        </w:rPr>
        <w:fldChar w:fldCharType="end"/>
      </w:r>
      <w:r>
        <w:rPr>
          <w:rFonts w:hint="eastAsia" w:ascii="仿宋_GB2312" w:hAnsi="仿宋_GB2312" w:cs="仿宋_GB2312"/>
        </w:rPr>
        <w:t>中医药人才培养及能力建设完成情况。2022年韶关市基层中医药知识和技能培训71人（第一期人员总数为36、第二期人员总数为35），韶关市中医院投入50万元资金用于中医药人才培养基地建设，用于胃肠镜室设备的购置，资金尚未支付。此项不扣分，得2.00分。</w:t>
      </w:r>
    </w:p>
    <w:p>
      <w:pPr>
        <w:ind w:firstLine="640"/>
        <w:rPr>
          <w:rFonts w:ascii="仿宋_GB2312" w:hAnsi="仿宋_GB2312" w:cs="仿宋_GB2312"/>
        </w:rPr>
      </w:pPr>
      <w:r>
        <w:rPr>
          <w:rFonts w:hint="eastAsia" w:ascii="仿宋_GB2312" w:hAnsi="仿宋_GB2312" w:cs="仿宋_GB2312"/>
        </w:rPr>
        <w:t>（2）中省资金支出率（得4.56分）</w:t>
      </w:r>
    </w:p>
    <w:p>
      <w:pPr>
        <w:ind w:firstLine="640"/>
        <w:rPr>
          <w:rFonts w:ascii="仿宋_GB2312" w:hAnsi="仿宋_GB2312" w:cs="仿宋_GB2312"/>
        </w:rPr>
      </w:pPr>
      <w:r>
        <w:rPr>
          <w:rFonts w:hint="eastAsia" w:ascii="仿宋_GB2312" w:hAnsi="仿宋_GB2312" w:cs="仿宋_GB2312"/>
        </w:rPr>
        <w:t>2022年共安排卫生健康局中省资金87,986.08万元，实际支出80,792.28万元，资金支付率为91.82%，按评分标准，指标得分4.56分。</w:t>
      </w:r>
    </w:p>
    <w:p>
      <w:pPr>
        <w:ind w:firstLine="640"/>
        <w:rPr>
          <w:rFonts w:ascii="仿宋_GB2312" w:hAnsi="仿宋_GB2312" w:cs="仿宋_GB2312"/>
          <w:spacing w:val="10"/>
        </w:rPr>
      </w:pPr>
      <w:r>
        <w:rPr>
          <w:rFonts w:hint="eastAsia" w:ascii="仿宋_GB2312" w:hAnsi="仿宋_GB2312" w:cs="仿宋_GB2312"/>
        </w:rPr>
        <w:t>3.预算编制（得</w:t>
      </w:r>
      <w:r>
        <w:rPr>
          <w:rFonts w:hint="eastAsia" w:ascii="仿宋_GB2312" w:hAnsi="仿宋_GB2312" w:cs="仿宋_GB2312"/>
          <w:spacing w:val="10"/>
        </w:rPr>
        <w:t>4.00分）</w:t>
      </w:r>
    </w:p>
    <w:p>
      <w:pPr>
        <w:ind w:firstLine="640"/>
        <w:rPr>
          <w:rFonts w:ascii="仿宋_GB2312" w:hAnsi="仿宋_GB2312" w:cs="仿宋_GB2312"/>
        </w:rPr>
      </w:pPr>
      <w:r>
        <w:rPr>
          <w:rFonts w:hint="eastAsia" w:ascii="仿宋_GB2312" w:hAnsi="仿宋_GB2312" w:cs="仿宋_GB2312"/>
        </w:rPr>
        <w:t>预算项目事前绩效评估。2022年市卫健局新增预算的项目按要求的范围开展绩效评估，但考虑部分重大资金项目因前期规划不科学（如高水平公立医院项目），项目要素评估不到位，导致项目难推进，指标酌情扣减1分。</w:t>
      </w:r>
    </w:p>
    <w:p>
      <w:pPr>
        <w:ind w:firstLine="640"/>
        <w:rPr>
          <w:rFonts w:ascii="仿宋_GB2312" w:hAnsi="仿宋_GB2312" w:cs="仿宋_GB2312"/>
          <w:spacing w:val="10"/>
        </w:rPr>
      </w:pPr>
      <w:r>
        <w:rPr>
          <w:rFonts w:hint="eastAsia" w:ascii="仿宋_GB2312" w:hAnsi="仿宋_GB2312" w:cs="仿宋_GB2312"/>
        </w:rPr>
        <w:t>4.预算执行（得</w:t>
      </w:r>
      <w:r>
        <w:rPr>
          <w:rFonts w:hint="eastAsia" w:ascii="仿宋_GB2312" w:hAnsi="仿宋_GB2312" w:cs="仿宋_GB2312"/>
          <w:spacing w:val="10"/>
        </w:rPr>
        <w:t>1</w:t>
      </w:r>
      <w:r>
        <w:rPr>
          <w:rFonts w:ascii="仿宋_GB2312" w:hAnsi="仿宋_GB2312" w:cs="仿宋_GB2312"/>
          <w:spacing w:val="10"/>
        </w:rPr>
        <w:t>4</w:t>
      </w:r>
      <w:r>
        <w:rPr>
          <w:rFonts w:hint="eastAsia" w:ascii="仿宋_GB2312" w:hAnsi="仿宋_GB2312" w:cs="仿宋_GB2312"/>
          <w:spacing w:val="10"/>
        </w:rPr>
        <w:t>.</w:t>
      </w:r>
      <w:r>
        <w:rPr>
          <w:rFonts w:ascii="仿宋_GB2312" w:hAnsi="仿宋_GB2312" w:cs="仿宋_GB2312"/>
          <w:spacing w:val="10"/>
        </w:rPr>
        <w:t>5</w:t>
      </w:r>
      <w:r>
        <w:rPr>
          <w:rFonts w:hint="eastAsia" w:ascii="仿宋_GB2312" w:hAnsi="仿宋_GB2312" w:cs="仿宋_GB2312"/>
          <w:spacing w:val="10"/>
        </w:rPr>
        <w:t>0分）</w:t>
      </w:r>
    </w:p>
    <w:p>
      <w:pPr>
        <w:ind w:firstLine="660"/>
        <w:rPr>
          <w:rFonts w:ascii="仿宋_GB2312" w:hAnsi="仿宋_GB2312" w:cs="仿宋_GB2312"/>
          <w:spacing w:val="10"/>
        </w:rPr>
      </w:pPr>
      <w:r>
        <w:rPr>
          <w:rFonts w:hint="eastAsia" w:ascii="仿宋_GB2312" w:hAnsi="仿宋_GB2312" w:cs="仿宋_GB2312"/>
          <w:spacing w:val="10"/>
        </w:rPr>
        <w:t>预算执行各三级指标得分率如图2-5所示。</w:t>
      </w:r>
    </w:p>
    <w:p>
      <w:pPr>
        <w:ind w:firstLine="640"/>
        <w:jc w:val="center"/>
        <w:rPr>
          <w:rFonts w:cs="Times New Roman"/>
          <w:spacing w:val="10"/>
        </w:rPr>
      </w:pPr>
      <w:r>
        <w:drawing>
          <wp:inline distT="0" distB="0" distL="0" distR="0">
            <wp:extent cx="4632960" cy="1137285"/>
            <wp:effectExtent l="4445" t="4445" r="10795" b="20320"/>
            <wp:docPr id="185298731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pPr>
        <w:ind w:firstLine="0" w:firstLineChars="0"/>
        <w:jc w:val="center"/>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图</w:t>
      </w:r>
      <w:r>
        <w:rPr>
          <w:rFonts w:ascii="宋体" w:hAnsi="宋体" w:eastAsia="宋体" w:cs="宋体"/>
          <w:b/>
          <w:color w:val="000000" w:themeColor="text1"/>
          <w:sz w:val="28"/>
          <w:szCs w:val="28"/>
          <w14:textFill>
            <w14:solidFill>
              <w14:schemeClr w14:val="tx1"/>
            </w14:solidFill>
          </w14:textFill>
        </w:rPr>
        <w:t xml:space="preserve">2-5 </w:t>
      </w:r>
      <w:r>
        <w:rPr>
          <w:rFonts w:hint="eastAsia" w:ascii="宋体" w:hAnsi="宋体" w:eastAsia="宋体" w:cs="宋体"/>
          <w:b/>
          <w:color w:val="000000" w:themeColor="text1"/>
          <w:sz w:val="28"/>
          <w:szCs w:val="28"/>
          <w14:textFill>
            <w14:solidFill>
              <w14:schemeClr w14:val="tx1"/>
            </w14:solidFill>
          </w14:textFill>
        </w:rPr>
        <w:t>预算执行三级指标得分率</w:t>
      </w:r>
    </w:p>
    <w:p>
      <w:pPr>
        <w:ind w:firstLine="660"/>
        <w:rPr>
          <w:rFonts w:ascii="仿宋_GB2312" w:hAnsi="仿宋_GB2312" w:cs="仿宋_GB2312"/>
          <w:spacing w:val="10"/>
        </w:rPr>
      </w:pPr>
      <w:r>
        <w:rPr>
          <w:rFonts w:hint="eastAsia" w:ascii="仿宋_GB2312" w:hAnsi="仿宋_GB2312" w:cs="仿宋_GB2312"/>
          <w:spacing w:val="10"/>
        </w:rPr>
        <w:t>（1）预算编制约束性（得</w:t>
      </w:r>
      <w:r>
        <w:rPr>
          <w:rFonts w:ascii="仿宋_GB2312" w:hAnsi="仿宋_GB2312" w:cs="仿宋_GB2312"/>
          <w:spacing w:val="10"/>
        </w:rPr>
        <w:t>6</w:t>
      </w:r>
      <w:r>
        <w:rPr>
          <w:rFonts w:hint="eastAsia" w:ascii="仿宋_GB2312" w:hAnsi="仿宋_GB2312" w:cs="仿宋_GB2312"/>
          <w:spacing w:val="10"/>
        </w:rPr>
        <w:t>.00分）</w:t>
      </w:r>
    </w:p>
    <w:p>
      <w:pPr>
        <w:ind w:firstLine="660"/>
        <w:rPr>
          <w:rFonts w:ascii="仿宋_GB2312" w:hAnsi="仿宋_GB2312" w:cs="仿宋_GB2312"/>
          <w:spacing w:val="10"/>
        </w:rPr>
      </w:pPr>
      <w:r>
        <w:rPr>
          <w:rFonts w:hint="eastAsia" w:ascii="仿宋_GB2312" w:hAnsi="仿宋_GB2312" w:cs="仿宋_GB2312"/>
          <w:spacing w:val="10"/>
        </w:rPr>
        <w:t>2022年韶关市卫生健康局（本级）预算28,609.73万元，基本支出总决算321,264.51万元，年中追加资金比率超过100%，预算调剂按上级指示开展，按评分标准，指标得分</w:t>
      </w:r>
      <w:r>
        <w:rPr>
          <w:rFonts w:ascii="仿宋_GB2312" w:hAnsi="仿宋_GB2312" w:cs="仿宋_GB2312"/>
          <w:spacing w:val="10"/>
        </w:rPr>
        <w:t>6</w:t>
      </w:r>
      <w:r>
        <w:rPr>
          <w:rFonts w:hint="eastAsia" w:ascii="仿宋_GB2312" w:hAnsi="仿宋_GB2312" w:cs="仿宋_GB2312"/>
          <w:spacing w:val="10"/>
        </w:rPr>
        <w:t>.00分。</w:t>
      </w:r>
    </w:p>
    <w:p>
      <w:pPr>
        <w:ind w:firstLine="660"/>
        <w:rPr>
          <w:rFonts w:ascii="仿宋_GB2312" w:hAnsi="仿宋_GB2312" w:cs="仿宋_GB2312"/>
          <w:spacing w:val="10"/>
        </w:rPr>
      </w:pPr>
      <w:r>
        <w:rPr>
          <w:rFonts w:hint="eastAsia" w:ascii="仿宋_GB2312" w:hAnsi="仿宋_GB2312" w:cs="仿宋_GB2312"/>
          <w:spacing w:val="10"/>
        </w:rPr>
        <w:t>（2）财务管理合规性（得8.</w:t>
      </w:r>
      <w:r>
        <w:rPr>
          <w:rFonts w:ascii="仿宋_GB2312" w:hAnsi="仿宋_GB2312" w:cs="仿宋_GB2312"/>
          <w:spacing w:val="10"/>
        </w:rPr>
        <w:t>5</w:t>
      </w:r>
      <w:r>
        <w:rPr>
          <w:rFonts w:hint="eastAsia" w:ascii="仿宋_GB2312" w:hAnsi="仿宋_GB2312" w:cs="仿宋_GB2312"/>
          <w:spacing w:val="10"/>
        </w:rPr>
        <w:t>0分）</w:t>
      </w:r>
    </w:p>
    <w:p>
      <w:pPr>
        <w:ind w:firstLine="640"/>
        <w:rPr>
          <w:rFonts w:ascii="仿宋_GB2312" w:hAnsi="仿宋_GB2312" w:cs="仿宋_GB2312"/>
        </w:rPr>
      </w:pPr>
      <w:r>
        <w:rPr>
          <w:rFonts w:hint="eastAsia" w:ascii="仿宋_GB2312" w:hAnsi="仿宋_GB2312" w:cs="仿宋_GB2312"/>
        </w:rPr>
        <w:t>2022年韶关市卫生健康局的财务管理基本符合国家财经法规和财务管理制度规定，但部分合同信息填写不规范（如编号为HT-2022-01678556的合同缺少时间），按评分标准，指标扣减</w:t>
      </w:r>
      <w:r>
        <w:rPr>
          <w:rFonts w:ascii="仿宋_GB2312" w:hAnsi="仿宋_GB2312" w:cs="仿宋_GB2312"/>
        </w:rPr>
        <w:t>0</w:t>
      </w:r>
      <w:r>
        <w:rPr>
          <w:rFonts w:hint="eastAsia" w:ascii="仿宋_GB2312" w:hAnsi="仿宋_GB2312" w:cs="仿宋_GB2312"/>
        </w:rPr>
        <w:t>.</w:t>
      </w:r>
      <w:r>
        <w:rPr>
          <w:rFonts w:ascii="仿宋_GB2312" w:hAnsi="仿宋_GB2312" w:cs="仿宋_GB2312"/>
        </w:rPr>
        <w:t>5</w:t>
      </w:r>
      <w:r>
        <w:rPr>
          <w:rFonts w:hint="eastAsia" w:ascii="仿宋_GB2312" w:hAnsi="仿宋_GB2312" w:cs="仿宋_GB2312"/>
        </w:rPr>
        <w:t>0分。</w:t>
      </w:r>
    </w:p>
    <w:p>
      <w:pPr>
        <w:ind w:firstLine="640"/>
        <w:rPr>
          <w:rFonts w:ascii="仿宋_GB2312" w:hAnsi="仿宋_GB2312" w:cs="仿宋_GB2312"/>
          <w:spacing w:val="10"/>
        </w:rPr>
      </w:pPr>
      <w:r>
        <w:rPr>
          <w:rFonts w:hint="eastAsia" w:ascii="仿宋_GB2312" w:hAnsi="仿宋_GB2312" w:cs="仿宋_GB2312"/>
        </w:rPr>
        <w:t>5.信息公开（得</w:t>
      </w:r>
      <w:r>
        <w:rPr>
          <w:rFonts w:ascii="仿宋_GB2312" w:hAnsi="仿宋_GB2312" w:cs="仿宋_GB2312"/>
          <w:spacing w:val="10"/>
        </w:rPr>
        <w:t>3</w:t>
      </w:r>
      <w:r>
        <w:rPr>
          <w:rFonts w:hint="eastAsia" w:ascii="仿宋_GB2312" w:hAnsi="仿宋_GB2312" w:cs="仿宋_GB2312"/>
          <w:spacing w:val="10"/>
        </w:rPr>
        <w:t>.00分）</w:t>
      </w:r>
    </w:p>
    <w:p>
      <w:pPr>
        <w:ind w:firstLine="660"/>
        <w:rPr>
          <w:rFonts w:ascii="仿宋_GB2312" w:hAnsi="仿宋_GB2312" w:cs="仿宋_GB2312"/>
          <w:spacing w:val="10"/>
        </w:rPr>
      </w:pPr>
      <w:r>
        <w:rPr>
          <w:rFonts w:hint="eastAsia" w:ascii="仿宋_GB2312" w:hAnsi="仿宋_GB2312" w:cs="仿宋_GB2312"/>
          <w:spacing w:val="10"/>
        </w:rPr>
        <w:t>信息公开各三级指标得分率如图2-6所示。</w:t>
      </w:r>
    </w:p>
    <w:p>
      <w:pPr>
        <w:ind w:firstLine="640"/>
        <w:rPr>
          <w:rFonts w:cs="Times New Roman"/>
          <w:spacing w:val="10"/>
        </w:rPr>
      </w:pPr>
      <w:r>
        <w:drawing>
          <wp:inline distT="0" distB="0" distL="0" distR="0">
            <wp:extent cx="4625340" cy="1263015"/>
            <wp:effectExtent l="4445" t="4445" r="18415" b="8890"/>
            <wp:docPr id="179844645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pPr>
        <w:ind w:firstLine="0" w:firstLineChars="0"/>
        <w:jc w:val="center"/>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图2</w:t>
      </w:r>
      <w:r>
        <w:rPr>
          <w:rFonts w:ascii="宋体" w:hAnsi="宋体" w:eastAsia="宋体" w:cs="宋体"/>
          <w:b/>
          <w:color w:val="000000" w:themeColor="text1"/>
          <w:sz w:val="28"/>
          <w:szCs w:val="28"/>
          <w14:textFill>
            <w14:solidFill>
              <w14:schemeClr w14:val="tx1"/>
            </w14:solidFill>
          </w14:textFill>
        </w:rPr>
        <w:t xml:space="preserve">-6 </w:t>
      </w:r>
      <w:r>
        <w:rPr>
          <w:rFonts w:hint="eastAsia" w:ascii="宋体" w:hAnsi="宋体" w:eastAsia="宋体" w:cs="宋体"/>
          <w:b/>
          <w:color w:val="000000" w:themeColor="text1"/>
          <w:sz w:val="28"/>
          <w:szCs w:val="28"/>
          <w14:textFill>
            <w14:solidFill>
              <w14:schemeClr w14:val="tx1"/>
            </w14:solidFill>
          </w14:textFill>
        </w:rPr>
        <w:t>信息公开三级指标得分率</w:t>
      </w:r>
    </w:p>
    <w:p>
      <w:pPr>
        <w:ind w:firstLine="660"/>
        <w:rPr>
          <w:rFonts w:ascii="仿宋_GB2312" w:hAnsi="仿宋_GB2312" w:cs="仿宋_GB2312"/>
          <w:spacing w:val="10"/>
        </w:rPr>
      </w:pPr>
      <w:r>
        <w:rPr>
          <w:rFonts w:hint="eastAsia" w:ascii="仿宋_GB2312" w:hAnsi="仿宋_GB2312" w:cs="仿宋_GB2312"/>
          <w:spacing w:val="10"/>
        </w:rPr>
        <w:t>（1）预决算公开合规性（</w:t>
      </w:r>
      <w:r>
        <w:rPr>
          <w:rFonts w:hint="eastAsia" w:ascii="仿宋_GB2312" w:hAnsi="仿宋_GB2312" w:cs="仿宋_GB2312"/>
        </w:rPr>
        <w:t>得</w:t>
      </w:r>
      <w:r>
        <w:rPr>
          <w:rFonts w:hint="eastAsia" w:ascii="仿宋_GB2312" w:hAnsi="仿宋_GB2312" w:cs="仿宋_GB2312"/>
          <w:spacing w:val="10"/>
        </w:rPr>
        <w:t>2.00分）</w:t>
      </w:r>
    </w:p>
    <w:p>
      <w:pPr>
        <w:ind w:firstLine="660"/>
        <w:rPr>
          <w:rFonts w:ascii="仿宋_GB2312" w:hAnsi="仿宋_GB2312" w:cs="仿宋_GB2312"/>
          <w:spacing w:val="10"/>
        </w:rPr>
      </w:pPr>
      <w:r>
        <w:rPr>
          <w:rFonts w:hint="eastAsia" w:ascii="仿宋_GB2312" w:hAnsi="仿宋_GB2312" w:cs="仿宋_GB2312"/>
          <w:spacing w:val="10"/>
        </w:rPr>
        <w:t>2022年韶关市卫生健康局按规定在政府网站公开2022年部门预算和2021年部门决算。此项不扣分，指标得2.00分。</w:t>
      </w:r>
    </w:p>
    <w:p>
      <w:pPr>
        <w:ind w:firstLine="660"/>
        <w:rPr>
          <w:rFonts w:ascii="仿宋_GB2312" w:hAnsi="仿宋_GB2312" w:cs="仿宋_GB2312"/>
          <w:spacing w:val="10"/>
        </w:rPr>
      </w:pPr>
      <w:r>
        <w:rPr>
          <w:rFonts w:hint="eastAsia" w:ascii="仿宋_GB2312" w:hAnsi="仿宋_GB2312" w:cs="仿宋_GB2312"/>
          <w:spacing w:val="10"/>
        </w:rPr>
        <w:t>（2）绩效信息公开情况（</w:t>
      </w:r>
      <w:r>
        <w:rPr>
          <w:rFonts w:hint="eastAsia" w:ascii="仿宋_GB2312" w:hAnsi="仿宋_GB2312" w:cs="仿宋_GB2312"/>
        </w:rPr>
        <w:t>得</w:t>
      </w:r>
      <w:r>
        <w:rPr>
          <w:rFonts w:ascii="仿宋_GB2312" w:hAnsi="仿宋_GB2312" w:cs="仿宋_GB2312"/>
          <w:spacing w:val="10"/>
        </w:rPr>
        <w:t>1</w:t>
      </w:r>
      <w:r>
        <w:rPr>
          <w:rFonts w:hint="eastAsia" w:ascii="仿宋_GB2312" w:hAnsi="仿宋_GB2312" w:cs="仿宋_GB2312"/>
          <w:spacing w:val="10"/>
        </w:rPr>
        <w:t>.00分）</w:t>
      </w:r>
    </w:p>
    <w:p>
      <w:pPr>
        <w:ind w:firstLine="660"/>
        <w:rPr>
          <w:rFonts w:ascii="仿宋_GB2312" w:hAnsi="仿宋_GB2312" w:cs="仿宋_GB2312"/>
        </w:rPr>
      </w:pPr>
      <w:r>
        <w:rPr>
          <w:rFonts w:hint="eastAsia" w:ascii="仿宋_GB2312" w:hAnsi="仿宋_GB2312" w:cs="仿宋_GB2312"/>
          <w:spacing w:val="10"/>
        </w:rPr>
        <w:t>2022年韶关市卫生健康局的项目绩效目标、2021年绩效自评资料按规定已在单位网站公开。按评分标准，此项指标得1.00分。</w:t>
      </w:r>
    </w:p>
    <w:p>
      <w:pPr>
        <w:ind w:firstLine="640"/>
        <w:rPr>
          <w:rFonts w:ascii="仿宋_GB2312" w:hAnsi="仿宋_GB2312" w:cs="仿宋_GB2312"/>
          <w:spacing w:val="10"/>
        </w:rPr>
      </w:pPr>
      <w:r>
        <w:rPr>
          <w:rFonts w:hint="eastAsia" w:ascii="仿宋_GB2312" w:hAnsi="仿宋_GB2312" w:cs="仿宋_GB2312"/>
        </w:rPr>
        <w:t>6.绩效管理（得</w:t>
      </w:r>
      <w:r>
        <w:rPr>
          <w:rFonts w:hint="eastAsia" w:ascii="仿宋_GB2312" w:hAnsi="仿宋_GB2312" w:cs="仿宋_GB2312"/>
          <w:spacing w:val="10"/>
        </w:rPr>
        <w:t>4.</w:t>
      </w:r>
      <w:r>
        <w:rPr>
          <w:rFonts w:ascii="仿宋_GB2312" w:hAnsi="仿宋_GB2312" w:cs="仿宋_GB2312"/>
          <w:spacing w:val="10"/>
        </w:rPr>
        <w:t>5</w:t>
      </w:r>
      <w:r>
        <w:rPr>
          <w:rFonts w:hint="eastAsia" w:ascii="仿宋_GB2312" w:hAnsi="仿宋_GB2312" w:cs="仿宋_GB2312"/>
          <w:spacing w:val="10"/>
        </w:rPr>
        <w:t>0分）</w:t>
      </w:r>
    </w:p>
    <w:p>
      <w:pPr>
        <w:ind w:firstLine="640"/>
        <w:rPr>
          <w:rFonts w:ascii="仿宋_GB2312" w:hAnsi="仿宋_GB2312" w:cs="仿宋_GB2312"/>
          <w:spacing w:val="10"/>
        </w:rPr>
      </w:pPr>
      <w:r>
        <w:rPr>
          <w:rFonts w:hint="eastAsia" w:ascii="仿宋_GB2312" w:hAnsi="仿宋_GB2312" w:cs="仿宋_GB2312"/>
        </w:rPr>
        <w:t>绩效管理</w:t>
      </w:r>
      <w:r>
        <w:rPr>
          <w:rFonts w:hint="eastAsia" w:ascii="仿宋_GB2312" w:hAnsi="仿宋_GB2312" w:cs="仿宋_GB2312"/>
          <w:spacing w:val="10"/>
        </w:rPr>
        <w:t>各三级指标得分率如图2-7所示。</w:t>
      </w:r>
    </w:p>
    <w:p>
      <w:pPr>
        <w:ind w:left="0" w:leftChars="0" w:firstLine="0" w:firstLineChars="0"/>
        <w:jc w:val="center"/>
        <w:rPr>
          <w:rFonts w:cs="Times New Roman"/>
          <w:spacing w:val="10"/>
        </w:rPr>
      </w:pPr>
      <w:r>
        <w:drawing>
          <wp:inline distT="0" distB="0" distL="0" distR="0">
            <wp:extent cx="4625340" cy="1058545"/>
            <wp:effectExtent l="4445" t="4445" r="18415" b="22860"/>
            <wp:docPr id="92820324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pPr>
        <w:ind w:firstLine="0" w:firstLineChars="0"/>
        <w:jc w:val="center"/>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图2</w:t>
      </w:r>
      <w:r>
        <w:rPr>
          <w:rFonts w:ascii="宋体" w:hAnsi="宋体" w:eastAsia="宋体" w:cs="宋体"/>
          <w:b/>
          <w:color w:val="000000" w:themeColor="text1"/>
          <w:sz w:val="28"/>
          <w:szCs w:val="28"/>
          <w14:textFill>
            <w14:solidFill>
              <w14:schemeClr w14:val="tx1"/>
            </w14:solidFill>
          </w14:textFill>
        </w:rPr>
        <w:t xml:space="preserve">-7 </w:t>
      </w:r>
      <w:r>
        <w:rPr>
          <w:rFonts w:hint="eastAsia" w:ascii="宋体" w:hAnsi="宋体" w:eastAsia="宋体" w:cs="宋体"/>
          <w:b/>
          <w:color w:val="000000" w:themeColor="text1"/>
          <w:sz w:val="28"/>
          <w:szCs w:val="28"/>
          <w14:textFill>
            <w14:solidFill>
              <w14:schemeClr w14:val="tx1"/>
            </w14:solidFill>
          </w14:textFill>
        </w:rPr>
        <w:t>绩效管理三级指标得分率</w:t>
      </w:r>
    </w:p>
    <w:p>
      <w:pPr>
        <w:ind w:firstLine="660"/>
        <w:rPr>
          <w:rFonts w:ascii="仿宋_GB2312" w:hAnsi="仿宋_GB2312" w:cs="仿宋_GB2312"/>
          <w:spacing w:val="10"/>
        </w:rPr>
      </w:pPr>
      <w:r>
        <w:rPr>
          <w:rFonts w:hint="eastAsia" w:ascii="仿宋_GB2312" w:hAnsi="仿宋_GB2312" w:cs="仿宋_GB2312"/>
          <w:spacing w:val="10"/>
        </w:rPr>
        <w:t>（1）绩效管理制度建设（</w:t>
      </w:r>
      <w:r>
        <w:rPr>
          <w:rFonts w:hint="eastAsia" w:ascii="仿宋_GB2312" w:hAnsi="仿宋_GB2312" w:cs="仿宋_GB2312"/>
        </w:rPr>
        <w:t>得2.00分</w:t>
      </w:r>
      <w:r>
        <w:rPr>
          <w:rFonts w:hint="eastAsia" w:ascii="仿宋_GB2312" w:hAnsi="仿宋_GB2312" w:cs="仿宋_GB2312"/>
          <w:spacing w:val="10"/>
        </w:rPr>
        <w:t>）</w:t>
      </w:r>
    </w:p>
    <w:p>
      <w:pPr>
        <w:ind w:firstLine="660"/>
        <w:rPr>
          <w:rFonts w:ascii="仿宋_GB2312" w:hAnsi="仿宋_GB2312" w:cs="仿宋_GB2312"/>
          <w:spacing w:val="10"/>
        </w:rPr>
      </w:pPr>
      <w:r>
        <w:rPr>
          <w:rFonts w:hint="eastAsia" w:ascii="仿宋_GB2312" w:hAnsi="仿宋_GB2312" w:cs="仿宋_GB2312"/>
          <w:spacing w:val="10"/>
        </w:rPr>
        <w:t>市卫健局成立韶关市卫生健康局绩效管理工作领导小组，制定并印发《韶关市卫生健康局绩效管理办法（试行）》，明确预算绩效管理的内容与职责、预算绩效目标管理、预算绩效运行监控管理、绩效评价管理、绩效评价结果应用管理等要求。</w:t>
      </w:r>
      <w:r>
        <w:rPr>
          <w:rFonts w:hint="eastAsia" w:ascii="仿宋_GB2312" w:hAnsi="仿宋_GB2312" w:cs="仿宋_GB2312"/>
        </w:rPr>
        <w:t>此项不扣分，得2.00分。</w:t>
      </w:r>
    </w:p>
    <w:p>
      <w:pPr>
        <w:ind w:firstLine="660"/>
        <w:rPr>
          <w:rFonts w:ascii="仿宋_GB2312" w:hAnsi="仿宋_GB2312" w:cs="仿宋_GB2312"/>
          <w:spacing w:val="10"/>
        </w:rPr>
      </w:pPr>
      <w:r>
        <w:rPr>
          <w:rFonts w:hint="eastAsia" w:ascii="仿宋_GB2312" w:hAnsi="仿宋_GB2312" w:cs="仿宋_GB2312"/>
          <w:spacing w:val="10"/>
        </w:rPr>
        <w:t>（2）绩效管理制度执行（</w:t>
      </w:r>
      <w:r>
        <w:rPr>
          <w:rFonts w:hint="eastAsia" w:ascii="仿宋_GB2312" w:hAnsi="仿宋_GB2312" w:cs="仿宋_GB2312"/>
        </w:rPr>
        <w:t>得2.</w:t>
      </w:r>
      <w:r>
        <w:rPr>
          <w:rFonts w:ascii="仿宋_GB2312" w:hAnsi="仿宋_GB2312" w:cs="仿宋_GB2312"/>
        </w:rPr>
        <w:t>5</w:t>
      </w:r>
      <w:r>
        <w:rPr>
          <w:rFonts w:hint="eastAsia" w:ascii="仿宋_GB2312" w:hAnsi="仿宋_GB2312" w:cs="仿宋_GB2312"/>
        </w:rPr>
        <w:t>0分</w:t>
      </w:r>
      <w:r>
        <w:rPr>
          <w:rFonts w:hint="eastAsia" w:ascii="仿宋_GB2312" w:hAnsi="仿宋_GB2312" w:cs="仿宋_GB2312"/>
          <w:spacing w:val="10"/>
        </w:rPr>
        <w:t>）</w:t>
      </w:r>
    </w:p>
    <w:p>
      <w:pPr>
        <w:ind w:firstLine="640"/>
        <w:rPr>
          <w:rFonts w:ascii="仿宋_GB2312" w:hAnsi="仿宋_GB2312" w:cs="仿宋_GB2312"/>
        </w:rPr>
      </w:pPr>
      <w:r>
        <w:rPr>
          <w:rFonts w:hint="eastAsia" w:ascii="仿宋_GB2312" w:hAnsi="仿宋_GB2312" w:cs="仿宋_GB2312"/>
        </w:rPr>
        <w:t>2022年</w:t>
      </w:r>
      <w:r>
        <w:rPr>
          <w:rFonts w:hint="eastAsia" w:ascii="仿宋_GB2312" w:hAnsi="仿宋_GB2312" w:cs="仿宋_GB2312"/>
          <w:spacing w:val="10"/>
        </w:rPr>
        <w:t>市卫健局按规定开展绩效管理工作，但</w:t>
      </w:r>
      <w:r>
        <w:rPr>
          <w:rFonts w:hint="eastAsia" w:ascii="仿宋_GB2312" w:hAnsi="仿宋_GB2312" w:cs="仿宋_GB2312"/>
        </w:rPr>
        <w:t>《部门整体预算绩效目标申报表》未填写绩效指标，《部门整体预算绩效目标申报表》与《部门整体支出绩效自评指标评分表》的“年度总目标”差异较大。酌情考虑绩效目标设置受资金下达时间影响，此项酌情扣</w:t>
      </w:r>
      <w:r>
        <w:rPr>
          <w:rFonts w:ascii="仿宋_GB2312" w:hAnsi="仿宋_GB2312" w:cs="仿宋_GB2312"/>
        </w:rPr>
        <w:t>0</w:t>
      </w:r>
      <w:r>
        <w:rPr>
          <w:rFonts w:hint="eastAsia" w:ascii="仿宋_GB2312" w:hAnsi="仿宋_GB2312" w:cs="仿宋_GB2312"/>
        </w:rPr>
        <w:t>.</w:t>
      </w:r>
      <w:r>
        <w:rPr>
          <w:rFonts w:ascii="仿宋_GB2312" w:hAnsi="仿宋_GB2312" w:cs="仿宋_GB2312"/>
        </w:rPr>
        <w:t>5</w:t>
      </w:r>
      <w:r>
        <w:rPr>
          <w:rFonts w:hint="eastAsia" w:ascii="仿宋_GB2312" w:hAnsi="仿宋_GB2312" w:cs="仿宋_GB2312"/>
        </w:rPr>
        <w:t>0分，得2.</w:t>
      </w:r>
      <w:r>
        <w:rPr>
          <w:rFonts w:ascii="仿宋_GB2312" w:hAnsi="仿宋_GB2312" w:cs="仿宋_GB2312"/>
        </w:rPr>
        <w:t>5</w:t>
      </w:r>
      <w:r>
        <w:rPr>
          <w:rFonts w:hint="eastAsia" w:ascii="仿宋_GB2312" w:hAnsi="仿宋_GB2312" w:cs="仿宋_GB2312"/>
        </w:rPr>
        <w:t>0分。</w:t>
      </w:r>
    </w:p>
    <w:p>
      <w:pPr>
        <w:ind w:firstLine="640"/>
        <w:rPr>
          <w:rFonts w:ascii="仿宋_GB2312" w:hAnsi="仿宋_GB2312" w:cs="仿宋_GB2312"/>
          <w:spacing w:val="10"/>
        </w:rPr>
      </w:pPr>
      <w:r>
        <w:rPr>
          <w:rFonts w:hint="eastAsia" w:ascii="仿宋_GB2312" w:hAnsi="仿宋_GB2312" w:cs="仿宋_GB2312"/>
        </w:rPr>
        <w:t>7.采购管理（得</w:t>
      </w:r>
      <w:r>
        <w:rPr>
          <w:rFonts w:ascii="仿宋_GB2312" w:hAnsi="仿宋_GB2312" w:cs="仿宋_GB2312"/>
          <w:spacing w:val="10"/>
        </w:rPr>
        <w:t>5</w:t>
      </w:r>
      <w:r>
        <w:rPr>
          <w:rFonts w:hint="eastAsia" w:ascii="仿宋_GB2312" w:hAnsi="仿宋_GB2312" w:cs="仿宋_GB2312"/>
          <w:spacing w:val="10"/>
        </w:rPr>
        <w:t>.93分）</w:t>
      </w:r>
    </w:p>
    <w:p>
      <w:pPr>
        <w:ind w:firstLine="640"/>
        <w:rPr>
          <w:rFonts w:ascii="仿宋_GB2312" w:hAnsi="仿宋_GB2312" w:cs="仿宋_GB2312"/>
          <w:spacing w:val="10"/>
        </w:rPr>
      </w:pPr>
      <w:r>
        <w:rPr>
          <w:rFonts w:hint="eastAsia" w:ascii="仿宋_GB2312" w:hAnsi="仿宋_GB2312" w:cs="仿宋_GB2312"/>
        </w:rPr>
        <w:t>采购管理</w:t>
      </w:r>
      <w:r>
        <w:rPr>
          <w:rFonts w:hint="eastAsia" w:ascii="仿宋_GB2312" w:hAnsi="仿宋_GB2312" w:cs="仿宋_GB2312"/>
          <w:spacing w:val="10"/>
        </w:rPr>
        <w:t>各三级指标得分率如图2-8所示。</w:t>
      </w:r>
    </w:p>
    <w:p>
      <w:pPr>
        <w:ind w:left="0" w:leftChars="0" w:firstLine="0" w:firstLineChars="0"/>
        <w:jc w:val="center"/>
        <w:rPr>
          <w:rFonts w:cs="Times New Roman"/>
          <w:spacing w:val="10"/>
        </w:rPr>
      </w:pPr>
      <w:r>
        <w:t xml:space="preserve"> </w:t>
      </w:r>
      <w:r>
        <w:drawing>
          <wp:inline distT="0" distB="0" distL="0" distR="0">
            <wp:extent cx="4632960" cy="1544320"/>
            <wp:effectExtent l="4445" t="4445" r="10795" b="13335"/>
            <wp:docPr id="115983831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pPr>
        <w:ind w:firstLine="562"/>
        <w:jc w:val="center"/>
        <w:rPr>
          <w:rFonts w:cs="Times New Roman"/>
          <w:spacing w:val="10"/>
        </w:rPr>
      </w:pPr>
      <w:r>
        <w:rPr>
          <w:rFonts w:hint="eastAsia" w:ascii="宋体" w:hAnsi="宋体" w:eastAsia="宋体" w:cs="宋体"/>
          <w:b/>
          <w:color w:val="000000" w:themeColor="text1"/>
          <w:sz w:val="28"/>
          <w:szCs w:val="28"/>
          <w14:textFill>
            <w14:solidFill>
              <w14:schemeClr w14:val="tx1"/>
            </w14:solidFill>
          </w14:textFill>
        </w:rPr>
        <w:t>图2</w:t>
      </w:r>
      <w:r>
        <w:rPr>
          <w:rFonts w:ascii="宋体" w:hAnsi="宋体" w:eastAsia="宋体" w:cs="宋体"/>
          <w:b/>
          <w:color w:val="000000" w:themeColor="text1"/>
          <w:sz w:val="28"/>
          <w:szCs w:val="28"/>
          <w14:textFill>
            <w14:solidFill>
              <w14:schemeClr w14:val="tx1"/>
            </w14:solidFill>
          </w14:textFill>
        </w:rPr>
        <w:t xml:space="preserve">-8 </w:t>
      </w:r>
      <w:r>
        <w:rPr>
          <w:rFonts w:hint="eastAsia" w:ascii="宋体" w:hAnsi="宋体" w:eastAsia="宋体" w:cs="宋体"/>
          <w:b/>
          <w:color w:val="000000" w:themeColor="text1"/>
          <w:sz w:val="28"/>
          <w:szCs w:val="28"/>
          <w14:textFill>
            <w14:solidFill>
              <w14:schemeClr w14:val="tx1"/>
            </w14:solidFill>
          </w14:textFill>
        </w:rPr>
        <w:t>采购管理三级指标得分率</w:t>
      </w:r>
    </w:p>
    <w:p>
      <w:pPr>
        <w:ind w:firstLine="660"/>
        <w:rPr>
          <w:rFonts w:ascii="仿宋_GB2312" w:hAnsi="仿宋_GB2312" w:cs="仿宋_GB2312"/>
          <w:spacing w:val="10"/>
        </w:rPr>
      </w:pPr>
      <w:r>
        <w:rPr>
          <w:rFonts w:hint="eastAsia" w:ascii="仿宋_GB2312" w:hAnsi="仿宋_GB2312" w:cs="仿宋_GB2312"/>
          <w:spacing w:val="10"/>
        </w:rPr>
        <w:t>（1）采购意向公开合规性（得1.50分）</w:t>
      </w:r>
    </w:p>
    <w:p>
      <w:pPr>
        <w:ind w:firstLine="660"/>
        <w:rPr>
          <w:rFonts w:ascii="仿宋_GB2312" w:hAnsi="仿宋_GB2312" w:cs="仿宋_GB2312"/>
          <w:spacing w:val="10"/>
        </w:rPr>
      </w:pPr>
      <w:r>
        <w:rPr>
          <w:rFonts w:hint="eastAsia" w:ascii="仿宋_GB2312" w:hAnsi="仿宋_GB2312" w:cs="仿宋_GB2312"/>
          <w:spacing w:val="10"/>
        </w:rPr>
        <w:t>2022年韶关市卫生健康局按规定公开采购意向公开，但考虑部分项目的“采购公告（招标）”与“项目成交（中标）”的时间不足30日，按评分标准，指标酌情扣减0.50分。</w:t>
      </w:r>
    </w:p>
    <w:p>
      <w:pPr>
        <w:ind w:firstLine="660"/>
        <w:rPr>
          <w:rFonts w:ascii="仿宋_GB2312" w:hAnsi="仿宋_GB2312" w:cs="仿宋_GB2312"/>
          <w:spacing w:val="10"/>
        </w:rPr>
      </w:pPr>
      <w:r>
        <w:rPr>
          <w:rFonts w:hint="eastAsia" w:ascii="仿宋_GB2312" w:hAnsi="仿宋_GB2312" w:cs="仿宋_GB2312"/>
          <w:spacing w:val="10"/>
        </w:rPr>
        <w:t>（2）采购内控制度建设（得1.00分）</w:t>
      </w:r>
    </w:p>
    <w:p>
      <w:pPr>
        <w:ind w:firstLine="660"/>
        <w:rPr>
          <w:rFonts w:ascii="仿宋_GB2312" w:hAnsi="仿宋_GB2312" w:cs="仿宋_GB2312"/>
          <w:spacing w:val="10"/>
        </w:rPr>
      </w:pPr>
      <w:r>
        <w:rPr>
          <w:rFonts w:hint="eastAsia" w:ascii="仿宋_GB2312" w:hAnsi="仿宋_GB2312" w:cs="仿宋_GB2312"/>
          <w:spacing w:val="10"/>
        </w:rPr>
        <w:t>市卫健局按规定建立政府采购内部控制管理制度并报财政部门备案，此项不扣分，指标得1.00分。</w:t>
      </w:r>
    </w:p>
    <w:p>
      <w:pPr>
        <w:ind w:firstLine="660"/>
        <w:rPr>
          <w:rFonts w:ascii="仿宋_GB2312" w:hAnsi="仿宋_GB2312" w:cs="仿宋_GB2312"/>
          <w:spacing w:val="10"/>
        </w:rPr>
      </w:pPr>
      <w:r>
        <w:rPr>
          <w:rFonts w:hint="eastAsia" w:ascii="仿宋_GB2312" w:hAnsi="仿宋_GB2312" w:cs="仿宋_GB2312"/>
          <w:spacing w:val="10"/>
        </w:rPr>
        <w:t>（3）采购活动合规性（得2.00分）</w:t>
      </w:r>
    </w:p>
    <w:p>
      <w:pPr>
        <w:ind w:firstLine="660"/>
        <w:rPr>
          <w:rFonts w:ascii="仿宋_GB2312" w:hAnsi="仿宋_GB2312" w:cs="仿宋_GB2312"/>
          <w:spacing w:val="10"/>
        </w:rPr>
      </w:pPr>
      <w:r>
        <w:rPr>
          <w:rFonts w:hint="eastAsia" w:ascii="仿宋_GB2312" w:hAnsi="仿宋_GB2312" w:cs="仿宋_GB2312"/>
          <w:spacing w:val="10"/>
        </w:rPr>
        <w:t>结合现场调研和书面评价，暂未发现2022年韶关市卫健局发生采购投诉事件，按评分标准，指标得分2.00分。</w:t>
      </w:r>
    </w:p>
    <w:p>
      <w:pPr>
        <w:ind w:firstLine="660"/>
        <w:rPr>
          <w:rFonts w:ascii="仿宋_GB2312" w:hAnsi="仿宋_GB2312" w:cs="仿宋_GB2312"/>
          <w:spacing w:val="10"/>
        </w:rPr>
      </w:pPr>
      <w:r>
        <w:rPr>
          <w:rFonts w:hint="eastAsia" w:ascii="仿宋_GB2312" w:hAnsi="仿宋_GB2312" w:cs="仿宋_GB2312"/>
          <w:spacing w:val="10"/>
        </w:rPr>
        <w:t>（4）采购合同签订时效性（得</w:t>
      </w:r>
      <w:r>
        <w:rPr>
          <w:rFonts w:ascii="仿宋_GB2312" w:hAnsi="仿宋_GB2312" w:cs="仿宋_GB2312"/>
          <w:spacing w:val="10"/>
        </w:rPr>
        <w:t>1</w:t>
      </w:r>
      <w:r>
        <w:rPr>
          <w:rFonts w:hint="eastAsia" w:ascii="仿宋_GB2312" w:hAnsi="仿宋_GB2312" w:cs="仿宋_GB2312"/>
          <w:spacing w:val="10"/>
        </w:rPr>
        <w:t>.00分）</w:t>
      </w:r>
    </w:p>
    <w:p>
      <w:pPr>
        <w:ind w:firstLine="660"/>
        <w:rPr>
          <w:rFonts w:ascii="仿宋_GB2312" w:hAnsi="仿宋_GB2312" w:cs="仿宋_GB2312"/>
          <w:spacing w:val="10"/>
        </w:rPr>
      </w:pPr>
      <w:r>
        <w:rPr>
          <w:rFonts w:hint="eastAsia" w:ascii="仿宋_GB2312" w:hAnsi="仿宋_GB2312" w:cs="仿宋_GB2312"/>
          <w:spacing w:val="10"/>
        </w:rPr>
        <w:t>现场核查发现，2022年市卫健局共有项目合同30个，在规定时限内签订合同项目2</w:t>
      </w:r>
      <w:r>
        <w:rPr>
          <w:rFonts w:ascii="仿宋_GB2312" w:hAnsi="仿宋_GB2312" w:cs="仿宋_GB2312"/>
          <w:spacing w:val="10"/>
        </w:rPr>
        <w:t>4</w:t>
      </w:r>
      <w:r>
        <w:rPr>
          <w:rFonts w:hint="eastAsia" w:ascii="仿宋_GB2312" w:hAnsi="仿宋_GB2312" w:cs="仿宋_GB2312"/>
          <w:spacing w:val="10"/>
        </w:rPr>
        <w:t>个，合同签订及时率为</w:t>
      </w:r>
      <w:r>
        <w:rPr>
          <w:rFonts w:ascii="仿宋_GB2312" w:hAnsi="仿宋_GB2312" w:cs="仿宋_GB2312"/>
          <w:spacing w:val="10"/>
        </w:rPr>
        <w:t>80.00</w:t>
      </w:r>
      <w:r>
        <w:rPr>
          <w:rFonts w:hint="eastAsia" w:ascii="仿宋_GB2312" w:hAnsi="仿宋_GB2312" w:cs="仿宋_GB2312"/>
          <w:spacing w:val="10"/>
        </w:rPr>
        <w:t>%，部分项目（如韶关市第一人民医院电子支气管镜系统+超声支气管镜系统采购项目）未能在中标公告30日内签订合同，按评分标准，此项扣</w:t>
      </w:r>
      <w:r>
        <w:rPr>
          <w:rFonts w:ascii="仿宋_GB2312" w:hAnsi="仿宋_GB2312" w:cs="仿宋_GB2312"/>
          <w:spacing w:val="10"/>
        </w:rPr>
        <w:t>2</w:t>
      </w:r>
      <w:r>
        <w:rPr>
          <w:rFonts w:hint="eastAsia" w:ascii="仿宋_GB2312" w:hAnsi="仿宋_GB2312" w:cs="仿宋_GB2312"/>
          <w:spacing w:val="10"/>
        </w:rPr>
        <w:t>.00分，指标得</w:t>
      </w:r>
      <w:r>
        <w:rPr>
          <w:rFonts w:ascii="仿宋_GB2312" w:hAnsi="仿宋_GB2312" w:cs="仿宋_GB2312"/>
          <w:spacing w:val="10"/>
        </w:rPr>
        <w:t>1</w:t>
      </w:r>
      <w:r>
        <w:rPr>
          <w:rFonts w:hint="eastAsia" w:ascii="仿宋_GB2312" w:hAnsi="仿宋_GB2312" w:cs="仿宋_GB2312"/>
          <w:spacing w:val="10"/>
        </w:rPr>
        <w:t>.00分。</w:t>
      </w:r>
    </w:p>
    <w:p>
      <w:pPr>
        <w:ind w:firstLine="660"/>
        <w:rPr>
          <w:rFonts w:ascii="仿宋_GB2312" w:hAnsi="仿宋_GB2312" w:cs="仿宋_GB2312"/>
          <w:spacing w:val="10"/>
        </w:rPr>
      </w:pPr>
      <w:r>
        <w:rPr>
          <w:rFonts w:hint="eastAsia" w:ascii="仿宋_GB2312" w:hAnsi="仿宋_GB2312" w:cs="仿宋_GB2312"/>
          <w:spacing w:val="10"/>
        </w:rPr>
        <w:t>（5）合同备案时效性（得0.00分）</w:t>
      </w:r>
    </w:p>
    <w:p>
      <w:pPr>
        <w:ind w:firstLine="660"/>
        <w:rPr>
          <w:rFonts w:ascii="仿宋_GB2312" w:hAnsi="仿宋_GB2312" w:cs="仿宋_GB2312"/>
          <w:spacing w:val="10"/>
        </w:rPr>
      </w:pPr>
      <w:r>
        <w:rPr>
          <w:rFonts w:hint="eastAsia" w:ascii="仿宋_GB2312" w:hAnsi="仿宋_GB2312" w:cs="仿宋_GB2312"/>
          <w:spacing w:val="10"/>
        </w:rPr>
        <w:t>现场核查发现，部分项目（如韶关市第一人民医院彩色3D打印机、数字式医用红外热像仪采购项目）未能在合同签订2个工作日内完成合同备案，部分项目（如韶关市第一人民医院韶关市第一人民医院体外膜肺氧合系统(ECMO)和脉搏指数连续心排量监测技术检测仪(PICCO)采购项目的合同公告）先公示中标公告再发布合同公告，按评分标准，此项扣1.00分，指标得0.00分。</w:t>
      </w:r>
    </w:p>
    <w:p>
      <w:pPr>
        <w:ind w:firstLine="660"/>
        <w:rPr>
          <w:rFonts w:ascii="仿宋_GB2312" w:hAnsi="仿宋_GB2312" w:cs="仿宋_GB2312"/>
          <w:spacing w:val="10"/>
        </w:rPr>
      </w:pPr>
      <w:r>
        <w:rPr>
          <w:rFonts w:hint="eastAsia" w:ascii="仿宋_GB2312" w:hAnsi="仿宋_GB2312" w:cs="仿宋_GB2312"/>
          <w:spacing w:val="10"/>
        </w:rPr>
        <w:t>（6）采购政策效能（得0.43分）</w:t>
      </w:r>
    </w:p>
    <w:p>
      <w:pPr>
        <w:ind w:firstLine="640"/>
        <w:rPr>
          <w:rFonts w:ascii="仿宋_GB2312" w:hAnsi="仿宋_GB2312" w:cs="仿宋_GB2312"/>
        </w:rPr>
      </w:pPr>
      <w:r>
        <w:rPr>
          <w:rFonts w:hint="eastAsia" w:ascii="仿宋_GB2312" w:hAnsi="仿宋_GB2312" w:cs="仿宋_GB2312"/>
        </w:rPr>
        <w:t>2022年韶关市卫生健康局预留中小微企业采购项目预算金额为55,162,127.00元，实际授予中小微企业合同金额为23,757,706.00元，采购数值为0.43，指标得分0.43分。</w:t>
      </w:r>
    </w:p>
    <w:p>
      <w:pPr>
        <w:ind w:firstLine="640"/>
        <w:rPr>
          <w:rFonts w:ascii="仿宋_GB2312" w:hAnsi="仿宋_GB2312" w:cs="仿宋_GB2312"/>
          <w:spacing w:val="10"/>
        </w:rPr>
      </w:pPr>
      <w:r>
        <w:rPr>
          <w:rFonts w:hint="eastAsia" w:ascii="仿宋_GB2312" w:hAnsi="仿宋_GB2312" w:cs="仿宋_GB2312"/>
        </w:rPr>
        <w:t>8.资产管理（得</w:t>
      </w:r>
      <w:r>
        <w:rPr>
          <w:rFonts w:ascii="仿宋_GB2312" w:hAnsi="仿宋_GB2312" w:cs="仿宋_GB2312"/>
          <w:spacing w:val="10"/>
        </w:rPr>
        <w:t>8.0</w:t>
      </w:r>
      <w:r>
        <w:rPr>
          <w:rFonts w:hint="eastAsia" w:ascii="仿宋_GB2312" w:hAnsi="仿宋_GB2312" w:cs="仿宋_GB2312"/>
          <w:spacing w:val="10"/>
        </w:rPr>
        <w:t>0分）</w:t>
      </w:r>
    </w:p>
    <w:p>
      <w:pPr>
        <w:ind w:firstLine="640"/>
        <w:rPr>
          <w:rFonts w:ascii="仿宋_GB2312" w:hAnsi="仿宋_GB2312" w:cs="仿宋_GB2312"/>
          <w:spacing w:val="10"/>
        </w:rPr>
      </w:pPr>
      <w:r>
        <w:rPr>
          <w:rFonts w:hint="eastAsia" w:ascii="仿宋_GB2312" w:hAnsi="仿宋_GB2312" w:cs="仿宋_GB2312"/>
        </w:rPr>
        <w:t>资产管理</w:t>
      </w:r>
      <w:r>
        <w:rPr>
          <w:rFonts w:hint="eastAsia" w:ascii="仿宋_GB2312" w:hAnsi="仿宋_GB2312" w:cs="仿宋_GB2312"/>
          <w:spacing w:val="10"/>
        </w:rPr>
        <w:t>各三级指标得分率如图2-9所示。</w:t>
      </w:r>
    </w:p>
    <w:p>
      <w:pPr>
        <w:ind w:left="0" w:leftChars="0" w:firstLine="0" w:firstLineChars="0"/>
        <w:jc w:val="center"/>
        <w:rPr>
          <w:rFonts w:cs="Times New Roman"/>
          <w:spacing w:val="10"/>
        </w:rPr>
      </w:pPr>
      <w:r>
        <w:t xml:space="preserve"> </w:t>
      </w:r>
      <w:r>
        <w:drawing>
          <wp:inline distT="0" distB="0" distL="0" distR="0">
            <wp:extent cx="4632960" cy="1685290"/>
            <wp:effectExtent l="4445" t="4445" r="10795" b="5715"/>
            <wp:docPr id="4792501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pPr>
        <w:ind w:firstLine="562"/>
        <w:jc w:val="center"/>
        <w:rPr>
          <w:rFonts w:cs="Times New Roman"/>
          <w:spacing w:val="10"/>
        </w:rPr>
      </w:pPr>
      <w:r>
        <w:rPr>
          <w:rFonts w:hint="eastAsia" w:ascii="宋体" w:hAnsi="宋体" w:eastAsia="宋体" w:cs="宋体"/>
          <w:b/>
          <w:color w:val="000000" w:themeColor="text1"/>
          <w:sz w:val="28"/>
          <w:szCs w:val="28"/>
          <w14:textFill>
            <w14:solidFill>
              <w14:schemeClr w14:val="tx1"/>
            </w14:solidFill>
          </w14:textFill>
        </w:rPr>
        <w:t>图2</w:t>
      </w:r>
      <w:r>
        <w:rPr>
          <w:rFonts w:ascii="宋体" w:hAnsi="宋体" w:eastAsia="宋体" w:cs="宋体"/>
          <w:b/>
          <w:color w:val="000000" w:themeColor="text1"/>
          <w:sz w:val="28"/>
          <w:szCs w:val="28"/>
          <w14:textFill>
            <w14:solidFill>
              <w14:schemeClr w14:val="tx1"/>
            </w14:solidFill>
          </w14:textFill>
        </w:rPr>
        <w:t xml:space="preserve">-9 </w:t>
      </w:r>
      <w:r>
        <w:rPr>
          <w:rFonts w:hint="eastAsia" w:ascii="宋体" w:hAnsi="宋体" w:eastAsia="宋体" w:cs="宋体"/>
          <w:b/>
          <w:color w:val="000000" w:themeColor="text1"/>
          <w:sz w:val="28"/>
          <w:szCs w:val="28"/>
          <w14:textFill>
            <w14:solidFill>
              <w14:schemeClr w14:val="tx1"/>
            </w14:solidFill>
          </w14:textFill>
        </w:rPr>
        <w:t>资产管理三级指标得分率</w:t>
      </w:r>
    </w:p>
    <w:p>
      <w:pPr>
        <w:ind w:firstLine="660"/>
        <w:rPr>
          <w:rFonts w:ascii="仿宋_GB2312" w:hAnsi="仿宋_GB2312" w:cs="仿宋_GB2312"/>
          <w:spacing w:val="10"/>
        </w:rPr>
      </w:pPr>
      <w:r>
        <w:rPr>
          <w:rFonts w:hint="eastAsia" w:ascii="仿宋_GB2312" w:hAnsi="仿宋_GB2312" w:cs="仿宋_GB2312"/>
          <w:spacing w:val="10"/>
        </w:rPr>
        <w:t>（1）资产配置合规性（得2.00分）</w:t>
      </w:r>
    </w:p>
    <w:p>
      <w:pPr>
        <w:ind w:firstLine="660"/>
        <w:rPr>
          <w:rFonts w:ascii="仿宋_GB2312" w:hAnsi="仿宋_GB2312" w:cs="仿宋_GB2312"/>
          <w:spacing w:val="10"/>
        </w:rPr>
      </w:pPr>
      <w:r>
        <w:rPr>
          <w:rFonts w:hint="eastAsia" w:ascii="仿宋_GB2312" w:hAnsi="仿宋_GB2312" w:cs="仿宋_GB2312"/>
          <w:spacing w:val="10"/>
        </w:rPr>
        <w:t>韶关市卫生健康局领导干部办公用房面积符合《中央国家机关办公设备和办公家具配置标准（试行）》要求。指标不扣分，此项得2.00分。</w:t>
      </w:r>
    </w:p>
    <w:p>
      <w:pPr>
        <w:ind w:firstLine="660"/>
        <w:rPr>
          <w:rFonts w:ascii="仿宋_GB2312" w:hAnsi="仿宋_GB2312" w:cs="仿宋_GB2312"/>
          <w:spacing w:val="10"/>
        </w:rPr>
      </w:pPr>
      <w:r>
        <w:rPr>
          <w:rFonts w:hint="eastAsia" w:ascii="仿宋_GB2312" w:hAnsi="仿宋_GB2312" w:cs="仿宋_GB2312"/>
          <w:spacing w:val="10"/>
        </w:rPr>
        <w:t>（2）资产收益上缴的及时性（得</w:t>
      </w:r>
      <w:r>
        <w:rPr>
          <w:rFonts w:ascii="仿宋_GB2312" w:hAnsi="仿宋_GB2312" w:cs="仿宋_GB2312"/>
          <w:spacing w:val="10"/>
        </w:rPr>
        <w:t>1</w:t>
      </w:r>
      <w:r>
        <w:rPr>
          <w:rFonts w:hint="eastAsia" w:ascii="仿宋_GB2312" w:hAnsi="仿宋_GB2312" w:cs="仿宋_GB2312"/>
          <w:spacing w:val="10"/>
        </w:rPr>
        <w:t>.</w:t>
      </w:r>
      <w:r>
        <w:rPr>
          <w:rFonts w:ascii="仿宋_GB2312" w:hAnsi="仿宋_GB2312" w:cs="仿宋_GB2312"/>
          <w:spacing w:val="10"/>
        </w:rPr>
        <w:t>0</w:t>
      </w:r>
      <w:r>
        <w:rPr>
          <w:rFonts w:hint="eastAsia" w:ascii="仿宋_GB2312" w:hAnsi="仿宋_GB2312" w:cs="仿宋_GB2312"/>
          <w:spacing w:val="10"/>
        </w:rPr>
        <w:t>0分）</w:t>
      </w:r>
    </w:p>
    <w:p>
      <w:pPr>
        <w:ind w:firstLine="660"/>
        <w:rPr>
          <w:rFonts w:ascii="仿宋_GB2312" w:hAnsi="仿宋_GB2312" w:cs="仿宋_GB2312"/>
          <w:spacing w:val="10"/>
        </w:rPr>
      </w:pPr>
      <w:r>
        <w:rPr>
          <w:rFonts w:hint="eastAsia" w:ascii="仿宋_GB2312" w:hAnsi="仿宋_GB2312" w:cs="仿宋_GB2312"/>
          <w:spacing w:val="10"/>
        </w:rPr>
        <w:t>2022年韶关市卫生健康局按规定完成资产处置，第十三次局务会议通过资产处置方式，按要求按时完成资产处置工作，此项得1分。</w:t>
      </w:r>
    </w:p>
    <w:p>
      <w:pPr>
        <w:ind w:firstLine="660"/>
        <w:rPr>
          <w:rFonts w:ascii="仿宋_GB2312" w:hAnsi="仿宋_GB2312" w:cs="仿宋_GB2312"/>
          <w:spacing w:val="10"/>
        </w:rPr>
      </w:pPr>
      <w:r>
        <w:rPr>
          <w:rFonts w:hint="eastAsia" w:ascii="仿宋_GB2312" w:hAnsi="仿宋_GB2312" w:cs="仿宋_GB2312"/>
          <w:spacing w:val="10"/>
        </w:rPr>
        <w:t>（3）资产盘点情况（</w:t>
      </w:r>
      <w:r>
        <w:rPr>
          <w:rFonts w:hint="eastAsia" w:ascii="仿宋_GB2312" w:hAnsi="仿宋_GB2312" w:cs="仿宋_GB2312"/>
        </w:rPr>
        <w:t>得</w:t>
      </w:r>
      <w:r>
        <w:rPr>
          <w:rFonts w:hint="eastAsia" w:ascii="仿宋_GB2312" w:hAnsi="仿宋_GB2312" w:cs="仿宋_GB2312"/>
          <w:spacing w:val="10"/>
        </w:rPr>
        <w:t>1.00分）</w:t>
      </w:r>
    </w:p>
    <w:p>
      <w:pPr>
        <w:ind w:firstLine="660"/>
        <w:rPr>
          <w:rFonts w:ascii="仿宋_GB2312" w:hAnsi="仿宋_GB2312" w:cs="仿宋_GB2312"/>
          <w:spacing w:val="10"/>
        </w:rPr>
      </w:pPr>
      <w:r>
        <w:rPr>
          <w:rFonts w:hint="eastAsia" w:ascii="仿宋_GB2312" w:hAnsi="仿宋_GB2312" w:cs="仿宋_GB2312"/>
          <w:spacing w:val="10"/>
        </w:rPr>
        <w:t>2022年韶关市卫生健康局及其下属单位按规定完成资产汇总表上报工作，并完成2022年账面价值8,374.13元的固定资产处置。此项不扣分，指标得1.00分。</w:t>
      </w:r>
    </w:p>
    <w:p>
      <w:pPr>
        <w:ind w:firstLine="660"/>
        <w:rPr>
          <w:rFonts w:ascii="仿宋_GB2312" w:hAnsi="仿宋_GB2312" w:cs="仿宋_GB2312"/>
          <w:spacing w:val="10"/>
        </w:rPr>
      </w:pPr>
      <w:r>
        <w:rPr>
          <w:rFonts w:hint="eastAsia" w:ascii="仿宋_GB2312" w:hAnsi="仿宋_GB2312" w:cs="仿宋_GB2312"/>
          <w:spacing w:val="10"/>
        </w:rPr>
        <w:t>（4）数据质量（</w:t>
      </w:r>
      <w:r>
        <w:rPr>
          <w:rFonts w:hint="eastAsia" w:ascii="仿宋_GB2312" w:hAnsi="仿宋_GB2312" w:cs="仿宋_GB2312"/>
        </w:rPr>
        <w:t>得</w:t>
      </w:r>
      <w:r>
        <w:rPr>
          <w:rFonts w:hint="eastAsia" w:ascii="仿宋_GB2312" w:hAnsi="仿宋_GB2312" w:cs="仿宋_GB2312"/>
          <w:spacing w:val="10"/>
        </w:rPr>
        <w:t>1.00分）</w:t>
      </w:r>
    </w:p>
    <w:p>
      <w:pPr>
        <w:ind w:firstLine="660"/>
        <w:rPr>
          <w:rFonts w:ascii="仿宋_GB2312" w:hAnsi="仿宋_GB2312" w:cs="仿宋_GB2312"/>
          <w:spacing w:val="10"/>
        </w:rPr>
      </w:pPr>
      <w:r>
        <w:rPr>
          <w:rFonts w:hint="eastAsia" w:ascii="仿宋_GB2312" w:hAnsi="仿宋_GB2312" w:cs="仿宋_GB2312"/>
          <w:spacing w:val="10"/>
        </w:rPr>
        <w:t>部分固定资产会计处理方式不符合规定：部分资产计提折旧时间超出10年（如1994年台式电脑折旧时间为25年、1995年的空调折旧时间为23年、1997年的消毒柜折旧时间为21年），固定资产数据管理质量有待进一步提高。考虑评价年度未对该部分资产进行规范处理，指标酌情扣1.00分，此项得1.00分。</w:t>
      </w:r>
    </w:p>
    <w:p>
      <w:pPr>
        <w:ind w:firstLine="660"/>
        <w:rPr>
          <w:rFonts w:ascii="仿宋_GB2312" w:hAnsi="仿宋_GB2312" w:cs="仿宋_GB2312"/>
          <w:spacing w:val="10"/>
        </w:rPr>
      </w:pPr>
      <w:r>
        <w:rPr>
          <w:rFonts w:hint="eastAsia" w:ascii="仿宋_GB2312" w:hAnsi="仿宋_GB2312" w:cs="仿宋_GB2312"/>
          <w:spacing w:val="10"/>
        </w:rPr>
        <w:t>（5）资产管理合规性（</w:t>
      </w:r>
      <w:r>
        <w:rPr>
          <w:rFonts w:hint="eastAsia" w:ascii="仿宋_GB2312" w:hAnsi="仿宋_GB2312" w:cs="仿宋_GB2312"/>
        </w:rPr>
        <w:t>得</w:t>
      </w:r>
      <w:r>
        <w:rPr>
          <w:rFonts w:ascii="仿宋_GB2312" w:hAnsi="仿宋_GB2312" w:cs="仿宋_GB2312"/>
          <w:spacing w:val="10"/>
        </w:rPr>
        <w:t>1</w:t>
      </w:r>
      <w:r>
        <w:rPr>
          <w:rFonts w:hint="eastAsia" w:ascii="仿宋_GB2312" w:hAnsi="仿宋_GB2312" w:cs="仿宋_GB2312"/>
          <w:spacing w:val="10"/>
        </w:rPr>
        <w:t>.00分）</w:t>
      </w:r>
    </w:p>
    <w:p>
      <w:pPr>
        <w:ind w:firstLine="660"/>
        <w:rPr>
          <w:rFonts w:ascii="仿宋_GB2312" w:hAnsi="仿宋_GB2312" w:cs="仿宋_GB2312"/>
          <w:spacing w:val="10"/>
        </w:rPr>
      </w:pPr>
      <w:r>
        <w:rPr>
          <w:rFonts w:hint="eastAsia" w:ascii="仿宋_GB2312" w:hAnsi="仿宋_GB2312" w:cs="仿宋_GB2312"/>
          <w:spacing w:val="10"/>
        </w:rPr>
        <w:t>现场抽查发现，部分固定资产未按规定进行核算登记，入账登记超时；部分固定资产资料不全面，47个固定资产存放地点未明确，14个固定资产缺少会计凭证号。考虑以上资产管理问题均发生在过往年度、评价年度未完成相关资产管理规范管理，指标酌情扣减1</w:t>
      </w:r>
      <w:r>
        <w:rPr>
          <w:rFonts w:ascii="仿宋_GB2312" w:hAnsi="仿宋_GB2312" w:cs="仿宋_GB2312"/>
          <w:spacing w:val="10"/>
        </w:rPr>
        <w:t>.00</w:t>
      </w:r>
      <w:r>
        <w:rPr>
          <w:rFonts w:hint="eastAsia" w:ascii="仿宋_GB2312" w:hAnsi="仿宋_GB2312" w:cs="仿宋_GB2312"/>
          <w:spacing w:val="10"/>
        </w:rPr>
        <w:t>分，此项得分</w:t>
      </w:r>
      <w:r>
        <w:rPr>
          <w:rFonts w:ascii="仿宋_GB2312" w:hAnsi="仿宋_GB2312" w:cs="仿宋_GB2312"/>
          <w:spacing w:val="10"/>
        </w:rPr>
        <w:t>1</w:t>
      </w:r>
      <w:r>
        <w:rPr>
          <w:rFonts w:hint="eastAsia" w:ascii="仿宋_GB2312" w:hAnsi="仿宋_GB2312" w:cs="仿宋_GB2312"/>
          <w:spacing w:val="10"/>
        </w:rPr>
        <w:t>.00分。</w:t>
      </w:r>
    </w:p>
    <w:p>
      <w:pPr>
        <w:ind w:firstLine="660"/>
        <w:rPr>
          <w:rFonts w:ascii="仿宋_GB2312" w:hAnsi="仿宋_GB2312" w:cs="仿宋_GB2312"/>
          <w:spacing w:val="10"/>
        </w:rPr>
      </w:pPr>
      <w:r>
        <w:rPr>
          <w:rFonts w:hint="eastAsia" w:ascii="仿宋_GB2312" w:hAnsi="仿宋_GB2312" w:cs="仿宋_GB2312"/>
          <w:spacing w:val="10"/>
        </w:rPr>
        <w:t>（6）固定资产利用率（</w:t>
      </w:r>
      <w:r>
        <w:rPr>
          <w:rFonts w:hint="eastAsia" w:ascii="仿宋_GB2312" w:hAnsi="仿宋_GB2312" w:cs="仿宋_GB2312"/>
        </w:rPr>
        <w:t>得</w:t>
      </w:r>
      <w:r>
        <w:rPr>
          <w:rFonts w:hint="eastAsia" w:ascii="仿宋_GB2312" w:hAnsi="仿宋_GB2312" w:cs="仿宋_GB2312"/>
          <w:spacing w:val="10"/>
        </w:rPr>
        <w:t>2.00分）</w:t>
      </w:r>
    </w:p>
    <w:p>
      <w:pPr>
        <w:ind w:firstLine="640"/>
        <w:rPr>
          <w:rFonts w:ascii="仿宋_GB2312" w:hAnsi="仿宋_GB2312" w:cs="仿宋_GB2312"/>
        </w:rPr>
      </w:pPr>
      <w:r>
        <w:rPr>
          <w:rFonts w:hint="eastAsia" w:ascii="仿宋_GB2312" w:hAnsi="仿宋_GB2312" w:cs="仿宋_GB2312"/>
        </w:rPr>
        <w:t>韶关市卫生健康局固定资产原值36,035,229.95元，在用固定资产36,035,229.95元，固定资产利用率为100.00%。按评分标准，指标得分2.00分。</w:t>
      </w:r>
    </w:p>
    <w:p>
      <w:pPr>
        <w:ind w:firstLine="640"/>
        <w:rPr>
          <w:rFonts w:ascii="仿宋_GB2312" w:hAnsi="仿宋_GB2312" w:cs="仿宋_GB2312"/>
          <w:spacing w:val="10"/>
        </w:rPr>
      </w:pPr>
      <w:r>
        <w:rPr>
          <w:rFonts w:hint="eastAsia" w:ascii="仿宋_GB2312" w:hAnsi="仿宋_GB2312" w:cs="仿宋_GB2312"/>
        </w:rPr>
        <w:t>9.运行成本（得</w:t>
      </w:r>
      <w:r>
        <w:rPr>
          <w:rFonts w:ascii="仿宋_GB2312" w:hAnsi="仿宋_GB2312" w:cs="仿宋_GB2312"/>
          <w:spacing w:val="10"/>
        </w:rPr>
        <w:t>5</w:t>
      </w:r>
      <w:r>
        <w:rPr>
          <w:rFonts w:hint="eastAsia" w:ascii="仿宋_GB2312" w:hAnsi="仿宋_GB2312" w:cs="仿宋_GB2312"/>
          <w:spacing w:val="10"/>
        </w:rPr>
        <w:t>.00分）</w:t>
      </w:r>
    </w:p>
    <w:p>
      <w:pPr>
        <w:ind w:firstLine="640"/>
        <w:rPr>
          <w:rFonts w:ascii="仿宋_GB2312" w:hAnsi="仿宋_GB2312" w:cs="仿宋_GB2312"/>
          <w:spacing w:val="10"/>
        </w:rPr>
      </w:pPr>
      <w:r>
        <w:rPr>
          <w:rFonts w:hint="eastAsia" w:ascii="仿宋_GB2312" w:hAnsi="仿宋_GB2312" w:cs="仿宋_GB2312"/>
        </w:rPr>
        <w:t>运行成本</w:t>
      </w:r>
      <w:r>
        <w:rPr>
          <w:rFonts w:hint="eastAsia" w:ascii="仿宋_GB2312" w:hAnsi="仿宋_GB2312" w:cs="仿宋_GB2312"/>
          <w:spacing w:val="10"/>
        </w:rPr>
        <w:t>各三级指标得分率如图2-10所示。</w:t>
      </w:r>
    </w:p>
    <w:p>
      <w:pPr>
        <w:ind w:firstLine="640"/>
        <w:jc w:val="center"/>
        <w:rPr>
          <w:rFonts w:cs="Times New Roman"/>
          <w:spacing w:val="10"/>
        </w:rPr>
      </w:pPr>
      <w:r>
        <w:t xml:space="preserve"> </w:t>
      </w:r>
      <w:r>
        <w:drawing>
          <wp:inline distT="0" distB="0" distL="0" distR="0">
            <wp:extent cx="4632960" cy="1046480"/>
            <wp:effectExtent l="4445" t="4445" r="10795" b="15875"/>
            <wp:docPr id="190852438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pPr>
        <w:ind w:firstLine="562"/>
        <w:jc w:val="center"/>
        <w:rPr>
          <w:rFonts w:cs="Times New Roman"/>
          <w:spacing w:val="10"/>
        </w:rPr>
      </w:pPr>
      <w:r>
        <w:rPr>
          <w:rFonts w:hint="eastAsia" w:ascii="宋体" w:hAnsi="宋体" w:eastAsia="宋体" w:cs="宋体"/>
          <w:b/>
          <w:color w:val="000000" w:themeColor="text1"/>
          <w:sz w:val="28"/>
          <w:szCs w:val="28"/>
          <w14:textFill>
            <w14:solidFill>
              <w14:schemeClr w14:val="tx1"/>
            </w14:solidFill>
          </w14:textFill>
        </w:rPr>
        <w:t>图2</w:t>
      </w:r>
      <w:r>
        <w:rPr>
          <w:rFonts w:ascii="宋体" w:hAnsi="宋体" w:eastAsia="宋体" w:cs="宋体"/>
          <w:b/>
          <w:color w:val="000000" w:themeColor="text1"/>
          <w:sz w:val="28"/>
          <w:szCs w:val="28"/>
          <w14:textFill>
            <w14:solidFill>
              <w14:schemeClr w14:val="tx1"/>
            </w14:solidFill>
          </w14:textFill>
        </w:rPr>
        <w:t xml:space="preserve">-10 </w:t>
      </w:r>
      <w:r>
        <w:rPr>
          <w:rFonts w:hint="eastAsia" w:ascii="宋体" w:hAnsi="宋体" w:eastAsia="宋体" w:cs="宋体"/>
          <w:b/>
          <w:color w:val="000000" w:themeColor="text1"/>
          <w:sz w:val="28"/>
          <w:szCs w:val="28"/>
          <w14:textFill>
            <w14:solidFill>
              <w14:schemeClr w14:val="tx1"/>
            </w14:solidFill>
          </w14:textFill>
        </w:rPr>
        <w:t>运行成本三级指标得分率</w:t>
      </w:r>
    </w:p>
    <w:p>
      <w:pPr>
        <w:ind w:firstLine="660"/>
        <w:jc w:val="left"/>
        <w:rPr>
          <w:rFonts w:ascii="仿宋_GB2312" w:hAnsi="仿宋_GB2312" w:cs="仿宋_GB2312"/>
          <w:spacing w:val="10"/>
          <w:szCs w:val="32"/>
        </w:rPr>
      </w:pPr>
      <w:r>
        <w:rPr>
          <w:rFonts w:hint="eastAsia" w:ascii="仿宋_GB2312" w:hAnsi="仿宋_GB2312" w:cs="仿宋_GB2312"/>
          <w:spacing w:val="10"/>
          <w:szCs w:val="32"/>
        </w:rPr>
        <w:t>（1）经济成本控制情况</w:t>
      </w:r>
      <w:r>
        <w:rPr>
          <w:rFonts w:hint="eastAsia" w:ascii="仿宋_GB2312" w:hAnsi="仿宋_GB2312" w:cs="仿宋_GB2312"/>
          <w:szCs w:val="32"/>
        </w:rPr>
        <w:t>（得</w:t>
      </w:r>
      <w:r>
        <w:rPr>
          <w:rFonts w:ascii="仿宋_GB2312" w:hAnsi="仿宋_GB2312" w:cs="仿宋_GB2312"/>
          <w:spacing w:val="10"/>
          <w:szCs w:val="32"/>
        </w:rPr>
        <w:t>4</w:t>
      </w:r>
      <w:r>
        <w:rPr>
          <w:rFonts w:hint="eastAsia" w:ascii="仿宋_GB2312" w:hAnsi="仿宋_GB2312" w:cs="仿宋_GB2312"/>
          <w:spacing w:val="10"/>
          <w:szCs w:val="32"/>
        </w:rPr>
        <w:t>.00分）</w:t>
      </w:r>
    </w:p>
    <w:p>
      <w:pPr>
        <w:ind w:firstLine="660"/>
        <w:rPr>
          <w:rFonts w:ascii="仿宋_GB2312" w:hAnsi="仿宋_GB2312" w:cs="仿宋_GB2312"/>
          <w:spacing w:val="10"/>
          <w:szCs w:val="32"/>
        </w:rPr>
      </w:pPr>
      <w:r>
        <w:rPr>
          <w:rFonts w:hint="eastAsia" w:ascii="仿宋_GB2312" w:hAnsi="仿宋_GB2312" w:cs="仿宋_GB2312"/>
          <w:spacing w:val="10"/>
          <w:szCs w:val="32"/>
        </w:rPr>
        <w:t>市卫生健康局本级及下属17个单位2022年支出分类基本明确，决算支出397</w:t>
      </w:r>
      <w:r>
        <w:rPr>
          <w:rFonts w:ascii="仿宋_GB2312" w:hAnsi="仿宋_GB2312" w:cs="仿宋_GB2312"/>
          <w:spacing w:val="10"/>
          <w:szCs w:val="32"/>
        </w:rPr>
        <w:t>,</w:t>
      </w:r>
      <w:r>
        <w:rPr>
          <w:rFonts w:hint="eastAsia" w:ascii="仿宋_GB2312" w:hAnsi="仿宋_GB2312" w:cs="仿宋_GB2312"/>
          <w:spacing w:val="10"/>
          <w:szCs w:val="32"/>
        </w:rPr>
        <w:t>566.28万元（其中基本支出321</w:t>
      </w:r>
      <w:r>
        <w:rPr>
          <w:rFonts w:ascii="仿宋_GB2312" w:hAnsi="仿宋_GB2312" w:cs="仿宋_GB2312"/>
          <w:spacing w:val="10"/>
          <w:szCs w:val="32"/>
        </w:rPr>
        <w:t>,</w:t>
      </w:r>
      <w:r>
        <w:rPr>
          <w:rFonts w:hint="eastAsia" w:ascii="仿宋_GB2312" w:hAnsi="仿宋_GB2312" w:cs="仿宋_GB2312"/>
          <w:spacing w:val="10"/>
          <w:szCs w:val="32"/>
        </w:rPr>
        <w:t>264.5万元，项目支出7</w:t>
      </w:r>
      <w:r>
        <w:rPr>
          <w:rFonts w:ascii="仿宋_GB2312" w:hAnsi="仿宋_GB2312" w:cs="仿宋_GB2312"/>
          <w:spacing w:val="10"/>
          <w:szCs w:val="32"/>
        </w:rPr>
        <w:t>,</w:t>
      </w:r>
      <w:r>
        <w:rPr>
          <w:rFonts w:hint="eastAsia" w:ascii="仿宋_GB2312" w:hAnsi="仿宋_GB2312" w:cs="仿宋_GB2312"/>
          <w:spacing w:val="10"/>
          <w:szCs w:val="32"/>
        </w:rPr>
        <w:t>6301.78万元），比2021年决算支出409</w:t>
      </w:r>
      <w:r>
        <w:rPr>
          <w:rFonts w:ascii="仿宋_GB2312" w:hAnsi="仿宋_GB2312" w:cs="仿宋_GB2312"/>
          <w:spacing w:val="10"/>
          <w:szCs w:val="32"/>
        </w:rPr>
        <w:t>,</w:t>
      </w:r>
      <w:r>
        <w:rPr>
          <w:rFonts w:hint="eastAsia" w:ascii="仿宋_GB2312" w:hAnsi="仿宋_GB2312" w:cs="仿宋_GB2312"/>
          <w:spacing w:val="10"/>
          <w:szCs w:val="32"/>
        </w:rPr>
        <w:t>332.8万元均有所下降（其中基本支出321</w:t>
      </w:r>
      <w:r>
        <w:rPr>
          <w:rFonts w:ascii="仿宋_GB2312" w:hAnsi="仿宋_GB2312" w:cs="仿宋_GB2312"/>
          <w:spacing w:val="10"/>
          <w:szCs w:val="32"/>
        </w:rPr>
        <w:t>,</w:t>
      </w:r>
      <w:r>
        <w:rPr>
          <w:rFonts w:hint="eastAsia" w:ascii="仿宋_GB2312" w:hAnsi="仿宋_GB2312" w:cs="仿宋_GB2312"/>
          <w:spacing w:val="10"/>
          <w:szCs w:val="32"/>
        </w:rPr>
        <w:t>713.27万元，项目支出87</w:t>
      </w:r>
      <w:r>
        <w:rPr>
          <w:rFonts w:ascii="仿宋_GB2312" w:hAnsi="仿宋_GB2312" w:cs="仿宋_GB2312"/>
          <w:spacing w:val="10"/>
          <w:szCs w:val="32"/>
        </w:rPr>
        <w:t>,</w:t>
      </w:r>
      <w:r>
        <w:rPr>
          <w:rFonts w:hint="eastAsia" w:ascii="仿宋_GB2312" w:hAnsi="仿宋_GB2312" w:cs="仿宋_GB2312"/>
          <w:spacing w:val="10"/>
          <w:szCs w:val="32"/>
        </w:rPr>
        <w:t>619.53万元），指标得4.00分。</w:t>
      </w:r>
    </w:p>
    <w:p>
      <w:pPr>
        <w:ind w:firstLine="660"/>
        <w:jc w:val="left"/>
        <w:rPr>
          <w:rFonts w:ascii="仿宋_GB2312" w:hAnsi="仿宋_GB2312" w:cs="仿宋_GB2312"/>
          <w:spacing w:val="10"/>
          <w:szCs w:val="32"/>
        </w:rPr>
      </w:pPr>
      <w:r>
        <w:rPr>
          <w:rFonts w:hint="eastAsia" w:ascii="仿宋_GB2312" w:hAnsi="仿宋_GB2312" w:cs="仿宋_GB2312"/>
          <w:spacing w:val="10"/>
          <w:szCs w:val="32"/>
        </w:rPr>
        <w:t>（2）“三公”经费控制情况</w:t>
      </w:r>
      <w:r>
        <w:rPr>
          <w:rFonts w:hint="eastAsia" w:ascii="仿宋_GB2312" w:hAnsi="仿宋_GB2312" w:cs="仿宋_GB2312"/>
          <w:szCs w:val="32"/>
        </w:rPr>
        <w:t>（得</w:t>
      </w:r>
      <w:r>
        <w:rPr>
          <w:rFonts w:ascii="仿宋_GB2312" w:hAnsi="仿宋_GB2312" w:cs="仿宋_GB2312"/>
          <w:spacing w:val="10"/>
          <w:szCs w:val="32"/>
        </w:rPr>
        <w:t>1</w:t>
      </w:r>
      <w:r>
        <w:rPr>
          <w:rFonts w:hint="eastAsia" w:ascii="仿宋_GB2312" w:hAnsi="仿宋_GB2312" w:cs="仿宋_GB2312"/>
          <w:spacing w:val="10"/>
          <w:szCs w:val="32"/>
        </w:rPr>
        <w:t>.00分）</w:t>
      </w:r>
    </w:p>
    <w:p>
      <w:pPr>
        <w:spacing w:line="540" w:lineRule="exact"/>
        <w:ind w:firstLine="640"/>
        <w:jc w:val="left"/>
        <w:rPr>
          <w:rFonts w:ascii="仿宋_GB2312" w:hAnsi="仿宋_GB2312" w:cs="仿宋_GB2312"/>
          <w:b/>
          <w:bCs/>
          <w:spacing w:val="10"/>
          <w:kern w:val="0"/>
          <w:szCs w:val="32"/>
        </w:rPr>
      </w:pPr>
      <w:r>
        <w:rPr>
          <w:rFonts w:hint="eastAsia" w:ascii="仿宋_GB2312" w:hAnsi="仿宋_GB2312" w:cs="仿宋_GB2312"/>
          <w:szCs w:val="32"/>
        </w:rPr>
        <w:t>2022年市卫健局共安排“三公”经费预算</w:t>
      </w:r>
      <w:r>
        <w:rPr>
          <w:rFonts w:ascii="仿宋_GB2312" w:hAnsi="仿宋_GB2312" w:cs="仿宋_GB2312"/>
          <w:szCs w:val="32"/>
        </w:rPr>
        <w:t>183.75</w:t>
      </w:r>
      <w:r>
        <w:rPr>
          <w:rFonts w:hint="eastAsia" w:ascii="仿宋_GB2312" w:hAnsi="仿宋_GB2312" w:cs="仿宋_GB2312"/>
          <w:szCs w:val="32"/>
        </w:rPr>
        <w:t>万元（年初预算120.10万元，年中追加调增</w:t>
      </w:r>
      <w:r>
        <w:rPr>
          <w:rFonts w:ascii="仿宋_GB2312" w:hAnsi="仿宋_GB2312" w:cs="仿宋_GB2312"/>
          <w:szCs w:val="32"/>
        </w:rPr>
        <w:t>6</w:t>
      </w:r>
      <w:r>
        <w:rPr>
          <w:rFonts w:hint="eastAsia" w:ascii="仿宋_GB2312" w:hAnsi="仿宋_GB2312" w:cs="仿宋_GB2312"/>
          <w:szCs w:val="32"/>
        </w:rPr>
        <w:t>3.75万元），决算支出178.08万元，“三公”经费使用控制在预算范围。</w:t>
      </w:r>
      <w:bookmarkEnd w:id="35"/>
    </w:p>
    <w:p>
      <w:pPr>
        <w:pStyle w:val="2"/>
        <w:ind w:firstLine="663"/>
      </w:pPr>
      <w:bookmarkStart w:id="39" w:name="_Toc145061825"/>
      <w:bookmarkStart w:id="40" w:name="_Toc144752182"/>
      <w:bookmarkStart w:id="41" w:name="_Toc147654913"/>
      <w:bookmarkStart w:id="42" w:name="_Toc150765125"/>
      <w:r>
        <w:rPr>
          <w:rFonts w:hint="eastAsia"/>
        </w:rPr>
        <w:t>三、评价结论</w:t>
      </w:r>
      <w:bookmarkEnd w:id="39"/>
      <w:bookmarkEnd w:id="40"/>
      <w:bookmarkEnd w:id="41"/>
      <w:bookmarkEnd w:id="42"/>
    </w:p>
    <w:p>
      <w:pPr>
        <w:ind w:firstLine="660"/>
        <w:rPr>
          <w:rFonts w:ascii="仿宋_GB2312" w:hAnsi="仿宋_GB2312" w:cs="仿宋_GB2312"/>
          <w:szCs w:val="32"/>
        </w:rPr>
      </w:pPr>
      <w:r>
        <w:rPr>
          <w:rFonts w:hint="eastAsia" w:ascii="仿宋_GB2312" w:hAnsi="仿宋_GB2312" w:cs="仿宋_GB2312"/>
          <w:spacing w:val="10"/>
          <w:kern w:val="0"/>
        </w:rPr>
        <w:t>市卫健局2022年</w:t>
      </w:r>
      <w:r>
        <w:rPr>
          <w:rFonts w:hint="eastAsia" w:ascii="仿宋_GB2312" w:hAnsi="仿宋_GB2312" w:cs="仿宋_GB2312"/>
          <w:szCs w:val="32"/>
        </w:rPr>
        <w:t>部门整体支出绩效评价指标体系主要分为</w:t>
      </w:r>
      <w:r>
        <w:rPr>
          <w:rFonts w:hint="eastAsia" w:ascii="仿宋_GB2312" w:hAnsi="仿宋_GB2312" w:cs="仿宋_GB2312"/>
          <w:spacing w:val="10"/>
          <w:kern w:val="0"/>
        </w:rPr>
        <w:t>履职效能和管理效能两部分，</w:t>
      </w:r>
      <w:r>
        <w:rPr>
          <w:rFonts w:hint="eastAsia" w:ascii="仿宋_GB2312" w:hAnsi="仿宋_GB2312" w:cs="仿宋_GB2312"/>
          <w:szCs w:val="32"/>
        </w:rPr>
        <w:t>通过对财政支出绩效进行评价，反查预算资金编制、预算执行过程及绩效管理过程中存在的问题，从而提出针对性的意见及建议，最终目的是为了更好地帮助被评价单位改善财政支出绩效管理，提高部门履职成效及财政资金使用效益。</w:t>
      </w:r>
    </w:p>
    <w:p>
      <w:pPr>
        <w:ind w:firstLine="660"/>
        <w:rPr>
          <w:rFonts w:ascii="仿宋_GB2312" w:hAnsi="仿宋_GB2312" w:cs="仿宋_GB2312"/>
          <w:spacing w:val="10"/>
          <w:kern w:val="0"/>
        </w:rPr>
      </w:pPr>
      <w:r>
        <w:rPr>
          <w:rFonts w:hint="eastAsia" w:ascii="仿宋_GB2312" w:hAnsi="仿宋_GB2312" w:cs="仿宋_GB2312"/>
          <w:spacing w:val="10"/>
          <w:kern w:val="0"/>
        </w:rPr>
        <w:t>综合评定，市卫健局2022年</w:t>
      </w:r>
      <w:r>
        <w:rPr>
          <w:rFonts w:hint="eastAsia" w:ascii="仿宋_GB2312" w:hAnsi="仿宋_GB2312" w:cs="仿宋_GB2312"/>
          <w:szCs w:val="32"/>
        </w:rPr>
        <w:t>部门整体支出绩效评价总体</w:t>
      </w:r>
      <w:r>
        <w:rPr>
          <w:rFonts w:hint="eastAsia" w:ascii="仿宋_GB2312" w:hAnsi="仿宋_GB2312" w:cs="仿宋_GB2312"/>
          <w:spacing w:val="10"/>
          <w:kern w:val="0"/>
        </w:rPr>
        <w:t>综合得分</w:t>
      </w:r>
      <w:r>
        <w:rPr>
          <w:rFonts w:ascii="仿宋_GB2312" w:hAnsi="仿宋_GB2312" w:cs="仿宋_GB2312"/>
          <w:spacing w:val="10"/>
          <w:kern w:val="0"/>
        </w:rPr>
        <w:t>87</w:t>
      </w:r>
      <w:r>
        <w:rPr>
          <w:rFonts w:hint="eastAsia" w:ascii="仿宋_GB2312" w:hAnsi="仿宋_GB2312" w:cs="仿宋_GB2312"/>
          <w:spacing w:val="10"/>
          <w:kern w:val="0"/>
        </w:rPr>
        <w:t>.</w:t>
      </w:r>
      <w:r>
        <w:rPr>
          <w:rFonts w:ascii="仿宋_GB2312" w:hAnsi="仿宋_GB2312" w:cs="仿宋_GB2312"/>
          <w:spacing w:val="10"/>
          <w:kern w:val="0"/>
        </w:rPr>
        <w:t>9</w:t>
      </w:r>
      <w:r>
        <w:rPr>
          <w:rFonts w:hint="eastAsia" w:ascii="仿宋_GB2312" w:hAnsi="仿宋_GB2312" w:cs="仿宋_GB2312"/>
          <w:spacing w:val="10"/>
          <w:kern w:val="0"/>
        </w:rPr>
        <w:t>9分，等级为“良”。具体指标得分见表3-1。</w:t>
      </w:r>
    </w:p>
    <w:p>
      <w:pPr>
        <w:spacing w:line="540" w:lineRule="exact"/>
        <w:ind w:firstLine="0" w:firstLineChars="0"/>
        <w:jc w:val="center"/>
        <w:rPr>
          <w:rFonts w:ascii="宋体" w:hAnsi="宋体" w:eastAsia="宋体" w:cs="Times New Roman"/>
          <w:b/>
          <w:bCs/>
          <w:spacing w:val="10"/>
          <w:kern w:val="0"/>
          <w:sz w:val="28"/>
          <w:szCs w:val="28"/>
        </w:rPr>
      </w:pPr>
      <w:r>
        <w:rPr>
          <w:rFonts w:hint="eastAsia" w:ascii="宋体" w:hAnsi="宋体" w:eastAsia="宋体" w:cs="Times New Roman"/>
          <w:b/>
          <w:bCs/>
          <w:spacing w:val="10"/>
          <w:kern w:val="0"/>
          <w:sz w:val="28"/>
          <w:szCs w:val="28"/>
        </w:rPr>
        <w:t>表3-1</w:t>
      </w:r>
      <w:r>
        <w:rPr>
          <w:rFonts w:ascii="宋体" w:hAnsi="宋体" w:eastAsia="宋体" w:cs="Times New Roman"/>
          <w:b/>
          <w:bCs/>
          <w:spacing w:val="10"/>
          <w:kern w:val="0"/>
          <w:sz w:val="28"/>
          <w:szCs w:val="28"/>
        </w:rPr>
        <w:t xml:space="preserve"> </w:t>
      </w:r>
      <w:r>
        <w:rPr>
          <w:rFonts w:hint="eastAsia" w:ascii="宋体" w:hAnsi="宋体" w:eastAsia="宋体" w:cs="Times New Roman"/>
          <w:b/>
          <w:bCs/>
          <w:spacing w:val="10"/>
          <w:kern w:val="0"/>
          <w:sz w:val="28"/>
          <w:szCs w:val="28"/>
        </w:rPr>
        <w:t>市卫生健康局2</w:t>
      </w:r>
      <w:r>
        <w:rPr>
          <w:rFonts w:ascii="宋体" w:hAnsi="宋体" w:eastAsia="宋体" w:cs="Times New Roman"/>
          <w:b/>
          <w:bCs/>
          <w:spacing w:val="10"/>
          <w:kern w:val="0"/>
          <w:sz w:val="28"/>
          <w:szCs w:val="28"/>
        </w:rPr>
        <w:t>022年部门整体</w:t>
      </w:r>
      <w:r>
        <w:rPr>
          <w:rFonts w:hint="eastAsia" w:ascii="宋体" w:hAnsi="宋体" w:eastAsia="宋体" w:cs="Times New Roman"/>
          <w:b/>
          <w:bCs/>
          <w:spacing w:val="10"/>
          <w:kern w:val="0"/>
          <w:sz w:val="28"/>
          <w:szCs w:val="28"/>
        </w:rPr>
        <w:t>绩效</w:t>
      </w:r>
      <w:r>
        <w:rPr>
          <w:rFonts w:ascii="宋体" w:hAnsi="宋体" w:eastAsia="宋体" w:cs="Times New Roman"/>
          <w:b/>
          <w:bCs/>
          <w:spacing w:val="10"/>
          <w:kern w:val="0"/>
          <w:sz w:val="28"/>
          <w:szCs w:val="28"/>
        </w:rPr>
        <w:t>评价</w:t>
      </w:r>
      <w:r>
        <w:rPr>
          <w:rFonts w:hint="eastAsia" w:ascii="宋体" w:hAnsi="宋体" w:eastAsia="宋体" w:cs="Times New Roman"/>
          <w:b/>
          <w:bCs/>
          <w:spacing w:val="10"/>
          <w:kern w:val="0"/>
          <w:sz w:val="28"/>
          <w:szCs w:val="28"/>
        </w:rPr>
        <w:t>指标得分情况表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851"/>
        <w:gridCol w:w="1134"/>
        <w:gridCol w:w="1559"/>
        <w:gridCol w:w="1843"/>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rPr>
            </w:pPr>
            <w:r>
              <w:rPr>
                <w:rFonts w:hint="eastAsia" w:ascii="Times New Roman" w:hAnsi="Times New Roman" w:cs="Times New Roman"/>
                <w:b/>
                <w:bCs/>
                <w:spacing w:val="10"/>
                <w:sz w:val="18"/>
              </w:rPr>
              <w:t>一级指标</w:t>
            </w:r>
          </w:p>
        </w:tc>
        <w:tc>
          <w:tcPr>
            <w:tcW w:w="851"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rPr>
            </w:pPr>
            <w:r>
              <w:rPr>
                <w:rFonts w:hint="eastAsia" w:ascii="Times New Roman" w:hAnsi="Times New Roman" w:cs="Times New Roman"/>
                <w:b/>
                <w:bCs/>
                <w:spacing w:val="10"/>
                <w:sz w:val="18"/>
              </w:rPr>
              <w:t>得分</w:t>
            </w:r>
          </w:p>
        </w:tc>
        <w:tc>
          <w:tcPr>
            <w:tcW w:w="1134"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rPr>
            </w:pPr>
            <w:r>
              <w:rPr>
                <w:rFonts w:hint="eastAsia" w:ascii="Times New Roman" w:hAnsi="Times New Roman" w:cs="Times New Roman"/>
                <w:b/>
                <w:bCs/>
                <w:spacing w:val="10"/>
                <w:sz w:val="18"/>
              </w:rPr>
              <w:t>得分率</w:t>
            </w:r>
          </w:p>
        </w:tc>
        <w:tc>
          <w:tcPr>
            <w:tcW w:w="1559"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rPr>
            </w:pPr>
            <w:r>
              <w:rPr>
                <w:rFonts w:hint="eastAsia" w:ascii="Times New Roman" w:hAnsi="Times New Roman" w:cs="Times New Roman"/>
                <w:b/>
                <w:bCs/>
                <w:spacing w:val="10"/>
                <w:sz w:val="18"/>
              </w:rPr>
              <w:t>二级指标</w:t>
            </w:r>
          </w:p>
        </w:tc>
        <w:tc>
          <w:tcPr>
            <w:tcW w:w="1843"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rPr>
            </w:pPr>
            <w:r>
              <w:rPr>
                <w:rFonts w:hint="eastAsia" w:ascii="Times New Roman" w:hAnsi="Times New Roman" w:cs="Times New Roman"/>
                <w:b/>
                <w:bCs/>
                <w:spacing w:val="10"/>
                <w:sz w:val="18"/>
              </w:rPr>
              <w:t>指标得分</w:t>
            </w:r>
          </w:p>
        </w:tc>
        <w:tc>
          <w:tcPr>
            <w:tcW w:w="1638"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rPr>
            </w:pPr>
            <w:r>
              <w:rPr>
                <w:rFonts w:hint="eastAsia" w:ascii="Times New Roman" w:hAnsi="Times New Roman" w:cs="Times New Roman"/>
                <w:b/>
                <w:bCs/>
                <w:spacing w:val="10"/>
                <w:sz w:val="18"/>
              </w:rPr>
              <w:t>指标得分率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hint="eastAsia" w:ascii="Times New Roman" w:hAnsi="Times New Roman" w:cs="Times New Roman"/>
                <w:spacing w:val="10"/>
                <w:sz w:val="18"/>
              </w:rPr>
              <w:t>履职效率</w:t>
            </w:r>
          </w:p>
        </w:tc>
        <w:tc>
          <w:tcPr>
            <w:tcW w:w="851" w:type="dxa"/>
            <w:vMerge w:val="restar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ascii="Times New Roman" w:hAnsi="Times New Roman" w:cs="Times New Roman"/>
                <w:spacing w:val="10"/>
                <w:sz w:val="18"/>
              </w:rPr>
              <w:t>43.06</w:t>
            </w:r>
          </w:p>
        </w:tc>
        <w:tc>
          <w:tcPr>
            <w:tcW w:w="1134" w:type="dxa"/>
            <w:vMerge w:val="restar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ascii="Times New Roman" w:hAnsi="Times New Roman" w:cs="Times New Roman"/>
                <w:spacing w:val="10"/>
                <w:sz w:val="18"/>
              </w:rPr>
              <w:t>95.67%</w:t>
            </w:r>
          </w:p>
        </w:tc>
        <w:tc>
          <w:tcPr>
            <w:tcW w:w="1559"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hint="eastAsia" w:ascii="Times New Roman" w:hAnsi="Times New Roman" w:cs="Times New Roman"/>
                <w:spacing w:val="10"/>
                <w:sz w:val="18"/>
              </w:rPr>
              <w:t>整体效能</w:t>
            </w:r>
          </w:p>
        </w:tc>
        <w:tc>
          <w:tcPr>
            <w:tcW w:w="1843"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19.50</w:t>
            </w:r>
          </w:p>
        </w:tc>
        <w:tc>
          <w:tcPr>
            <w:tcW w:w="1638"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97.50%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27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85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134"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559"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hint="eastAsia" w:ascii="Times New Roman" w:hAnsi="Times New Roman" w:cs="Times New Roman"/>
                <w:spacing w:val="10"/>
                <w:sz w:val="18"/>
              </w:rPr>
              <w:t>专项效能</w:t>
            </w:r>
          </w:p>
        </w:tc>
        <w:tc>
          <w:tcPr>
            <w:tcW w:w="1843"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23.56</w:t>
            </w:r>
          </w:p>
        </w:tc>
        <w:tc>
          <w:tcPr>
            <w:tcW w:w="1638"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84.24%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hint="eastAsia" w:ascii="Times New Roman" w:hAnsi="Times New Roman" w:cs="Times New Roman"/>
                <w:spacing w:val="10"/>
                <w:sz w:val="18"/>
              </w:rPr>
              <w:t>管理效率</w:t>
            </w:r>
          </w:p>
        </w:tc>
        <w:tc>
          <w:tcPr>
            <w:tcW w:w="851" w:type="dxa"/>
            <w:vMerge w:val="restar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ascii="Times New Roman" w:hAnsi="Times New Roman" w:cs="Times New Roman"/>
                <w:spacing w:val="10"/>
                <w:sz w:val="18"/>
              </w:rPr>
              <w:t>44.93</w:t>
            </w:r>
          </w:p>
        </w:tc>
        <w:tc>
          <w:tcPr>
            <w:tcW w:w="1134" w:type="dxa"/>
            <w:vMerge w:val="restar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ascii="Times New Roman" w:hAnsi="Times New Roman" w:cs="Times New Roman"/>
                <w:spacing w:val="10"/>
                <w:sz w:val="18"/>
              </w:rPr>
              <w:t>67.46%</w:t>
            </w:r>
          </w:p>
        </w:tc>
        <w:tc>
          <w:tcPr>
            <w:tcW w:w="1559"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hint="eastAsia" w:ascii="Times New Roman" w:hAnsi="Times New Roman" w:cs="Times New Roman"/>
                <w:spacing w:val="10"/>
                <w:sz w:val="18"/>
              </w:rPr>
              <w:t>预算编制</w:t>
            </w:r>
          </w:p>
        </w:tc>
        <w:tc>
          <w:tcPr>
            <w:tcW w:w="1843"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4.00</w:t>
            </w:r>
          </w:p>
        </w:tc>
        <w:tc>
          <w:tcPr>
            <w:tcW w:w="1638"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85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134"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559"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hint="eastAsia" w:ascii="Times New Roman" w:hAnsi="Times New Roman" w:cs="Times New Roman"/>
                <w:spacing w:val="10"/>
                <w:sz w:val="18"/>
              </w:rPr>
              <w:t>预算执行</w:t>
            </w:r>
          </w:p>
        </w:tc>
        <w:tc>
          <w:tcPr>
            <w:tcW w:w="1843"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14.50</w:t>
            </w:r>
          </w:p>
        </w:tc>
        <w:tc>
          <w:tcPr>
            <w:tcW w:w="1638"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97.22%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85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134"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559"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hint="eastAsia" w:ascii="Times New Roman" w:hAnsi="Times New Roman" w:cs="Times New Roman"/>
                <w:spacing w:val="10"/>
                <w:sz w:val="18"/>
              </w:rPr>
              <w:t>信息公开</w:t>
            </w:r>
          </w:p>
        </w:tc>
        <w:tc>
          <w:tcPr>
            <w:tcW w:w="1843"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3.00</w:t>
            </w:r>
          </w:p>
        </w:tc>
        <w:tc>
          <w:tcPr>
            <w:tcW w:w="1638"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85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134"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559"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hint="eastAsia" w:ascii="Times New Roman" w:hAnsi="Times New Roman" w:cs="Times New Roman"/>
                <w:spacing w:val="10"/>
                <w:sz w:val="18"/>
              </w:rPr>
              <w:t>绩效管理</w:t>
            </w:r>
          </w:p>
        </w:tc>
        <w:tc>
          <w:tcPr>
            <w:tcW w:w="1843"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4.50</w:t>
            </w:r>
          </w:p>
        </w:tc>
        <w:tc>
          <w:tcPr>
            <w:tcW w:w="1638"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91.67%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85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134"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559"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hint="eastAsia" w:ascii="Times New Roman" w:hAnsi="Times New Roman" w:cs="Times New Roman"/>
                <w:spacing w:val="10"/>
                <w:sz w:val="18"/>
              </w:rPr>
              <w:t>采购管理</w:t>
            </w:r>
          </w:p>
        </w:tc>
        <w:tc>
          <w:tcPr>
            <w:tcW w:w="1843"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5.93</w:t>
            </w:r>
          </w:p>
        </w:tc>
        <w:tc>
          <w:tcPr>
            <w:tcW w:w="1638"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58.56%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85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134"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559"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hint="eastAsia" w:ascii="Times New Roman" w:hAnsi="Times New Roman" w:cs="Times New Roman"/>
                <w:spacing w:val="10"/>
                <w:sz w:val="18"/>
              </w:rPr>
              <w:t>资产管理</w:t>
            </w:r>
          </w:p>
        </w:tc>
        <w:tc>
          <w:tcPr>
            <w:tcW w:w="1843"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8.00</w:t>
            </w:r>
          </w:p>
        </w:tc>
        <w:tc>
          <w:tcPr>
            <w:tcW w:w="1638"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851"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134" w:type="dxa"/>
            <w:vMerge w:val="continue"/>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p>
        </w:tc>
        <w:tc>
          <w:tcPr>
            <w:tcW w:w="1559"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rPr>
            </w:pPr>
            <w:r>
              <w:rPr>
                <w:rFonts w:hint="eastAsia" w:ascii="Times New Roman" w:hAnsi="Times New Roman" w:cs="Times New Roman"/>
                <w:spacing w:val="10"/>
                <w:sz w:val="18"/>
              </w:rPr>
              <w:t>运行成本</w:t>
            </w:r>
          </w:p>
        </w:tc>
        <w:tc>
          <w:tcPr>
            <w:tcW w:w="1843"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5.00</w:t>
            </w:r>
          </w:p>
        </w:tc>
        <w:tc>
          <w:tcPr>
            <w:tcW w:w="1638"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spacing w:val="10"/>
                <w:sz w:val="18"/>
              </w:rPr>
            </w:pPr>
            <w:r>
              <w:rPr>
                <w:rFonts w:ascii="Times New Roman" w:hAnsi="Times New Roman" w:cs="Times New Roman"/>
                <w:spacing w:val="10"/>
                <w:sz w:val="18"/>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5" w:type="dxa"/>
            <w:gridSpan w:val="4"/>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rPr>
            </w:pPr>
            <w:r>
              <w:rPr>
                <w:rFonts w:hint="eastAsia" w:ascii="Times New Roman" w:hAnsi="Times New Roman" w:cs="Times New Roman"/>
                <w:b/>
                <w:bCs/>
                <w:spacing w:val="10"/>
                <w:sz w:val="18"/>
              </w:rPr>
              <w:t>合计</w:t>
            </w:r>
          </w:p>
        </w:tc>
        <w:tc>
          <w:tcPr>
            <w:tcW w:w="1843"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b/>
                <w:bCs/>
                <w:spacing w:val="10"/>
                <w:sz w:val="18"/>
              </w:rPr>
            </w:pPr>
            <w:r>
              <w:rPr>
                <w:rFonts w:ascii="Times New Roman" w:hAnsi="Times New Roman" w:cs="Times New Roman"/>
                <w:b/>
                <w:bCs/>
                <w:spacing w:val="10"/>
                <w:sz w:val="18"/>
              </w:rPr>
              <w:t>87.99</w:t>
            </w:r>
          </w:p>
        </w:tc>
        <w:tc>
          <w:tcPr>
            <w:tcW w:w="1638" w:type="dxa"/>
            <w:vAlign w:val="center"/>
          </w:tcPr>
          <w:p>
            <w:pPr>
              <w:pStyle w:val="4"/>
              <w:adjustRightInd w:val="0"/>
              <w:snapToGrid w:val="0"/>
              <w:spacing w:before="0" w:beforeAutospacing="0" w:after="0" w:afterAutospacing="0"/>
              <w:ind w:firstLine="34" w:firstLineChars="17"/>
              <w:jc w:val="right"/>
              <w:rPr>
                <w:rFonts w:ascii="Times New Roman" w:hAnsi="Times New Roman" w:cs="Times New Roman"/>
                <w:b/>
                <w:bCs/>
                <w:spacing w:val="10"/>
                <w:sz w:val="18"/>
              </w:rPr>
            </w:pPr>
            <w:r>
              <w:rPr>
                <w:rFonts w:ascii="Times New Roman" w:hAnsi="Times New Roman" w:cs="Times New Roman"/>
                <w:b/>
                <w:bCs/>
                <w:spacing w:val="10"/>
                <w:sz w:val="18"/>
              </w:rPr>
              <w:t>87.99%</w:t>
            </w:r>
          </w:p>
        </w:tc>
      </w:tr>
    </w:tbl>
    <w:p>
      <w:pPr>
        <w:ind w:firstLine="640"/>
        <w:rPr>
          <w:rFonts w:ascii="仿宋_GB2312" w:hAnsi="仿宋_GB2312" w:cs="仿宋_GB2312"/>
          <w:spacing w:val="10"/>
          <w:kern w:val="0"/>
        </w:rPr>
      </w:pPr>
      <w:r>
        <w:rPr>
          <w:rFonts w:hint="eastAsia" w:ascii="仿宋_GB2312" w:hAnsi="仿宋_GB2312" w:cs="仿宋_GB2312"/>
          <w:szCs w:val="32"/>
        </w:rPr>
        <w:t>总体而言，市卫健局2022年部门履职成效相对良好，基本完成部门整体绩效目标、专项资金工作任务以及中省资金任务。但市卫健局在预算管理过程中，对</w:t>
      </w:r>
      <w:r>
        <w:rPr>
          <w:rFonts w:hint="eastAsia" w:ascii="仿宋_GB2312" w:hAnsi="仿宋_GB2312" w:cs="仿宋_GB2312"/>
          <w:spacing w:val="10"/>
          <w:kern w:val="0"/>
        </w:rPr>
        <w:t>采购监管不到位，政府采购执行存在不规范；在资产管理过程中，未能及时进行账务处理，降低资产数据质量</w:t>
      </w:r>
      <w:r>
        <w:rPr>
          <w:rFonts w:hint="eastAsia" w:ascii="仿宋_GB2312" w:hAnsi="仿宋_GB2312" w:cs="仿宋_GB2312"/>
          <w:szCs w:val="32"/>
        </w:rPr>
        <w:t>。</w:t>
      </w:r>
    </w:p>
    <w:p>
      <w:pPr>
        <w:pStyle w:val="2"/>
        <w:ind w:firstLine="663"/>
      </w:pPr>
      <w:bookmarkStart w:id="43" w:name="_Toc147654914"/>
      <w:bookmarkStart w:id="44" w:name="_Toc150765126"/>
      <w:r>
        <w:rPr>
          <w:rFonts w:hint="eastAsia"/>
        </w:rPr>
        <w:t>四、主要绩效</w:t>
      </w:r>
      <w:bookmarkEnd w:id="43"/>
      <w:bookmarkEnd w:id="44"/>
    </w:p>
    <w:p>
      <w:pPr>
        <w:pStyle w:val="3"/>
        <w:ind w:firstLine="643"/>
      </w:pPr>
      <w:bookmarkStart w:id="45" w:name="_Toc147654915"/>
      <w:bookmarkStart w:id="46" w:name="_Toc150765127"/>
      <w:r>
        <w:rPr>
          <w:rFonts w:hint="eastAsia"/>
        </w:rPr>
        <w:t>（一）全力做好疫情防控，保障社会健康运转</w:t>
      </w:r>
      <w:bookmarkEnd w:id="45"/>
      <w:bookmarkEnd w:id="46"/>
    </w:p>
    <w:p>
      <w:pPr>
        <w:ind w:firstLine="660"/>
        <w:outlineLvl w:val="2"/>
        <w:rPr>
          <w:rFonts w:ascii="仿宋_GB2312" w:hAnsi="仿宋_GB2312" w:cs="仿宋_GB2312"/>
          <w:spacing w:val="10"/>
          <w:kern w:val="0"/>
        </w:rPr>
      </w:pPr>
      <w:bookmarkStart w:id="47" w:name="_Toc146026880"/>
      <w:r>
        <w:rPr>
          <w:rFonts w:hint="eastAsia" w:ascii="仿宋_GB2312" w:hAnsi="仿宋_GB2312" w:cs="仿宋_GB2312"/>
          <w:spacing w:val="10"/>
          <w:kern w:val="0"/>
        </w:rPr>
        <w:t>1.提高应急救治医疗水平</w:t>
      </w:r>
      <w:bookmarkEnd w:id="47"/>
    </w:p>
    <w:p>
      <w:pPr>
        <w:ind w:firstLine="660"/>
        <w:rPr>
          <w:rFonts w:ascii="仿宋_GB2312" w:hAnsi="仿宋_GB2312" w:cs="仿宋_GB2312"/>
          <w:spacing w:val="10"/>
          <w:kern w:val="0"/>
        </w:rPr>
      </w:pPr>
      <w:r>
        <w:rPr>
          <w:rFonts w:hint="eastAsia" w:ascii="仿宋_GB2312" w:hAnsi="仿宋_GB2312" w:cs="仿宋_GB2312"/>
          <w:spacing w:val="10"/>
          <w:kern w:val="0"/>
        </w:rPr>
        <w:t>一是建设疫情救治场所，提高了社会应急医疗设施的服务能力。2022年按规定完成了定点救治医院、亚定点医院、方舱医院等多个疫情救治场所的升级建设，社会应急救治场所的收容能力得到进一步提高，韶关市应急医疗服务体系也得到进一步完善。二是拓宽了核酸检测渠道，提高了疫情检测服务能力。2022年韶关市卫健局通过引进第三方检测公司的形式，提高了社会核酸检测能力，100%落实“应检尽检”人员免费核酸检测，全市核酸检测能力已提升至每日20.5</w:t>
      </w:r>
      <w:r>
        <w:rPr>
          <w:rFonts w:ascii="仿宋_GB2312" w:hAnsi="仿宋_GB2312" w:cs="仿宋_GB2312"/>
          <w:spacing w:val="10"/>
          <w:kern w:val="0"/>
        </w:rPr>
        <w:t>0</w:t>
      </w:r>
      <w:r>
        <w:rPr>
          <w:rFonts w:hint="eastAsia" w:ascii="仿宋_GB2312" w:hAnsi="仿宋_GB2312" w:cs="仿宋_GB2312"/>
          <w:spacing w:val="10"/>
          <w:kern w:val="0"/>
        </w:rPr>
        <w:t>万管。三是严格落实集中隔离，防治疫情交叉传播。2022年共对全市6</w:t>
      </w:r>
      <w:r>
        <w:rPr>
          <w:rFonts w:ascii="仿宋_GB2312" w:hAnsi="仿宋_GB2312" w:cs="仿宋_GB2312"/>
          <w:spacing w:val="10"/>
          <w:kern w:val="0"/>
        </w:rPr>
        <w:t>,</w:t>
      </w:r>
      <w:r>
        <w:rPr>
          <w:rFonts w:hint="eastAsia" w:ascii="仿宋_GB2312" w:hAnsi="仿宋_GB2312" w:cs="仿宋_GB2312"/>
          <w:spacing w:val="10"/>
          <w:kern w:val="0"/>
        </w:rPr>
        <w:t>444人次以及广州转运隔离人员7</w:t>
      </w:r>
      <w:r>
        <w:rPr>
          <w:rFonts w:ascii="仿宋_GB2312" w:hAnsi="仿宋_GB2312" w:cs="仿宋_GB2312"/>
          <w:spacing w:val="10"/>
          <w:kern w:val="0"/>
        </w:rPr>
        <w:t>,</w:t>
      </w:r>
      <w:r>
        <w:rPr>
          <w:rFonts w:hint="eastAsia" w:ascii="仿宋_GB2312" w:hAnsi="仿宋_GB2312" w:cs="仿宋_GB2312"/>
          <w:spacing w:val="10"/>
          <w:kern w:val="0"/>
        </w:rPr>
        <w:t>073人次实行集中隔离，有效缩小疫情传播范围，降低了疫情传播风险。</w:t>
      </w:r>
    </w:p>
    <w:p>
      <w:pPr>
        <w:ind w:firstLine="660"/>
        <w:outlineLvl w:val="2"/>
        <w:rPr>
          <w:rFonts w:ascii="仿宋_GB2312" w:hAnsi="仿宋_GB2312" w:cs="仿宋_GB2312"/>
          <w:spacing w:val="10"/>
          <w:kern w:val="0"/>
        </w:rPr>
      </w:pPr>
      <w:bookmarkStart w:id="48" w:name="_Toc146026881"/>
      <w:r>
        <w:rPr>
          <w:rFonts w:hint="eastAsia" w:ascii="仿宋_GB2312" w:hAnsi="仿宋_GB2312" w:cs="仿宋_GB2312"/>
          <w:spacing w:val="10"/>
          <w:kern w:val="0"/>
        </w:rPr>
        <w:t>2.提高应急救治服务能力</w:t>
      </w:r>
      <w:bookmarkEnd w:id="48"/>
    </w:p>
    <w:p>
      <w:pPr>
        <w:ind w:firstLine="660"/>
        <w:rPr>
          <w:rFonts w:cs="Times New Roman"/>
          <w:spacing w:val="10"/>
          <w:kern w:val="0"/>
        </w:rPr>
      </w:pPr>
      <w:r>
        <w:rPr>
          <w:rFonts w:hint="eastAsia" w:ascii="仿宋_GB2312" w:hAnsi="仿宋_GB2312" w:cs="仿宋_GB2312"/>
          <w:spacing w:val="10"/>
          <w:kern w:val="0"/>
        </w:rPr>
        <w:t>一是按照《突发公共卫生事件应急物资最低储备参考目录》要求，完成了最低应急物资储备，减少突发疫情对应急物资供应的影响，保障了社会应急服务能力。二是成立市县两级流调指挥中心，按省每万人有1.5</w:t>
      </w:r>
      <w:r>
        <w:rPr>
          <w:rFonts w:ascii="仿宋_GB2312" w:hAnsi="仿宋_GB2312" w:cs="仿宋_GB2312"/>
          <w:spacing w:val="10"/>
          <w:kern w:val="0"/>
        </w:rPr>
        <w:t>0</w:t>
      </w:r>
      <w:r>
        <w:rPr>
          <w:rFonts w:hint="eastAsia" w:ascii="仿宋_GB2312" w:hAnsi="仿宋_GB2312" w:cs="仿宋_GB2312"/>
          <w:spacing w:val="10"/>
          <w:kern w:val="0"/>
        </w:rPr>
        <w:t>名流调员的标准，建设552人的三级流调队伍，提高了精准防控的社会服务能力。三是按要求完成省疫情防控指挥部的支援任务，派出24批（543人次）的流调队伍支援支援梅州、深圳等10个兄弟省市，保障了兄弟省市疫情服务水平，扩大本市疫情防控社会服务范围。四是面向809人次开展突发公共卫生应急处置能力培训和演练，提高了疫情工作人员的服务能力。</w:t>
      </w:r>
    </w:p>
    <w:p>
      <w:pPr>
        <w:pStyle w:val="3"/>
        <w:ind w:firstLine="643"/>
      </w:pPr>
      <w:bookmarkStart w:id="49" w:name="_Toc150765128"/>
      <w:bookmarkStart w:id="50" w:name="_Toc147654916"/>
      <w:r>
        <w:rPr>
          <w:rFonts w:hint="eastAsia"/>
        </w:rPr>
        <w:t>（二）落实韶关民生实事，把好健康关口</w:t>
      </w:r>
      <w:bookmarkEnd w:id="49"/>
      <w:bookmarkEnd w:id="50"/>
    </w:p>
    <w:p>
      <w:pPr>
        <w:ind w:firstLine="660"/>
        <w:rPr>
          <w:rFonts w:ascii="仿宋_GB2312" w:hAnsi="仿宋_GB2312" w:cs="仿宋_GB2312"/>
          <w:spacing w:val="10"/>
          <w:kern w:val="0"/>
        </w:rPr>
      </w:pPr>
      <w:r>
        <w:rPr>
          <w:rFonts w:hint="eastAsia" w:ascii="仿宋_GB2312" w:hAnsi="仿宋_GB2312" w:cs="仿宋_GB2312"/>
          <w:spacing w:val="10"/>
          <w:kern w:val="0"/>
        </w:rPr>
        <w:t>一是落实了各项免费健康筛查项目，全市共有11</w:t>
      </w:r>
      <w:r>
        <w:rPr>
          <w:rFonts w:ascii="仿宋_GB2312" w:hAnsi="仿宋_GB2312" w:cs="仿宋_GB2312"/>
          <w:spacing w:val="10"/>
          <w:kern w:val="0"/>
        </w:rPr>
        <w:t>,</w:t>
      </w:r>
      <w:r>
        <w:rPr>
          <w:rFonts w:hint="eastAsia" w:ascii="仿宋_GB2312" w:hAnsi="仿宋_GB2312" w:cs="仿宋_GB2312"/>
          <w:spacing w:val="10"/>
          <w:kern w:val="0"/>
        </w:rPr>
        <w:t>171人开展肠癌早筛、19</w:t>
      </w:r>
      <w:r>
        <w:rPr>
          <w:rFonts w:ascii="仿宋_GB2312" w:hAnsi="仿宋_GB2312" w:cs="仿宋_GB2312"/>
          <w:spacing w:val="10"/>
          <w:kern w:val="0"/>
        </w:rPr>
        <w:t>,</w:t>
      </w:r>
      <w:r>
        <w:rPr>
          <w:rFonts w:hint="eastAsia" w:ascii="仿宋_GB2312" w:hAnsi="仿宋_GB2312" w:cs="仿宋_GB2312"/>
          <w:spacing w:val="10"/>
          <w:kern w:val="0"/>
        </w:rPr>
        <w:t>609名新生儿听力障碍筛查、19</w:t>
      </w:r>
      <w:r>
        <w:rPr>
          <w:rFonts w:ascii="仿宋_GB2312" w:hAnsi="仿宋_GB2312" w:cs="仿宋_GB2312"/>
          <w:spacing w:val="10"/>
          <w:kern w:val="0"/>
        </w:rPr>
        <w:t>,</w:t>
      </w:r>
      <w:r>
        <w:rPr>
          <w:rFonts w:hint="eastAsia" w:ascii="仿宋_GB2312" w:hAnsi="仿宋_GB2312" w:cs="仿宋_GB2312"/>
          <w:spacing w:val="10"/>
          <w:kern w:val="0"/>
        </w:rPr>
        <w:t>624名新生儿苯丙酮尿症筛查、19</w:t>
      </w:r>
      <w:r>
        <w:rPr>
          <w:rFonts w:ascii="仿宋_GB2312" w:hAnsi="仿宋_GB2312" w:cs="仿宋_GB2312"/>
          <w:spacing w:val="10"/>
          <w:kern w:val="0"/>
        </w:rPr>
        <w:t>,</w:t>
      </w:r>
      <w:r>
        <w:rPr>
          <w:rFonts w:hint="eastAsia" w:ascii="仿宋_GB2312" w:hAnsi="仿宋_GB2312" w:cs="仿宋_GB2312"/>
          <w:spacing w:val="10"/>
          <w:kern w:val="0"/>
        </w:rPr>
        <w:t>624名先天性甲低筛查、107.00%</w:t>
      </w:r>
      <w:r>
        <w:rPr>
          <w:rStyle w:val="23"/>
          <w:rFonts w:hint="eastAsia" w:ascii="仿宋_GB2312" w:hAnsi="仿宋_GB2312" w:cs="仿宋_GB2312"/>
          <w:spacing w:val="10"/>
          <w:kern w:val="0"/>
        </w:rPr>
        <w:footnoteReference w:id="1"/>
      </w:r>
      <w:r>
        <w:rPr>
          <w:rFonts w:hint="eastAsia" w:ascii="仿宋_GB2312" w:hAnsi="仿宋_GB2312" w:cs="仿宋_GB2312"/>
          <w:spacing w:val="10"/>
          <w:kern w:val="0"/>
        </w:rPr>
        <w:t>的宫颈癌检查任务结案、107.01%</w:t>
      </w:r>
      <w:r>
        <w:rPr>
          <w:rStyle w:val="23"/>
          <w:rFonts w:hint="eastAsia" w:ascii="仿宋_GB2312" w:hAnsi="仿宋_GB2312" w:cs="仿宋_GB2312"/>
          <w:spacing w:val="10"/>
          <w:kern w:val="0"/>
        </w:rPr>
        <w:footnoteReference w:id="2"/>
      </w:r>
      <w:r>
        <w:rPr>
          <w:rFonts w:hint="eastAsia" w:ascii="仿宋_GB2312" w:hAnsi="仿宋_GB2312" w:cs="仿宋_GB2312"/>
          <w:spacing w:val="10"/>
          <w:kern w:val="0"/>
        </w:rPr>
        <w:t>的乳腺癌检查任务结案，推动“发现、早诊断、早治疗”落实。二是落实健康疫苗接种，全市已完成HPV疫苗首针接种19</w:t>
      </w:r>
      <w:r>
        <w:rPr>
          <w:rFonts w:ascii="仿宋_GB2312" w:hAnsi="仿宋_GB2312" w:cs="仿宋_GB2312"/>
          <w:spacing w:val="10"/>
          <w:kern w:val="0"/>
        </w:rPr>
        <w:t>,</w:t>
      </w:r>
      <w:r>
        <w:rPr>
          <w:rFonts w:hint="eastAsia" w:ascii="仿宋_GB2312" w:hAnsi="仿宋_GB2312" w:cs="仿宋_GB2312"/>
          <w:spacing w:val="10"/>
          <w:kern w:val="0"/>
        </w:rPr>
        <w:t>526人。三是落实各类群体规范管理，提高精准医护体系能力，96.08%的严重精神障碍患者规范管理、93.8</w:t>
      </w:r>
      <w:r>
        <w:rPr>
          <w:rFonts w:ascii="仿宋_GB2312" w:hAnsi="仿宋_GB2312" w:cs="仿宋_GB2312"/>
          <w:spacing w:val="10"/>
          <w:kern w:val="0"/>
        </w:rPr>
        <w:t>0</w:t>
      </w:r>
      <w:r>
        <w:rPr>
          <w:rFonts w:hint="eastAsia" w:ascii="仿宋_GB2312" w:hAnsi="仿宋_GB2312" w:cs="仿宋_GB2312"/>
          <w:spacing w:val="10"/>
          <w:kern w:val="0"/>
        </w:rPr>
        <w:t>%的肺结核患者规范管理、56.89%的65岁及以上老年人城乡社区规范健康管理。</w:t>
      </w:r>
    </w:p>
    <w:p>
      <w:pPr>
        <w:pStyle w:val="3"/>
        <w:ind w:firstLine="643"/>
      </w:pPr>
      <w:bookmarkStart w:id="51" w:name="_Toc150765129"/>
      <w:bookmarkStart w:id="52" w:name="_Toc147654917"/>
      <w:r>
        <w:rPr>
          <w:rFonts w:hint="eastAsia"/>
        </w:rPr>
        <w:t>（三）推进卫生健康基本公共服务均等化</w:t>
      </w:r>
      <w:bookmarkEnd w:id="51"/>
      <w:bookmarkEnd w:id="52"/>
    </w:p>
    <w:p>
      <w:pPr>
        <w:ind w:firstLine="660"/>
        <w:outlineLvl w:val="2"/>
        <w:rPr>
          <w:rFonts w:ascii="仿宋_GB2312" w:hAnsi="仿宋_GB2312" w:cs="仿宋_GB2312"/>
          <w:spacing w:val="10"/>
          <w:kern w:val="0"/>
        </w:rPr>
      </w:pPr>
      <w:bookmarkStart w:id="53" w:name="_Toc146026884"/>
      <w:r>
        <w:rPr>
          <w:rFonts w:hint="eastAsia" w:ascii="仿宋_GB2312" w:hAnsi="仿宋_GB2312" w:cs="仿宋_GB2312"/>
          <w:spacing w:val="10"/>
          <w:kern w:val="0"/>
        </w:rPr>
        <w:t>1.完善基层医疗卫生服务体系</w:t>
      </w:r>
      <w:bookmarkEnd w:id="53"/>
    </w:p>
    <w:p>
      <w:pPr>
        <w:ind w:firstLine="660"/>
        <w:rPr>
          <w:rFonts w:ascii="仿宋_GB2312" w:hAnsi="仿宋_GB2312" w:cs="仿宋_GB2312"/>
          <w:spacing w:val="10"/>
          <w:kern w:val="0"/>
        </w:rPr>
      </w:pPr>
      <w:r>
        <w:rPr>
          <w:rFonts w:hint="eastAsia" w:ascii="仿宋_GB2312" w:hAnsi="仿宋_GB2312" w:cs="仿宋_GB2312"/>
          <w:spacing w:val="10"/>
          <w:kern w:val="0"/>
        </w:rPr>
        <w:t>一是注重乡村卫生健康人才培训，提高了基层医护服务实力。组织开展乡村医生培训，开展了优质服务基层行活动，深入开展基本公共卫生服务项目，扎实推进家庭医生签约服务，提升了基层医疗卫生服务能力。二是完善基层人员补贴，提高了卫生服务人员的保障。通过完善保障山区和农村边远地区乡镇卫生院医务人员工资福利待遇的长效机制，建立适应当前经济社会发展的医务人员岗位津贴制度，鼓励和吸引优秀人才到山区和农村边远地区基层医疗卫生机构工作。</w:t>
      </w:r>
    </w:p>
    <w:p>
      <w:pPr>
        <w:ind w:firstLine="660"/>
        <w:outlineLvl w:val="2"/>
        <w:rPr>
          <w:rFonts w:ascii="仿宋_GB2312" w:hAnsi="仿宋_GB2312" w:cs="仿宋_GB2312"/>
          <w:spacing w:val="10"/>
          <w:kern w:val="0"/>
        </w:rPr>
      </w:pPr>
      <w:bookmarkStart w:id="54" w:name="_Toc146026885"/>
      <w:r>
        <w:rPr>
          <w:rFonts w:hint="eastAsia" w:ascii="仿宋_GB2312" w:hAnsi="仿宋_GB2312" w:cs="仿宋_GB2312"/>
          <w:spacing w:val="10"/>
          <w:kern w:val="0"/>
        </w:rPr>
        <w:t>2.做好基层卫生健康人才培养</w:t>
      </w:r>
      <w:bookmarkEnd w:id="54"/>
    </w:p>
    <w:p>
      <w:pPr>
        <w:ind w:firstLine="660"/>
        <w:rPr>
          <w:rFonts w:ascii="仿宋_GB2312" w:hAnsi="仿宋_GB2312" w:cs="仿宋_GB2312"/>
          <w:spacing w:val="10"/>
          <w:kern w:val="0"/>
        </w:rPr>
      </w:pPr>
      <w:r>
        <w:rPr>
          <w:rFonts w:hint="eastAsia" w:ascii="仿宋_GB2312" w:hAnsi="仿宋_GB2312" w:cs="仿宋_GB2312"/>
          <w:spacing w:val="10"/>
          <w:kern w:val="0"/>
        </w:rPr>
        <w:t>一是通过订单定向培养医学大学生，提高了基层卫生健康服务人才储备。2022年度完成1</w:t>
      </w:r>
      <w:r>
        <w:rPr>
          <w:rFonts w:ascii="仿宋_GB2312" w:hAnsi="仿宋_GB2312" w:cs="仿宋_GB2312"/>
          <w:spacing w:val="10"/>
          <w:kern w:val="0"/>
        </w:rPr>
        <w:t>,</w:t>
      </w:r>
      <w:r>
        <w:rPr>
          <w:rFonts w:hint="eastAsia" w:ascii="仿宋_GB2312" w:hAnsi="仿宋_GB2312" w:cs="仿宋_GB2312"/>
          <w:spacing w:val="10"/>
          <w:kern w:val="0"/>
        </w:rPr>
        <w:t>578人培养任务，2022届订单定向毕业生265人（本科学位105人、专科160人）。二是落实全科和助理全科医生培训，2022年全科医生招生163人，通过全科医生转岗、岗位等多种形式的培训，为基层培养了“小病善治、大病善识、重病善转、慢病善管”的防治结合型全科医学人才。</w:t>
      </w:r>
    </w:p>
    <w:p>
      <w:pPr>
        <w:pStyle w:val="2"/>
        <w:ind w:firstLine="663"/>
      </w:pPr>
      <w:bookmarkStart w:id="55" w:name="_Toc147654918"/>
      <w:bookmarkStart w:id="56" w:name="_Toc150765130"/>
      <w:r>
        <w:rPr>
          <w:rFonts w:hint="eastAsia"/>
        </w:rPr>
        <w:t>五、存在问题与改进建议</w:t>
      </w:r>
      <w:bookmarkEnd w:id="55"/>
      <w:bookmarkEnd w:id="56"/>
    </w:p>
    <w:p>
      <w:pPr>
        <w:pStyle w:val="3"/>
        <w:ind w:firstLine="643"/>
      </w:pPr>
      <w:bookmarkStart w:id="57" w:name="_Toc150765131"/>
      <w:bookmarkStart w:id="58" w:name="_Toc147654919"/>
      <w:r>
        <w:rPr>
          <w:rFonts w:hint="eastAsia"/>
        </w:rPr>
        <w:t>（一）存在问题</w:t>
      </w:r>
      <w:bookmarkEnd w:id="57"/>
    </w:p>
    <w:p>
      <w:pPr>
        <w:ind w:firstLine="660"/>
        <w:outlineLvl w:val="2"/>
        <w:rPr>
          <w:rFonts w:ascii="仿宋_GB2312" w:hAnsi="仿宋_GB2312" w:cs="仿宋_GB2312"/>
          <w:spacing w:val="10"/>
          <w:kern w:val="0"/>
        </w:rPr>
      </w:pPr>
      <w:r>
        <w:rPr>
          <w:rFonts w:hint="eastAsia" w:ascii="仿宋_GB2312" w:hAnsi="仿宋_GB2312" w:cs="仿宋_GB2312"/>
          <w:spacing w:val="10"/>
          <w:kern w:val="0"/>
        </w:rPr>
        <w:t>1.采购监管不到位，政府采买不规范</w:t>
      </w:r>
    </w:p>
    <w:p>
      <w:pPr>
        <w:ind w:firstLine="660"/>
        <w:rPr>
          <w:rFonts w:ascii="仿宋_GB2312" w:hAnsi="仿宋_GB2312" w:cs="仿宋_GB2312"/>
          <w:spacing w:val="10"/>
          <w:kern w:val="0"/>
        </w:rPr>
      </w:pPr>
      <w:r>
        <w:rPr>
          <w:rFonts w:hint="eastAsia" w:ascii="仿宋_GB2312" w:hAnsi="仿宋_GB2312" w:cs="仿宋_GB2312"/>
          <w:spacing w:val="10"/>
          <w:kern w:val="0"/>
        </w:rPr>
        <w:t>（1）部分政府采购项目未能在规定时间内签订合同。</w:t>
      </w:r>
    </w:p>
    <w:p>
      <w:pPr>
        <w:ind w:firstLine="660"/>
        <w:rPr>
          <w:rFonts w:ascii="仿宋_GB2312" w:hAnsi="仿宋_GB2312" w:cs="仿宋_GB2312"/>
          <w:spacing w:val="10"/>
          <w:kern w:val="0"/>
        </w:rPr>
      </w:pPr>
      <w:r>
        <w:rPr>
          <w:rFonts w:hint="eastAsia" w:ascii="仿宋_GB2312" w:hAnsi="仿宋_GB2312" w:cs="仿宋_GB2312"/>
          <w:spacing w:val="10"/>
          <w:kern w:val="0"/>
        </w:rPr>
        <w:t>根据《中华人民共和国招标投标法》规定：招标人和中标人应当自中标通知书发出之日起三十日内订立书面合同。2022年韶关市卫健局通过公开招标采购30个项目，其中6个项目未能在中标公告30日内完成合同签订（具体见表5-1），合同签订执行不规范。</w:t>
      </w:r>
    </w:p>
    <w:p>
      <w:pPr>
        <w:ind w:firstLine="0" w:firstLineChars="0"/>
        <w:jc w:val="center"/>
        <w:rPr>
          <w:rFonts w:ascii="宋体" w:hAnsi="宋体" w:eastAsia="宋体" w:cs="Times New Roman"/>
          <w:b/>
          <w:bCs/>
          <w:spacing w:val="10"/>
          <w:kern w:val="0"/>
          <w:sz w:val="28"/>
          <w:szCs w:val="28"/>
        </w:rPr>
      </w:pPr>
      <w:r>
        <w:rPr>
          <w:rFonts w:hint="eastAsia" w:ascii="宋体" w:hAnsi="宋体" w:eastAsia="宋体" w:cs="Times New Roman"/>
          <w:b/>
          <w:bCs/>
          <w:spacing w:val="10"/>
          <w:kern w:val="0"/>
          <w:sz w:val="28"/>
          <w:szCs w:val="28"/>
        </w:rPr>
        <w:t>表</w:t>
      </w:r>
      <w:r>
        <w:rPr>
          <w:rFonts w:ascii="宋体" w:hAnsi="宋体" w:eastAsia="宋体" w:cs="Times New Roman"/>
          <w:b/>
          <w:bCs/>
          <w:spacing w:val="10"/>
          <w:kern w:val="0"/>
          <w:sz w:val="28"/>
          <w:szCs w:val="28"/>
        </w:rPr>
        <w:t xml:space="preserve">5-1 </w:t>
      </w:r>
      <w:r>
        <w:rPr>
          <w:rFonts w:hint="eastAsia" w:ascii="宋体" w:hAnsi="宋体" w:eastAsia="宋体" w:cs="Times New Roman"/>
          <w:b/>
          <w:bCs/>
          <w:spacing w:val="10"/>
          <w:kern w:val="0"/>
          <w:sz w:val="28"/>
          <w:szCs w:val="28"/>
        </w:rPr>
        <w:t>部分未及时签订合同的项目</w:t>
      </w:r>
    </w:p>
    <w:tbl>
      <w:tblPr>
        <w:tblStyle w:val="18"/>
        <w:tblW w:w="555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3"/>
        <w:gridCol w:w="1408"/>
        <w:gridCol w:w="1283"/>
        <w:gridCol w:w="2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509" w:type="pc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szCs w:val="18"/>
              </w:rPr>
            </w:pPr>
            <w:r>
              <w:rPr>
                <w:rFonts w:hint="eastAsia" w:ascii="Times New Roman" w:hAnsi="Times New Roman" w:cs="Times New Roman"/>
                <w:b/>
                <w:bCs/>
                <w:spacing w:val="10"/>
                <w:sz w:val="18"/>
                <w:szCs w:val="18"/>
              </w:rPr>
              <w:t>项目</w:t>
            </w:r>
          </w:p>
        </w:tc>
        <w:tc>
          <w:tcPr>
            <w:tcW w:w="743" w:type="pc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szCs w:val="18"/>
              </w:rPr>
            </w:pPr>
            <w:r>
              <w:rPr>
                <w:rFonts w:hint="eastAsia" w:ascii="Times New Roman" w:hAnsi="Times New Roman" w:cs="Times New Roman"/>
                <w:b/>
                <w:bCs/>
                <w:spacing w:val="10"/>
                <w:sz w:val="18"/>
                <w:szCs w:val="18"/>
              </w:rPr>
              <w:t>中标</w:t>
            </w:r>
          </w:p>
        </w:tc>
        <w:tc>
          <w:tcPr>
            <w:tcW w:w="677" w:type="pc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szCs w:val="18"/>
              </w:rPr>
            </w:pPr>
            <w:r>
              <w:rPr>
                <w:rFonts w:hint="eastAsia" w:ascii="Times New Roman" w:hAnsi="Times New Roman" w:cs="Times New Roman"/>
                <w:b/>
                <w:bCs/>
                <w:spacing w:val="10"/>
                <w:sz w:val="18"/>
                <w:szCs w:val="18"/>
              </w:rPr>
              <w:t>合同签订</w:t>
            </w:r>
          </w:p>
        </w:tc>
        <w:tc>
          <w:tcPr>
            <w:tcW w:w="1069" w:type="pc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szCs w:val="18"/>
              </w:rPr>
            </w:pPr>
            <w:r>
              <w:rPr>
                <w:rFonts w:hint="eastAsia" w:ascii="Times New Roman" w:hAnsi="Times New Roman" w:cs="Times New Roman"/>
                <w:b/>
                <w:bCs/>
                <w:spacing w:val="10"/>
                <w:sz w:val="18"/>
                <w:szCs w:val="18"/>
              </w:rPr>
              <w:t>中标与合同签订间隔（天）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09"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hint="eastAsia" w:ascii="Times New Roman" w:hAnsi="Times New Roman" w:cs="Times New Roman"/>
                <w:spacing w:val="10"/>
                <w:sz w:val="18"/>
                <w:szCs w:val="18"/>
              </w:rPr>
              <w:t>韶关市第一人民医院电子支气管镜系统</w:t>
            </w:r>
            <w:r>
              <w:rPr>
                <w:rFonts w:ascii="Times New Roman" w:hAnsi="Times New Roman" w:cs="Times New Roman"/>
                <w:spacing w:val="10"/>
                <w:sz w:val="18"/>
                <w:szCs w:val="18"/>
              </w:rPr>
              <w:t>+</w:t>
            </w:r>
            <w:r>
              <w:rPr>
                <w:rFonts w:hint="eastAsia" w:ascii="Times New Roman" w:hAnsi="Times New Roman" w:cs="Times New Roman"/>
                <w:spacing w:val="10"/>
                <w:sz w:val="18"/>
                <w:szCs w:val="18"/>
              </w:rPr>
              <w:t>超声支气管镜系统采购项目</w:t>
            </w:r>
          </w:p>
        </w:tc>
        <w:tc>
          <w:tcPr>
            <w:tcW w:w="743"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ascii="Times New Roman" w:hAnsi="Times New Roman" w:cs="Times New Roman"/>
                <w:spacing w:val="10"/>
                <w:sz w:val="18"/>
                <w:szCs w:val="18"/>
              </w:rPr>
              <w:t>2022/7/13</w:t>
            </w:r>
          </w:p>
        </w:tc>
        <w:tc>
          <w:tcPr>
            <w:tcW w:w="677"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ascii="Times New Roman" w:hAnsi="Times New Roman" w:cs="Times New Roman"/>
                <w:spacing w:val="10"/>
                <w:sz w:val="18"/>
                <w:szCs w:val="18"/>
              </w:rPr>
              <w:t>2022/8/30</w:t>
            </w:r>
          </w:p>
        </w:tc>
        <w:tc>
          <w:tcPr>
            <w:tcW w:w="1069" w:type="pc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09"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hint="eastAsia" w:ascii="Times New Roman" w:hAnsi="Times New Roman" w:cs="Times New Roman"/>
                <w:spacing w:val="10"/>
                <w:sz w:val="18"/>
                <w:szCs w:val="18"/>
              </w:rPr>
              <w:t>韶关市第一人民医院</w:t>
            </w:r>
            <w:r>
              <w:rPr>
                <w:rFonts w:ascii="Times New Roman" w:hAnsi="Times New Roman" w:cs="Times New Roman"/>
                <w:spacing w:val="10"/>
                <w:sz w:val="18"/>
                <w:szCs w:val="18"/>
              </w:rPr>
              <w:t xml:space="preserve">3.0T </w:t>
            </w:r>
            <w:r>
              <w:rPr>
                <w:rFonts w:hint="eastAsia" w:ascii="Times New Roman" w:hAnsi="Times New Roman" w:cs="Times New Roman"/>
                <w:spacing w:val="10"/>
                <w:sz w:val="18"/>
                <w:szCs w:val="18"/>
              </w:rPr>
              <w:t>临床科研型磁共振机及配套的软件采购项目</w:t>
            </w:r>
          </w:p>
        </w:tc>
        <w:tc>
          <w:tcPr>
            <w:tcW w:w="743"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ascii="Times New Roman" w:hAnsi="Times New Roman" w:cs="Times New Roman"/>
                <w:spacing w:val="10"/>
                <w:sz w:val="18"/>
                <w:szCs w:val="18"/>
              </w:rPr>
              <w:t>2022/7/13</w:t>
            </w:r>
          </w:p>
        </w:tc>
        <w:tc>
          <w:tcPr>
            <w:tcW w:w="677"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ascii="Times New Roman" w:hAnsi="Times New Roman" w:cs="Times New Roman"/>
                <w:spacing w:val="10"/>
                <w:sz w:val="18"/>
                <w:szCs w:val="18"/>
              </w:rPr>
              <w:t>2022/8/23</w:t>
            </w:r>
          </w:p>
        </w:tc>
        <w:tc>
          <w:tcPr>
            <w:tcW w:w="1069" w:type="pc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09"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hint="eastAsia" w:ascii="Times New Roman" w:hAnsi="Times New Roman" w:cs="Times New Roman"/>
                <w:spacing w:val="10"/>
                <w:sz w:val="18"/>
                <w:szCs w:val="18"/>
              </w:rPr>
              <w:t>韶关市第一人民医院骨科机器人及配套设备采购项目</w:t>
            </w:r>
          </w:p>
        </w:tc>
        <w:tc>
          <w:tcPr>
            <w:tcW w:w="743"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ascii="Times New Roman" w:hAnsi="Times New Roman" w:cs="Times New Roman"/>
                <w:spacing w:val="10"/>
                <w:sz w:val="18"/>
                <w:szCs w:val="18"/>
              </w:rPr>
              <w:t>2022/7/13</w:t>
            </w:r>
          </w:p>
        </w:tc>
        <w:tc>
          <w:tcPr>
            <w:tcW w:w="677"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ascii="Times New Roman" w:hAnsi="Times New Roman" w:cs="Times New Roman"/>
                <w:spacing w:val="10"/>
                <w:sz w:val="18"/>
                <w:szCs w:val="18"/>
              </w:rPr>
              <w:t>2022/8/16</w:t>
            </w:r>
          </w:p>
        </w:tc>
        <w:tc>
          <w:tcPr>
            <w:tcW w:w="1069" w:type="pc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09"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hint="eastAsia" w:ascii="Times New Roman" w:hAnsi="Times New Roman" w:cs="Times New Roman"/>
                <w:spacing w:val="10"/>
                <w:sz w:val="18"/>
                <w:szCs w:val="18"/>
              </w:rPr>
              <w:t>韶关市第一人民医院移动式三维</w:t>
            </w:r>
            <w:r>
              <w:rPr>
                <w:rFonts w:ascii="Times New Roman" w:hAnsi="Times New Roman" w:cs="Times New Roman"/>
                <w:spacing w:val="10"/>
                <w:sz w:val="18"/>
                <w:szCs w:val="18"/>
              </w:rPr>
              <w:t>C</w:t>
            </w:r>
            <w:r>
              <w:rPr>
                <w:rFonts w:hint="eastAsia" w:ascii="Times New Roman" w:hAnsi="Times New Roman" w:cs="Times New Roman"/>
                <w:spacing w:val="10"/>
                <w:sz w:val="18"/>
                <w:szCs w:val="18"/>
              </w:rPr>
              <w:t>臂</w:t>
            </w:r>
            <w:r>
              <w:rPr>
                <w:rFonts w:ascii="Times New Roman" w:hAnsi="Times New Roman" w:cs="Times New Roman"/>
                <w:spacing w:val="10"/>
                <w:sz w:val="18"/>
                <w:szCs w:val="18"/>
              </w:rPr>
              <w:t>CT</w:t>
            </w:r>
            <w:r>
              <w:rPr>
                <w:rFonts w:hint="eastAsia" w:ascii="Times New Roman" w:hAnsi="Times New Roman" w:cs="Times New Roman"/>
                <w:spacing w:val="10"/>
                <w:sz w:val="18"/>
                <w:szCs w:val="18"/>
              </w:rPr>
              <w:t>系统（移动式</w:t>
            </w:r>
            <w:r>
              <w:rPr>
                <w:rFonts w:ascii="Times New Roman" w:hAnsi="Times New Roman" w:cs="Times New Roman"/>
                <w:spacing w:val="10"/>
                <w:sz w:val="18"/>
                <w:szCs w:val="18"/>
              </w:rPr>
              <w:t>C</w:t>
            </w:r>
            <w:r>
              <w:rPr>
                <w:rFonts w:hint="eastAsia" w:ascii="Times New Roman" w:hAnsi="Times New Roman" w:cs="Times New Roman"/>
                <w:spacing w:val="10"/>
                <w:sz w:val="18"/>
                <w:szCs w:val="18"/>
              </w:rPr>
              <w:t>形臂</w:t>
            </w:r>
            <w:r>
              <w:rPr>
                <w:rFonts w:ascii="Times New Roman" w:hAnsi="Times New Roman" w:cs="Times New Roman"/>
                <w:spacing w:val="10"/>
                <w:sz w:val="18"/>
                <w:szCs w:val="18"/>
              </w:rPr>
              <w:t>X</w:t>
            </w:r>
            <w:r>
              <w:rPr>
                <w:rFonts w:hint="eastAsia" w:ascii="Times New Roman" w:hAnsi="Times New Roman" w:cs="Times New Roman"/>
                <w:spacing w:val="10"/>
                <w:sz w:val="18"/>
                <w:szCs w:val="18"/>
              </w:rPr>
              <w:t>射线机）采购项目</w:t>
            </w:r>
          </w:p>
        </w:tc>
        <w:tc>
          <w:tcPr>
            <w:tcW w:w="743"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ascii="Times New Roman" w:hAnsi="Times New Roman" w:cs="Times New Roman"/>
                <w:spacing w:val="10"/>
                <w:sz w:val="18"/>
                <w:szCs w:val="18"/>
              </w:rPr>
              <w:t>2022/6/13</w:t>
            </w:r>
          </w:p>
        </w:tc>
        <w:tc>
          <w:tcPr>
            <w:tcW w:w="677"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ascii="Times New Roman" w:hAnsi="Times New Roman" w:cs="Times New Roman"/>
                <w:spacing w:val="10"/>
                <w:sz w:val="18"/>
                <w:szCs w:val="18"/>
              </w:rPr>
              <w:t>2022/7/19</w:t>
            </w:r>
          </w:p>
        </w:tc>
        <w:tc>
          <w:tcPr>
            <w:tcW w:w="1069" w:type="pc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09"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hint="eastAsia" w:ascii="Times New Roman" w:hAnsi="Times New Roman" w:cs="Times New Roman"/>
                <w:spacing w:val="10"/>
                <w:sz w:val="18"/>
                <w:szCs w:val="18"/>
              </w:rPr>
              <w:t>韶关市第一人民医院体外膜肺氧合系统</w:t>
            </w:r>
            <w:r>
              <w:rPr>
                <w:rFonts w:ascii="Times New Roman" w:hAnsi="Times New Roman" w:cs="Times New Roman"/>
                <w:spacing w:val="10"/>
                <w:sz w:val="18"/>
                <w:szCs w:val="18"/>
              </w:rPr>
              <w:t>(ECMO)</w:t>
            </w:r>
            <w:r>
              <w:rPr>
                <w:rFonts w:hint="eastAsia" w:ascii="Times New Roman" w:hAnsi="Times New Roman" w:cs="Times New Roman"/>
                <w:spacing w:val="10"/>
                <w:sz w:val="18"/>
                <w:szCs w:val="18"/>
              </w:rPr>
              <w:t>和脉搏指数连续心排量监测技术检测仪</w:t>
            </w:r>
            <w:r>
              <w:rPr>
                <w:rFonts w:ascii="Times New Roman" w:hAnsi="Times New Roman" w:cs="Times New Roman"/>
                <w:spacing w:val="10"/>
                <w:sz w:val="18"/>
                <w:szCs w:val="18"/>
              </w:rPr>
              <w:t>(PICCO)</w:t>
            </w:r>
            <w:r>
              <w:rPr>
                <w:rFonts w:hint="eastAsia" w:ascii="Times New Roman" w:hAnsi="Times New Roman" w:cs="Times New Roman"/>
                <w:spacing w:val="10"/>
                <w:sz w:val="18"/>
                <w:szCs w:val="18"/>
              </w:rPr>
              <w:t>采购项目</w:t>
            </w:r>
          </w:p>
        </w:tc>
        <w:tc>
          <w:tcPr>
            <w:tcW w:w="743"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ascii="Times New Roman" w:hAnsi="Times New Roman" w:cs="Times New Roman"/>
                <w:spacing w:val="10"/>
                <w:sz w:val="18"/>
                <w:szCs w:val="18"/>
              </w:rPr>
              <w:t>2022/6/13</w:t>
            </w:r>
          </w:p>
        </w:tc>
        <w:tc>
          <w:tcPr>
            <w:tcW w:w="677"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ascii="Times New Roman" w:hAnsi="Times New Roman" w:cs="Times New Roman"/>
                <w:spacing w:val="10"/>
                <w:sz w:val="18"/>
                <w:szCs w:val="18"/>
              </w:rPr>
              <w:t>2022/5/10</w:t>
            </w:r>
          </w:p>
        </w:tc>
        <w:tc>
          <w:tcPr>
            <w:tcW w:w="1069" w:type="pc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09"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hint="eastAsia" w:ascii="Times New Roman" w:hAnsi="Times New Roman" w:cs="Times New Roman"/>
                <w:spacing w:val="10"/>
                <w:sz w:val="18"/>
                <w:szCs w:val="18"/>
              </w:rPr>
              <w:t>粤北第二人民医院城市传染病救治网络建设项目（</w:t>
            </w:r>
            <w:r>
              <w:rPr>
                <w:rFonts w:ascii="Times New Roman" w:hAnsi="Times New Roman" w:cs="Times New Roman"/>
                <w:spacing w:val="10"/>
                <w:sz w:val="18"/>
                <w:szCs w:val="18"/>
              </w:rPr>
              <w:t>ICU</w:t>
            </w:r>
            <w:r>
              <w:rPr>
                <w:rFonts w:hint="eastAsia" w:ascii="Times New Roman" w:hAnsi="Times New Roman" w:cs="Times New Roman"/>
                <w:spacing w:val="10"/>
                <w:sz w:val="18"/>
                <w:szCs w:val="18"/>
              </w:rPr>
              <w:t>病床配套设备）</w:t>
            </w:r>
          </w:p>
        </w:tc>
        <w:tc>
          <w:tcPr>
            <w:tcW w:w="743"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ascii="Times New Roman" w:hAnsi="Times New Roman" w:cs="Times New Roman"/>
                <w:spacing w:val="10"/>
                <w:sz w:val="18"/>
                <w:szCs w:val="18"/>
              </w:rPr>
              <w:t>2021/12/21</w:t>
            </w:r>
          </w:p>
        </w:tc>
        <w:tc>
          <w:tcPr>
            <w:tcW w:w="677" w:type="pct"/>
            <w:vAlign w:val="center"/>
          </w:tcPr>
          <w:p>
            <w:pPr>
              <w:pStyle w:val="4"/>
              <w:adjustRightInd w:val="0"/>
              <w:snapToGrid w:val="0"/>
              <w:spacing w:before="0" w:beforeAutospacing="0" w:after="0" w:afterAutospacing="0"/>
              <w:ind w:firstLine="34" w:firstLineChars="17"/>
              <w:jc w:val="both"/>
              <w:rPr>
                <w:rFonts w:ascii="Times New Roman" w:hAnsi="Times New Roman" w:cs="Times New Roman"/>
                <w:spacing w:val="10"/>
                <w:sz w:val="18"/>
                <w:szCs w:val="18"/>
              </w:rPr>
            </w:pPr>
            <w:r>
              <w:rPr>
                <w:rFonts w:ascii="Times New Roman" w:hAnsi="Times New Roman" w:cs="Times New Roman"/>
                <w:spacing w:val="10"/>
                <w:sz w:val="18"/>
                <w:szCs w:val="18"/>
              </w:rPr>
              <w:t>2022/1/28</w:t>
            </w:r>
          </w:p>
        </w:tc>
        <w:tc>
          <w:tcPr>
            <w:tcW w:w="1069" w:type="pct"/>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38</w:t>
            </w:r>
          </w:p>
        </w:tc>
      </w:tr>
    </w:tbl>
    <w:p>
      <w:pPr>
        <w:ind w:firstLine="660"/>
        <w:rPr>
          <w:rFonts w:ascii="仿宋_GB2312" w:hAnsi="仿宋_GB2312" w:cs="仿宋_GB2312"/>
          <w:spacing w:val="10"/>
          <w:kern w:val="0"/>
        </w:rPr>
      </w:pPr>
      <w:r>
        <w:rPr>
          <w:rFonts w:hint="eastAsia" w:ascii="仿宋_GB2312" w:hAnsi="仿宋_GB2312" w:cs="仿宋_GB2312"/>
          <w:spacing w:val="10"/>
          <w:kern w:val="0"/>
        </w:rPr>
        <w:t>（2）部分项目未能在规定时间内完成合同备案</w:t>
      </w:r>
    </w:p>
    <w:p>
      <w:pPr>
        <w:ind w:firstLine="660"/>
        <w:rPr>
          <w:rFonts w:ascii="仿宋_GB2312" w:hAnsi="仿宋_GB2312" w:cs="仿宋_GB2312"/>
          <w:spacing w:val="10"/>
          <w:kern w:val="0"/>
        </w:rPr>
      </w:pPr>
      <w:r>
        <w:rPr>
          <w:rFonts w:hint="eastAsia" w:ascii="仿宋_GB2312" w:hAnsi="仿宋_GB2312" w:cs="仿宋_GB2312"/>
          <w:spacing w:val="10"/>
          <w:kern w:val="0"/>
        </w:rPr>
        <w:t>根据广东省《关于加强政府采购合同签订、公开和备案管理有关工作的通知》要求：政府采购项目自合同签订之日起2个工作日内备案公开。现场核查发现，2022年韶关市卫健局采购的部分项目未能在2个工作日内完成合同备案（具体见表5-2），增加项目实施风险。</w:t>
      </w:r>
    </w:p>
    <w:p>
      <w:pPr>
        <w:ind w:firstLine="0" w:firstLineChars="0"/>
        <w:jc w:val="center"/>
        <w:rPr>
          <w:rFonts w:ascii="宋体" w:hAnsi="宋体" w:eastAsia="宋体" w:cs="Times New Roman"/>
          <w:b/>
          <w:bCs/>
          <w:spacing w:val="10"/>
          <w:kern w:val="0"/>
          <w:sz w:val="28"/>
          <w:szCs w:val="28"/>
        </w:rPr>
      </w:pPr>
      <w:r>
        <w:rPr>
          <w:rFonts w:hint="eastAsia" w:ascii="宋体" w:hAnsi="宋体" w:eastAsia="宋体" w:cs="Times New Roman"/>
          <w:b/>
          <w:bCs/>
          <w:spacing w:val="10"/>
          <w:kern w:val="0"/>
          <w:sz w:val="28"/>
          <w:szCs w:val="28"/>
        </w:rPr>
        <w:t>表</w:t>
      </w:r>
      <w:r>
        <w:rPr>
          <w:rFonts w:ascii="宋体" w:hAnsi="宋体" w:eastAsia="宋体" w:cs="Times New Roman"/>
          <w:b/>
          <w:bCs/>
          <w:spacing w:val="10"/>
          <w:kern w:val="0"/>
          <w:sz w:val="28"/>
          <w:szCs w:val="28"/>
        </w:rPr>
        <w:t xml:space="preserve">5-2 </w:t>
      </w:r>
      <w:r>
        <w:rPr>
          <w:rFonts w:hint="eastAsia" w:ascii="宋体" w:hAnsi="宋体" w:eastAsia="宋体" w:cs="Times New Roman"/>
          <w:b/>
          <w:bCs/>
          <w:spacing w:val="10"/>
          <w:kern w:val="0"/>
          <w:sz w:val="28"/>
          <w:szCs w:val="28"/>
        </w:rPr>
        <w:t>部分未及时备案的项目</w:t>
      </w:r>
    </w:p>
    <w:tbl>
      <w:tblPr>
        <w:tblStyle w:val="18"/>
        <w:tblW w:w="9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57"/>
        <w:gridCol w:w="1223"/>
        <w:gridCol w:w="1223"/>
        <w:gridCol w:w="1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57" w:type="dxa"/>
            <w:vAlign w:val="center"/>
          </w:tcPr>
          <w:p>
            <w:pPr>
              <w:pStyle w:val="24"/>
              <w:ind w:firstLine="0" w:firstLineChars="0"/>
              <w:jc w:val="center"/>
              <w:rPr>
                <w:rFonts w:ascii="宋体" w:hAnsi="宋体" w:eastAsia="宋体" w:cs="Times New Roman"/>
                <w:spacing w:val="10"/>
                <w:kern w:val="0"/>
                <w:sz w:val="18"/>
                <w:szCs w:val="18"/>
              </w:rPr>
            </w:pPr>
            <w:r>
              <w:rPr>
                <w:rFonts w:hint="eastAsia" w:ascii="宋体" w:hAnsi="宋体" w:eastAsia="宋体" w:cs="Times New Roman"/>
                <w:b/>
                <w:bCs/>
                <w:spacing w:val="10"/>
                <w:sz w:val="18"/>
                <w:szCs w:val="18"/>
              </w:rPr>
              <w:t>项目</w:t>
            </w:r>
          </w:p>
        </w:tc>
        <w:tc>
          <w:tcPr>
            <w:tcW w:w="1223" w:type="dxa"/>
            <w:vAlign w:val="center"/>
          </w:tcPr>
          <w:p>
            <w:pPr>
              <w:pStyle w:val="24"/>
              <w:ind w:firstLine="0" w:firstLineChars="0"/>
              <w:jc w:val="center"/>
              <w:rPr>
                <w:rFonts w:ascii="宋体" w:hAnsi="宋体" w:eastAsia="宋体" w:cs="Times New Roman"/>
                <w:spacing w:val="10"/>
                <w:kern w:val="0"/>
                <w:sz w:val="18"/>
                <w:szCs w:val="18"/>
              </w:rPr>
            </w:pPr>
            <w:r>
              <w:rPr>
                <w:rFonts w:hint="eastAsia" w:ascii="宋体" w:hAnsi="宋体" w:eastAsia="宋体" w:cs="Arial"/>
                <w:b/>
                <w:bCs/>
                <w:color w:val="000000"/>
                <w:kern w:val="0"/>
                <w:sz w:val="18"/>
                <w:szCs w:val="18"/>
              </w:rPr>
              <w:t>合同签订</w:t>
            </w:r>
          </w:p>
        </w:tc>
        <w:tc>
          <w:tcPr>
            <w:tcW w:w="1223" w:type="dxa"/>
            <w:vAlign w:val="center"/>
          </w:tcPr>
          <w:p>
            <w:pPr>
              <w:pStyle w:val="24"/>
              <w:ind w:firstLine="0" w:firstLineChars="0"/>
              <w:jc w:val="center"/>
              <w:rPr>
                <w:rFonts w:ascii="宋体" w:hAnsi="宋体" w:eastAsia="宋体" w:cs="Times New Roman"/>
                <w:spacing w:val="10"/>
                <w:kern w:val="0"/>
                <w:sz w:val="18"/>
                <w:szCs w:val="18"/>
              </w:rPr>
            </w:pPr>
            <w:r>
              <w:rPr>
                <w:rFonts w:hint="eastAsia" w:ascii="宋体" w:hAnsi="宋体" w:eastAsia="宋体" w:cs="Arial"/>
                <w:b/>
                <w:bCs/>
                <w:color w:val="000000"/>
                <w:kern w:val="0"/>
                <w:sz w:val="18"/>
                <w:szCs w:val="18"/>
              </w:rPr>
              <w:t>合同备案</w:t>
            </w:r>
          </w:p>
        </w:tc>
        <w:tc>
          <w:tcPr>
            <w:tcW w:w="1616" w:type="dxa"/>
            <w:vAlign w:val="center"/>
          </w:tcPr>
          <w:p>
            <w:pPr>
              <w:pStyle w:val="24"/>
              <w:ind w:firstLine="0" w:firstLineChars="0"/>
              <w:jc w:val="center"/>
              <w:rPr>
                <w:rFonts w:ascii="宋体" w:hAnsi="宋体" w:eastAsia="宋体" w:cs="Times New Roman"/>
                <w:spacing w:val="10"/>
                <w:kern w:val="0"/>
                <w:sz w:val="18"/>
                <w:szCs w:val="18"/>
              </w:rPr>
            </w:pPr>
            <w:r>
              <w:rPr>
                <w:rFonts w:hint="eastAsia" w:ascii="宋体" w:hAnsi="宋体" w:eastAsia="宋体" w:cs="Arial"/>
                <w:b/>
                <w:bCs/>
                <w:color w:val="000000"/>
                <w:kern w:val="0"/>
                <w:sz w:val="18"/>
                <w:szCs w:val="18"/>
              </w:rPr>
              <w:t>签订与备案间隔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韶关市第一人民医院彩色3D打印机、数字式医用红外热像仪采购项目</w:t>
            </w:r>
          </w:p>
        </w:tc>
        <w:tc>
          <w:tcPr>
            <w:tcW w:w="1223"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2022.3.22</w:t>
            </w:r>
          </w:p>
        </w:tc>
        <w:tc>
          <w:tcPr>
            <w:tcW w:w="1223"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2022.3.30</w:t>
            </w:r>
          </w:p>
        </w:tc>
        <w:tc>
          <w:tcPr>
            <w:tcW w:w="1616" w:type="dxa"/>
            <w:vAlign w:val="center"/>
          </w:tcPr>
          <w:p>
            <w:pPr>
              <w:pStyle w:val="24"/>
              <w:ind w:firstLine="0" w:firstLineChars="0"/>
              <w:jc w:val="center"/>
              <w:rPr>
                <w:rFonts w:eastAsia="宋体" w:cs="Times New Roman"/>
                <w:spacing w:val="10"/>
                <w:kern w:val="0"/>
                <w:sz w:val="18"/>
                <w:szCs w:val="18"/>
              </w:rPr>
            </w:pPr>
            <w:r>
              <w:rPr>
                <w:rFonts w:eastAsia="宋体" w:cs="Times New Roman"/>
                <w:spacing w:val="10"/>
                <w:kern w:val="0"/>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vAlign w:val="center"/>
          </w:tcPr>
          <w:p>
            <w:pPr>
              <w:pStyle w:val="24"/>
              <w:ind w:firstLine="0" w:firstLineChars="0"/>
              <w:rPr>
                <w:rFonts w:eastAsia="宋体" w:cs="Times New Roman"/>
                <w:spacing w:val="10"/>
                <w:kern w:val="0"/>
                <w:sz w:val="18"/>
                <w:szCs w:val="18"/>
              </w:rPr>
            </w:pPr>
            <w:r>
              <w:rPr>
                <w:rFonts w:hint="eastAsia" w:eastAsia="宋体" w:cs="Times New Roman"/>
                <w:spacing w:val="10"/>
                <w:kern w:val="0"/>
                <w:sz w:val="18"/>
                <w:szCs w:val="18"/>
              </w:rPr>
              <w:t>韶关市第一人民医院彩色</w:t>
            </w:r>
            <w:r>
              <w:rPr>
                <w:rFonts w:eastAsia="宋体" w:cs="Times New Roman"/>
                <w:spacing w:val="10"/>
                <w:kern w:val="0"/>
                <w:sz w:val="18"/>
                <w:szCs w:val="18"/>
              </w:rPr>
              <w:t>3D</w:t>
            </w:r>
            <w:r>
              <w:rPr>
                <w:rFonts w:hint="eastAsia" w:eastAsia="宋体" w:cs="Times New Roman"/>
                <w:spacing w:val="10"/>
                <w:kern w:val="0"/>
                <w:sz w:val="18"/>
                <w:szCs w:val="18"/>
              </w:rPr>
              <w:t>打印机、数字式医用红外热像仪采购项目</w:t>
            </w:r>
          </w:p>
        </w:tc>
        <w:tc>
          <w:tcPr>
            <w:tcW w:w="1223"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2022.3.22</w:t>
            </w:r>
          </w:p>
        </w:tc>
        <w:tc>
          <w:tcPr>
            <w:tcW w:w="1223"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 xml:space="preserve">2022.3.25 </w:t>
            </w:r>
          </w:p>
        </w:tc>
        <w:tc>
          <w:tcPr>
            <w:tcW w:w="1616" w:type="dxa"/>
            <w:vAlign w:val="center"/>
          </w:tcPr>
          <w:p>
            <w:pPr>
              <w:pStyle w:val="24"/>
              <w:ind w:firstLine="0" w:firstLineChars="0"/>
              <w:jc w:val="center"/>
              <w:rPr>
                <w:rFonts w:eastAsia="宋体" w:cs="Times New Roman"/>
                <w:spacing w:val="10"/>
                <w:kern w:val="0"/>
                <w:sz w:val="18"/>
                <w:szCs w:val="18"/>
              </w:rPr>
            </w:pPr>
            <w:r>
              <w:rPr>
                <w:rFonts w:eastAsia="宋体" w:cs="Times New Roman"/>
                <w:spacing w:val="10"/>
                <w:kern w:val="0"/>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957"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韶关市第一人民医院腔内碎石机（超声弹道碎石系统）、泌尿外科超高清摄像系统采购项目</w:t>
            </w:r>
          </w:p>
        </w:tc>
        <w:tc>
          <w:tcPr>
            <w:tcW w:w="1223"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2022.3.8</w:t>
            </w:r>
          </w:p>
        </w:tc>
        <w:tc>
          <w:tcPr>
            <w:tcW w:w="1223"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2022.3.11</w:t>
            </w:r>
          </w:p>
        </w:tc>
        <w:tc>
          <w:tcPr>
            <w:tcW w:w="1616" w:type="dxa"/>
            <w:vAlign w:val="center"/>
          </w:tcPr>
          <w:p>
            <w:pPr>
              <w:pStyle w:val="24"/>
              <w:ind w:firstLine="0" w:firstLineChars="0"/>
              <w:jc w:val="center"/>
              <w:rPr>
                <w:rFonts w:eastAsia="宋体" w:cs="Times New Roman"/>
                <w:spacing w:val="10"/>
                <w:kern w:val="0"/>
                <w:sz w:val="18"/>
                <w:szCs w:val="18"/>
              </w:rPr>
            </w:pPr>
            <w:r>
              <w:rPr>
                <w:rFonts w:eastAsia="宋体" w:cs="Times New Roman"/>
                <w:spacing w:val="10"/>
                <w:kern w:val="0"/>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韶关市第一人民医院腔内碎石机（超声弹道碎石系统）、泌尿外科超高清摄像系统采购项目</w:t>
            </w:r>
          </w:p>
        </w:tc>
        <w:tc>
          <w:tcPr>
            <w:tcW w:w="1223"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2022.3.8</w:t>
            </w:r>
          </w:p>
        </w:tc>
        <w:tc>
          <w:tcPr>
            <w:tcW w:w="1223"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2022.3.11</w:t>
            </w:r>
          </w:p>
        </w:tc>
        <w:tc>
          <w:tcPr>
            <w:tcW w:w="1616" w:type="dxa"/>
            <w:vAlign w:val="center"/>
          </w:tcPr>
          <w:p>
            <w:pPr>
              <w:pStyle w:val="24"/>
              <w:ind w:firstLine="0" w:firstLineChars="0"/>
              <w:jc w:val="center"/>
              <w:rPr>
                <w:rFonts w:eastAsia="宋体" w:cs="Times New Roman"/>
                <w:spacing w:val="10"/>
                <w:kern w:val="0"/>
                <w:sz w:val="18"/>
                <w:szCs w:val="18"/>
              </w:rPr>
            </w:pPr>
            <w:r>
              <w:rPr>
                <w:rFonts w:eastAsia="宋体" w:cs="Times New Roman"/>
                <w:spacing w:val="10"/>
                <w:kern w:val="0"/>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韶关市第一人民医院前列腺等离子电切系统、尿动力学分析仪、钬激光治疗机采购项目</w:t>
            </w:r>
          </w:p>
        </w:tc>
        <w:tc>
          <w:tcPr>
            <w:tcW w:w="1223"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2022.3.8</w:t>
            </w:r>
          </w:p>
        </w:tc>
        <w:tc>
          <w:tcPr>
            <w:tcW w:w="1223" w:type="dxa"/>
            <w:vAlign w:val="center"/>
          </w:tcPr>
          <w:p>
            <w:pPr>
              <w:pStyle w:val="24"/>
              <w:ind w:firstLine="0" w:firstLineChars="0"/>
              <w:rPr>
                <w:rFonts w:eastAsia="宋体" w:cs="Times New Roman"/>
                <w:spacing w:val="10"/>
                <w:kern w:val="0"/>
                <w:sz w:val="18"/>
                <w:szCs w:val="18"/>
              </w:rPr>
            </w:pPr>
            <w:r>
              <w:rPr>
                <w:rFonts w:eastAsia="宋体" w:cs="Times New Roman"/>
                <w:spacing w:val="10"/>
                <w:kern w:val="0"/>
                <w:sz w:val="18"/>
                <w:szCs w:val="18"/>
              </w:rPr>
              <w:t>2022.3.11</w:t>
            </w:r>
          </w:p>
        </w:tc>
        <w:tc>
          <w:tcPr>
            <w:tcW w:w="1616" w:type="dxa"/>
            <w:vAlign w:val="center"/>
          </w:tcPr>
          <w:p>
            <w:pPr>
              <w:pStyle w:val="24"/>
              <w:ind w:firstLine="0" w:firstLineChars="0"/>
              <w:jc w:val="center"/>
              <w:rPr>
                <w:rFonts w:eastAsia="宋体" w:cs="Times New Roman"/>
                <w:spacing w:val="10"/>
                <w:kern w:val="0"/>
                <w:sz w:val="18"/>
                <w:szCs w:val="18"/>
              </w:rPr>
            </w:pPr>
            <w:r>
              <w:rPr>
                <w:rFonts w:eastAsia="宋体" w:cs="Times New Roman"/>
                <w:spacing w:val="10"/>
                <w:kern w:val="0"/>
                <w:sz w:val="18"/>
                <w:szCs w:val="18"/>
              </w:rPr>
              <w:t>4</w:t>
            </w:r>
          </w:p>
        </w:tc>
      </w:tr>
    </w:tbl>
    <w:p>
      <w:pPr>
        <w:ind w:firstLine="660"/>
        <w:rPr>
          <w:rFonts w:ascii="仿宋_GB2312" w:hAnsi="仿宋_GB2312" w:cs="仿宋_GB2312"/>
          <w:spacing w:val="10"/>
          <w:kern w:val="0"/>
        </w:rPr>
      </w:pPr>
      <w:r>
        <w:rPr>
          <w:rFonts w:hint="eastAsia" w:ascii="仿宋_GB2312" w:hAnsi="仿宋_GB2312" w:cs="仿宋_GB2312"/>
          <w:spacing w:val="10"/>
          <w:kern w:val="0"/>
        </w:rPr>
        <w:t>（3）部分项目采购流程倒置</w:t>
      </w:r>
    </w:p>
    <w:p>
      <w:pPr>
        <w:ind w:firstLine="660"/>
        <w:rPr>
          <w:rFonts w:ascii="仿宋_GB2312" w:hAnsi="仿宋_GB2312" w:cs="仿宋_GB2312"/>
          <w:spacing w:val="10"/>
          <w:kern w:val="0"/>
        </w:rPr>
      </w:pPr>
      <w:r>
        <w:rPr>
          <w:rFonts w:hint="eastAsia" w:ascii="仿宋_GB2312" w:hAnsi="仿宋_GB2312" w:cs="仿宋_GB2312"/>
          <w:spacing w:val="10"/>
          <w:kern w:val="0"/>
        </w:rPr>
        <w:t>根据《中华人民共和国招标投标法》规定，政府采购的基本程序流程为“采购方发布招标公告，供应商投标，确定并发布中标公告，再签订合同”。现场调研发现，部分项目的采购程序倒置，出现“先签订合同，再发布采购意向和中标通知”的倒置流程。如韶关市第一人民医院体外膜肺氧合系统(ECMO)和脉搏指数连续心排量监测技术检测仪(PICCO)采购项目（具体见表5-3），2022年5月13日发布采购公告、2022年6月13日发布中标公告、2022年5月13日发布合同公告。同时，该项目中标供应商为韶关市众心医疗器械有限公司、中标价格为395万元，但实际合同签订的供应商为韶关市鸿灿医疗器械有限公司、合同价格为168万元，即中标单位与实际采购单位不一致、中标金额与合同金额不一致。又如2022年粤北人民医院韶关市肠癌筛查服务项目项目存在项目采购流程倒置、采购时间与实际服务时间不一致的问题，项目于2022年11月10日发布招标公告，2022年12月8日发布中标公告，但2022年12月27日签订的合同服务起始时间为2022年5月1日，降低项目执行的规范性。</w:t>
      </w:r>
    </w:p>
    <w:p>
      <w:pPr>
        <w:ind w:firstLine="582"/>
        <w:jc w:val="center"/>
        <w:rPr>
          <w:rFonts w:ascii="宋体" w:hAnsi="宋体" w:eastAsia="宋体" w:cs="Times New Roman"/>
          <w:b/>
          <w:bCs/>
          <w:spacing w:val="10"/>
          <w:kern w:val="0"/>
          <w:sz w:val="28"/>
          <w:szCs w:val="28"/>
        </w:rPr>
      </w:pPr>
      <w:r>
        <w:rPr>
          <w:rFonts w:hint="eastAsia" w:ascii="宋体" w:hAnsi="宋体" w:eastAsia="宋体" w:cs="Times New Roman"/>
          <w:b/>
          <w:bCs/>
          <w:spacing w:val="10"/>
          <w:kern w:val="0"/>
          <w:sz w:val="28"/>
          <w:szCs w:val="28"/>
        </w:rPr>
        <w:t>表</w:t>
      </w:r>
      <w:r>
        <w:rPr>
          <w:rFonts w:ascii="宋体" w:hAnsi="宋体" w:eastAsia="宋体" w:cs="Times New Roman"/>
          <w:b/>
          <w:bCs/>
          <w:spacing w:val="10"/>
          <w:kern w:val="0"/>
          <w:sz w:val="28"/>
          <w:szCs w:val="28"/>
        </w:rPr>
        <w:t xml:space="preserve">5-3 </w:t>
      </w:r>
      <w:r>
        <w:rPr>
          <w:rFonts w:hint="eastAsia" w:ascii="宋体" w:hAnsi="宋体" w:eastAsia="宋体" w:cs="Times New Roman"/>
          <w:b/>
          <w:bCs/>
          <w:spacing w:val="10"/>
          <w:kern w:val="0"/>
          <w:sz w:val="28"/>
          <w:szCs w:val="28"/>
        </w:rPr>
        <w:t>部分采购流程倒置项目的采购流程</w:t>
      </w:r>
    </w:p>
    <w:tbl>
      <w:tblPr>
        <w:tblStyle w:val="18"/>
        <w:tblW w:w="0" w:type="auto"/>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4"/>
        <w:gridCol w:w="3958"/>
        <w:gridCol w:w="2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903"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szCs w:val="18"/>
              </w:rPr>
            </w:pPr>
            <w:r>
              <w:rPr>
                <w:rFonts w:hint="eastAsia" w:ascii="Times New Roman" w:hAnsi="Times New Roman" w:cs="Times New Roman"/>
                <w:b/>
                <w:bCs/>
                <w:spacing w:val="10"/>
                <w:sz w:val="18"/>
                <w:szCs w:val="18"/>
              </w:rPr>
              <w:t>流程</w:t>
            </w:r>
          </w:p>
        </w:tc>
        <w:tc>
          <w:tcPr>
            <w:tcW w:w="4847"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szCs w:val="18"/>
              </w:rPr>
            </w:pPr>
            <w:r>
              <w:rPr>
                <w:rFonts w:hint="eastAsia" w:ascii="Times New Roman" w:hAnsi="Times New Roman" w:cs="Times New Roman"/>
                <w:b/>
                <w:bCs/>
                <w:spacing w:val="10"/>
                <w:sz w:val="18"/>
                <w:szCs w:val="18"/>
              </w:rPr>
              <w:t>时间</w:t>
            </w:r>
          </w:p>
        </w:tc>
        <w:tc>
          <w:tcPr>
            <w:tcW w:w="3346"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szCs w:val="18"/>
              </w:rPr>
            </w:pPr>
            <w:r>
              <w:rPr>
                <w:rFonts w:hint="eastAsia" w:ascii="Times New Roman" w:hAnsi="Times New Roman" w:cs="Times New Roman"/>
                <w:b/>
                <w:bCs/>
                <w:spacing w:val="1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03"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采购公告</w:t>
            </w:r>
          </w:p>
        </w:tc>
        <w:tc>
          <w:tcPr>
            <w:tcW w:w="4847"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2022.5.13</w:t>
            </w:r>
          </w:p>
        </w:tc>
        <w:tc>
          <w:tcPr>
            <w:tcW w:w="3346"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中标公告</w:t>
            </w:r>
          </w:p>
        </w:tc>
        <w:tc>
          <w:tcPr>
            <w:tcW w:w="4847"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2022.6.13</w:t>
            </w:r>
          </w:p>
        </w:tc>
        <w:tc>
          <w:tcPr>
            <w:tcW w:w="3346"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合同公告</w:t>
            </w:r>
          </w:p>
        </w:tc>
        <w:tc>
          <w:tcPr>
            <w:tcW w:w="4847"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2022.5.13</w:t>
            </w:r>
          </w:p>
        </w:tc>
        <w:tc>
          <w:tcPr>
            <w:tcW w:w="3346"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中标主体</w:t>
            </w:r>
          </w:p>
        </w:tc>
        <w:tc>
          <w:tcPr>
            <w:tcW w:w="4847"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韶关市众心医疗器械有限公司</w:t>
            </w:r>
          </w:p>
        </w:tc>
        <w:tc>
          <w:tcPr>
            <w:tcW w:w="3346"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中标价格</w:t>
            </w:r>
            <w:r>
              <w:rPr>
                <w:rFonts w:ascii="Times New Roman" w:hAnsi="Times New Roman" w:cs="Times New Roman"/>
                <w:spacing w:val="10"/>
                <w:sz w:val="18"/>
                <w:szCs w:val="18"/>
              </w:rPr>
              <w:t>395</w:t>
            </w:r>
            <w:r>
              <w:rPr>
                <w:rFonts w:hint="eastAsia" w:ascii="Times New Roman" w:hAnsi="Times New Roman" w:cs="Times New Roman"/>
                <w:spacing w:val="10"/>
                <w:sz w:val="18"/>
                <w:szCs w:val="1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3"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签约主体</w:t>
            </w:r>
          </w:p>
        </w:tc>
        <w:tc>
          <w:tcPr>
            <w:tcW w:w="4847"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韶关市鸿灿医疗器械有限公司</w:t>
            </w:r>
          </w:p>
        </w:tc>
        <w:tc>
          <w:tcPr>
            <w:tcW w:w="3346"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合同价格</w:t>
            </w:r>
            <w:r>
              <w:rPr>
                <w:rFonts w:ascii="Times New Roman" w:hAnsi="Times New Roman" w:cs="Times New Roman"/>
                <w:spacing w:val="10"/>
                <w:sz w:val="18"/>
                <w:szCs w:val="18"/>
              </w:rPr>
              <w:t>168</w:t>
            </w:r>
            <w:r>
              <w:rPr>
                <w:rFonts w:hint="eastAsia" w:ascii="Times New Roman" w:hAnsi="Times New Roman" w:cs="Times New Roman"/>
                <w:spacing w:val="10"/>
                <w:sz w:val="18"/>
                <w:szCs w:val="18"/>
              </w:rPr>
              <w:t>万元</w:t>
            </w:r>
          </w:p>
        </w:tc>
      </w:tr>
    </w:tbl>
    <w:p>
      <w:pPr>
        <w:ind w:firstLine="660"/>
        <w:rPr>
          <w:rFonts w:ascii="仿宋_GB2312" w:hAnsi="仿宋_GB2312" w:cs="仿宋_GB2312"/>
          <w:spacing w:val="10"/>
          <w:kern w:val="0"/>
        </w:rPr>
      </w:pPr>
      <w:r>
        <w:rPr>
          <w:rFonts w:hint="eastAsia" w:ascii="仿宋_GB2312" w:hAnsi="仿宋_GB2312" w:cs="仿宋_GB2312"/>
          <w:spacing w:val="10"/>
          <w:kern w:val="0"/>
        </w:rPr>
        <w:t>（4）部分项目采购的时间范围超出政府采购要求。</w:t>
      </w:r>
    </w:p>
    <w:p>
      <w:pPr>
        <w:ind w:firstLine="660"/>
        <w:rPr>
          <w:rFonts w:ascii="仿宋_GB2312" w:hAnsi="仿宋_GB2312" w:cs="仿宋_GB2312"/>
          <w:spacing w:val="10"/>
          <w:kern w:val="0"/>
        </w:rPr>
      </w:pPr>
      <w:r>
        <w:rPr>
          <w:rFonts w:hint="eastAsia" w:ascii="仿宋_GB2312" w:hAnsi="仿宋_GB2312" w:cs="仿宋_GB2312"/>
          <w:spacing w:val="10"/>
          <w:kern w:val="0"/>
        </w:rPr>
        <w:t>根据《中华人民共和国政府采购法》规定：政府采购的服务项目签订合同期限不超过3年。2022年粤北人民医院韶关市肠癌筛查服务项目，签订合同的期限为5年8个月（2022.5.1-2027.12.31），超出《采购法》规定的合同服务时间范畴。</w:t>
      </w:r>
    </w:p>
    <w:p>
      <w:pPr>
        <w:ind w:firstLine="660"/>
        <w:outlineLvl w:val="2"/>
        <w:rPr>
          <w:rFonts w:hint="eastAsia" w:ascii="仿宋_GB2312" w:hAnsi="仿宋_GB2312" w:cs="仿宋_GB2312"/>
          <w:spacing w:val="10"/>
          <w:kern w:val="0"/>
        </w:rPr>
      </w:pPr>
      <w:r>
        <w:rPr>
          <w:rFonts w:hint="eastAsia" w:ascii="仿宋_GB2312" w:hAnsi="仿宋_GB2312" w:cs="仿宋_GB2312"/>
          <w:spacing w:val="10"/>
          <w:kern w:val="0"/>
        </w:rPr>
        <w:t>2.项目管理不到位，项目实施缺少保障</w:t>
      </w:r>
    </w:p>
    <w:p>
      <w:pPr>
        <w:ind w:firstLine="660"/>
        <w:rPr>
          <w:rFonts w:ascii="仿宋_GB2312" w:hAnsi="仿宋_GB2312" w:cs="仿宋_GB2312"/>
          <w:spacing w:val="10"/>
          <w:kern w:val="0"/>
        </w:rPr>
      </w:pPr>
      <w:r>
        <w:rPr>
          <w:rFonts w:hint="eastAsia" w:ascii="仿宋_GB2312" w:hAnsi="仿宋_GB2312" w:cs="仿宋_GB2312"/>
          <w:spacing w:val="10"/>
          <w:kern w:val="0"/>
        </w:rPr>
        <w:t>根据国务院《推进财政资金统筹使用方案》的要求，财政资金使用单位应当建立信息定期统计制度，认真分析预算执行等有关情况。现场调研发现，部门未建立项目台账管理制度，项目执行缺少过程跟踪，卫健局及17个下属单位2022年共安排259个项目，有项目未能如期完成。</w:t>
      </w:r>
    </w:p>
    <w:p>
      <w:pPr>
        <w:ind w:firstLine="660"/>
        <w:outlineLvl w:val="2"/>
        <w:rPr>
          <w:rFonts w:ascii="仿宋_GB2312" w:hAnsi="仿宋_GB2312" w:cs="仿宋_GB2312"/>
          <w:spacing w:val="10"/>
          <w:kern w:val="0"/>
        </w:rPr>
      </w:pPr>
      <w:r>
        <w:rPr>
          <w:rFonts w:hint="eastAsia" w:ascii="仿宋_GB2312" w:hAnsi="仿宋_GB2312" w:cs="仿宋_GB2312"/>
          <w:spacing w:val="10"/>
          <w:kern w:val="0"/>
        </w:rPr>
        <w:t>3.部分账表数据不一致，财务管理有待进一步提高</w:t>
      </w:r>
    </w:p>
    <w:p>
      <w:pPr>
        <w:ind w:firstLine="660"/>
        <w:rPr>
          <w:rFonts w:ascii="仿宋_GB2312" w:hAnsi="仿宋_GB2312" w:cs="仿宋_GB2312"/>
          <w:spacing w:val="10"/>
          <w:kern w:val="0"/>
        </w:rPr>
      </w:pPr>
      <w:r>
        <w:rPr>
          <w:rFonts w:hint="eastAsia" w:ascii="仿宋_GB2312" w:hAnsi="仿宋_GB2312" w:cs="仿宋_GB2312"/>
          <w:spacing w:val="10"/>
          <w:kern w:val="0"/>
        </w:rPr>
        <w:t>根据《中华人民共和国会计法》的第七条规定：各单位应定期核对会计账簿，保证账账相符。市卫健局“三公”经费的年初预算数据在不同账表存在不同数据，《2</w:t>
      </w:r>
      <w:r>
        <w:rPr>
          <w:rFonts w:ascii="仿宋_GB2312" w:hAnsi="仿宋_GB2312" w:cs="仿宋_GB2312"/>
          <w:spacing w:val="10"/>
          <w:kern w:val="0"/>
        </w:rPr>
        <w:t>022</w:t>
      </w:r>
      <w:r>
        <w:rPr>
          <w:rFonts w:hint="eastAsia" w:ascii="仿宋_GB2312" w:hAnsi="仿宋_GB2312" w:cs="仿宋_GB2312"/>
          <w:spacing w:val="10"/>
          <w:kern w:val="0"/>
        </w:rPr>
        <w:t>年韶关市卫健局部门预算公开》显示：“三公”经费年初预算为1</w:t>
      </w:r>
      <w:r>
        <w:rPr>
          <w:rFonts w:ascii="仿宋_GB2312" w:hAnsi="仿宋_GB2312" w:cs="仿宋_GB2312"/>
          <w:spacing w:val="10"/>
          <w:kern w:val="0"/>
        </w:rPr>
        <w:t>20.10万元</w:t>
      </w:r>
      <w:r>
        <w:rPr>
          <w:rFonts w:hint="eastAsia" w:ascii="仿宋_GB2312" w:hAnsi="仿宋_GB2312" w:cs="仿宋_GB2312"/>
          <w:spacing w:val="10"/>
          <w:kern w:val="0"/>
        </w:rPr>
        <w:t>，《2</w:t>
      </w:r>
      <w:r>
        <w:rPr>
          <w:rFonts w:ascii="仿宋_GB2312" w:hAnsi="仿宋_GB2312" w:cs="仿宋_GB2312"/>
          <w:spacing w:val="10"/>
          <w:kern w:val="0"/>
        </w:rPr>
        <w:t>022年</w:t>
      </w:r>
      <w:r>
        <w:rPr>
          <w:rFonts w:hint="eastAsia" w:ascii="仿宋_GB2312" w:hAnsi="仿宋_GB2312" w:cs="仿宋_GB2312"/>
          <w:spacing w:val="10"/>
          <w:kern w:val="0"/>
        </w:rPr>
        <w:t>韶关市卫健局决算报表》显示：“三公”经费年初预算为1</w:t>
      </w:r>
      <w:r>
        <w:rPr>
          <w:rFonts w:ascii="仿宋_GB2312" w:hAnsi="仿宋_GB2312" w:cs="仿宋_GB2312"/>
          <w:spacing w:val="10"/>
          <w:kern w:val="0"/>
        </w:rPr>
        <w:t>83.75万元</w:t>
      </w:r>
      <w:r>
        <w:rPr>
          <w:rFonts w:hint="eastAsia" w:ascii="仿宋_GB2312" w:hAnsi="仿宋_GB2312" w:cs="仿宋_GB2312"/>
          <w:spacing w:val="10"/>
          <w:kern w:val="0"/>
        </w:rPr>
        <w:t>。具体“三公”经费的年初预算详情见表5-</w:t>
      </w:r>
      <w:r>
        <w:rPr>
          <w:rFonts w:ascii="仿宋_GB2312" w:hAnsi="仿宋_GB2312" w:cs="仿宋_GB2312"/>
          <w:spacing w:val="10"/>
          <w:kern w:val="0"/>
        </w:rPr>
        <w:t>4</w:t>
      </w:r>
      <w:r>
        <w:rPr>
          <w:rFonts w:hint="eastAsia" w:ascii="仿宋_GB2312" w:hAnsi="仿宋_GB2312" w:cs="仿宋_GB2312"/>
          <w:spacing w:val="10"/>
          <w:kern w:val="0"/>
        </w:rPr>
        <w:t>。</w:t>
      </w:r>
    </w:p>
    <w:p>
      <w:pPr>
        <w:pStyle w:val="4"/>
        <w:adjustRightInd w:val="0"/>
        <w:snapToGrid w:val="0"/>
        <w:spacing w:before="0" w:beforeAutospacing="0" w:after="0" w:afterAutospacing="0"/>
        <w:ind w:firstLine="0" w:firstLineChars="0"/>
        <w:jc w:val="center"/>
        <w:rPr>
          <w:rFonts w:cs="Times New Roman"/>
          <w:b/>
          <w:bCs/>
          <w:spacing w:val="10"/>
          <w:sz w:val="28"/>
          <w:szCs w:val="28"/>
        </w:rPr>
      </w:pPr>
      <w:r>
        <w:rPr>
          <w:rFonts w:hint="eastAsia" w:cs="Times New Roman"/>
          <w:b/>
          <w:bCs/>
          <w:spacing w:val="10"/>
          <w:sz w:val="28"/>
          <w:szCs w:val="28"/>
        </w:rPr>
        <w:t>表</w:t>
      </w:r>
      <w:r>
        <w:rPr>
          <w:rFonts w:cs="Times New Roman"/>
          <w:b/>
          <w:bCs/>
          <w:spacing w:val="10"/>
          <w:sz w:val="28"/>
          <w:szCs w:val="28"/>
        </w:rPr>
        <w:t>5-4</w:t>
      </w:r>
      <w:r>
        <w:rPr>
          <w:rFonts w:hint="eastAsia" w:cs="Times New Roman"/>
          <w:b/>
          <w:bCs/>
          <w:spacing w:val="10"/>
          <w:sz w:val="28"/>
          <w:szCs w:val="28"/>
        </w:rPr>
        <w:t>“三公”经费年初预算情况</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45" w:type="pct"/>
            <w:vAlign w:val="center"/>
          </w:tcPr>
          <w:p>
            <w:pPr>
              <w:pStyle w:val="4"/>
              <w:adjustRightInd w:val="0"/>
              <w:snapToGrid w:val="0"/>
              <w:spacing w:before="0" w:beforeAutospacing="0" w:after="0" w:afterAutospacing="0"/>
              <w:ind w:firstLine="0" w:firstLineChars="0"/>
              <w:jc w:val="center"/>
              <w:rPr>
                <w:rFonts w:ascii="Times New Roman" w:hAnsi="Times New Roman" w:cs="Times New Roman"/>
                <w:b/>
                <w:bCs/>
                <w:spacing w:val="10"/>
                <w:sz w:val="18"/>
                <w:szCs w:val="18"/>
              </w:rPr>
            </w:pPr>
            <w:r>
              <w:rPr>
                <w:rFonts w:ascii="Times New Roman" w:hAnsi="Times New Roman" w:cs="Times New Roman"/>
                <w:b/>
                <w:bCs/>
                <w:spacing w:val="10"/>
                <w:sz w:val="18"/>
                <w:szCs w:val="18"/>
              </w:rPr>
              <w:t>“</w:t>
            </w:r>
            <w:r>
              <w:rPr>
                <w:rFonts w:hint="eastAsia" w:ascii="Times New Roman" w:hAnsi="Times New Roman" w:cs="Times New Roman"/>
                <w:b/>
                <w:bCs/>
                <w:spacing w:val="10"/>
                <w:sz w:val="18"/>
                <w:szCs w:val="18"/>
              </w:rPr>
              <w:t>三公</w:t>
            </w:r>
            <w:r>
              <w:rPr>
                <w:rFonts w:ascii="Times New Roman" w:hAnsi="Times New Roman" w:cs="Times New Roman"/>
                <w:b/>
                <w:bCs/>
                <w:spacing w:val="10"/>
                <w:sz w:val="18"/>
                <w:szCs w:val="18"/>
              </w:rPr>
              <w:t>”</w:t>
            </w:r>
            <w:r>
              <w:rPr>
                <w:rFonts w:hint="eastAsia" w:ascii="Times New Roman" w:hAnsi="Times New Roman" w:cs="Times New Roman"/>
                <w:b/>
                <w:bCs/>
                <w:spacing w:val="10"/>
                <w:sz w:val="18"/>
                <w:szCs w:val="18"/>
              </w:rPr>
              <w:t>经费</w:t>
            </w:r>
          </w:p>
        </w:tc>
        <w:tc>
          <w:tcPr>
            <w:tcW w:w="1445" w:type="pct"/>
            <w:vAlign w:val="center"/>
          </w:tcPr>
          <w:p>
            <w:pPr>
              <w:pStyle w:val="4"/>
              <w:adjustRightInd w:val="0"/>
              <w:snapToGrid w:val="0"/>
              <w:spacing w:before="0" w:beforeAutospacing="0" w:after="0" w:afterAutospacing="0"/>
              <w:ind w:firstLine="0" w:firstLineChars="0"/>
              <w:jc w:val="center"/>
              <w:rPr>
                <w:rFonts w:ascii="Times New Roman" w:hAnsi="Times New Roman" w:cs="Times New Roman"/>
                <w:b/>
                <w:bCs/>
                <w:spacing w:val="10"/>
                <w:sz w:val="18"/>
                <w:szCs w:val="18"/>
              </w:rPr>
            </w:pPr>
            <w:r>
              <w:rPr>
                <w:rFonts w:hint="eastAsia" w:ascii="Times New Roman" w:hAnsi="Times New Roman" w:cs="Times New Roman"/>
                <w:b/>
                <w:bCs/>
                <w:spacing w:val="10"/>
                <w:sz w:val="18"/>
                <w:szCs w:val="18"/>
              </w:rPr>
              <w:t>预算公开（万元）</w:t>
            </w:r>
          </w:p>
        </w:tc>
        <w:tc>
          <w:tcPr>
            <w:tcW w:w="1445" w:type="pct"/>
            <w:vAlign w:val="center"/>
          </w:tcPr>
          <w:p>
            <w:pPr>
              <w:pStyle w:val="4"/>
              <w:adjustRightInd w:val="0"/>
              <w:snapToGrid w:val="0"/>
              <w:spacing w:before="0" w:beforeAutospacing="0" w:after="0" w:afterAutospacing="0"/>
              <w:ind w:firstLine="0" w:firstLineChars="0"/>
              <w:jc w:val="center"/>
              <w:rPr>
                <w:rFonts w:ascii="Times New Roman" w:hAnsi="Times New Roman" w:cs="Times New Roman"/>
                <w:b/>
                <w:bCs/>
                <w:spacing w:val="10"/>
                <w:sz w:val="18"/>
                <w:szCs w:val="18"/>
              </w:rPr>
            </w:pPr>
            <w:r>
              <w:rPr>
                <w:rFonts w:hint="eastAsia" w:ascii="Times New Roman" w:hAnsi="Times New Roman" w:cs="Times New Roman"/>
                <w:b/>
                <w:bCs/>
                <w:spacing w:val="10"/>
                <w:sz w:val="18"/>
                <w:szCs w:val="18"/>
              </w:rPr>
              <w:t>年终决算（万元）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5" w:type="pct"/>
            <w:vAlign w:val="center"/>
          </w:tcPr>
          <w:p>
            <w:pPr>
              <w:pStyle w:val="4"/>
              <w:adjustRightInd w:val="0"/>
              <w:snapToGrid w:val="0"/>
              <w:spacing w:before="0" w:beforeAutospacing="0" w:after="0" w:afterAutospacing="0"/>
              <w:ind w:firstLine="0" w:firstLineChars="0"/>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因公出国（境）费</w:t>
            </w:r>
          </w:p>
        </w:tc>
        <w:tc>
          <w:tcPr>
            <w:tcW w:w="1445" w:type="pct"/>
            <w:vAlign w:val="center"/>
          </w:tcPr>
          <w:p>
            <w:pPr>
              <w:pStyle w:val="4"/>
              <w:adjustRightInd w:val="0"/>
              <w:snapToGrid w:val="0"/>
              <w:spacing w:before="0" w:beforeAutospacing="0" w:after="0" w:afterAutospacing="0"/>
              <w:ind w:firstLine="0" w:firstLineChars="0"/>
              <w:jc w:val="right"/>
              <w:rPr>
                <w:rFonts w:ascii="Times New Roman" w:hAnsi="Times New Roman" w:cs="Times New Roman"/>
                <w:spacing w:val="10"/>
                <w:sz w:val="18"/>
                <w:szCs w:val="18"/>
              </w:rPr>
            </w:pPr>
            <w:r>
              <w:rPr>
                <w:rFonts w:ascii="Times New Roman" w:hAnsi="Times New Roman" w:cs="Times New Roman"/>
                <w:spacing w:val="10"/>
                <w:sz w:val="18"/>
                <w:szCs w:val="18"/>
              </w:rPr>
              <w:t>8.00</w:t>
            </w:r>
          </w:p>
        </w:tc>
        <w:tc>
          <w:tcPr>
            <w:tcW w:w="1445" w:type="pct"/>
            <w:vAlign w:val="center"/>
          </w:tcPr>
          <w:p>
            <w:pPr>
              <w:pStyle w:val="4"/>
              <w:adjustRightInd w:val="0"/>
              <w:snapToGrid w:val="0"/>
              <w:spacing w:before="0" w:beforeAutospacing="0" w:after="0" w:afterAutospacing="0"/>
              <w:ind w:firstLine="0" w:firstLineChars="0"/>
              <w:jc w:val="right"/>
              <w:rPr>
                <w:rFonts w:ascii="Times New Roman" w:hAnsi="Times New Roman" w:cs="Times New Roman"/>
                <w:spacing w:val="10"/>
                <w:sz w:val="18"/>
                <w:szCs w:val="18"/>
              </w:rPr>
            </w:pPr>
            <w:r>
              <w:rPr>
                <w:rFonts w:ascii="Times New Roman" w:hAnsi="Times New Roman" w:cs="Times New Roman"/>
                <w:spacing w:val="10"/>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45" w:type="pct"/>
            <w:vAlign w:val="center"/>
          </w:tcPr>
          <w:p>
            <w:pPr>
              <w:pStyle w:val="4"/>
              <w:adjustRightInd w:val="0"/>
              <w:snapToGrid w:val="0"/>
              <w:spacing w:before="0" w:beforeAutospacing="0" w:after="0" w:afterAutospacing="0"/>
              <w:ind w:firstLine="0" w:firstLineChars="0"/>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公务用车购置</w:t>
            </w:r>
          </w:p>
        </w:tc>
        <w:tc>
          <w:tcPr>
            <w:tcW w:w="1445" w:type="pct"/>
            <w:vAlign w:val="center"/>
          </w:tcPr>
          <w:p>
            <w:pPr>
              <w:pStyle w:val="4"/>
              <w:adjustRightInd w:val="0"/>
              <w:snapToGrid w:val="0"/>
              <w:spacing w:before="0" w:beforeAutospacing="0" w:after="0" w:afterAutospacing="0"/>
              <w:ind w:firstLine="0" w:firstLineChars="0"/>
              <w:jc w:val="right"/>
              <w:rPr>
                <w:rFonts w:ascii="Times New Roman" w:hAnsi="Times New Roman" w:cs="Times New Roman"/>
                <w:spacing w:val="10"/>
                <w:sz w:val="18"/>
                <w:szCs w:val="18"/>
              </w:rPr>
            </w:pPr>
            <w:r>
              <w:rPr>
                <w:rFonts w:ascii="Times New Roman" w:hAnsi="Times New Roman" w:cs="Times New Roman"/>
                <w:spacing w:val="10"/>
                <w:sz w:val="18"/>
                <w:szCs w:val="18"/>
              </w:rPr>
              <w:t>35.00</w:t>
            </w:r>
          </w:p>
        </w:tc>
        <w:tc>
          <w:tcPr>
            <w:tcW w:w="1445" w:type="pct"/>
            <w:vAlign w:val="center"/>
          </w:tcPr>
          <w:p>
            <w:pPr>
              <w:pStyle w:val="4"/>
              <w:adjustRightInd w:val="0"/>
              <w:snapToGrid w:val="0"/>
              <w:spacing w:before="0" w:beforeAutospacing="0" w:after="0" w:afterAutospacing="0"/>
              <w:ind w:firstLine="0" w:firstLineChars="0"/>
              <w:jc w:val="right"/>
              <w:rPr>
                <w:rFonts w:ascii="Times New Roman" w:hAnsi="Times New Roman" w:cs="Times New Roman"/>
                <w:spacing w:val="10"/>
                <w:sz w:val="18"/>
                <w:szCs w:val="18"/>
              </w:rPr>
            </w:pPr>
            <w:r>
              <w:rPr>
                <w:rFonts w:ascii="Times New Roman" w:hAnsi="Times New Roman" w:cs="Times New Roman"/>
                <w:spacing w:val="10"/>
                <w:sz w:val="18"/>
                <w:szCs w:val="18"/>
              </w:rPr>
              <w:t>94.86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5" w:type="pct"/>
            <w:vAlign w:val="center"/>
          </w:tcPr>
          <w:p>
            <w:pPr>
              <w:pStyle w:val="4"/>
              <w:adjustRightInd w:val="0"/>
              <w:snapToGrid w:val="0"/>
              <w:spacing w:before="0" w:beforeAutospacing="0" w:after="0" w:afterAutospacing="0"/>
              <w:ind w:firstLine="0" w:firstLineChars="0"/>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公务用车运行维护费</w:t>
            </w:r>
          </w:p>
        </w:tc>
        <w:tc>
          <w:tcPr>
            <w:tcW w:w="1445" w:type="pct"/>
            <w:vAlign w:val="center"/>
          </w:tcPr>
          <w:p>
            <w:pPr>
              <w:pStyle w:val="4"/>
              <w:adjustRightInd w:val="0"/>
              <w:snapToGrid w:val="0"/>
              <w:spacing w:before="0" w:beforeAutospacing="0" w:after="0" w:afterAutospacing="0"/>
              <w:ind w:firstLine="0" w:firstLineChars="0"/>
              <w:jc w:val="right"/>
              <w:rPr>
                <w:rFonts w:ascii="Times New Roman" w:hAnsi="Times New Roman" w:cs="Times New Roman"/>
                <w:spacing w:val="10"/>
                <w:sz w:val="18"/>
                <w:szCs w:val="18"/>
              </w:rPr>
            </w:pPr>
            <w:r>
              <w:rPr>
                <w:rFonts w:ascii="Times New Roman" w:hAnsi="Times New Roman" w:cs="Times New Roman"/>
                <w:spacing w:val="10"/>
                <w:sz w:val="18"/>
                <w:szCs w:val="18"/>
              </w:rPr>
              <w:t>66.00</w:t>
            </w:r>
          </w:p>
        </w:tc>
        <w:tc>
          <w:tcPr>
            <w:tcW w:w="1445" w:type="pct"/>
            <w:vAlign w:val="center"/>
          </w:tcPr>
          <w:p>
            <w:pPr>
              <w:pStyle w:val="4"/>
              <w:adjustRightInd w:val="0"/>
              <w:snapToGrid w:val="0"/>
              <w:spacing w:before="0" w:beforeAutospacing="0" w:after="0" w:afterAutospacing="0"/>
              <w:ind w:firstLine="0" w:firstLineChars="0"/>
              <w:jc w:val="right"/>
              <w:rPr>
                <w:rFonts w:ascii="Times New Roman" w:hAnsi="Times New Roman" w:cs="Times New Roman"/>
                <w:spacing w:val="10"/>
                <w:sz w:val="18"/>
                <w:szCs w:val="18"/>
              </w:rPr>
            </w:pPr>
            <w:r>
              <w:rPr>
                <w:rFonts w:ascii="Times New Roman" w:hAnsi="Times New Roman" w:cs="Times New Roman"/>
                <w:spacing w:val="10"/>
                <w:sz w:val="18"/>
                <w:szCs w:val="18"/>
              </w:rPr>
              <w:t>82.39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5" w:type="pct"/>
            <w:vAlign w:val="center"/>
          </w:tcPr>
          <w:p>
            <w:pPr>
              <w:pStyle w:val="4"/>
              <w:adjustRightInd w:val="0"/>
              <w:snapToGrid w:val="0"/>
              <w:spacing w:before="0" w:beforeAutospacing="0" w:after="0" w:afterAutospacing="0"/>
              <w:ind w:firstLine="0" w:firstLineChars="0"/>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公务接待费</w:t>
            </w:r>
          </w:p>
        </w:tc>
        <w:tc>
          <w:tcPr>
            <w:tcW w:w="1445" w:type="pct"/>
            <w:vAlign w:val="center"/>
          </w:tcPr>
          <w:p>
            <w:pPr>
              <w:pStyle w:val="4"/>
              <w:adjustRightInd w:val="0"/>
              <w:snapToGrid w:val="0"/>
              <w:spacing w:before="0" w:beforeAutospacing="0" w:after="0" w:afterAutospacing="0"/>
              <w:ind w:firstLine="0" w:firstLineChars="0"/>
              <w:jc w:val="right"/>
              <w:rPr>
                <w:rFonts w:ascii="Times New Roman" w:hAnsi="Times New Roman" w:cs="Times New Roman"/>
                <w:spacing w:val="10"/>
                <w:sz w:val="18"/>
                <w:szCs w:val="18"/>
              </w:rPr>
            </w:pPr>
            <w:r>
              <w:rPr>
                <w:rFonts w:ascii="Times New Roman" w:hAnsi="Times New Roman" w:cs="Times New Roman"/>
                <w:spacing w:val="10"/>
                <w:sz w:val="18"/>
                <w:szCs w:val="18"/>
              </w:rPr>
              <w:t>11.10</w:t>
            </w:r>
          </w:p>
        </w:tc>
        <w:tc>
          <w:tcPr>
            <w:tcW w:w="1445" w:type="pct"/>
            <w:vAlign w:val="center"/>
          </w:tcPr>
          <w:p>
            <w:pPr>
              <w:pStyle w:val="4"/>
              <w:adjustRightInd w:val="0"/>
              <w:snapToGrid w:val="0"/>
              <w:spacing w:before="0" w:beforeAutospacing="0" w:after="0" w:afterAutospacing="0"/>
              <w:ind w:firstLine="0" w:firstLineChars="0"/>
              <w:jc w:val="right"/>
              <w:rPr>
                <w:rFonts w:ascii="Times New Roman" w:hAnsi="Times New Roman" w:cs="Times New Roman"/>
                <w:spacing w:val="10"/>
                <w:sz w:val="18"/>
                <w:szCs w:val="18"/>
              </w:rPr>
            </w:pPr>
            <w:r>
              <w:rPr>
                <w:rFonts w:ascii="Times New Roman" w:hAnsi="Times New Roman" w:cs="Times New Roman"/>
                <w:spacing w:val="10"/>
                <w:sz w:val="18"/>
                <w:szCs w:val="18"/>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5" w:type="pct"/>
            <w:vAlign w:val="center"/>
          </w:tcPr>
          <w:p>
            <w:pPr>
              <w:pStyle w:val="4"/>
              <w:adjustRightInd w:val="0"/>
              <w:snapToGrid w:val="0"/>
              <w:spacing w:before="0" w:beforeAutospacing="0" w:after="0" w:afterAutospacing="0"/>
              <w:ind w:firstLine="0" w:firstLineChars="0"/>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合计</w:t>
            </w:r>
          </w:p>
        </w:tc>
        <w:tc>
          <w:tcPr>
            <w:tcW w:w="1445" w:type="pct"/>
            <w:vAlign w:val="center"/>
          </w:tcPr>
          <w:p>
            <w:pPr>
              <w:pStyle w:val="4"/>
              <w:adjustRightInd w:val="0"/>
              <w:snapToGrid w:val="0"/>
              <w:spacing w:before="0" w:beforeAutospacing="0" w:after="0" w:afterAutospacing="0"/>
              <w:ind w:firstLine="0" w:firstLineChars="0"/>
              <w:jc w:val="right"/>
              <w:rPr>
                <w:rFonts w:ascii="Times New Roman" w:hAnsi="Times New Roman" w:cs="Times New Roman"/>
                <w:spacing w:val="10"/>
                <w:sz w:val="18"/>
                <w:szCs w:val="18"/>
              </w:rPr>
            </w:pPr>
            <w:r>
              <w:rPr>
                <w:rFonts w:ascii="Times New Roman" w:hAnsi="Times New Roman" w:cs="Times New Roman"/>
                <w:spacing w:val="10"/>
                <w:sz w:val="18"/>
                <w:szCs w:val="18"/>
              </w:rPr>
              <w:t>120.10</w:t>
            </w:r>
          </w:p>
        </w:tc>
        <w:tc>
          <w:tcPr>
            <w:tcW w:w="1445" w:type="pct"/>
            <w:vAlign w:val="center"/>
          </w:tcPr>
          <w:p>
            <w:pPr>
              <w:pStyle w:val="4"/>
              <w:adjustRightInd w:val="0"/>
              <w:snapToGrid w:val="0"/>
              <w:spacing w:before="0" w:beforeAutospacing="0" w:after="0" w:afterAutospacing="0"/>
              <w:ind w:firstLine="0" w:firstLineChars="0"/>
              <w:jc w:val="right"/>
              <w:rPr>
                <w:rFonts w:ascii="Times New Roman" w:hAnsi="Times New Roman" w:cs="Times New Roman"/>
                <w:spacing w:val="10"/>
                <w:sz w:val="18"/>
                <w:szCs w:val="18"/>
              </w:rPr>
            </w:pPr>
            <w:r>
              <w:rPr>
                <w:rFonts w:ascii="Times New Roman" w:hAnsi="Times New Roman" w:cs="Times New Roman"/>
                <w:spacing w:val="10"/>
                <w:sz w:val="18"/>
                <w:szCs w:val="18"/>
              </w:rPr>
              <w:t>183.75</w:t>
            </w:r>
          </w:p>
        </w:tc>
      </w:tr>
    </w:tbl>
    <w:p>
      <w:pPr>
        <w:ind w:firstLine="660"/>
        <w:outlineLvl w:val="2"/>
        <w:rPr>
          <w:rFonts w:ascii="仿宋_GB2312" w:hAnsi="仿宋_GB2312" w:cs="仿宋_GB2312"/>
          <w:spacing w:val="10"/>
          <w:kern w:val="0"/>
        </w:rPr>
      </w:pPr>
      <w:r>
        <w:rPr>
          <w:rFonts w:hint="eastAsia" w:ascii="仿宋_GB2312" w:hAnsi="仿宋_GB2312" w:cs="仿宋_GB2312"/>
          <w:spacing w:val="10"/>
          <w:kern w:val="0"/>
        </w:rPr>
        <w:t>4.资产管理不到位</w:t>
      </w:r>
    </w:p>
    <w:p>
      <w:pPr>
        <w:ind w:firstLine="660"/>
        <w:rPr>
          <w:rFonts w:ascii="仿宋_GB2312" w:hAnsi="仿宋_GB2312" w:cs="仿宋_GB2312"/>
          <w:spacing w:val="10"/>
          <w:kern w:val="0"/>
        </w:rPr>
      </w:pPr>
      <w:r>
        <w:rPr>
          <w:rFonts w:hint="eastAsia" w:ascii="仿宋_GB2312" w:hAnsi="仿宋_GB2312" w:cs="仿宋_GB2312"/>
          <w:spacing w:val="10"/>
          <w:kern w:val="0"/>
        </w:rPr>
        <w:t>（1）固定资产账务管理不规范</w:t>
      </w:r>
    </w:p>
    <w:p>
      <w:pPr>
        <w:ind w:firstLine="660"/>
        <w:rPr>
          <w:rFonts w:ascii="仿宋_GB2312" w:hAnsi="仿宋_GB2312" w:cs="仿宋_GB2312"/>
          <w:spacing w:val="10"/>
          <w:kern w:val="0"/>
        </w:rPr>
      </w:pPr>
      <w:r>
        <w:rPr>
          <w:rFonts w:hint="eastAsia" w:ascii="仿宋_GB2312" w:hAnsi="仿宋_GB2312" w:cs="仿宋_GB2312"/>
          <w:spacing w:val="10"/>
          <w:kern w:val="0"/>
        </w:rPr>
        <w:t>根据2015年《政府会计准则—基本准则》规定：资产管理按照政府会计准则，对符合资产定义和条件的项目列入资产负债表，固定资产按照会计准则做账务处理。现场核查发现，部分固定资产未按规定进行核算登记，入账登记超时（如表5-</w:t>
      </w:r>
      <w:r>
        <w:rPr>
          <w:rFonts w:ascii="仿宋_GB2312" w:hAnsi="仿宋_GB2312" w:cs="仿宋_GB2312"/>
          <w:spacing w:val="10"/>
          <w:kern w:val="0"/>
        </w:rPr>
        <w:t>5</w:t>
      </w:r>
      <w:r>
        <w:rPr>
          <w:rFonts w:hint="eastAsia" w:ascii="仿宋_GB2312" w:hAnsi="仿宋_GB2312" w:cs="仿宋_GB2312"/>
          <w:spacing w:val="10"/>
          <w:kern w:val="0"/>
        </w:rPr>
        <w:t>所示）；部分固定资产资料不全面，413个固定资产存放地点未明确（如附件2所示），12个固定资产缺少会计凭证（如附件3所示），卫健局对固定资产基础管理不到位。</w:t>
      </w:r>
    </w:p>
    <w:p>
      <w:pPr>
        <w:pStyle w:val="4"/>
        <w:adjustRightInd w:val="0"/>
        <w:snapToGrid w:val="0"/>
        <w:spacing w:before="0" w:beforeAutospacing="0" w:after="0" w:afterAutospacing="0"/>
        <w:ind w:firstLine="0" w:firstLineChars="0"/>
        <w:jc w:val="center"/>
        <w:rPr>
          <w:rFonts w:cs="Times New Roman"/>
          <w:b/>
          <w:bCs/>
          <w:spacing w:val="10"/>
          <w:sz w:val="28"/>
          <w:szCs w:val="28"/>
        </w:rPr>
      </w:pPr>
      <w:r>
        <w:rPr>
          <w:rFonts w:hint="eastAsia" w:cs="Times New Roman"/>
          <w:b/>
          <w:bCs/>
          <w:spacing w:val="10"/>
          <w:sz w:val="28"/>
          <w:szCs w:val="28"/>
        </w:rPr>
        <w:t>表</w:t>
      </w:r>
      <w:r>
        <w:rPr>
          <w:rFonts w:cs="Times New Roman"/>
          <w:b/>
          <w:bCs/>
          <w:spacing w:val="10"/>
          <w:sz w:val="28"/>
          <w:szCs w:val="28"/>
        </w:rPr>
        <w:t xml:space="preserve">5-5 </w:t>
      </w:r>
      <w:r>
        <w:rPr>
          <w:rFonts w:hint="eastAsia" w:cs="Times New Roman"/>
          <w:b/>
          <w:bCs/>
          <w:spacing w:val="10"/>
          <w:sz w:val="28"/>
          <w:szCs w:val="28"/>
        </w:rPr>
        <w:t>抽查固定的资产登记超时的情况</w:t>
      </w:r>
    </w:p>
    <w:tbl>
      <w:tblPr>
        <w:tblStyle w:val="18"/>
        <w:tblW w:w="0" w:type="auto"/>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6"/>
        <w:gridCol w:w="2952"/>
        <w:gridCol w:w="1560"/>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786"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szCs w:val="18"/>
              </w:rPr>
            </w:pPr>
            <w:r>
              <w:rPr>
                <w:rFonts w:hint="eastAsia" w:ascii="Times New Roman" w:hAnsi="Times New Roman" w:cs="Times New Roman"/>
                <w:b/>
                <w:bCs/>
                <w:spacing w:val="10"/>
                <w:sz w:val="18"/>
                <w:szCs w:val="18"/>
              </w:rPr>
              <w:t>固定资产</w:t>
            </w:r>
          </w:p>
        </w:tc>
        <w:tc>
          <w:tcPr>
            <w:tcW w:w="2952"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szCs w:val="18"/>
              </w:rPr>
            </w:pPr>
            <w:r>
              <w:rPr>
                <w:rFonts w:hint="eastAsia" w:ascii="Times New Roman" w:hAnsi="Times New Roman" w:cs="Times New Roman"/>
                <w:b/>
                <w:bCs/>
                <w:spacing w:val="10"/>
                <w:sz w:val="18"/>
                <w:szCs w:val="18"/>
              </w:rPr>
              <w:t>资产编号</w:t>
            </w:r>
          </w:p>
        </w:tc>
        <w:tc>
          <w:tcPr>
            <w:tcW w:w="1560"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szCs w:val="18"/>
              </w:rPr>
            </w:pPr>
            <w:r>
              <w:rPr>
                <w:rFonts w:hint="eastAsia" w:ascii="Times New Roman" w:hAnsi="Times New Roman" w:cs="Times New Roman"/>
                <w:b/>
                <w:bCs/>
                <w:spacing w:val="10"/>
                <w:sz w:val="18"/>
                <w:szCs w:val="18"/>
              </w:rPr>
              <w:t>取得时间</w:t>
            </w:r>
          </w:p>
        </w:tc>
        <w:tc>
          <w:tcPr>
            <w:tcW w:w="1638"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b/>
                <w:bCs/>
                <w:spacing w:val="10"/>
                <w:sz w:val="18"/>
                <w:szCs w:val="18"/>
              </w:rPr>
            </w:pPr>
            <w:r>
              <w:rPr>
                <w:rFonts w:hint="eastAsia" w:ascii="Times New Roman" w:hAnsi="Times New Roman" w:cs="Times New Roman"/>
                <w:b/>
                <w:bCs/>
                <w:spacing w:val="10"/>
                <w:sz w:val="18"/>
                <w:szCs w:val="18"/>
              </w:rPr>
              <w:t>入账时间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6"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科密碎纸机</w:t>
            </w:r>
          </w:p>
        </w:tc>
        <w:tc>
          <w:tcPr>
            <w:tcW w:w="2952"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202401-2021000-000022</w:t>
            </w:r>
          </w:p>
        </w:tc>
        <w:tc>
          <w:tcPr>
            <w:tcW w:w="1560"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2016.12.31</w:t>
            </w:r>
          </w:p>
        </w:tc>
        <w:tc>
          <w:tcPr>
            <w:tcW w:w="1638"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2019.08.01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6"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佳能打印机</w:t>
            </w:r>
          </w:p>
        </w:tc>
        <w:tc>
          <w:tcPr>
            <w:tcW w:w="2952"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202401-2020100-000009</w:t>
            </w:r>
          </w:p>
        </w:tc>
        <w:tc>
          <w:tcPr>
            <w:tcW w:w="1560"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2015.12.01</w:t>
            </w:r>
          </w:p>
        </w:tc>
        <w:tc>
          <w:tcPr>
            <w:tcW w:w="1638"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2019.08.01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86"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hint="eastAsia" w:ascii="Times New Roman" w:hAnsi="Times New Roman" w:cs="Times New Roman"/>
                <w:spacing w:val="10"/>
                <w:sz w:val="18"/>
                <w:szCs w:val="18"/>
              </w:rPr>
              <w:t>丰田牌轿车</w:t>
            </w:r>
          </w:p>
        </w:tc>
        <w:tc>
          <w:tcPr>
            <w:tcW w:w="2952"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202401-2030401-000002</w:t>
            </w:r>
          </w:p>
        </w:tc>
        <w:tc>
          <w:tcPr>
            <w:tcW w:w="1560"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2010.08.20</w:t>
            </w:r>
          </w:p>
        </w:tc>
        <w:tc>
          <w:tcPr>
            <w:tcW w:w="1638" w:type="dxa"/>
            <w:vAlign w:val="center"/>
          </w:tcPr>
          <w:p>
            <w:pPr>
              <w:pStyle w:val="4"/>
              <w:adjustRightInd w:val="0"/>
              <w:snapToGrid w:val="0"/>
              <w:spacing w:before="0" w:beforeAutospacing="0" w:after="0" w:afterAutospacing="0"/>
              <w:ind w:firstLine="34" w:firstLineChars="17"/>
              <w:jc w:val="center"/>
              <w:rPr>
                <w:rFonts w:ascii="Times New Roman" w:hAnsi="Times New Roman" w:cs="Times New Roman"/>
                <w:spacing w:val="10"/>
                <w:sz w:val="18"/>
                <w:szCs w:val="18"/>
              </w:rPr>
            </w:pPr>
            <w:r>
              <w:rPr>
                <w:rFonts w:ascii="Times New Roman" w:hAnsi="Times New Roman" w:cs="Times New Roman"/>
                <w:spacing w:val="10"/>
                <w:sz w:val="18"/>
                <w:szCs w:val="18"/>
              </w:rPr>
              <w:t>2019.08.01</w:t>
            </w:r>
          </w:p>
        </w:tc>
      </w:tr>
    </w:tbl>
    <w:p>
      <w:pPr>
        <w:pStyle w:val="24"/>
        <w:ind w:firstLine="660"/>
        <w:rPr>
          <w:rFonts w:ascii="仿宋_GB2312" w:hAnsi="仿宋_GB2312" w:cs="仿宋_GB2312"/>
          <w:spacing w:val="10"/>
          <w:kern w:val="0"/>
        </w:rPr>
      </w:pPr>
      <w:r>
        <w:rPr>
          <w:rFonts w:hint="eastAsia" w:ascii="仿宋_GB2312" w:hAnsi="仿宋_GB2312" w:cs="仿宋_GB2312"/>
          <w:spacing w:val="10"/>
          <w:kern w:val="0"/>
        </w:rPr>
        <w:t>（2）资产处置方式不规范</w:t>
      </w:r>
    </w:p>
    <w:p>
      <w:pPr>
        <w:pStyle w:val="6"/>
        <w:ind w:firstLine="660"/>
        <w:jc w:val="both"/>
        <w:rPr>
          <w:rFonts w:ascii="仿宋_GB2312" w:hAnsi="仿宋_GB2312" w:cs="仿宋_GB2312"/>
          <w:spacing w:val="10"/>
          <w:kern w:val="0"/>
        </w:rPr>
      </w:pPr>
      <w:r>
        <w:rPr>
          <w:rFonts w:hint="eastAsia" w:ascii="仿宋_GB2312" w:hAnsi="仿宋_GB2312" w:cs="仿宋_GB2312"/>
          <w:spacing w:val="10"/>
          <w:kern w:val="0"/>
        </w:rPr>
        <w:t>按照《政府会计准则第3号—固定资产》规定，固定资产折旧完后，若继续使用则不再做会计处理，通用设备折旧上限时间为10年。现场核查发现，部分资产计提折旧时间超出1</w:t>
      </w:r>
      <w:r>
        <w:rPr>
          <w:rFonts w:ascii="仿宋_GB2312" w:hAnsi="仿宋_GB2312" w:cs="仿宋_GB2312"/>
          <w:spacing w:val="10"/>
          <w:kern w:val="0"/>
        </w:rPr>
        <w:t>0</w:t>
      </w:r>
      <w:r>
        <w:rPr>
          <w:rFonts w:hint="eastAsia" w:ascii="仿宋_GB2312" w:hAnsi="仿宋_GB2312" w:cs="仿宋_GB2312"/>
          <w:spacing w:val="10"/>
          <w:kern w:val="0"/>
        </w:rPr>
        <w:t>年（如1</w:t>
      </w:r>
      <w:r>
        <w:rPr>
          <w:rFonts w:ascii="仿宋_GB2312" w:hAnsi="仿宋_GB2312" w:cs="仿宋_GB2312"/>
          <w:spacing w:val="10"/>
          <w:kern w:val="0"/>
        </w:rPr>
        <w:t>994</w:t>
      </w:r>
      <w:r>
        <w:rPr>
          <w:rFonts w:hint="eastAsia" w:ascii="仿宋_GB2312" w:hAnsi="仿宋_GB2312" w:cs="仿宋_GB2312"/>
          <w:spacing w:val="10"/>
          <w:kern w:val="0"/>
        </w:rPr>
        <w:t>年台式电脑折旧时间为2</w:t>
      </w:r>
      <w:r>
        <w:rPr>
          <w:rFonts w:ascii="仿宋_GB2312" w:hAnsi="仿宋_GB2312" w:cs="仿宋_GB2312"/>
          <w:spacing w:val="10"/>
          <w:kern w:val="0"/>
        </w:rPr>
        <w:t>5</w:t>
      </w:r>
      <w:r>
        <w:rPr>
          <w:rFonts w:hint="eastAsia" w:ascii="仿宋_GB2312" w:hAnsi="仿宋_GB2312" w:cs="仿宋_GB2312"/>
          <w:spacing w:val="10"/>
          <w:kern w:val="0"/>
        </w:rPr>
        <w:t>年、1</w:t>
      </w:r>
      <w:r>
        <w:rPr>
          <w:rFonts w:ascii="仿宋_GB2312" w:hAnsi="仿宋_GB2312" w:cs="仿宋_GB2312"/>
          <w:spacing w:val="10"/>
          <w:kern w:val="0"/>
        </w:rPr>
        <w:t>995</w:t>
      </w:r>
      <w:r>
        <w:rPr>
          <w:rFonts w:hint="eastAsia" w:ascii="仿宋_GB2312" w:hAnsi="仿宋_GB2312" w:cs="仿宋_GB2312"/>
          <w:spacing w:val="10"/>
          <w:kern w:val="0"/>
        </w:rPr>
        <w:t>年的空调折旧时间为2</w:t>
      </w:r>
      <w:r>
        <w:rPr>
          <w:rFonts w:ascii="仿宋_GB2312" w:hAnsi="仿宋_GB2312" w:cs="仿宋_GB2312"/>
          <w:spacing w:val="10"/>
          <w:kern w:val="0"/>
        </w:rPr>
        <w:t>3</w:t>
      </w:r>
      <w:r>
        <w:rPr>
          <w:rFonts w:hint="eastAsia" w:ascii="仿宋_GB2312" w:hAnsi="仿宋_GB2312" w:cs="仿宋_GB2312"/>
          <w:spacing w:val="10"/>
          <w:kern w:val="0"/>
        </w:rPr>
        <w:t>年、1</w:t>
      </w:r>
      <w:r>
        <w:rPr>
          <w:rFonts w:ascii="仿宋_GB2312" w:hAnsi="仿宋_GB2312" w:cs="仿宋_GB2312"/>
          <w:spacing w:val="10"/>
          <w:kern w:val="0"/>
        </w:rPr>
        <w:t>997</w:t>
      </w:r>
      <w:r>
        <w:rPr>
          <w:rFonts w:hint="eastAsia" w:ascii="仿宋_GB2312" w:hAnsi="仿宋_GB2312" w:cs="仿宋_GB2312"/>
          <w:spacing w:val="10"/>
          <w:kern w:val="0"/>
        </w:rPr>
        <w:t>年的消毒柜折旧时间为2</w:t>
      </w:r>
      <w:r>
        <w:rPr>
          <w:rFonts w:ascii="仿宋_GB2312" w:hAnsi="仿宋_GB2312" w:cs="仿宋_GB2312"/>
          <w:spacing w:val="10"/>
          <w:kern w:val="0"/>
        </w:rPr>
        <w:t>1</w:t>
      </w:r>
      <w:r>
        <w:rPr>
          <w:rFonts w:hint="eastAsia" w:ascii="仿宋_GB2312" w:hAnsi="仿宋_GB2312" w:cs="仿宋_GB2312"/>
          <w:spacing w:val="10"/>
          <w:kern w:val="0"/>
        </w:rPr>
        <w:t>年）</w:t>
      </w:r>
      <w:r>
        <w:rPr>
          <w:rFonts w:hint="eastAsia"/>
        </w:rPr>
        <w:t>，在固定资产残值率确定的前提下，该部分资产的实际折旧率小于</w:t>
      </w:r>
      <w:r>
        <w:rPr>
          <w:rFonts w:hint="eastAsia"/>
          <w:color w:val="333333"/>
        </w:rPr>
        <w:t>《政府会计准则第3号—固定资产》</w:t>
      </w:r>
      <w:r>
        <w:rPr>
          <w:rFonts w:hint="eastAsia"/>
        </w:rPr>
        <w:t>规定的折旧率，资产账表的“已登记累计折旧值”小于“应登记累计折旧值”、“已登记固定资产净值”大于“实际固定资产净值”，</w:t>
      </w:r>
      <w:r>
        <w:rPr>
          <w:rFonts w:hint="eastAsia" w:ascii="仿宋_GB2312" w:hAnsi="仿宋_GB2312" w:cs="仿宋_GB2312"/>
          <w:spacing w:val="10"/>
          <w:kern w:val="0"/>
        </w:rPr>
        <w:t>部门资产的数据真实性降低。</w:t>
      </w:r>
    </w:p>
    <w:p>
      <w:pPr>
        <w:pStyle w:val="3"/>
        <w:ind w:firstLine="643"/>
      </w:pPr>
      <w:bookmarkStart w:id="59" w:name="_Toc150765132"/>
      <w:r>
        <w:rPr>
          <w:rFonts w:hint="eastAsia"/>
        </w:rPr>
        <w:t>（二）改进建议</w:t>
      </w:r>
      <w:bookmarkEnd w:id="59"/>
    </w:p>
    <w:p>
      <w:pPr>
        <w:ind w:firstLine="660"/>
        <w:outlineLvl w:val="2"/>
        <w:rPr>
          <w:rFonts w:ascii="仿宋_GB2312" w:hAnsi="仿宋_GB2312" w:cs="仿宋_GB2312"/>
          <w:spacing w:val="10"/>
          <w:kern w:val="0"/>
        </w:rPr>
      </w:pPr>
      <w:r>
        <w:rPr>
          <w:rFonts w:hint="eastAsia" w:ascii="仿宋_GB2312" w:hAnsi="仿宋_GB2312" w:cs="仿宋_GB2312"/>
          <w:spacing w:val="10"/>
          <w:kern w:val="0"/>
        </w:rPr>
        <w:t>1.加强政府采购规范化管理，提高政府采买效益</w:t>
      </w:r>
    </w:p>
    <w:p>
      <w:pPr>
        <w:pStyle w:val="24"/>
        <w:ind w:firstLine="660"/>
        <w:rPr>
          <w:rFonts w:ascii="仿宋_GB2312" w:hAnsi="仿宋_GB2312" w:cs="仿宋_GB2312"/>
          <w:spacing w:val="10"/>
          <w:kern w:val="0"/>
        </w:rPr>
      </w:pPr>
      <w:r>
        <w:rPr>
          <w:rFonts w:hint="eastAsia" w:ascii="仿宋_GB2312" w:hAnsi="仿宋_GB2312" w:cs="仿宋_GB2312"/>
          <w:spacing w:val="10"/>
          <w:kern w:val="0"/>
        </w:rPr>
        <w:t>（1）完善政府采购管理制度，营造阳光政府采购环境</w:t>
      </w:r>
    </w:p>
    <w:p>
      <w:pPr>
        <w:pStyle w:val="24"/>
        <w:ind w:firstLine="660"/>
        <w:rPr>
          <w:rFonts w:ascii="仿宋_GB2312" w:hAnsi="仿宋_GB2312" w:cs="仿宋_GB2312"/>
          <w:spacing w:val="10"/>
          <w:kern w:val="0"/>
        </w:rPr>
      </w:pPr>
      <w:r>
        <w:rPr>
          <w:rFonts w:hint="eastAsia" w:ascii="仿宋_GB2312" w:hAnsi="仿宋_GB2312" w:cs="仿宋_GB2312"/>
          <w:spacing w:val="10"/>
          <w:kern w:val="0"/>
        </w:rPr>
        <w:t>一是加快推进政府采购管理改革，建立完善政府采购预算管理制度机制，全力推动实现政府采购制度化、规范化、法治化。二是建立完善岗位责任制、风险防控机制、内部操作规程等内部监督机制，在制度层面实现岗位间相互监督、相互制约。三是加大对各部门及下属单位合同管理相关人员的培训力度，使其增强合法合规意识和重合同守信用意识，充分认识到规范签订合同对防范经济纠纷发生、保护项目合法权益的重要性。四是进一步完善合同管理制度，确立不同业务的合同签订流程，严格控制部门及下属单位合同签订时间和审批，加强合同的管理，避免发生不良后果，必要时也请法律顾问对合同相关事项进行把关。</w:t>
      </w:r>
    </w:p>
    <w:p>
      <w:pPr>
        <w:pStyle w:val="24"/>
        <w:ind w:firstLine="660"/>
        <w:rPr>
          <w:rFonts w:ascii="仿宋_GB2312" w:hAnsi="仿宋_GB2312" w:cs="仿宋_GB2312"/>
          <w:spacing w:val="10"/>
          <w:kern w:val="0"/>
        </w:rPr>
      </w:pPr>
      <w:r>
        <w:rPr>
          <w:rFonts w:hint="eastAsia" w:ascii="仿宋_GB2312" w:hAnsi="仿宋_GB2312" w:cs="仿宋_GB2312"/>
          <w:spacing w:val="10"/>
          <w:kern w:val="0"/>
        </w:rPr>
        <w:t>（2）加强政府采购过程管理，促进政府采购合规开展</w:t>
      </w:r>
    </w:p>
    <w:p>
      <w:pPr>
        <w:pStyle w:val="24"/>
        <w:ind w:firstLine="660"/>
        <w:rPr>
          <w:rFonts w:ascii="仿宋_GB2312" w:hAnsi="仿宋_GB2312" w:cs="仿宋_GB2312"/>
          <w:spacing w:val="10"/>
          <w:kern w:val="0"/>
        </w:rPr>
      </w:pPr>
      <w:r>
        <w:rPr>
          <w:rFonts w:hint="eastAsia" w:ascii="仿宋_GB2312" w:hAnsi="仿宋_GB2312" w:cs="仿宋_GB2312"/>
          <w:spacing w:val="10"/>
          <w:kern w:val="0"/>
        </w:rPr>
        <w:t>一是加强合同备案督导，督促部门业务科室即下属单位及时按要求补充公示和备案政府采购合同；二是建立政府采购执行台账，对政府采购合同管理实行提前预警，确保所有政府采购合同均在法定期限内公示和备案。三是建立政府采购项目台账，每季度常态化开展合同专项检查工作，对于发现的问题进行通报并限期整改，及时挽回或者避免损失。</w:t>
      </w:r>
    </w:p>
    <w:p>
      <w:pPr>
        <w:pStyle w:val="24"/>
        <w:ind w:firstLine="660"/>
        <w:rPr>
          <w:rFonts w:ascii="仿宋_GB2312" w:hAnsi="仿宋_GB2312" w:cs="仿宋_GB2312"/>
          <w:spacing w:val="10"/>
          <w:kern w:val="0"/>
        </w:rPr>
      </w:pPr>
      <w:r>
        <w:rPr>
          <w:rFonts w:hint="eastAsia" w:ascii="仿宋_GB2312" w:hAnsi="仿宋_GB2312" w:cs="仿宋_GB2312"/>
          <w:spacing w:val="10"/>
          <w:kern w:val="0"/>
        </w:rPr>
        <w:t>（3）清查纠正政府采购漏洞，巩固阳光采购成效</w:t>
      </w:r>
    </w:p>
    <w:p>
      <w:pPr>
        <w:pStyle w:val="24"/>
        <w:ind w:firstLine="660"/>
        <w:rPr>
          <w:rFonts w:ascii="仿宋_GB2312" w:hAnsi="仿宋_GB2312" w:cs="仿宋_GB2312"/>
          <w:spacing w:val="10"/>
          <w:kern w:val="0"/>
        </w:rPr>
      </w:pPr>
      <w:r>
        <w:rPr>
          <w:rFonts w:hint="eastAsia" w:ascii="仿宋_GB2312" w:hAnsi="仿宋_GB2312" w:cs="仿宋_GB2312"/>
          <w:spacing w:val="10"/>
          <w:kern w:val="0"/>
        </w:rPr>
        <w:t>及时清查整改“以行政手段代替政府采购程序”“服务时间不合规”“流程倒置”等问题，组织开展部门内部及下属单位自行采购项目检查清理，严格按照政府采购相关规定及时纠正问题，对已完成整改的事项，常态化开展“回头看”，巩固提升整改成效，坚决防止问题反弹回潮。</w:t>
      </w:r>
    </w:p>
    <w:p>
      <w:pPr>
        <w:ind w:firstLine="660"/>
        <w:outlineLvl w:val="2"/>
        <w:rPr>
          <w:rFonts w:ascii="仿宋_GB2312" w:hAnsi="仿宋_GB2312" w:cs="仿宋_GB2312"/>
          <w:spacing w:val="10"/>
          <w:kern w:val="0"/>
        </w:rPr>
      </w:pPr>
      <w:r>
        <w:rPr>
          <w:rFonts w:hint="eastAsia" w:ascii="仿宋_GB2312" w:hAnsi="仿宋_GB2312" w:cs="仿宋_GB2312"/>
          <w:spacing w:val="10"/>
          <w:kern w:val="0"/>
        </w:rPr>
        <w:t>2.完善项目管理机制，常态化开展监督管理</w:t>
      </w:r>
    </w:p>
    <w:p>
      <w:pPr>
        <w:pStyle w:val="24"/>
        <w:ind w:firstLine="660"/>
        <w:rPr>
          <w:rFonts w:ascii="仿宋_GB2312" w:hAnsi="仿宋_GB2312" w:cs="仿宋_GB2312"/>
          <w:spacing w:val="10"/>
          <w:kern w:val="0"/>
        </w:rPr>
      </w:pPr>
      <w:r>
        <w:rPr>
          <w:rFonts w:hint="eastAsia" w:ascii="仿宋_GB2312" w:hAnsi="仿宋_GB2312" w:cs="仿宋_GB2312"/>
          <w:spacing w:val="10"/>
          <w:kern w:val="0"/>
        </w:rPr>
        <w:t>一是建立和完善项目建设督查落实制度，项目主责业务科室及下属单位既要加大检查力度，还要加强沟通协作，经常性地召开联席会议，分析问题产生的原因，制定可行性措施，使发现的问题能够得到有效解决。二是建立整改工作协查督办制度，将存在问题按行业主管范围划分、分解，充分发挥专治办的协调作用，各负其责，相互协调，互通信息，形成资源共享。三是加强项目过程监督，督促前期工作未落实的项目尽快完成施工图预算编制与招标控制价审查，监督代建单位按计划实施监理和施工招标，保障项目有效推进。</w:t>
      </w:r>
    </w:p>
    <w:p>
      <w:pPr>
        <w:ind w:firstLine="660"/>
        <w:outlineLvl w:val="2"/>
        <w:rPr>
          <w:rFonts w:ascii="仿宋_GB2312" w:hAnsi="仿宋_GB2312" w:cs="仿宋_GB2312"/>
          <w:spacing w:val="10"/>
          <w:kern w:val="0"/>
        </w:rPr>
      </w:pPr>
      <w:r>
        <w:rPr>
          <w:rFonts w:hint="eastAsia" w:ascii="仿宋_GB2312" w:hAnsi="仿宋_GB2312" w:cs="仿宋_GB2312"/>
          <w:spacing w:val="10"/>
          <w:kern w:val="0"/>
        </w:rPr>
        <w:t>3.加强财务监督管理，提高财政资金使用效益</w:t>
      </w:r>
    </w:p>
    <w:p>
      <w:pPr>
        <w:pStyle w:val="24"/>
        <w:ind w:firstLine="660"/>
        <w:rPr>
          <w:rFonts w:ascii="仿宋_GB2312" w:hAnsi="仿宋_GB2312" w:cs="仿宋_GB2312"/>
          <w:spacing w:val="10"/>
          <w:kern w:val="0"/>
        </w:rPr>
      </w:pPr>
      <w:r>
        <w:rPr>
          <w:rFonts w:hint="eastAsia" w:ascii="仿宋_GB2312" w:hAnsi="仿宋_GB2312" w:cs="仿宋_GB2312"/>
          <w:spacing w:val="10"/>
          <w:kern w:val="0"/>
        </w:rPr>
        <w:t>一方面，根据政府会计管理原则，定期检查“三公”经费账表数据，确保“三公”经费的账帐数据保持口径一致性。另一方面，加大对财务人员的培训力度，明确“三公”经费的统计口径和支出范围，对不符合要求情况，财务人员及时提醒、及时纠正。</w:t>
      </w:r>
    </w:p>
    <w:p>
      <w:pPr>
        <w:ind w:firstLine="660"/>
        <w:outlineLvl w:val="2"/>
        <w:rPr>
          <w:rFonts w:ascii="仿宋_GB2312" w:hAnsi="仿宋_GB2312" w:cs="仿宋_GB2312"/>
          <w:spacing w:val="10"/>
          <w:kern w:val="0"/>
        </w:rPr>
      </w:pPr>
      <w:r>
        <w:rPr>
          <w:rFonts w:hint="eastAsia" w:ascii="仿宋_GB2312" w:hAnsi="仿宋_GB2312" w:cs="仿宋_GB2312"/>
          <w:spacing w:val="10"/>
          <w:kern w:val="0"/>
        </w:rPr>
        <w:t>4.加强固定资产管理，保障国有资产安全</w:t>
      </w:r>
    </w:p>
    <w:p>
      <w:pPr>
        <w:pStyle w:val="24"/>
        <w:ind w:firstLine="660"/>
        <w:rPr>
          <w:rFonts w:ascii="仿宋_GB2312" w:hAnsi="仿宋_GB2312" w:cs="仿宋_GB2312"/>
          <w:spacing w:val="10"/>
          <w:kern w:val="0"/>
        </w:rPr>
      </w:pPr>
      <w:r>
        <w:rPr>
          <w:rFonts w:hint="eastAsia" w:ascii="仿宋_GB2312" w:hAnsi="仿宋_GB2312" w:cs="仿宋_GB2312"/>
          <w:spacing w:val="10"/>
          <w:kern w:val="0"/>
        </w:rPr>
        <w:t>（1）完善部门固定资产管理机制，营造良好资产管理秩序</w:t>
      </w:r>
    </w:p>
    <w:p>
      <w:pPr>
        <w:pStyle w:val="24"/>
        <w:ind w:firstLine="660"/>
        <w:rPr>
          <w:rFonts w:ascii="仿宋_GB2312" w:hAnsi="仿宋_GB2312" w:cs="仿宋_GB2312"/>
          <w:spacing w:val="10"/>
          <w:kern w:val="0"/>
        </w:rPr>
      </w:pPr>
      <w:r>
        <w:rPr>
          <w:rFonts w:hint="eastAsia" w:ascii="仿宋_GB2312" w:hAnsi="仿宋_GB2312" w:cs="仿宋_GB2312"/>
          <w:spacing w:val="10"/>
          <w:kern w:val="0"/>
        </w:rPr>
        <w:t>一是加强领导管理意识，重视固定资产管理，合理安排固定资产工作，避免因不重视而敷衍固定资产管理。二是完善单位内部固定资产控制制度，落实资产管理责任，建立完善资产的验收、领用、使用、保管和维护等内部管理流程，对实物资产定期进行清查盘点，做到账账、账卡、账实相符。</w:t>
      </w:r>
    </w:p>
    <w:p>
      <w:pPr>
        <w:pStyle w:val="24"/>
        <w:ind w:firstLine="660"/>
        <w:rPr>
          <w:rFonts w:ascii="仿宋_GB2312" w:hAnsi="仿宋_GB2312" w:cs="仿宋_GB2312"/>
          <w:spacing w:val="10"/>
          <w:kern w:val="0"/>
        </w:rPr>
      </w:pPr>
      <w:r>
        <w:rPr>
          <w:rFonts w:hint="eastAsia" w:ascii="仿宋_GB2312" w:hAnsi="仿宋_GB2312" w:cs="仿宋_GB2312"/>
          <w:spacing w:val="10"/>
          <w:kern w:val="0"/>
        </w:rPr>
        <w:t>（2）规范固定资产账务处理，防止资产管理与财务管理脱节</w:t>
      </w:r>
    </w:p>
    <w:p>
      <w:pPr>
        <w:pStyle w:val="24"/>
        <w:ind w:firstLine="660"/>
        <w:rPr>
          <w:rFonts w:ascii="仿宋_GB2312" w:hAnsi="仿宋_GB2312" w:cs="仿宋_GB2312"/>
          <w:spacing w:val="10"/>
          <w:kern w:val="0"/>
        </w:rPr>
      </w:pPr>
      <w:r>
        <w:rPr>
          <w:rFonts w:hint="eastAsia" w:ascii="仿宋_GB2312" w:hAnsi="仿宋_GB2312" w:cs="仿宋_GB2312"/>
          <w:spacing w:val="10"/>
          <w:kern w:val="0"/>
        </w:rPr>
        <w:t>一是财务人员要努力提高自身业务素质，加强固定资产购置、调拨、领用、处置等流程的管理，并按照国定资产的有关规定及时办理报批手续和账务处理，做好固定资产管理的会计核算工作，保证账账、账实相符。二是加强单位内部固定资产控制制度，对固定资产定期进行清查盘点，对财务部门入账登记的新增资产及时进行核对确认。三是按规定进行固定资产折旧处理，对符合报废条件的资产及时进行处置，确保国有资产数据的真实性。</w:t>
      </w:r>
    </w:p>
    <w:p>
      <w:pPr>
        <w:pStyle w:val="24"/>
        <w:ind w:firstLine="660"/>
        <w:rPr>
          <w:rFonts w:ascii="仿宋_GB2312" w:hAnsi="仿宋_GB2312" w:cs="仿宋_GB2312"/>
          <w:spacing w:val="10"/>
          <w:kern w:val="0"/>
        </w:rPr>
      </w:pPr>
    </w:p>
    <w:p>
      <w:pPr>
        <w:pStyle w:val="24"/>
        <w:ind w:firstLine="660"/>
        <w:rPr>
          <w:rFonts w:ascii="仿宋_GB2312" w:hAnsi="仿宋_GB2312" w:cs="仿宋_GB2312"/>
          <w:spacing w:val="10"/>
          <w:kern w:val="0"/>
        </w:rPr>
      </w:pPr>
      <w:r>
        <w:rPr>
          <w:rFonts w:hint="eastAsia" w:ascii="仿宋_GB2312" w:hAnsi="仿宋_GB2312" w:cs="仿宋_GB2312"/>
          <w:spacing w:val="10"/>
          <w:kern w:val="0"/>
        </w:rPr>
        <w:t>附件：1.部门整体支出绩效评价评分表</w:t>
      </w:r>
    </w:p>
    <w:p>
      <w:pPr>
        <w:pStyle w:val="24"/>
        <w:ind w:firstLine="1700" w:firstLineChars="500"/>
        <w:rPr>
          <w:rFonts w:ascii="仿宋_GB2312" w:hAnsi="仿宋_GB2312" w:cs="仿宋_GB2312"/>
          <w:spacing w:val="10"/>
          <w:kern w:val="0"/>
        </w:rPr>
      </w:pPr>
      <w:r>
        <w:rPr>
          <w:rFonts w:hint="eastAsia" w:ascii="仿宋_GB2312" w:hAnsi="仿宋_GB2312" w:cs="仿宋_GB2312"/>
          <w:spacing w:val="10"/>
          <w:kern w:val="0"/>
        </w:rPr>
        <w:t>2.部门存放地点未明确的固定资产名单</w:t>
      </w:r>
    </w:p>
    <w:p>
      <w:pPr>
        <w:pStyle w:val="24"/>
        <w:ind w:firstLine="1700" w:firstLineChars="500"/>
        <w:rPr>
          <w:rFonts w:ascii="仿宋_GB2312" w:hAnsi="仿宋_GB2312" w:cs="仿宋_GB2312"/>
          <w:spacing w:val="10"/>
          <w:kern w:val="0"/>
        </w:rPr>
      </w:pPr>
      <w:r>
        <w:rPr>
          <w:rFonts w:hint="eastAsia" w:ascii="仿宋_GB2312" w:hAnsi="仿宋_GB2312" w:cs="仿宋_GB2312"/>
          <w:spacing w:val="10"/>
          <w:kern w:val="0"/>
        </w:rPr>
        <w:t>3.会计凭证号不完整的固定资产名单</w:t>
      </w:r>
    </w:p>
    <w:p>
      <w:pPr>
        <w:pStyle w:val="24"/>
        <w:ind w:firstLine="660"/>
        <w:rPr>
          <w:rFonts w:ascii="仿宋_GB2312" w:hAnsi="仿宋_GB2312" w:cs="仿宋_GB2312"/>
          <w:spacing w:val="10"/>
          <w:kern w:val="0"/>
        </w:rPr>
      </w:pPr>
    </w:p>
    <w:bookmarkEnd w:id="58"/>
    <w:p>
      <w:pPr>
        <w:pStyle w:val="24"/>
        <w:ind w:firstLine="480"/>
        <w:rPr>
          <w:rFonts w:ascii="华文中宋" w:hAnsi="华文中宋" w:eastAsia="华文中宋"/>
          <w:sz w:val="24"/>
          <w:szCs w:val="24"/>
        </w:rPr>
      </w:pPr>
    </w:p>
    <w:p>
      <w:pPr>
        <w:widowControl/>
        <w:spacing w:line="560" w:lineRule="exact"/>
        <w:ind w:firstLine="205" w:firstLineChars="60"/>
        <w:jc w:val="left"/>
        <w:outlineLvl w:val="1"/>
        <w:rPr>
          <w:rFonts w:ascii="楷体_GB2312" w:eastAsia="楷体_GB2312" w:cs="Times New Roman"/>
          <w:b/>
          <w:bCs/>
          <w:spacing w:val="10"/>
          <w:kern w:val="0"/>
        </w:rPr>
        <w:sectPr>
          <w:footerReference r:id="rId12" w:type="default"/>
          <w:pgSz w:w="11906" w:h="16838"/>
          <w:pgMar w:top="1440" w:right="1800" w:bottom="1327" w:left="1800" w:header="851" w:footer="822" w:gutter="0"/>
          <w:pgNumType w:fmt="numberInDash" w:start="1"/>
          <w:cols w:space="0" w:num="1"/>
          <w:docGrid w:type="lines" w:linePitch="312" w:charSpace="0"/>
        </w:sectPr>
      </w:pPr>
    </w:p>
    <w:p>
      <w:pPr>
        <w:pStyle w:val="3"/>
        <w:ind w:firstLine="0" w:firstLineChars="0"/>
        <w:rPr>
          <w:rFonts w:ascii="CESI黑体-GB2312" w:hAnsi="CESI黑体-GB2312" w:eastAsia="CESI黑体-GB2312" w:cs="CESI黑体-GB2312"/>
          <w:b w:val="0"/>
          <w:bCs/>
        </w:rPr>
      </w:pPr>
      <w:bookmarkStart w:id="60" w:name="_Toc150765133"/>
      <w:bookmarkStart w:id="61" w:name="_Toc147654922"/>
      <w:r>
        <w:rPr>
          <w:rFonts w:hint="eastAsia" w:ascii="CESI黑体-GB2312" w:hAnsi="CESI黑体-GB2312" w:eastAsia="CESI黑体-GB2312" w:cs="CESI黑体-GB2312"/>
          <w:b w:val="0"/>
          <w:bCs/>
        </w:rPr>
        <w:t>附件1</w:t>
      </w:r>
      <w:bookmarkEnd w:id="60"/>
    </w:p>
    <w:p>
      <w:pPr>
        <w:pStyle w:val="3"/>
        <w:ind w:firstLine="0" w:firstLineChars="0"/>
        <w:jc w:val="center"/>
        <w:rPr>
          <w:rFonts w:ascii="CESI宋体-GB2312" w:hAnsi="CESI宋体-GB2312" w:eastAsia="CESI宋体-GB2312" w:cs="CESI宋体-GB2312"/>
        </w:rPr>
      </w:pPr>
      <w:bookmarkStart w:id="62" w:name="_Toc150765134"/>
      <w:r>
        <w:rPr>
          <w:rFonts w:hint="eastAsia" w:ascii="CESI宋体-GB2312" w:hAnsi="CESI宋体-GB2312" w:eastAsia="CESI宋体-GB2312" w:cs="CESI宋体-GB2312"/>
        </w:rPr>
        <w:t>部门整体支出绩效评价评分表</w:t>
      </w:r>
      <w:bookmarkEnd w:id="61"/>
      <w:bookmarkEnd w:id="62"/>
    </w:p>
    <w:tbl>
      <w:tblPr>
        <w:tblStyle w:val="17"/>
        <w:tblW w:w="53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
        <w:gridCol w:w="645"/>
        <w:gridCol w:w="689"/>
        <w:gridCol w:w="1464"/>
        <w:gridCol w:w="4924"/>
        <w:gridCol w:w="755"/>
        <w:gridCol w:w="6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blHeader/>
          <w:jc w:val="center"/>
        </w:trPr>
        <w:tc>
          <w:tcPr>
            <w:tcW w:w="697" w:type="dxa"/>
            <w:shd w:val="clear" w:color="auto" w:fill="auto"/>
            <w:vAlign w:val="center"/>
          </w:tcPr>
          <w:p>
            <w:pPr>
              <w:widowControl/>
              <w:ind w:firstLine="0" w:firstLineChars="0"/>
              <w:jc w:val="center"/>
              <w:rPr>
                <w:rFonts w:eastAsia="宋体" w:cs="Times New Roman"/>
                <w:b/>
                <w:bCs/>
                <w:kern w:val="0"/>
                <w:sz w:val="18"/>
                <w:szCs w:val="18"/>
              </w:rPr>
            </w:pPr>
            <w:r>
              <w:rPr>
                <w:rFonts w:eastAsia="宋体" w:cs="Times New Roman"/>
                <w:b/>
                <w:bCs/>
                <w:kern w:val="0"/>
                <w:sz w:val="18"/>
                <w:szCs w:val="18"/>
              </w:rPr>
              <w:t>一级指标</w:t>
            </w:r>
          </w:p>
        </w:tc>
        <w:tc>
          <w:tcPr>
            <w:tcW w:w="630" w:type="dxa"/>
            <w:shd w:val="clear" w:color="auto" w:fill="auto"/>
            <w:vAlign w:val="center"/>
          </w:tcPr>
          <w:p>
            <w:pPr>
              <w:widowControl/>
              <w:ind w:firstLine="0" w:firstLineChars="0"/>
              <w:jc w:val="center"/>
              <w:rPr>
                <w:rFonts w:eastAsia="宋体" w:cs="Times New Roman"/>
                <w:b/>
                <w:bCs/>
                <w:kern w:val="0"/>
                <w:sz w:val="18"/>
                <w:szCs w:val="18"/>
              </w:rPr>
            </w:pPr>
            <w:r>
              <w:rPr>
                <w:rFonts w:eastAsia="宋体" w:cs="Times New Roman"/>
                <w:b/>
                <w:bCs/>
                <w:kern w:val="0"/>
                <w:sz w:val="18"/>
                <w:szCs w:val="18"/>
              </w:rPr>
              <w:t>二级指标</w:t>
            </w:r>
          </w:p>
        </w:tc>
        <w:tc>
          <w:tcPr>
            <w:tcW w:w="673" w:type="dxa"/>
            <w:shd w:val="clear" w:color="auto" w:fill="auto"/>
            <w:vAlign w:val="center"/>
          </w:tcPr>
          <w:p>
            <w:pPr>
              <w:widowControl/>
              <w:ind w:firstLine="0" w:firstLineChars="0"/>
              <w:jc w:val="center"/>
              <w:rPr>
                <w:rFonts w:eastAsia="宋体" w:cs="Times New Roman"/>
                <w:b/>
                <w:bCs/>
                <w:kern w:val="0"/>
                <w:sz w:val="18"/>
                <w:szCs w:val="18"/>
              </w:rPr>
            </w:pPr>
            <w:r>
              <w:rPr>
                <w:rFonts w:eastAsia="宋体" w:cs="Times New Roman"/>
                <w:b/>
                <w:bCs/>
                <w:kern w:val="0"/>
                <w:sz w:val="18"/>
                <w:szCs w:val="18"/>
              </w:rPr>
              <w:t>三级指标</w:t>
            </w:r>
          </w:p>
        </w:tc>
        <w:tc>
          <w:tcPr>
            <w:tcW w:w="1430" w:type="dxa"/>
            <w:shd w:val="clear" w:color="auto" w:fill="auto"/>
            <w:vAlign w:val="center"/>
          </w:tcPr>
          <w:p>
            <w:pPr>
              <w:widowControl/>
              <w:ind w:firstLine="0" w:firstLineChars="0"/>
              <w:jc w:val="center"/>
              <w:rPr>
                <w:rFonts w:eastAsia="宋体" w:cs="Times New Roman"/>
                <w:b/>
                <w:bCs/>
                <w:kern w:val="0"/>
                <w:sz w:val="18"/>
                <w:szCs w:val="18"/>
              </w:rPr>
            </w:pPr>
            <w:r>
              <w:rPr>
                <w:rFonts w:eastAsia="宋体" w:cs="Times New Roman"/>
                <w:b/>
                <w:bCs/>
                <w:kern w:val="0"/>
                <w:sz w:val="18"/>
                <w:szCs w:val="18"/>
              </w:rPr>
              <w:t>四级指标</w:t>
            </w:r>
          </w:p>
        </w:tc>
        <w:tc>
          <w:tcPr>
            <w:tcW w:w="4811" w:type="dxa"/>
            <w:shd w:val="clear" w:color="auto" w:fill="auto"/>
            <w:vAlign w:val="center"/>
          </w:tcPr>
          <w:p>
            <w:pPr>
              <w:widowControl/>
              <w:ind w:firstLine="0" w:firstLineChars="0"/>
              <w:jc w:val="center"/>
              <w:rPr>
                <w:rFonts w:eastAsia="宋体" w:cs="Times New Roman"/>
                <w:b/>
                <w:bCs/>
                <w:kern w:val="0"/>
                <w:sz w:val="18"/>
                <w:szCs w:val="18"/>
              </w:rPr>
            </w:pPr>
            <w:r>
              <w:rPr>
                <w:rFonts w:eastAsia="宋体" w:cs="Times New Roman"/>
                <w:b/>
                <w:bCs/>
                <w:kern w:val="0"/>
                <w:sz w:val="18"/>
                <w:szCs w:val="18"/>
              </w:rPr>
              <w:t>评分标准</w:t>
            </w:r>
          </w:p>
        </w:tc>
        <w:tc>
          <w:tcPr>
            <w:tcW w:w="738" w:type="dxa"/>
            <w:shd w:val="clear" w:color="auto" w:fill="auto"/>
            <w:vAlign w:val="center"/>
          </w:tcPr>
          <w:p>
            <w:pPr>
              <w:widowControl/>
              <w:ind w:firstLine="0" w:firstLineChars="0"/>
              <w:jc w:val="center"/>
              <w:rPr>
                <w:rFonts w:eastAsia="宋体" w:cs="Times New Roman"/>
                <w:b/>
                <w:bCs/>
                <w:kern w:val="0"/>
                <w:sz w:val="18"/>
                <w:szCs w:val="18"/>
              </w:rPr>
            </w:pPr>
            <w:r>
              <w:rPr>
                <w:rFonts w:eastAsia="宋体" w:cs="Times New Roman"/>
                <w:b/>
                <w:bCs/>
                <w:kern w:val="0"/>
                <w:sz w:val="18"/>
                <w:szCs w:val="18"/>
              </w:rPr>
              <w:t>评分</w:t>
            </w:r>
          </w:p>
        </w:tc>
        <w:tc>
          <w:tcPr>
            <w:tcW w:w="6163" w:type="dxa"/>
            <w:shd w:val="clear" w:color="auto" w:fill="auto"/>
            <w:vAlign w:val="center"/>
          </w:tcPr>
          <w:p>
            <w:pPr>
              <w:widowControl/>
              <w:ind w:firstLine="0" w:firstLineChars="0"/>
              <w:jc w:val="center"/>
              <w:rPr>
                <w:rFonts w:eastAsia="宋体" w:cs="Times New Roman"/>
                <w:b/>
                <w:bCs/>
                <w:kern w:val="0"/>
                <w:sz w:val="18"/>
                <w:szCs w:val="18"/>
              </w:rPr>
            </w:pPr>
            <w:r>
              <w:rPr>
                <w:rFonts w:eastAsia="宋体" w:cs="Times New Roman"/>
                <w:b/>
                <w:bCs/>
                <w:kern w:val="0"/>
                <w:sz w:val="18"/>
                <w:szCs w:val="18"/>
              </w:rPr>
              <w:t>评分依据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履职效能</w:t>
            </w:r>
          </w:p>
        </w:tc>
        <w:tc>
          <w:tcPr>
            <w:tcW w:w="630" w:type="dxa"/>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整体效能</w:t>
            </w:r>
          </w:p>
        </w:tc>
        <w:tc>
          <w:tcPr>
            <w:tcW w:w="673" w:type="dxa"/>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部门整体绩效目标产出指标完成情况</w:t>
            </w: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居民电子健康档案建档率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单位自设指标，若居民电子健康档案建档率≥80%，得0.5分，否则，不得分。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根据《2022年城乡居民健康档案管理报表》，韶关市2022年居民电子健康档案建档率为96.64%；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传染病报告率和报告及时率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单位自设指标，若传染病报告率和报告及时率≥95%，得0.5分，否则，不得分。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根据《2022年传染病及突发公共卫生事件管理报表》，韶关市2022年传染病疫情报告率为100%，传染病疫情报告及时率为99.68%；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突发公共卫生事件相关信息报告率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单位自设指标，若突发公共卫生事件相关信息报告率为100%，得0.5分，否则，不得分。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根据《2022年韶关市市区突发公共卫生事件一览表》韶关市共发生13次突发公共安全卫生事件，均已在网络系统中进行创建并进行报告，报告率为100%；</w:t>
            </w:r>
            <w:r>
              <w:rPr>
                <w:rFonts w:eastAsia="宋体" w:cs="Times New Roman"/>
                <w:kern w:val="0"/>
                <w:sz w:val="18"/>
                <w:szCs w:val="18"/>
              </w:rPr>
              <w:br w:type="textWrapping"/>
            </w:r>
            <w:r>
              <w:rPr>
                <w:rFonts w:eastAsia="宋体" w:cs="Times New Roman"/>
                <w:kern w:val="0"/>
                <w:sz w:val="18"/>
                <w:szCs w:val="18"/>
              </w:rPr>
              <w:t>根据《公共卫生应急科2022年工作总结》，2022年截止12月31日，全市共发生91起突发公共卫生事件，均进行报告，报告率为100%；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患者管理率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单位自设指标，全部完成得1分，完成3点得0.5分，完成3点以下不得分：</w:t>
            </w:r>
            <w:r>
              <w:rPr>
                <w:rFonts w:eastAsia="宋体" w:cs="Times New Roman"/>
                <w:kern w:val="0"/>
                <w:sz w:val="18"/>
                <w:szCs w:val="18"/>
              </w:rPr>
              <w:br w:type="textWrapping"/>
            </w:r>
            <w:r>
              <w:rPr>
                <w:rFonts w:eastAsia="宋体" w:cs="Times New Roman"/>
                <w:kern w:val="0"/>
                <w:sz w:val="18"/>
                <w:szCs w:val="18"/>
              </w:rPr>
              <w:t>1.高血压患者规范管理率≥61%；</w:t>
            </w:r>
            <w:r>
              <w:rPr>
                <w:rFonts w:eastAsia="宋体" w:cs="Times New Roman"/>
                <w:kern w:val="0"/>
                <w:sz w:val="18"/>
                <w:szCs w:val="18"/>
              </w:rPr>
              <w:br w:type="textWrapping"/>
            </w:r>
            <w:r>
              <w:rPr>
                <w:rFonts w:eastAsia="宋体" w:cs="Times New Roman"/>
                <w:kern w:val="0"/>
                <w:sz w:val="18"/>
                <w:szCs w:val="18"/>
              </w:rPr>
              <w:t>2.严重精神障碍患者规范管理率≥80%</w:t>
            </w:r>
            <w:r>
              <w:rPr>
                <w:rFonts w:eastAsia="宋体" w:cs="Times New Roman"/>
                <w:kern w:val="0"/>
                <w:sz w:val="18"/>
                <w:szCs w:val="18"/>
              </w:rPr>
              <w:br w:type="textWrapping"/>
            </w:r>
            <w:r>
              <w:rPr>
                <w:rFonts w:eastAsia="宋体" w:cs="Times New Roman"/>
                <w:kern w:val="0"/>
                <w:sz w:val="18"/>
                <w:szCs w:val="18"/>
              </w:rPr>
              <w:t>3.糖尿病患者规范管理率≥61%；</w:t>
            </w:r>
            <w:r>
              <w:rPr>
                <w:rFonts w:eastAsia="宋体" w:cs="Times New Roman"/>
                <w:kern w:val="0"/>
                <w:sz w:val="18"/>
                <w:szCs w:val="18"/>
              </w:rPr>
              <w:br w:type="textWrapping"/>
            </w:r>
            <w:r>
              <w:rPr>
                <w:rFonts w:eastAsia="宋体" w:cs="Times New Roman"/>
                <w:kern w:val="0"/>
                <w:sz w:val="18"/>
                <w:szCs w:val="18"/>
              </w:rPr>
              <w:t>4.肺结核患者管理率≥90%</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1.高血压患者规范管理率为75.26%；</w:t>
            </w:r>
            <w:r>
              <w:rPr>
                <w:rFonts w:eastAsia="宋体" w:cs="Times New Roman"/>
                <w:kern w:val="0"/>
                <w:sz w:val="18"/>
                <w:szCs w:val="18"/>
              </w:rPr>
              <w:br w:type="textWrapping"/>
            </w:r>
            <w:r>
              <w:rPr>
                <w:rFonts w:eastAsia="宋体" w:cs="Times New Roman"/>
                <w:kern w:val="0"/>
                <w:sz w:val="18"/>
                <w:szCs w:val="18"/>
              </w:rPr>
              <w:t>2.根据《2022年严重精神障碍患者管理报表》，韶关市2022年严重精神障碍患者规范管理率为96.08%；</w:t>
            </w:r>
            <w:r>
              <w:rPr>
                <w:rFonts w:eastAsia="宋体" w:cs="Times New Roman"/>
                <w:kern w:val="0"/>
                <w:sz w:val="18"/>
                <w:szCs w:val="18"/>
              </w:rPr>
              <w:br w:type="textWrapping"/>
            </w:r>
            <w:r>
              <w:rPr>
                <w:rFonts w:eastAsia="宋体" w:cs="Times New Roman"/>
                <w:kern w:val="0"/>
                <w:sz w:val="18"/>
                <w:szCs w:val="18"/>
              </w:rPr>
              <w:t>3.糖尿病患者规范管理率为73.36%；</w:t>
            </w:r>
            <w:r>
              <w:rPr>
                <w:rFonts w:eastAsia="宋体" w:cs="Times New Roman"/>
                <w:kern w:val="0"/>
                <w:sz w:val="18"/>
                <w:szCs w:val="18"/>
              </w:rPr>
              <w:br w:type="textWrapping"/>
            </w:r>
            <w:r>
              <w:rPr>
                <w:rFonts w:eastAsia="宋体" w:cs="Times New Roman"/>
                <w:kern w:val="0"/>
                <w:sz w:val="18"/>
                <w:szCs w:val="18"/>
              </w:rPr>
              <w:t>4.根据《韶关市遏制结核病行动计划(2019-2022年)主要工作指标终期评估情况统计表》，韶关市2022年肺结核患者管理率达到93.8%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国家免疫规划疫苗接种率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单位自设指标，若国家免疫规划疫苗接种率≥90%，得0.5分，否则，不得分。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根据部门自评表，国家免疫规划疫苗接种率≥90%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肠癌早筛任务完成情况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单位自设指标，若肠癌早筛任务完成人数≥1.1万人，则得0.5分，否则，不得分。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根据部门自评表，肠癌早筛任务完成11171人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老年人城乡社区规范健康管理服务率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单位自设指标，若老年人城乡社区规范健康管理服务率≥55%，得0.5分，否则，不得分。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根据《老年人健康管理报表》，辖区内65岁及以上常住居民数为372,484人，接受健康管理人数总计213,038人，65岁及以上老年人城乡社区规范健康管理服务率为56.89%。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二级及以上综合性医院设置老年医学科的比例</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指标来自《韶关市人民政府办公室关于印发韶关市卫生健康事业发展十四五规划的通知》，2020年为37.5%，2025年目标为≥60%，按目标实现进度2022年应达46.5%，若完成，得0.5分，否则，不得分。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2022年韶关市二级及以上综合性医院设置老年医学科比例达到50%。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基本药物配备品种</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单位自设指标，全部完成得1分，完成2点得0.5分，否则，不得分：</w:t>
            </w:r>
            <w:r>
              <w:rPr>
                <w:rFonts w:eastAsia="宋体" w:cs="Times New Roman"/>
                <w:kern w:val="0"/>
                <w:sz w:val="18"/>
                <w:szCs w:val="18"/>
              </w:rPr>
              <w:br w:type="textWrapping"/>
            </w:r>
            <w:r>
              <w:rPr>
                <w:rFonts w:eastAsia="宋体" w:cs="Times New Roman"/>
                <w:kern w:val="0"/>
                <w:sz w:val="18"/>
                <w:szCs w:val="18"/>
              </w:rPr>
              <w:t>1.政府办基层（不含县）公立医疗卫生机构基本药物配备品种≥66%</w:t>
            </w:r>
            <w:r>
              <w:rPr>
                <w:rFonts w:eastAsia="宋体" w:cs="Times New Roman"/>
                <w:kern w:val="0"/>
                <w:sz w:val="18"/>
                <w:szCs w:val="18"/>
              </w:rPr>
              <w:br w:type="textWrapping"/>
            </w:r>
            <w:r>
              <w:rPr>
                <w:rFonts w:eastAsia="宋体" w:cs="Times New Roman"/>
                <w:kern w:val="0"/>
                <w:sz w:val="18"/>
                <w:szCs w:val="18"/>
              </w:rPr>
              <w:t>2.二级公立医疗卫生机构基本药物配备品种≥56%</w:t>
            </w:r>
            <w:r>
              <w:rPr>
                <w:rFonts w:eastAsia="宋体" w:cs="Times New Roman"/>
                <w:kern w:val="0"/>
                <w:sz w:val="18"/>
                <w:szCs w:val="18"/>
              </w:rPr>
              <w:br w:type="textWrapping"/>
            </w:r>
            <w:r>
              <w:rPr>
                <w:rFonts w:eastAsia="宋体" w:cs="Times New Roman"/>
                <w:kern w:val="0"/>
                <w:sz w:val="18"/>
                <w:szCs w:val="18"/>
              </w:rPr>
              <w:t>3.三级公立医疗卫生机构基本药物配备品种≥46%</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根据《2022年度广东省公立医疗机构实施国家基本药物制度达标情况排名表》，基层（不含县级）、二级、三级公立医疗卫生机构采购基本药物配备品种数占比分别不少于66、56%、46%</w:t>
            </w:r>
            <w:r>
              <w:rPr>
                <w:rFonts w:eastAsia="宋体" w:cs="Times New Roman"/>
                <w:kern w:val="0"/>
                <w:sz w:val="18"/>
                <w:szCs w:val="18"/>
              </w:rPr>
              <w:br w:type="textWrapping"/>
            </w:r>
            <w:r>
              <w:rPr>
                <w:rFonts w:eastAsia="宋体" w:cs="Times New Roman"/>
                <w:kern w:val="0"/>
                <w:sz w:val="18"/>
                <w:szCs w:val="18"/>
              </w:rPr>
              <w:t>1.未发现政府办基层（不含县）公立医疗卫生机构基本药物配备品种未达标的卫生机构；</w:t>
            </w:r>
            <w:r>
              <w:rPr>
                <w:rFonts w:eastAsia="宋体" w:cs="Times New Roman"/>
                <w:kern w:val="0"/>
                <w:sz w:val="18"/>
                <w:szCs w:val="18"/>
              </w:rPr>
              <w:br w:type="textWrapping"/>
            </w:r>
            <w:r>
              <w:rPr>
                <w:rFonts w:eastAsia="宋体" w:cs="Times New Roman"/>
                <w:kern w:val="0"/>
                <w:sz w:val="18"/>
                <w:szCs w:val="18"/>
              </w:rPr>
              <w:t>2.未发现二级公立医疗卫生机构基本药物配备品种未达标的卫生机构；</w:t>
            </w:r>
            <w:r>
              <w:rPr>
                <w:rFonts w:eastAsia="宋体" w:cs="Times New Roman"/>
                <w:kern w:val="0"/>
                <w:sz w:val="18"/>
                <w:szCs w:val="18"/>
              </w:rPr>
              <w:br w:type="textWrapping"/>
            </w:r>
            <w:r>
              <w:rPr>
                <w:rFonts w:eastAsia="宋体" w:cs="Times New Roman"/>
                <w:kern w:val="0"/>
                <w:sz w:val="18"/>
                <w:szCs w:val="18"/>
              </w:rPr>
              <w:t>3.未发现三级公立医疗卫生机构基本药物配备品种不达标的卫生机构。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政府办基层医疗卫生机构实施国家基本药物制度覆盖率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单位自设指标，若政府办基层医疗卫生机构实施国家基本药物制度覆盖率为100%，得0.5分，否则，不得分。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根据《韶关市村卫生站设置和实施基本药物制度情况汇总表》，共设置1186个村卫生站，均实施基本药物制度。政府办基层医疗卫生机构实施国家基本药物制度覆盖率为100%。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食品安全检测任务完成情况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资金下达文规定任务指标，完成3点得1分，完成2点得0.5分，否则，不得分：</w:t>
            </w:r>
            <w:r>
              <w:rPr>
                <w:rFonts w:eastAsia="宋体" w:cs="Times New Roman"/>
                <w:kern w:val="0"/>
                <w:sz w:val="18"/>
                <w:szCs w:val="18"/>
              </w:rPr>
              <w:br w:type="textWrapping"/>
            </w:r>
            <w:r>
              <w:rPr>
                <w:rFonts w:eastAsia="宋体" w:cs="Times New Roman"/>
                <w:kern w:val="0"/>
                <w:sz w:val="18"/>
                <w:szCs w:val="18"/>
              </w:rPr>
              <w:t>1.食品中化学污染物及有害因素监测;采样、检测100份样品；</w:t>
            </w:r>
            <w:r>
              <w:rPr>
                <w:rFonts w:eastAsia="宋体" w:cs="Times New Roman"/>
                <w:kern w:val="0"/>
                <w:sz w:val="18"/>
                <w:szCs w:val="18"/>
              </w:rPr>
              <w:br w:type="textWrapping"/>
            </w:r>
            <w:r>
              <w:rPr>
                <w:rFonts w:eastAsia="宋体" w:cs="Times New Roman"/>
                <w:kern w:val="0"/>
                <w:sz w:val="18"/>
                <w:szCs w:val="18"/>
              </w:rPr>
              <w:t>2.食品致病微生物及寄生虫监测：采样、检测100份样品；</w:t>
            </w:r>
            <w:r>
              <w:rPr>
                <w:rFonts w:eastAsia="宋体" w:cs="Times New Roman"/>
                <w:kern w:val="0"/>
                <w:sz w:val="18"/>
                <w:szCs w:val="18"/>
              </w:rPr>
              <w:br w:type="textWrapping"/>
            </w:r>
            <w:r>
              <w:rPr>
                <w:rFonts w:eastAsia="宋体" w:cs="Times New Roman"/>
                <w:kern w:val="0"/>
                <w:sz w:val="18"/>
                <w:szCs w:val="18"/>
              </w:rPr>
              <w:t>3.食源性疾病监测：监测120份标本。</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1.食品中化学污染物及有害因素常规监测完成470份；</w:t>
            </w:r>
            <w:r>
              <w:rPr>
                <w:rFonts w:eastAsia="宋体" w:cs="Times New Roman"/>
                <w:kern w:val="0"/>
                <w:sz w:val="18"/>
                <w:szCs w:val="18"/>
              </w:rPr>
              <w:br w:type="textWrapping"/>
            </w:r>
            <w:r>
              <w:rPr>
                <w:rFonts w:eastAsia="宋体" w:cs="Times New Roman"/>
                <w:kern w:val="0"/>
                <w:sz w:val="18"/>
                <w:szCs w:val="18"/>
              </w:rPr>
              <w:t>2.食品致病微生物及寄生虫监测完成160份；</w:t>
            </w:r>
            <w:r>
              <w:rPr>
                <w:rFonts w:eastAsia="宋体" w:cs="Times New Roman"/>
                <w:kern w:val="0"/>
                <w:sz w:val="18"/>
                <w:szCs w:val="18"/>
              </w:rPr>
              <w:br w:type="textWrapping"/>
            </w:r>
            <w:r>
              <w:rPr>
                <w:rFonts w:eastAsia="宋体" w:cs="Times New Roman"/>
                <w:kern w:val="0"/>
                <w:sz w:val="18"/>
                <w:szCs w:val="18"/>
              </w:rPr>
              <w:t>3.食源性疾病监测：2022年1-11月，两件病原体监测医院共登记腹泻病例4992人次，采集标本4334份，对1120份标本进行检测；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孕产妇系统管理率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指标来自于《韶关市人民政府办公室关于印发韶关市卫生健康事业发展十四五规划的通知》，若孕产妇系统管理率≥90%，得0.5分，否则，不得分。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根据《孕产妇保健和健康情况年报表（2022年）》，产妇系统管理人数为18,492人，孕妇总数为19,405，孕产妇系统管理率为95.3%。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3岁以下儿童系统管理率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指标来自于《韶关市人民政府办公室关于印发韶关市卫生健康事业发展十四五规划的通知》，若3岁以下儿童系统管理率≥90%，得0.5分，否则，不得分。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根据《七岁以下儿童保健和健康情况年报表（2022年）》，3岁以下儿童人数总计为69,750人，系统管理人数总计64,649，3岁以下儿童系统管理率为92.69%。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新生儿筛查任务完成情况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单位自设指标，全部完成得1分，完成2点得0.5分，否则，不得分：</w:t>
            </w:r>
            <w:r>
              <w:rPr>
                <w:rFonts w:eastAsia="宋体" w:cs="Times New Roman"/>
                <w:kern w:val="0"/>
                <w:sz w:val="18"/>
                <w:szCs w:val="18"/>
              </w:rPr>
              <w:br w:type="textWrapping"/>
            </w:r>
            <w:r>
              <w:rPr>
                <w:rFonts w:eastAsia="宋体" w:cs="Times New Roman"/>
                <w:kern w:val="0"/>
                <w:sz w:val="18"/>
                <w:szCs w:val="18"/>
              </w:rPr>
              <w:t>1.新生儿耳聋基因筛查任务数1.6万人</w:t>
            </w:r>
            <w:r>
              <w:rPr>
                <w:rFonts w:eastAsia="宋体" w:cs="Times New Roman"/>
                <w:kern w:val="0"/>
                <w:sz w:val="18"/>
                <w:szCs w:val="18"/>
              </w:rPr>
              <w:br w:type="textWrapping"/>
            </w:r>
            <w:r>
              <w:rPr>
                <w:rFonts w:eastAsia="宋体" w:cs="Times New Roman"/>
                <w:kern w:val="0"/>
                <w:sz w:val="18"/>
                <w:szCs w:val="18"/>
              </w:rPr>
              <w:t>2.新生儿遗传代谢性疾病筛查率≥98%</w:t>
            </w:r>
            <w:r>
              <w:rPr>
                <w:rFonts w:eastAsia="宋体" w:cs="Times New Roman"/>
                <w:kern w:val="0"/>
                <w:sz w:val="18"/>
                <w:szCs w:val="18"/>
              </w:rPr>
              <w:br w:type="textWrapping"/>
            </w:r>
            <w:r>
              <w:rPr>
                <w:rFonts w:eastAsia="宋体" w:cs="Times New Roman"/>
                <w:kern w:val="0"/>
                <w:sz w:val="18"/>
                <w:szCs w:val="18"/>
              </w:rPr>
              <w:t>3.新生儿筛查目标人群数≥95%</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根据《七岁以下儿童保健和健康情况年报表（2022年）》，新生儿听力障碍筛查人数为19,609，新生儿苯丙酮尿症筛查人数为1962人，先天性甲低筛查19624人，均已完成筛查任务。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两癌工作完成情况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单位自设指标，全部完成得1分，完成2点得0.5分，否则，不得分：</w:t>
            </w:r>
            <w:r>
              <w:rPr>
                <w:rFonts w:eastAsia="宋体" w:cs="Times New Roman"/>
                <w:kern w:val="0"/>
                <w:sz w:val="18"/>
                <w:szCs w:val="18"/>
              </w:rPr>
              <w:br w:type="textWrapping"/>
            </w:r>
            <w:r>
              <w:rPr>
                <w:rFonts w:eastAsia="宋体" w:cs="Times New Roman"/>
                <w:kern w:val="0"/>
                <w:sz w:val="18"/>
                <w:szCs w:val="18"/>
              </w:rPr>
              <w:t>1.两癌检查建档率100%</w:t>
            </w:r>
            <w:r>
              <w:rPr>
                <w:rFonts w:eastAsia="宋体" w:cs="Times New Roman"/>
                <w:kern w:val="0"/>
                <w:sz w:val="18"/>
                <w:szCs w:val="18"/>
              </w:rPr>
              <w:br w:type="textWrapping"/>
            </w:r>
            <w:r>
              <w:rPr>
                <w:rFonts w:eastAsia="宋体" w:cs="Times New Roman"/>
                <w:kern w:val="0"/>
                <w:sz w:val="18"/>
                <w:szCs w:val="18"/>
              </w:rPr>
              <w:t>2.宫颈癌早诊率≥80%</w:t>
            </w:r>
            <w:r>
              <w:rPr>
                <w:rFonts w:eastAsia="宋体" w:cs="Times New Roman"/>
                <w:kern w:val="0"/>
                <w:sz w:val="18"/>
                <w:szCs w:val="18"/>
              </w:rPr>
              <w:br w:type="textWrapping"/>
            </w:r>
            <w:r>
              <w:rPr>
                <w:rFonts w:eastAsia="宋体" w:cs="Times New Roman"/>
                <w:kern w:val="0"/>
                <w:sz w:val="18"/>
                <w:szCs w:val="18"/>
              </w:rPr>
              <w:t>3.乳腺癌早诊率≥60%</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根据《2022年韶关市城乡妇女“两癌”筛查统计表》：宫颈癌检查任务完成率即结案率为107.00%；乳腺癌检查任务完成率即结案率107.01%；宫颈癌早诊率96.97%；乳腺癌早诊率72.41%。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部门整体绩效目标效益指标完成情况</w:t>
            </w: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人均预期寿命（岁）</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指标来自《韶关市国民经济和社会发展第十四个五年规划和2035年远景目标纲要》，2020年78.4岁，2025年79岁，按目标实现进度2022年应达78.6岁，若完成，得1分，否则，不得分。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2022年韶关市人均寿命为80.12岁。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每千常驻人口医疗卫生机构床位数</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指标来自《韶关市国民经济和社会发展第十四个五年规划和2035年远景目标纲要》，2020年完成数为6.78张,2025年规划数为8.44张，按目标实现进度2022年应达7.44张，若完成，得1分，否则，不得分。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根据《2022年广东省卫生健康统计信息简本》，实有床位数为22,126张，根据《2022年韶关市统计年鉴》，常住人口数为286.01万人，每千常驻人口医疗卫生机构床位数为7.74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每千人口拥有执业（助理）医师数</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指标来自《韶关市国民经济和社会发展第十四个五年规划和2035年远景目标纲要》，2020年完成数为2.8人，2025年规划数为2.9人，若不低于2.8人，则得0.5分，否则，不得分。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根据《2022年韶关市统计年鉴》，执业（助理）医师为8108人，常住人口数为286.01万人，每千人口拥有执业（助理）医师数为2.83。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每万常住人口全科医生数</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指标来自《韶关市国民经济和社会发展第十四个五年规划和2035年远景目标纲要》，2020年完成数4.23人,2025年规划数4人，若每万常住人口全科医生数在4~4.23间，则得1分，否则不得分。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2022年已经提前达到2025年每万人口拥有4名以上全科医生的目标。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公立医院高质量发展水平提高</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指标来自重点工作任务总结，每完成一项得0.5分：</w:t>
            </w:r>
            <w:r>
              <w:rPr>
                <w:rFonts w:eastAsia="宋体" w:cs="Times New Roman"/>
                <w:kern w:val="0"/>
                <w:sz w:val="18"/>
                <w:szCs w:val="18"/>
              </w:rPr>
              <w:br w:type="textWrapping"/>
            </w:r>
            <w:r>
              <w:rPr>
                <w:rFonts w:eastAsia="宋体" w:cs="Times New Roman"/>
                <w:kern w:val="0"/>
                <w:sz w:val="18"/>
                <w:szCs w:val="18"/>
              </w:rPr>
              <w:t>1.粤北人民医院、韶关市第一人民医院2家高水平公立医院打造项目按进度进行；</w:t>
            </w:r>
            <w:r>
              <w:rPr>
                <w:rFonts w:eastAsia="宋体" w:cs="Times New Roman"/>
                <w:kern w:val="0"/>
                <w:sz w:val="18"/>
                <w:szCs w:val="18"/>
              </w:rPr>
              <w:br w:type="textWrapping"/>
            </w:r>
            <w:r>
              <w:rPr>
                <w:rFonts w:eastAsia="宋体" w:cs="Times New Roman"/>
                <w:kern w:val="0"/>
                <w:sz w:val="18"/>
                <w:szCs w:val="18"/>
              </w:rPr>
              <w:t>2.韶关市第一人民医院、韶关市中医新院等推动韶关市中医院国家特色中医重点医院建设的项目按进度进行；</w:t>
            </w:r>
            <w:r>
              <w:rPr>
                <w:rFonts w:eastAsia="宋体" w:cs="Times New Roman"/>
                <w:kern w:val="0"/>
                <w:sz w:val="18"/>
                <w:szCs w:val="18"/>
              </w:rPr>
              <w:br w:type="textWrapping"/>
            </w:r>
            <w:r>
              <w:rPr>
                <w:rFonts w:eastAsia="宋体" w:cs="Times New Roman"/>
                <w:kern w:val="0"/>
                <w:sz w:val="18"/>
                <w:szCs w:val="18"/>
              </w:rPr>
              <w:t>3.粤北区域高水平疾控中心综合实验大楼综合项目按进度进行。</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hint="eastAsia" w:eastAsia="宋体" w:cs="Times New Roman"/>
                <w:kern w:val="0"/>
                <w:sz w:val="18"/>
                <w:szCs w:val="18"/>
              </w:rPr>
              <w:t>粤北人民医院省级区域医疗中心建设稳步推进，完成当年省级高水平医院建设任务。市第一人民医院省级高水平医院建设稳步推进，已完成新院区主体工程。市中医院新院建设进展顺利，已完成新院区主体结构封顶。市疾控中心粤北区域高水平疾控中心建设进展顺利，建成公共卫生监测预警平台。综合考虑，此项扣0.5分，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5 岁以下儿童死亡率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指标来自《韶关市人民政府办公室关于印发韶关市卫生健康事业发展十四五规划的通知》，2020年完成数为4.33‰，2025年规划数为4‰，按目标完成进度，2022年应达目标为4.2‰，若完成，得1分，否则，不得分。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根据《七岁以下儿童保健和健康情况年报表（2022年）》，5岁以下儿童死亡率为2.44‰。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孕产妇死亡率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指标来自《韶关市人民政府办公室关于印发韶关市卫生健康事业发展十四五规划的通知》，2020年为完成数11.21/10万人，2025年规划数为8/10万人，按目标完成进度，2022年应达目标为9.93/10万人，若完成，得1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根据《孕产妇保健和健康情况年报表（2022年）》，孕产妇死亡人数为1人，孕妇总数为19,405，孕产妇死亡率为1.92/10万人。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公立医院住院率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单位自设指标，每完成一项得0.5分：</w:t>
            </w:r>
            <w:r>
              <w:rPr>
                <w:rFonts w:eastAsia="宋体" w:cs="Times New Roman"/>
                <w:kern w:val="0"/>
                <w:sz w:val="18"/>
                <w:szCs w:val="18"/>
              </w:rPr>
              <w:br w:type="textWrapping"/>
            </w:r>
            <w:r>
              <w:rPr>
                <w:rFonts w:eastAsia="宋体" w:cs="Times New Roman"/>
                <w:kern w:val="0"/>
                <w:sz w:val="18"/>
                <w:szCs w:val="18"/>
              </w:rPr>
              <w:t>1.地级市市域住院率≥95%</w:t>
            </w:r>
            <w:r>
              <w:rPr>
                <w:rFonts w:eastAsia="宋体" w:cs="Times New Roman"/>
                <w:kern w:val="0"/>
                <w:sz w:val="18"/>
                <w:szCs w:val="18"/>
              </w:rPr>
              <w:br w:type="textWrapping"/>
            </w:r>
            <w:r>
              <w:rPr>
                <w:rFonts w:eastAsia="宋体" w:cs="Times New Roman"/>
                <w:kern w:val="0"/>
                <w:sz w:val="18"/>
                <w:szCs w:val="18"/>
              </w:rPr>
              <w:t>2.县域内住院率）≥80%</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根据广东省卫生健康委事务中心第206期《广东省卫生健康统计信息》，2022年第三季度韶关市常住居民市域内住院率为96.3%，县域内住院率为83.6%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现代医院管理制度</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单位自设指标，若现代医院管理制度加快建立，得1分，否则，酌情扣分。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印发给驻韶关市各单位的《韶关市推动公立医院高质量发展实施方案》，各部门的任务及职责分工较明确，有助于推动现代医院管理制度的建立健全；此外，所印发的《韶关市紧密型医共体医防协同试点方案》、《韶关市深入推广福建省三明市经验优化医药卫生体制改革实施方案》分别有助于推进紧密型县城医共体建设、推动韶关市深化医疗、医保、医药“三医联动”改革，均有助于加快现代医院管理制度的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促成“引进来”项目协议投资额</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单位自设指标，若医疗康养产业招商引资效果达到预期，得1分，否则，酌情扣分。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已完成医疗康养产业招商引资，项目成效达到预期。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专项效能</w:t>
            </w:r>
          </w:p>
        </w:tc>
        <w:tc>
          <w:tcPr>
            <w:tcW w:w="673" w:type="dxa"/>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中省资金绩效完成情况</w:t>
            </w: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重大传染病防控任务完成情况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上级下达任务，每完成一项得0.5分：</w:t>
            </w:r>
            <w:r>
              <w:rPr>
                <w:rFonts w:eastAsia="宋体" w:cs="Times New Roman"/>
                <w:kern w:val="0"/>
                <w:sz w:val="18"/>
                <w:szCs w:val="18"/>
              </w:rPr>
              <w:br w:type="textWrapping"/>
            </w:r>
            <w:r>
              <w:rPr>
                <w:rFonts w:eastAsia="宋体" w:cs="Times New Roman"/>
                <w:kern w:val="0"/>
                <w:sz w:val="18"/>
                <w:szCs w:val="18"/>
              </w:rPr>
              <w:t>1.国家免疫规划常规免疫46.35万剂次</w:t>
            </w:r>
            <w:r>
              <w:rPr>
                <w:rFonts w:eastAsia="宋体" w:cs="Times New Roman"/>
                <w:kern w:val="0"/>
                <w:sz w:val="18"/>
                <w:szCs w:val="18"/>
              </w:rPr>
              <w:br w:type="textWrapping"/>
            </w:r>
            <w:r>
              <w:rPr>
                <w:rFonts w:eastAsia="宋体" w:cs="Times New Roman"/>
                <w:kern w:val="0"/>
                <w:sz w:val="18"/>
                <w:szCs w:val="18"/>
              </w:rPr>
              <w:t>2.艾滋病感染孕产妇数≤9，梅毒感染孕产妇数≤75，乙肝感染孕产妇数≤1199</w:t>
            </w:r>
            <w:r>
              <w:rPr>
                <w:rFonts w:eastAsia="宋体" w:cs="Times New Roman"/>
                <w:kern w:val="0"/>
                <w:sz w:val="18"/>
                <w:szCs w:val="18"/>
              </w:rPr>
              <w:br w:type="textWrapping"/>
            </w:r>
            <w:r>
              <w:rPr>
                <w:rFonts w:eastAsia="宋体" w:cs="Times New Roman"/>
                <w:kern w:val="0"/>
                <w:sz w:val="18"/>
                <w:szCs w:val="18"/>
              </w:rPr>
              <w:t>3.血吸虫病防治病原检测400人</w:t>
            </w:r>
            <w:r>
              <w:rPr>
                <w:rFonts w:eastAsia="宋体" w:cs="Times New Roman"/>
                <w:kern w:val="0"/>
                <w:sz w:val="18"/>
                <w:szCs w:val="18"/>
              </w:rPr>
              <w:br w:type="textWrapping"/>
            </w:r>
            <w:r>
              <w:rPr>
                <w:rFonts w:eastAsia="宋体" w:cs="Times New Roman"/>
                <w:kern w:val="0"/>
                <w:sz w:val="18"/>
                <w:szCs w:val="18"/>
              </w:rPr>
              <w:t>4.结核病患者治疗及随访管理任务数（例数）858人</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1.根据部门自评表，国家免疫规划常规免疫已完成目标任务。</w:t>
            </w:r>
            <w:r>
              <w:rPr>
                <w:rFonts w:eastAsia="宋体" w:cs="Times New Roman"/>
                <w:kern w:val="0"/>
                <w:sz w:val="18"/>
                <w:szCs w:val="18"/>
              </w:rPr>
              <w:br w:type="textWrapping"/>
            </w:r>
            <w:r>
              <w:rPr>
                <w:rFonts w:eastAsia="宋体" w:cs="Times New Roman"/>
                <w:kern w:val="0"/>
                <w:sz w:val="18"/>
                <w:szCs w:val="18"/>
              </w:rPr>
              <w:t>2.根据《孕产妇保健和健康情况年报表（2022年）》，产妇艾滋病、梅毒以及乙肝感染检测率均达到100%，艾滋病感染孕产妇数≤9，梅毒感染孕产妇数≤75，乙肝感染孕产妇数≤1199。</w:t>
            </w:r>
            <w:r>
              <w:rPr>
                <w:rFonts w:eastAsia="宋体" w:cs="Times New Roman"/>
                <w:kern w:val="0"/>
                <w:sz w:val="18"/>
                <w:szCs w:val="18"/>
              </w:rPr>
              <w:br w:type="textWrapping"/>
            </w:r>
            <w:r>
              <w:rPr>
                <w:rFonts w:eastAsia="宋体" w:cs="Times New Roman"/>
                <w:kern w:val="0"/>
                <w:sz w:val="18"/>
                <w:szCs w:val="18"/>
              </w:rPr>
              <w:t>3.根据部门自评表，血吸虫病防治病原已完成目标任务。</w:t>
            </w:r>
            <w:r>
              <w:rPr>
                <w:rFonts w:eastAsia="宋体" w:cs="Times New Roman"/>
                <w:kern w:val="0"/>
                <w:sz w:val="18"/>
                <w:szCs w:val="18"/>
              </w:rPr>
              <w:br w:type="textWrapping"/>
            </w:r>
            <w:r>
              <w:rPr>
                <w:rFonts w:eastAsia="宋体" w:cs="Times New Roman"/>
                <w:kern w:val="0"/>
                <w:sz w:val="18"/>
                <w:szCs w:val="18"/>
              </w:rPr>
              <w:t>4.根据部门自评表，结核病患者治疗及随访管理已完成目标任务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卫生健康人才培养任务完成情况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上级下达任务，每完成一项得0.5分：</w:t>
            </w:r>
            <w:r>
              <w:rPr>
                <w:rFonts w:eastAsia="宋体" w:cs="Times New Roman"/>
                <w:kern w:val="0"/>
                <w:sz w:val="18"/>
                <w:szCs w:val="18"/>
              </w:rPr>
              <w:br w:type="textWrapping"/>
            </w:r>
            <w:r>
              <w:rPr>
                <w:rFonts w:eastAsia="宋体" w:cs="Times New Roman"/>
                <w:kern w:val="0"/>
                <w:sz w:val="18"/>
                <w:szCs w:val="18"/>
              </w:rPr>
              <w:t>1.紧缺人才培训招收完成率≥80%</w:t>
            </w:r>
            <w:r>
              <w:rPr>
                <w:rFonts w:eastAsia="宋体" w:cs="Times New Roman"/>
                <w:kern w:val="0"/>
                <w:sz w:val="18"/>
                <w:szCs w:val="18"/>
              </w:rPr>
              <w:br w:type="textWrapping"/>
            </w:r>
            <w:r>
              <w:rPr>
                <w:rFonts w:eastAsia="宋体" w:cs="Times New Roman"/>
                <w:kern w:val="0"/>
                <w:sz w:val="18"/>
                <w:szCs w:val="18"/>
              </w:rPr>
              <w:t>2.住院医师规范化培训招收完成率≥90%</w:t>
            </w:r>
            <w:r>
              <w:rPr>
                <w:rFonts w:eastAsia="宋体" w:cs="Times New Roman"/>
                <w:kern w:val="0"/>
                <w:sz w:val="18"/>
                <w:szCs w:val="18"/>
              </w:rPr>
              <w:br w:type="textWrapping"/>
            </w:r>
            <w:r>
              <w:rPr>
                <w:rFonts w:eastAsia="宋体" w:cs="Times New Roman"/>
                <w:kern w:val="0"/>
                <w:sz w:val="18"/>
                <w:szCs w:val="18"/>
              </w:rPr>
              <w:t>3.县乡村卫生人才能力提升培训招收完成率≥80%</w:t>
            </w:r>
            <w:r>
              <w:rPr>
                <w:rFonts w:eastAsia="宋体" w:cs="Times New Roman"/>
                <w:kern w:val="0"/>
                <w:sz w:val="18"/>
                <w:szCs w:val="18"/>
              </w:rPr>
              <w:br w:type="textWrapping"/>
            </w:r>
            <w:r>
              <w:rPr>
                <w:rFonts w:eastAsia="宋体" w:cs="Times New Roman"/>
                <w:kern w:val="0"/>
                <w:sz w:val="18"/>
                <w:szCs w:val="18"/>
              </w:rPr>
              <w:t>4.住院医师规范化培训结业考核通过率≥80%</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1.紧缺人才培训招收目标任务完成，2022年省下达韶关市紧缺专业招收计划为35人，实际紧缺专业共招收34人，紧缺人才培训招收完成率达到97.14%。</w:t>
            </w:r>
            <w:r>
              <w:rPr>
                <w:rFonts w:eastAsia="宋体" w:cs="Times New Roman"/>
                <w:kern w:val="0"/>
                <w:sz w:val="18"/>
                <w:szCs w:val="18"/>
              </w:rPr>
              <w:br w:type="textWrapping"/>
            </w:r>
            <w:r>
              <w:rPr>
                <w:rFonts w:eastAsia="宋体" w:cs="Times New Roman"/>
                <w:kern w:val="0"/>
                <w:sz w:val="18"/>
                <w:szCs w:val="18"/>
              </w:rPr>
              <w:t>2.住院医师规范化培训招收任务完成，2022年省下达韶关市招收计划总数为71人（年中调增至80人），实际住院医师规范化培训共招收115人（粤北人民医院99人、韶关市第一人民医院16人），住院医师规范化培训招收完成率115%。</w:t>
            </w:r>
            <w:r>
              <w:rPr>
                <w:rFonts w:eastAsia="宋体" w:cs="Times New Roman"/>
                <w:kern w:val="0"/>
                <w:sz w:val="18"/>
                <w:szCs w:val="18"/>
              </w:rPr>
              <w:br w:type="textWrapping"/>
            </w:r>
            <w:r>
              <w:rPr>
                <w:rFonts w:eastAsia="宋体" w:cs="Times New Roman"/>
                <w:kern w:val="0"/>
                <w:sz w:val="18"/>
                <w:szCs w:val="18"/>
              </w:rPr>
              <w:t>3.县乡村卫生人才能力提升培训招收任务完成率超过80%。</w:t>
            </w:r>
            <w:r>
              <w:rPr>
                <w:rFonts w:eastAsia="宋体" w:cs="Times New Roman"/>
                <w:kern w:val="0"/>
                <w:sz w:val="18"/>
                <w:szCs w:val="18"/>
              </w:rPr>
              <w:br w:type="textWrapping"/>
            </w:r>
            <w:r>
              <w:rPr>
                <w:rFonts w:eastAsia="宋体" w:cs="Times New Roman"/>
                <w:kern w:val="0"/>
                <w:sz w:val="18"/>
                <w:szCs w:val="18"/>
              </w:rPr>
              <w:t>4.住院医师规范化培训结业考核整体通过率为83.39%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医疗机构能力建设任务完成情况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上级下达任务，每完成一项得0.5分：</w:t>
            </w:r>
            <w:r>
              <w:rPr>
                <w:rFonts w:eastAsia="宋体" w:cs="Times New Roman"/>
                <w:kern w:val="0"/>
                <w:sz w:val="18"/>
                <w:szCs w:val="18"/>
              </w:rPr>
              <w:br w:type="textWrapping"/>
            </w:r>
            <w:r>
              <w:rPr>
                <w:rFonts w:eastAsia="宋体" w:cs="Times New Roman"/>
                <w:kern w:val="0"/>
                <w:sz w:val="18"/>
                <w:szCs w:val="18"/>
              </w:rPr>
              <w:t>1.项目覆盖疾控机构服务能力较上年提升</w:t>
            </w:r>
            <w:r>
              <w:rPr>
                <w:rFonts w:eastAsia="宋体" w:cs="Times New Roman"/>
                <w:kern w:val="0"/>
                <w:sz w:val="18"/>
                <w:szCs w:val="18"/>
              </w:rPr>
              <w:br w:type="textWrapping"/>
            </w:r>
            <w:r>
              <w:rPr>
                <w:rFonts w:eastAsia="宋体" w:cs="Times New Roman"/>
                <w:kern w:val="0"/>
                <w:sz w:val="18"/>
                <w:szCs w:val="18"/>
              </w:rPr>
              <w:t>2.项目覆盖县区级疾控机构基本检验能力较上年提升比例≥10%</w:t>
            </w:r>
            <w:r>
              <w:rPr>
                <w:rFonts w:eastAsia="宋体" w:cs="Times New Roman"/>
                <w:kern w:val="0"/>
                <w:sz w:val="18"/>
                <w:szCs w:val="18"/>
              </w:rPr>
              <w:br w:type="textWrapping"/>
            </w:r>
            <w:r>
              <w:rPr>
                <w:rFonts w:eastAsia="宋体" w:cs="Times New Roman"/>
                <w:kern w:val="0"/>
                <w:sz w:val="18"/>
                <w:szCs w:val="18"/>
              </w:rPr>
              <w:t>3.职业健康技术服务机构管理不断完善</w:t>
            </w:r>
            <w:r>
              <w:rPr>
                <w:rFonts w:eastAsia="宋体" w:cs="Times New Roman"/>
                <w:kern w:val="0"/>
                <w:sz w:val="18"/>
                <w:szCs w:val="18"/>
              </w:rPr>
              <w:br w:type="textWrapping"/>
            </w:r>
            <w:r>
              <w:rPr>
                <w:rFonts w:eastAsia="宋体" w:cs="Times New Roman"/>
                <w:kern w:val="0"/>
                <w:sz w:val="18"/>
                <w:szCs w:val="18"/>
              </w:rPr>
              <w:t>4.辖区住院分娩率≥99%</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1.项目覆盖疾控机构服务能力较上年提升</w:t>
            </w:r>
            <w:r>
              <w:rPr>
                <w:rFonts w:eastAsia="宋体" w:cs="Times New Roman"/>
                <w:kern w:val="0"/>
                <w:sz w:val="18"/>
                <w:szCs w:val="18"/>
              </w:rPr>
              <w:br w:type="textWrapping"/>
            </w:r>
            <w:r>
              <w:rPr>
                <w:rFonts w:eastAsia="宋体" w:cs="Times New Roman"/>
                <w:kern w:val="0"/>
                <w:sz w:val="18"/>
                <w:szCs w:val="18"/>
              </w:rPr>
              <w:t>2.项目覆盖县区级疾控机构基本检验能力较上年提升比例</w:t>
            </w:r>
            <w:r>
              <w:rPr>
                <w:rFonts w:eastAsia="宋体" w:cs="Times New Roman"/>
                <w:kern w:val="0"/>
                <w:sz w:val="18"/>
                <w:szCs w:val="18"/>
              </w:rPr>
              <w:br w:type="textWrapping"/>
            </w:r>
            <w:r>
              <w:rPr>
                <w:rFonts w:eastAsia="宋体" w:cs="Times New Roman"/>
                <w:kern w:val="0"/>
                <w:sz w:val="18"/>
                <w:szCs w:val="18"/>
              </w:rPr>
              <w:t>3.职业健康技术服务机构管理不断完</w:t>
            </w:r>
            <w:r>
              <w:rPr>
                <w:rFonts w:eastAsia="宋体" w:cs="Times New Roman"/>
                <w:kern w:val="0"/>
                <w:sz w:val="18"/>
                <w:szCs w:val="18"/>
              </w:rPr>
              <w:br w:type="textWrapping"/>
            </w:r>
            <w:r>
              <w:rPr>
                <w:rFonts w:eastAsia="宋体" w:cs="Times New Roman"/>
                <w:kern w:val="0"/>
                <w:sz w:val="18"/>
                <w:szCs w:val="18"/>
              </w:rPr>
              <w:t>4.辖区住院分娩率为99.98%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公立医院综合改革任务完成情况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上级下达任务，每完成一项得0.5分：</w:t>
            </w:r>
            <w:r>
              <w:rPr>
                <w:rFonts w:eastAsia="宋体" w:cs="Times New Roman"/>
                <w:kern w:val="0"/>
                <w:sz w:val="18"/>
                <w:szCs w:val="18"/>
              </w:rPr>
              <w:br w:type="textWrapping"/>
            </w:r>
            <w:r>
              <w:rPr>
                <w:rFonts w:eastAsia="宋体" w:cs="Times New Roman"/>
                <w:kern w:val="0"/>
                <w:sz w:val="18"/>
                <w:szCs w:val="18"/>
              </w:rPr>
              <w:t>1.公立医院医疗服务收入（不含药品、耗材、检查、化验收入）占医疗收入比重较上年提高</w:t>
            </w:r>
            <w:r>
              <w:rPr>
                <w:rFonts w:eastAsia="宋体" w:cs="Times New Roman"/>
                <w:kern w:val="0"/>
                <w:sz w:val="18"/>
                <w:szCs w:val="18"/>
              </w:rPr>
              <w:br w:type="textWrapping"/>
            </w:r>
            <w:r>
              <w:rPr>
                <w:rFonts w:eastAsia="宋体" w:cs="Times New Roman"/>
                <w:kern w:val="0"/>
                <w:sz w:val="18"/>
                <w:szCs w:val="18"/>
              </w:rPr>
              <w:t>2.三级公立医院出院患者手术占比较上年提高</w:t>
            </w:r>
            <w:r>
              <w:rPr>
                <w:rFonts w:eastAsia="宋体" w:cs="Times New Roman"/>
                <w:kern w:val="0"/>
                <w:sz w:val="18"/>
                <w:szCs w:val="18"/>
              </w:rPr>
              <w:br w:type="textWrapping"/>
            </w:r>
            <w:r>
              <w:rPr>
                <w:rFonts w:eastAsia="宋体" w:cs="Times New Roman"/>
                <w:kern w:val="0"/>
                <w:sz w:val="18"/>
                <w:szCs w:val="18"/>
              </w:rPr>
              <w:t>3.基层医疗卫生机构诊疗人次数占医疗卫生机构诊疗总人次数的比例较上年提高</w:t>
            </w:r>
            <w:r>
              <w:rPr>
                <w:rFonts w:eastAsia="宋体" w:cs="Times New Roman"/>
                <w:kern w:val="0"/>
                <w:sz w:val="18"/>
                <w:szCs w:val="18"/>
              </w:rPr>
              <w:br w:type="textWrapping"/>
            </w:r>
            <w:r>
              <w:rPr>
                <w:rFonts w:eastAsia="宋体" w:cs="Times New Roman"/>
                <w:kern w:val="0"/>
                <w:sz w:val="18"/>
                <w:szCs w:val="18"/>
              </w:rPr>
              <w:t>4.公立医院出院者平均医药费用增长比例</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1.根据广东省卫生统计报表汇总系统，韶关市2022年公立医院医疗服务收入（不含药品、耗材、检查、化验收入）占医疗收入比重为36.18%</w:t>
            </w:r>
            <w:r>
              <w:rPr>
                <w:rFonts w:eastAsia="宋体" w:cs="Times New Roman"/>
                <w:kern w:val="0"/>
                <w:sz w:val="18"/>
                <w:szCs w:val="18"/>
              </w:rPr>
              <w:br w:type="textWrapping"/>
            </w:r>
            <w:r>
              <w:rPr>
                <w:rFonts w:eastAsia="宋体" w:cs="Times New Roman"/>
                <w:kern w:val="0"/>
                <w:sz w:val="18"/>
                <w:szCs w:val="18"/>
              </w:rPr>
              <w:t>2.2022年三级公立医院出院患者手术占比提高4.91%；</w:t>
            </w:r>
            <w:r>
              <w:rPr>
                <w:rFonts w:eastAsia="宋体" w:cs="Times New Roman"/>
                <w:kern w:val="0"/>
                <w:sz w:val="18"/>
                <w:szCs w:val="18"/>
              </w:rPr>
              <w:br w:type="textWrapping"/>
            </w:r>
            <w:r>
              <w:rPr>
                <w:rFonts w:eastAsia="宋体" w:cs="Times New Roman"/>
                <w:kern w:val="0"/>
                <w:sz w:val="18"/>
                <w:szCs w:val="18"/>
              </w:rPr>
              <w:t>3.2022年基层医疗卫生机构诊疗人次数占医疗卫生机构诊疗总人次数比例提高0.68%</w:t>
            </w:r>
            <w:r>
              <w:rPr>
                <w:rFonts w:eastAsia="宋体" w:cs="Times New Roman"/>
                <w:kern w:val="0"/>
                <w:sz w:val="18"/>
                <w:szCs w:val="18"/>
              </w:rPr>
              <w:br w:type="textWrapping"/>
            </w:r>
            <w:r>
              <w:rPr>
                <w:rFonts w:eastAsia="宋体" w:cs="Times New Roman"/>
                <w:kern w:val="0"/>
                <w:sz w:val="18"/>
                <w:szCs w:val="18"/>
              </w:rPr>
              <w:t>4.2022年公立医院出院者平均医药费用增长42.68%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计划生育补助任务完成情况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上级下达任务，每完成一项得1分：</w:t>
            </w:r>
            <w:r>
              <w:rPr>
                <w:rFonts w:eastAsia="宋体" w:cs="Times New Roman"/>
                <w:kern w:val="0"/>
                <w:sz w:val="18"/>
                <w:szCs w:val="18"/>
              </w:rPr>
              <w:br w:type="textWrapping"/>
            </w:r>
            <w:r>
              <w:rPr>
                <w:rFonts w:eastAsia="宋体" w:cs="Times New Roman"/>
                <w:kern w:val="0"/>
                <w:sz w:val="18"/>
                <w:szCs w:val="18"/>
              </w:rPr>
              <w:t>1.补助发放及时率100%</w:t>
            </w:r>
            <w:r>
              <w:rPr>
                <w:rFonts w:eastAsia="宋体" w:cs="Times New Roman"/>
                <w:kern w:val="0"/>
                <w:sz w:val="18"/>
                <w:szCs w:val="18"/>
              </w:rPr>
              <w:br w:type="textWrapping"/>
            </w:r>
            <w:r>
              <w:rPr>
                <w:rFonts w:eastAsia="宋体" w:cs="Times New Roman"/>
                <w:kern w:val="0"/>
                <w:sz w:val="18"/>
                <w:szCs w:val="18"/>
              </w:rPr>
              <w:t>2.补助发放对象覆盖率100%</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2022年韶关市面向申请计划生育补助人群100%发放计划生育补助，补助发放及时到达。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适龄女生HPV疫苗接种任务完成情况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上级下达任务，每完成一项得1分：</w:t>
            </w:r>
            <w:r>
              <w:rPr>
                <w:rFonts w:eastAsia="宋体" w:cs="Times New Roman"/>
                <w:kern w:val="0"/>
                <w:sz w:val="18"/>
                <w:szCs w:val="18"/>
              </w:rPr>
              <w:br w:type="textWrapping"/>
            </w:r>
            <w:r>
              <w:rPr>
                <w:rFonts w:eastAsia="宋体" w:cs="Times New Roman"/>
                <w:kern w:val="0"/>
                <w:sz w:val="18"/>
                <w:szCs w:val="18"/>
              </w:rPr>
              <w:t>1.适龄女生HPV疫苗接种人数19526人次</w:t>
            </w:r>
            <w:r>
              <w:rPr>
                <w:rFonts w:eastAsia="宋体" w:cs="Times New Roman"/>
                <w:kern w:val="0"/>
                <w:sz w:val="18"/>
                <w:szCs w:val="18"/>
              </w:rPr>
              <w:br w:type="textWrapping"/>
            </w:r>
            <w:r>
              <w:rPr>
                <w:rFonts w:eastAsia="宋体" w:cs="Times New Roman"/>
                <w:kern w:val="0"/>
                <w:sz w:val="18"/>
                <w:szCs w:val="18"/>
              </w:rPr>
              <w:t>2.项目开展县区率100%</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根据2022-2023学年韶关市初一女生HPV疫苗接种情况统计表</w:t>
            </w:r>
            <w:r>
              <w:rPr>
                <w:rFonts w:eastAsia="宋体" w:cs="Times New Roman"/>
                <w:kern w:val="0"/>
                <w:sz w:val="18"/>
                <w:szCs w:val="18"/>
              </w:rPr>
              <w:br w:type="textWrapping"/>
            </w:r>
            <w:r>
              <w:rPr>
                <w:rFonts w:eastAsia="宋体" w:cs="Times New Roman"/>
                <w:kern w:val="0"/>
                <w:sz w:val="18"/>
                <w:szCs w:val="18"/>
              </w:rPr>
              <w:t>1.适龄女生HPV疫苗已接种人数总计19,526</w:t>
            </w:r>
            <w:r>
              <w:rPr>
                <w:rFonts w:eastAsia="宋体" w:cs="Times New Roman"/>
                <w:kern w:val="0"/>
                <w:sz w:val="18"/>
                <w:szCs w:val="18"/>
              </w:rPr>
              <w:br w:type="textWrapping"/>
            </w:r>
            <w:r>
              <w:rPr>
                <w:rFonts w:eastAsia="宋体" w:cs="Times New Roman"/>
                <w:kern w:val="0"/>
                <w:sz w:val="18"/>
                <w:szCs w:val="18"/>
              </w:rPr>
              <w:t>2.项目开展县区率达100%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卫生健康领域补助任务完成情况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上级下达任务，每完成一项得0.5分：</w:t>
            </w:r>
            <w:r>
              <w:rPr>
                <w:rFonts w:eastAsia="宋体" w:cs="Times New Roman"/>
                <w:kern w:val="0"/>
                <w:sz w:val="18"/>
                <w:szCs w:val="18"/>
              </w:rPr>
              <w:br w:type="textWrapping"/>
            </w:r>
            <w:r>
              <w:rPr>
                <w:rFonts w:eastAsia="宋体" w:cs="Times New Roman"/>
                <w:kern w:val="0"/>
                <w:sz w:val="18"/>
                <w:szCs w:val="18"/>
              </w:rPr>
              <w:t>1.乡镇卫生院医务人员收入较上年增长</w:t>
            </w:r>
            <w:r>
              <w:rPr>
                <w:rFonts w:eastAsia="宋体" w:cs="Times New Roman"/>
                <w:kern w:val="0"/>
                <w:sz w:val="18"/>
                <w:szCs w:val="18"/>
              </w:rPr>
              <w:br w:type="textWrapping"/>
            </w:r>
            <w:r>
              <w:rPr>
                <w:rFonts w:eastAsia="宋体" w:cs="Times New Roman"/>
                <w:kern w:val="0"/>
                <w:sz w:val="18"/>
                <w:szCs w:val="18"/>
              </w:rPr>
              <w:t>2.乡村医生年收入保持稳定</w:t>
            </w:r>
            <w:r>
              <w:rPr>
                <w:rFonts w:eastAsia="宋体" w:cs="Times New Roman"/>
                <w:kern w:val="0"/>
                <w:sz w:val="18"/>
                <w:szCs w:val="18"/>
              </w:rPr>
              <w:br w:type="textWrapping"/>
            </w:r>
            <w:r>
              <w:rPr>
                <w:rFonts w:eastAsia="宋体" w:cs="Times New Roman"/>
                <w:kern w:val="0"/>
                <w:sz w:val="18"/>
                <w:szCs w:val="18"/>
              </w:rPr>
              <w:t>3.农村已离岗接生员和赤脚医生发放生活困难补助市级财政资金拨付率100%</w:t>
            </w:r>
            <w:r>
              <w:rPr>
                <w:rFonts w:eastAsia="宋体" w:cs="Times New Roman"/>
                <w:kern w:val="0"/>
                <w:sz w:val="18"/>
                <w:szCs w:val="18"/>
              </w:rPr>
              <w:br w:type="textWrapping"/>
            </w:r>
            <w:r>
              <w:rPr>
                <w:rFonts w:eastAsia="宋体" w:cs="Times New Roman"/>
                <w:kern w:val="0"/>
                <w:sz w:val="18"/>
                <w:szCs w:val="18"/>
              </w:rPr>
              <w:t>4.边远地区乡镇卫生院医务人员岗位津贴按时发放率100%</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1.根据各乡镇卫生院在编人员工资及绩效发放明细表。乡镇卫生院医务人员每月收入稳定；</w:t>
            </w:r>
            <w:r>
              <w:rPr>
                <w:rFonts w:eastAsia="宋体" w:cs="Times New Roman"/>
                <w:kern w:val="0"/>
                <w:sz w:val="18"/>
                <w:szCs w:val="18"/>
              </w:rPr>
              <w:br w:type="textWrapping"/>
            </w:r>
            <w:r>
              <w:rPr>
                <w:rFonts w:eastAsia="宋体" w:cs="Times New Roman"/>
                <w:kern w:val="0"/>
                <w:sz w:val="18"/>
                <w:szCs w:val="18"/>
              </w:rPr>
              <w:t>2.根据各区县乡村医生工资发放明细表，乡村医生月工资数额较为稳定；</w:t>
            </w:r>
            <w:r>
              <w:rPr>
                <w:rFonts w:eastAsia="宋体" w:cs="Times New Roman"/>
                <w:kern w:val="0"/>
                <w:sz w:val="18"/>
                <w:szCs w:val="18"/>
              </w:rPr>
              <w:br w:type="textWrapping"/>
            </w:r>
            <w:r>
              <w:rPr>
                <w:rFonts w:eastAsia="宋体" w:cs="Times New Roman"/>
                <w:kern w:val="0"/>
                <w:sz w:val="18"/>
                <w:szCs w:val="18"/>
              </w:rPr>
              <w:t>3.根据《2022年农村接生员和赤脚医生生活困难市级补助资金分配表》，2022年市级补助资金为3,690,480元，发放生活困难补助市级财政资金拨付率100%</w:t>
            </w:r>
            <w:r>
              <w:rPr>
                <w:rFonts w:eastAsia="宋体" w:cs="Times New Roman"/>
                <w:kern w:val="0"/>
                <w:sz w:val="18"/>
                <w:szCs w:val="18"/>
              </w:rPr>
              <w:br w:type="textWrapping"/>
            </w:r>
            <w:r>
              <w:rPr>
                <w:rFonts w:eastAsia="宋体" w:cs="Times New Roman"/>
                <w:kern w:val="0"/>
                <w:sz w:val="18"/>
                <w:szCs w:val="18"/>
              </w:rPr>
              <w:t>4.各县边远山区乡镇卫生院医务人员岗位津贴已每月按时发放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疫病防控任务完成情况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上级下达任务，每完成一项得0.5分：</w:t>
            </w:r>
            <w:r>
              <w:rPr>
                <w:rFonts w:eastAsia="宋体" w:cs="Times New Roman"/>
                <w:kern w:val="0"/>
                <w:sz w:val="18"/>
                <w:szCs w:val="18"/>
              </w:rPr>
              <w:br w:type="textWrapping"/>
            </w:r>
            <w:r>
              <w:rPr>
                <w:rFonts w:eastAsia="宋体" w:cs="Times New Roman"/>
                <w:kern w:val="0"/>
                <w:sz w:val="18"/>
                <w:szCs w:val="18"/>
              </w:rPr>
              <w:t>1.麻风病可疑线索报告率≥90%</w:t>
            </w:r>
            <w:r>
              <w:rPr>
                <w:rFonts w:eastAsia="宋体" w:cs="Times New Roman"/>
                <w:kern w:val="0"/>
                <w:sz w:val="18"/>
                <w:szCs w:val="18"/>
              </w:rPr>
              <w:br w:type="textWrapping"/>
            </w:r>
            <w:r>
              <w:rPr>
                <w:rFonts w:eastAsia="宋体" w:cs="Times New Roman"/>
                <w:kern w:val="0"/>
                <w:sz w:val="18"/>
                <w:szCs w:val="18"/>
              </w:rPr>
              <w:t>2.病原学阳性肺结核患者耐药筛查率≥70%</w:t>
            </w:r>
            <w:r>
              <w:rPr>
                <w:rFonts w:eastAsia="宋体" w:cs="Times New Roman"/>
                <w:kern w:val="0"/>
                <w:sz w:val="18"/>
                <w:szCs w:val="18"/>
              </w:rPr>
              <w:br w:type="textWrapping"/>
            </w:r>
            <w:r>
              <w:rPr>
                <w:rFonts w:eastAsia="宋体" w:cs="Times New Roman"/>
                <w:kern w:val="0"/>
                <w:sz w:val="18"/>
                <w:szCs w:val="18"/>
              </w:rPr>
              <w:t>3.艾滋病感染者/病人随访检测比例≥90%</w:t>
            </w:r>
            <w:r>
              <w:rPr>
                <w:rFonts w:eastAsia="宋体" w:cs="Times New Roman"/>
                <w:kern w:val="0"/>
                <w:sz w:val="18"/>
                <w:szCs w:val="18"/>
              </w:rPr>
              <w:br w:type="textWrapping"/>
            </w:r>
            <w:r>
              <w:rPr>
                <w:rFonts w:eastAsia="宋体" w:cs="Times New Roman"/>
                <w:kern w:val="0"/>
                <w:sz w:val="18"/>
                <w:szCs w:val="18"/>
              </w:rPr>
              <w:t>4.在册严重精神障碍患者管理率≥80%</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根据部门自评表</w:t>
            </w:r>
            <w:r>
              <w:rPr>
                <w:rFonts w:eastAsia="宋体" w:cs="Times New Roman"/>
                <w:kern w:val="0"/>
                <w:sz w:val="18"/>
                <w:szCs w:val="18"/>
              </w:rPr>
              <w:br w:type="textWrapping"/>
            </w:r>
            <w:r>
              <w:rPr>
                <w:rFonts w:eastAsia="宋体" w:cs="Times New Roman"/>
                <w:kern w:val="0"/>
                <w:sz w:val="18"/>
                <w:szCs w:val="18"/>
              </w:rPr>
              <w:t>1.麻风病可疑线索报告完成考核目标</w:t>
            </w:r>
            <w:r>
              <w:rPr>
                <w:rFonts w:eastAsia="宋体" w:cs="Times New Roman"/>
                <w:kern w:val="0"/>
                <w:sz w:val="18"/>
                <w:szCs w:val="18"/>
              </w:rPr>
              <w:br w:type="textWrapping"/>
            </w:r>
            <w:r>
              <w:rPr>
                <w:rFonts w:eastAsia="宋体" w:cs="Times New Roman"/>
                <w:kern w:val="0"/>
                <w:sz w:val="18"/>
                <w:szCs w:val="18"/>
              </w:rPr>
              <w:t>2.病原学阳性肺结核患者耐药筛查完成考核目标</w:t>
            </w:r>
            <w:r>
              <w:rPr>
                <w:rFonts w:eastAsia="宋体" w:cs="Times New Roman"/>
                <w:kern w:val="0"/>
                <w:sz w:val="18"/>
                <w:szCs w:val="18"/>
              </w:rPr>
              <w:br w:type="textWrapping"/>
            </w:r>
            <w:r>
              <w:rPr>
                <w:rFonts w:eastAsia="宋体" w:cs="Times New Roman"/>
                <w:kern w:val="0"/>
                <w:sz w:val="18"/>
                <w:szCs w:val="18"/>
              </w:rPr>
              <w:t>3.艾滋病感染者/病人随访检测比例完后考核目标</w:t>
            </w:r>
            <w:r>
              <w:rPr>
                <w:rFonts w:eastAsia="宋体" w:cs="Times New Roman"/>
                <w:kern w:val="0"/>
                <w:sz w:val="18"/>
                <w:szCs w:val="18"/>
              </w:rPr>
              <w:br w:type="textWrapping"/>
            </w:r>
            <w:r>
              <w:rPr>
                <w:rFonts w:eastAsia="宋体" w:cs="Times New Roman"/>
                <w:kern w:val="0"/>
                <w:sz w:val="18"/>
                <w:szCs w:val="18"/>
              </w:rPr>
              <w:t>4.根据《2022年严重精神障碍患者管理报表》，社区在册居家严重精神障碍患者健康管理率为96.08%；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hint="eastAsia" w:eastAsia="宋体" w:cs="Times New Roman"/>
                <w:kern w:val="0"/>
                <w:sz w:val="18"/>
                <w:szCs w:val="18"/>
              </w:rPr>
              <w:t>基层医疗卫生人才队伍建设任务完成情况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上级下达任务，每完成一项得0.5分：</w:t>
            </w:r>
            <w:r>
              <w:rPr>
                <w:rFonts w:eastAsia="宋体" w:cs="Times New Roman"/>
                <w:kern w:val="0"/>
                <w:sz w:val="18"/>
                <w:szCs w:val="18"/>
              </w:rPr>
              <w:br w:type="textWrapping"/>
            </w:r>
            <w:r>
              <w:rPr>
                <w:rFonts w:eastAsia="宋体" w:cs="Times New Roman"/>
                <w:kern w:val="0"/>
                <w:sz w:val="18"/>
                <w:szCs w:val="18"/>
              </w:rPr>
              <w:t>1.新增住院医师规范化培训（社会人学员）48人</w:t>
            </w:r>
            <w:r>
              <w:rPr>
                <w:rFonts w:eastAsia="宋体" w:cs="Times New Roman"/>
                <w:kern w:val="0"/>
                <w:sz w:val="18"/>
                <w:szCs w:val="18"/>
              </w:rPr>
              <w:br w:type="textWrapping"/>
            </w:r>
            <w:r>
              <w:rPr>
                <w:rFonts w:eastAsia="宋体" w:cs="Times New Roman"/>
                <w:kern w:val="0"/>
                <w:sz w:val="18"/>
                <w:szCs w:val="18"/>
              </w:rPr>
              <w:t>2.订单定向培养农村卫生人才390人</w:t>
            </w:r>
            <w:r>
              <w:rPr>
                <w:rFonts w:eastAsia="宋体" w:cs="Times New Roman"/>
                <w:kern w:val="0"/>
                <w:sz w:val="18"/>
                <w:szCs w:val="18"/>
              </w:rPr>
              <w:br w:type="textWrapping"/>
            </w:r>
            <w:r>
              <w:rPr>
                <w:rFonts w:eastAsia="宋体" w:cs="Times New Roman"/>
                <w:kern w:val="0"/>
                <w:sz w:val="18"/>
                <w:szCs w:val="18"/>
              </w:rPr>
              <w:t>3.百名专家下基层任务完成7人</w:t>
            </w:r>
            <w:r>
              <w:rPr>
                <w:rFonts w:eastAsia="宋体" w:cs="Times New Roman"/>
                <w:kern w:val="0"/>
                <w:sz w:val="18"/>
                <w:szCs w:val="18"/>
              </w:rPr>
              <w:br w:type="textWrapping"/>
            </w:r>
            <w:r>
              <w:rPr>
                <w:rFonts w:eastAsia="宋体" w:cs="Times New Roman"/>
                <w:kern w:val="0"/>
                <w:sz w:val="18"/>
                <w:szCs w:val="18"/>
              </w:rPr>
              <w:t>4.专科特岗聘请人数35人</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1.2022年韶关市新增住院医师规范化培训（社会人学员）32人（粤北人民医院29人、韶关市第一人民医院3人）根据《（粤北人民医院）2022级住院医师规范化培训学员名单》，未完成“新增住院医师规范化培训（社会人学员）48人”的任务目标。</w:t>
            </w:r>
            <w:r>
              <w:rPr>
                <w:rFonts w:eastAsia="宋体" w:cs="Times New Roman"/>
                <w:kern w:val="0"/>
                <w:sz w:val="18"/>
                <w:szCs w:val="18"/>
              </w:rPr>
              <w:br w:type="textWrapping"/>
            </w:r>
            <w:r>
              <w:rPr>
                <w:rFonts w:eastAsia="宋体" w:cs="Times New Roman"/>
                <w:kern w:val="0"/>
                <w:sz w:val="18"/>
                <w:szCs w:val="18"/>
              </w:rPr>
              <w:t>2.根据《2022-2023学年定向生补助签领表》2022年度完成1578名订单定向学生的培养任务；</w:t>
            </w:r>
            <w:r>
              <w:rPr>
                <w:rFonts w:eastAsia="宋体" w:cs="Times New Roman"/>
                <w:kern w:val="0"/>
                <w:sz w:val="18"/>
                <w:szCs w:val="18"/>
              </w:rPr>
              <w:br w:type="textWrapping"/>
            </w:r>
            <w:r>
              <w:rPr>
                <w:rFonts w:eastAsia="宋体" w:cs="Times New Roman"/>
                <w:kern w:val="0"/>
                <w:sz w:val="18"/>
                <w:szCs w:val="18"/>
              </w:rPr>
              <w:t>3.根据《百名卫生首席专家下基层计划补助项目资金清算表》，2022年下达11名专家的补助</w:t>
            </w:r>
            <w:r>
              <w:rPr>
                <w:rFonts w:eastAsia="宋体" w:cs="Times New Roman"/>
                <w:kern w:val="0"/>
                <w:sz w:val="18"/>
                <w:szCs w:val="18"/>
              </w:rPr>
              <w:br w:type="textWrapping"/>
            </w:r>
            <w:r>
              <w:rPr>
                <w:rFonts w:eastAsia="宋体" w:cs="Times New Roman"/>
                <w:kern w:val="0"/>
                <w:sz w:val="18"/>
                <w:szCs w:val="18"/>
              </w:rPr>
              <w:t>4.专科特岗聘请34人，未完成“专科特岗聘请人数35人”的任务目标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673" w:type="dxa"/>
            <w:vMerge w:val="continue"/>
            <w:vAlign w:val="center"/>
          </w:tcPr>
          <w:p>
            <w:pPr>
              <w:widowControl/>
              <w:ind w:firstLine="0" w:firstLineChars="0"/>
              <w:jc w:val="left"/>
              <w:rPr>
                <w:rFonts w:eastAsia="宋体" w:cs="Times New Roman"/>
                <w:kern w:val="0"/>
                <w:sz w:val="18"/>
                <w:szCs w:val="18"/>
              </w:rPr>
            </w:pPr>
          </w:p>
        </w:tc>
        <w:tc>
          <w:tcPr>
            <w:tcW w:w="14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中医药人才培养及能力建设完成情况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上级下达任务，每完成一项得1分：</w:t>
            </w:r>
            <w:r>
              <w:rPr>
                <w:rFonts w:eastAsia="宋体" w:cs="Times New Roman"/>
                <w:kern w:val="0"/>
                <w:sz w:val="18"/>
                <w:szCs w:val="18"/>
              </w:rPr>
              <w:br w:type="textWrapping"/>
            </w:r>
            <w:r>
              <w:rPr>
                <w:rFonts w:eastAsia="宋体" w:cs="Times New Roman"/>
                <w:kern w:val="0"/>
                <w:sz w:val="18"/>
                <w:szCs w:val="18"/>
              </w:rPr>
              <w:t>1.中医药人才培养数达到目标要求</w:t>
            </w:r>
            <w:r>
              <w:rPr>
                <w:rFonts w:eastAsia="宋体" w:cs="Times New Roman"/>
                <w:kern w:val="0"/>
                <w:sz w:val="18"/>
                <w:szCs w:val="18"/>
              </w:rPr>
              <w:br w:type="textWrapping"/>
            </w:r>
            <w:r>
              <w:rPr>
                <w:rFonts w:eastAsia="宋体" w:cs="Times New Roman"/>
                <w:kern w:val="0"/>
                <w:sz w:val="18"/>
                <w:szCs w:val="18"/>
              </w:rPr>
              <w:t>2.中医药人才培养平台建设项目按进度完成</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1.根据《2022年韶关市基层中医药知识和技能培训人员名单》，第一期人员总数为36，第二期人员总数为35，合计71人；</w:t>
            </w:r>
            <w:r>
              <w:rPr>
                <w:rFonts w:eastAsia="宋体" w:cs="Times New Roman"/>
                <w:kern w:val="0"/>
                <w:sz w:val="18"/>
                <w:szCs w:val="18"/>
              </w:rPr>
              <w:br w:type="textWrapping"/>
            </w:r>
            <w:r>
              <w:rPr>
                <w:rFonts w:eastAsia="宋体" w:cs="Times New Roman"/>
                <w:kern w:val="0"/>
                <w:sz w:val="18"/>
                <w:szCs w:val="18"/>
              </w:rPr>
              <w:t>2.韶关市中医院投入50万元资金用于中医药人才培养基地建设，资金已100%到位，均已用于胃肠镜室设备的购置，资金尚未支付；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中省资金支出率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 首先计算各专项资金（政策任务）支出进度=（各专项资金预算支出数÷专项资金下达（安排）数）×100%。</w:t>
            </w:r>
            <w:r>
              <w:rPr>
                <w:rFonts w:eastAsia="宋体" w:cs="Times New Roman"/>
                <w:kern w:val="0"/>
                <w:sz w:val="18"/>
                <w:szCs w:val="18"/>
              </w:rPr>
              <w:br w:type="textWrapping"/>
            </w:r>
            <w:r>
              <w:rPr>
                <w:rFonts w:eastAsia="宋体" w:cs="Times New Roman"/>
                <w:kern w:val="0"/>
                <w:sz w:val="18"/>
                <w:szCs w:val="18"/>
              </w:rPr>
              <w:t>2.再计算部门主管专项资金综合支出进度=按照部门当年度各专项资金额度占部门所有专项资金额度的比重，对各专项资金支出进度进行加权平均。</w:t>
            </w:r>
            <w:r>
              <w:rPr>
                <w:rFonts w:eastAsia="宋体" w:cs="Times New Roman"/>
                <w:kern w:val="0"/>
                <w:sz w:val="18"/>
                <w:szCs w:val="18"/>
              </w:rPr>
              <w:br w:type="textWrapping"/>
            </w:r>
            <w:r>
              <w:rPr>
                <w:rFonts w:eastAsia="宋体" w:cs="Times New Roman"/>
                <w:kern w:val="0"/>
                <w:sz w:val="18"/>
                <w:szCs w:val="18"/>
              </w:rPr>
              <w:t>3.本指标综合得分=部门主管专项资金综合支出进度×本指标分值。</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4.56</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2022年共安排卫生健康局中省资金87986.08万元，实际支出80792.28万元，资金支付率为91.82%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管理效率</w:t>
            </w:r>
          </w:p>
        </w:tc>
        <w:tc>
          <w:tcPr>
            <w:tcW w:w="630"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预算编制</w:t>
            </w: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预算项目事前绩效评估</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预算入库项目，指新增预算申请的事业发展性支出一级项目、部门预算500万元以上二级项目。</w:t>
            </w:r>
            <w:r>
              <w:rPr>
                <w:rFonts w:eastAsia="宋体" w:cs="Times New Roman"/>
                <w:kern w:val="0"/>
                <w:sz w:val="18"/>
                <w:szCs w:val="18"/>
              </w:rPr>
              <w:br w:type="textWrapping"/>
            </w:r>
            <w:r>
              <w:rPr>
                <w:rFonts w:eastAsia="宋体" w:cs="Times New Roman"/>
                <w:kern w:val="0"/>
                <w:sz w:val="18"/>
                <w:szCs w:val="18"/>
              </w:rPr>
              <w:t>检查部门申请新增预算的项目是否按要求的范围开展绩效评估，是否按《指南》的程序和内容开展工作，评分采用扣分法。</w:t>
            </w:r>
            <w:r>
              <w:rPr>
                <w:rFonts w:eastAsia="宋体" w:cs="Times New Roman"/>
                <w:kern w:val="0"/>
                <w:sz w:val="18"/>
                <w:szCs w:val="18"/>
              </w:rPr>
              <w:br w:type="textWrapping"/>
            </w:r>
            <w:r>
              <w:rPr>
                <w:rFonts w:eastAsia="宋体" w:cs="Times New Roman"/>
                <w:kern w:val="0"/>
                <w:sz w:val="18"/>
                <w:szCs w:val="18"/>
              </w:rPr>
              <w:t>1.应评估项目超过3个的，有1项没有开展评估，扣0.3分，扣完为止。</w:t>
            </w:r>
            <w:r>
              <w:rPr>
                <w:rFonts w:eastAsia="宋体" w:cs="Times New Roman"/>
                <w:kern w:val="0"/>
                <w:sz w:val="18"/>
                <w:szCs w:val="18"/>
              </w:rPr>
              <w:br w:type="textWrapping"/>
            </w:r>
            <w:r>
              <w:rPr>
                <w:rFonts w:eastAsia="宋体" w:cs="Times New Roman"/>
                <w:kern w:val="0"/>
                <w:sz w:val="18"/>
                <w:szCs w:val="18"/>
              </w:rPr>
              <w:t>2.应评估项目3个以内的，有1项没有开展评估，扣0.5分，扣完为止。</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4.00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新增预算的项目按要求的范围开展绩效评估。考虑部分重大资金项目因前期规划不科学，项目要素评估不到位，导致项目难推进，指标酌情扣减1分。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预算执行</w:t>
            </w: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预算编制约束性</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1.本指标综合得分=（1-预算调剂发生率）×分值×60%+（1-年中追加资金占比率）×分值×40%。</w:t>
            </w:r>
            <w:r>
              <w:rPr>
                <w:rFonts w:eastAsia="宋体" w:cs="Times New Roman"/>
                <w:kern w:val="0"/>
                <w:sz w:val="18"/>
                <w:szCs w:val="18"/>
              </w:rPr>
              <w:br w:type="textWrapping"/>
            </w:r>
            <w:r>
              <w:rPr>
                <w:rFonts w:eastAsia="宋体" w:cs="Times New Roman"/>
                <w:kern w:val="0"/>
                <w:sz w:val="18"/>
                <w:szCs w:val="18"/>
              </w:rPr>
              <w:t>2.预算调剂发生率，考核预算执行过程中,非因中央和省、市政策调整或发生自然灾害等不可抗力因素,部门要求调剂预算资金情况,包括预算科目、级次、项目调剂。</w:t>
            </w:r>
            <w:r>
              <w:rPr>
                <w:rFonts w:eastAsia="宋体" w:cs="Times New Roman"/>
                <w:kern w:val="0"/>
                <w:sz w:val="18"/>
                <w:szCs w:val="18"/>
              </w:rPr>
              <w:br w:type="textWrapping"/>
            </w:r>
            <w:r>
              <w:rPr>
                <w:rFonts w:eastAsia="宋体" w:cs="Times New Roman"/>
                <w:kern w:val="0"/>
                <w:sz w:val="18"/>
                <w:szCs w:val="18"/>
              </w:rPr>
              <w:t>3.年中追加资金占比率，考核非因新出台的统一政策（如年中增人增编经费、中央追加资金、非本部门主管的专项资金），当年度年中追加资金占比情况。</w:t>
            </w:r>
            <w:r>
              <w:rPr>
                <w:rFonts w:eastAsia="宋体" w:cs="Times New Roman"/>
                <w:kern w:val="0"/>
                <w:sz w:val="18"/>
                <w:szCs w:val="18"/>
              </w:rPr>
              <w:br w:type="textWrapping"/>
            </w:r>
            <w:r>
              <w:rPr>
                <w:rFonts w:eastAsia="宋体" w:cs="Times New Roman"/>
                <w:kern w:val="0"/>
                <w:sz w:val="18"/>
                <w:szCs w:val="18"/>
              </w:rPr>
              <w:t>4.各基础数据与机关绩效考核口径一致。</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6.00</w:t>
            </w:r>
          </w:p>
        </w:tc>
        <w:tc>
          <w:tcPr>
            <w:tcW w:w="6163" w:type="dxa"/>
            <w:shd w:val="clear" w:color="auto" w:fill="auto"/>
            <w:vAlign w:val="center"/>
          </w:tcPr>
          <w:p>
            <w:pPr>
              <w:widowControl/>
              <w:spacing w:after="240"/>
              <w:ind w:firstLine="0" w:firstLineChars="0"/>
              <w:jc w:val="left"/>
              <w:rPr>
                <w:rFonts w:eastAsia="宋体" w:cs="Times New Roman"/>
                <w:kern w:val="0"/>
                <w:sz w:val="18"/>
                <w:szCs w:val="18"/>
              </w:rPr>
            </w:pPr>
            <w:r>
              <w:rPr>
                <w:rFonts w:eastAsia="宋体" w:cs="Times New Roman"/>
                <w:kern w:val="0"/>
                <w:sz w:val="18"/>
                <w:szCs w:val="18"/>
              </w:rPr>
              <w:t>2022年韶关市卫生健康局（本级）预算 28,609.73万元，基本支出总决算321,264.51万元，年中追加资金比率超过100%，预算调剂按上级指示开展，按评分标准，指标得分6.00分。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财务管理合规性</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支出范围、程序、用途、核算应符合国家财经法规和财务管理制度及有关专项资金管理办法的规定，采取扣分法评分：</w:t>
            </w:r>
            <w:r>
              <w:rPr>
                <w:rFonts w:eastAsia="宋体" w:cs="Times New Roman"/>
                <w:kern w:val="0"/>
                <w:sz w:val="18"/>
                <w:szCs w:val="18"/>
              </w:rPr>
              <w:br w:type="textWrapping"/>
            </w:r>
            <w:r>
              <w:rPr>
                <w:rFonts w:eastAsia="宋体" w:cs="Times New Roman"/>
                <w:kern w:val="0"/>
                <w:sz w:val="18"/>
                <w:szCs w:val="18"/>
              </w:rPr>
              <w:t>1.明确指出问题和处理意见的（具体根据审计（以部门预算审计和专项审计为主）和财会监督意见），并限期整改的，1项扣0.5分。</w:t>
            </w:r>
            <w:r>
              <w:rPr>
                <w:rFonts w:eastAsia="宋体" w:cs="Times New Roman"/>
                <w:kern w:val="0"/>
                <w:sz w:val="18"/>
                <w:szCs w:val="18"/>
              </w:rPr>
              <w:br w:type="textWrapping"/>
            </w:r>
            <w:r>
              <w:rPr>
                <w:rFonts w:eastAsia="宋体" w:cs="Times New Roman"/>
                <w:kern w:val="0"/>
                <w:sz w:val="18"/>
                <w:szCs w:val="18"/>
              </w:rPr>
              <w:t>2.未明确处理意见,属于因主管部门制度设计缺陷或失职等造成资金套取、冒领、挪用的，1项扣0.5分。</w:t>
            </w:r>
            <w:r>
              <w:rPr>
                <w:rFonts w:eastAsia="宋体" w:cs="Times New Roman"/>
                <w:kern w:val="0"/>
                <w:sz w:val="18"/>
                <w:szCs w:val="18"/>
              </w:rPr>
              <w:br w:type="textWrapping"/>
            </w:r>
            <w:r>
              <w:rPr>
                <w:rFonts w:eastAsia="宋体" w:cs="Times New Roman"/>
                <w:kern w:val="0"/>
                <w:sz w:val="18"/>
                <w:szCs w:val="18"/>
              </w:rPr>
              <w:t>3.连续两年对因业务主管部门责任引发的同一问题提出意见,或主管部门未落实相关审计和财会监督整改意见的,1项扣1分。</w:t>
            </w:r>
            <w:r>
              <w:rPr>
                <w:rFonts w:eastAsia="宋体" w:cs="Times New Roman"/>
                <w:kern w:val="0"/>
                <w:sz w:val="18"/>
                <w:szCs w:val="18"/>
              </w:rPr>
              <w:br w:type="textWrapping"/>
            </w:r>
            <w:r>
              <w:rPr>
                <w:rFonts w:eastAsia="宋体" w:cs="Times New Roman"/>
                <w:kern w:val="0"/>
                <w:sz w:val="18"/>
                <w:szCs w:val="18"/>
              </w:rPr>
              <w:t>4.评价中发现的支出范围、程序、用途、核算不符合国家财经法规和财务管理制度及有关专项资金管理办法的规定的情况，发现一项扣0.5分。</w:t>
            </w:r>
            <w:r>
              <w:rPr>
                <w:rFonts w:eastAsia="宋体" w:cs="Times New Roman"/>
                <w:kern w:val="0"/>
                <w:sz w:val="18"/>
                <w:szCs w:val="18"/>
              </w:rPr>
              <w:br w:type="textWrapping"/>
            </w:r>
            <w:r>
              <w:rPr>
                <w:rFonts w:eastAsia="宋体" w:cs="Times New Roman"/>
                <w:kern w:val="0"/>
                <w:sz w:val="18"/>
                <w:szCs w:val="18"/>
              </w:rPr>
              <w:t>根据上述扣分情况扣完为止，审计提出的下达期限、资产管理、采购等合规性在相应指标扣分，在此项指标不重复扣分。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8.50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hint="eastAsia" w:eastAsia="宋体" w:cs="Times New Roman"/>
                <w:kern w:val="0"/>
                <w:sz w:val="18"/>
                <w:szCs w:val="18"/>
              </w:rPr>
              <w:t>2022年韶关市卫生健康局的财务管理基本符合国家财经法规和财务管理制度规定，但部分合同信息填写不规范（如合同编号HT-2022-01678556缺少时间），按评分标准，指标扣减0.5分</w:t>
            </w:r>
            <w:r>
              <w:rPr>
                <w:rFonts w:eastAsia="宋体" w:cs="Times New Roman"/>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信息公开</w:t>
            </w: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预决算公开合规性</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预算、决算公开合规性各占50%,对未公开预算或决算的非涉密部门，得0分。已公开部门预决算的,分别从及时性（10%）、规范性（40%）2个方面考核：一是非涉密部门在财政部门批复本部门预决算后, 20日内向社会公开的得10%分值,未及时公开的得0分。二是根据公开规范性检查指标计算得分,即：公开工作合规指标数量÷检查指标数量×40%分值。</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2022年韶关市卫生健康局按规定在政府网站公开2022年部门预算和2021年部门决算。此项不扣分，指标得2.00分。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绩效信息公开情况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指绩效目标、绩效自评资料按规定在单位网站公开情况。</w:t>
            </w:r>
            <w:r>
              <w:rPr>
                <w:rFonts w:eastAsia="宋体" w:cs="Times New Roman"/>
                <w:kern w:val="0"/>
                <w:sz w:val="18"/>
                <w:szCs w:val="18"/>
              </w:rPr>
              <w:br w:type="textWrapping"/>
            </w:r>
            <w:r>
              <w:rPr>
                <w:rFonts w:eastAsia="宋体" w:cs="Times New Roman"/>
                <w:kern w:val="0"/>
                <w:sz w:val="18"/>
                <w:szCs w:val="18"/>
              </w:rPr>
              <w:t>1.绩效目标在规定时间公开的，得满分，否则不得分；</w:t>
            </w:r>
            <w:r>
              <w:rPr>
                <w:rFonts w:eastAsia="宋体" w:cs="Times New Roman"/>
                <w:kern w:val="0"/>
                <w:sz w:val="18"/>
                <w:szCs w:val="18"/>
              </w:rPr>
              <w:br w:type="textWrapping"/>
            </w:r>
            <w:r>
              <w:rPr>
                <w:rFonts w:eastAsia="宋体" w:cs="Times New Roman"/>
                <w:kern w:val="0"/>
                <w:sz w:val="18"/>
                <w:szCs w:val="18"/>
              </w:rPr>
              <w:t>2.绩效自评资料在规定时间公开的，得满分，否则不得分。</w:t>
            </w:r>
            <w:r>
              <w:rPr>
                <w:rFonts w:eastAsia="宋体" w:cs="Times New Roman"/>
                <w:kern w:val="0"/>
                <w:sz w:val="18"/>
                <w:szCs w:val="18"/>
              </w:rPr>
              <w:br w:type="textWrapping"/>
            </w:r>
            <w:r>
              <w:rPr>
                <w:rFonts w:eastAsia="宋体" w:cs="Times New Roman"/>
                <w:kern w:val="0"/>
                <w:sz w:val="18"/>
                <w:szCs w:val="18"/>
              </w:rPr>
              <w:t>3.目标公开情况和自评资料公开情况得分各占50%，计算出本指标的综合得分。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22022年韶关市卫生健康局的项目绩效目标、2021年绩效自评资料按规定已在单位网站公开。按评分标准，此项指标得1.00分。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绩效管理</w:t>
            </w: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绩效管理制度建设</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1.部门出台对本级使用资金管理制度明确绩效要求的，得满分，否则不得分。绩效要求应包含绩效目标管理、绩效运行监控、绩效评价管理和评价结果应用等方面。</w:t>
            </w:r>
            <w:r>
              <w:rPr>
                <w:rFonts w:eastAsia="宋体" w:cs="Times New Roman"/>
                <w:kern w:val="0"/>
                <w:sz w:val="18"/>
                <w:szCs w:val="18"/>
              </w:rPr>
              <w:br w:type="textWrapping"/>
            </w:r>
            <w:r>
              <w:rPr>
                <w:rFonts w:eastAsia="宋体" w:cs="Times New Roman"/>
                <w:kern w:val="0"/>
                <w:sz w:val="18"/>
                <w:szCs w:val="18"/>
              </w:rPr>
              <w:t>2.部门主管专项资金印发管理办法，并体现绩效管理要求的，得满分，否则不得分。</w:t>
            </w:r>
            <w:r>
              <w:rPr>
                <w:rFonts w:eastAsia="宋体" w:cs="Times New Roman"/>
                <w:kern w:val="0"/>
                <w:sz w:val="18"/>
                <w:szCs w:val="18"/>
              </w:rPr>
              <w:br w:type="textWrapping"/>
            </w:r>
            <w:r>
              <w:rPr>
                <w:rFonts w:eastAsia="宋体" w:cs="Times New Roman"/>
                <w:kern w:val="0"/>
                <w:sz w:val="18"/>
                <w:szCs w:val="18"/>
              </w:rPr>
              <w:t>3.部门出台制度明确机关各科室、机关与下属单位的绩效职责分工要求的，得满分，否则不得分。</w:t>
            </w:r>
            <w:r>
              <w:rPr>
                <w:rFonts w:eastAsia="宋体" w:cs="Times New Roman"/>
                <w:kern w:val="0"/>
                <w:sz w:val="18"/>
                <w:szCs w:val="18"/>
              </w:rPr>
              <w:br w:type="textWrapping"/>
            </w:r>
            <w:r>
              <w:rPr>
                <w:rFonts w:eastAsia="宋体" w:cs="Times New Roman"/>
                <w:kern w:val="0"/>
                <w:sz w:val="18"/>
                <w:szCs w:val="18"/>
              </w:rPr>
              <w:t>4.制度形式可以为专门规定，也可以是综合制度。内容有缺漏的，酌情扣分。以上三项得分分别占30%、30%和40%，计算出本指标的综合得分。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部门成立韶关市卫生健康局绩效管理工作领导小组，制定并印发《韶关市卫生健康局绩效管理办法（试行）》，明确预算绩效管理的内容与职责、预算绩效目标管理、预算绩效运行监控管理、绩效评价管理、绩效评价结果应用管理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绩效管理制度执行</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1.根据评价部门整体预算绩效目标和项目绩效目标编报质量评分。</w:t>
            </w:r>
            <w:r>
              <w:rPr>
                <w:rFonts w:eastAsia="宋体" w:cs="Times New Roman"/>
                <w:kern w:val="0"/>
                <w:sz w:val="18"/>
                <w:szCs w:val="18"/>
              </w:rPr>
              <w:br w:type="textWrapping"/>
            </w:r>
            <w:r>
              <w:rPr>
                <w:rFonts w:eastAsia="宋体" w:cs="Times New Roman"/>
                <w:kern w:val="0"/>
                <w:sz w:val="18"/>
                <w:szCs w:val="18"/>
              </w:rPr>
              <w:t>2.根据部门自评质量评分，衡量部门自评材料的编制质量，包括自评材料的规范性、全面性、真实性，以及提供的自评材料佐证的有效性和全面性。</w:t>
            </w:r>
            <w:r>
              <w:rPr>
                <w:rFonts w:eastAsia="宋体" w:cs="Times New Roman"/>
                <w:kern w:val="0"/>
                <w:sz w:val="18"/>
                <w:szCs w:val="18"/>
              </w:rPr>
              <w:br w:type="textWrapping"/>
            </w:r>
            <w:r>
              <w:rPr>
                <w:rFonts w:eastAsia="宋体" w:cs="Times New Roman"/>
                <w:kern w:val="0"/>
                <w:sz w:val="18"/>
                <w:szCs w:val="18"/>
              </w:rPr>
              <w:t>3.以上两项内容评分各占50%。</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2022年市卫健局按规定开展绩效管理工作，但《部门整体预算绩效目标申报表》未填写绩效指标，《部门整体预算绩效目标申报表》与《部门整体支出绩效自评指标评分表》的“年度总目标”差异较大。酌情考虑绩效目标设置受资金下达时间影响，此项酌情扣0.50分，得2.50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采购管理</w:t>
            </w:r>
          </w:p>
        </w:tc>
        <w:tc>
          <w:tcPr>
            <w:tcW w:w="2103" w:type="dxa"/>
            <w:gridSpan w:val="2"/>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采购意向公开合规性</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采购意向100%公开的得满分，否则不得分。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0.50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2022年韶关市卫生健康局按规定公开采购意向公开。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vMerge w:val="continue"/>
            <w:vAlign w:val="center"/>
          </w:tcPr>
          <w:p>
            <w:pPr>
              <w:widowControl/>
              <w:ind w:firstLine="0" w:firstLineChars="0"/>
              <w:jc w:val="left"/>
              <w:rPr>
                <w:rFonts w:eastAsia="宋体" w:cs="Times New Roman"/>
                <w:kern w:val="0"/>
                <w:sz w:val="18"/>
                <w:szCs w:val="18"/>
              </w:rPr>
            </w:pP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采购意向公开时限，原则不得晚于采购活动开始前30日。纳入部门预算支出范围的采购项目，预算单位应当在部门预算批复后40日内，在政府采购系统填报采购意向要素，各主管预算部门通过政府采购系统汇总本部门、本系统所有预算单位的采购意向（涉密信息除外）后，在部门预算批复后60日内予以公开。符合规定的，得满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经核查，部分项目的“采购公告（招标）”与“项目成交（中标）”的时间不足30日。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采购内控制度建设</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部门建立政府采购内部控制管理制度并报财政部门备案的，得1分，否则不得分。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市卫健局按规定建立政府采购内部控制管理制度并报财政部门备案，指标得1分。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采购活动合规性</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采购投诉处理，经财政部门查证认定投诉事项成立的，发现1例扣1分，扣完为止。</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结合现场调研和书面评价，暂未发现2022年韶关市卫健局发生采购投诉事件，按评分标准，指标得分2分。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采购合同签订时效性</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1.预算单位与中标、成交供应商应当在中标、成交通知书发出之日起三十日内，按照采购文件确定的事项签订政府采购合同。</w:t>
            </w:r>
            <w:r>
              <w:rPr>
                <w:rFonts w:eastAsia="宋体" w:cs="Times New Roman"/>
                <w:kern w:val="0"/>
                <w:sz w:val="18"/>
                <w:szCs w:val="18"/>
              </w:rPr>
              <w:br w:type="textWrapping"/>
            </w:r>
            <w:r>
              <w:rPr>
                <w:rFonts w:eastAsia="宋体" w:cs="Times New Roman"/>
                <w:kern w:val="0"/>
                <w:sz w:val="18"/>
                <w:szCs w:val="18"/>
              </w:rPr>
              <w:t>2.合同签订及时率=在规定时限内签订合同项目数/总项目数。</w:t>
            </w:r>
            <w:r>
              <w:rPr>
                <w:rFonts w:eastAsia="宋体" w:cs="Times New Roman"/>
                <w:kern w:val="0"/>
                <w:sz w:val="18"/>
                <w:szCs w:val="18"/>
              </w:rPr>
              <w:br w:type="textWrapping"/>
            </w:r>
            <w:r>
              <w:rPr>
                <w:rFonts w:eastAsia="宋体" w:cs="Times New Roman"/>
                <w:kern w:val="0"/>
                <w:sz w:val="18"/>
                <w:szCs w:val="18"/>
              </w:rPr>
              <w:t>合同签订及时率=100%，得3分；</w:t>
            </w:r>
            <w:r>
              <w:rPr>
                <w:rFonts w:eastAsia="宋体" w:cs="Times New Roman"/>
                <w:kern w:val="0"/>
                <w:sz w:val="18"/>
                <w:szCs w:val="18"/>
              </w:rPr>
              <w:br w:type="textWrapping"/>
            </w:r>
            <w:r>
              <w:rPr>
                <w:rFonts w:eastAsia="宋体" w:cs="Times New Roman"/>
                <w:kern w:val="0"/>
                <w:sz w:val="18"/>
                <w:szCs w:val="18"/>
              </w:rPr>
              <w:t>90%≤合同签订及时率&lt;100%，得2分；</w:t>
            </w:r>
            <w:r>
              <w:rPr>
                <w:rFonts w:eastAsia="宋体" w:cs="Times New Roman"/>
                <w:kern w:val="0"/>
                <w:sz w:val="18"/>
                <w:szCs w:val="18"/>
              </w:rPr>
              <w:br w:type="textWrapping"/>
            </w:r>
            <w:r>
              <w:rPr>
                <w:rFonts w:eastAsia="宋体" w:cs="Times New Roman"/>
                <w:kern w:val="0"/>
                <w:sz w:val="18"/>
                <w:szCs w:val="18"/>
              </w:rPr>
              <w:t>80%≤合同签订及时率&lt;90%，得1分；</w:t>
            </w:r>
            <w:r>
              <w:rPr>
                <w:rFonts w:eastAsia="宋体" w:cs="Times New Roman"/>
                <w:kern w:val="0"/>
                <w:sz w:val="18"/>
                <w:szCs w:val="18"/>
              </w:rPr>
              <w:br w:type="textWrapping"/>
            </w:r>
            <w:r>
              <w:rPr>
                <w:rFonts w:eastAsia="宋体" w:cs="Times New Roman"/>
                <w:kern w:val="0"/>
                <w:sz w:val="18"/>
                <w:szCs w:val="18"/>
              </w:rPr>
              <w:t>合同签订及时率&lt;80%，不得分。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现场核查发现，2022年市卫健局共有项目合同30个，在规定时限内签订合同项目24个，合同签订及时率为80.00%，部分项目（如韶关市第一人民医院电子支气管镜系统+超声支气管镜系统采购项目）未能在中标公告30日内签订合同，按评分标准，此项扣2.00分，指标得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合同备案时效性</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合同备案公开，自合同签订之日起2个工作日内在“广东省政府采购网” 备案公开，符合规定的得满分，否则不得分。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现场核查发现，部分项目（如韶关市第一人民医院彩色3D打印机、数字式医用红外热像仪采购项目）未能在合同签订2个工作日内完成合同备案，部分项目（如韶关市第一人民医院韶关市第一人民医院体外膜肺氧合系统(ECMO)和脉搏指数连续心排量监测技术检测仪(PICCO)采购项目的合同公告）先公示中标公告再发布合同公告，按评分标准，此项扣1.00分，指标得0.00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采购政策效能</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按照《政府采购促进中小企业发展管理办法》要求为中小企业预留采购份额。数值=（实际面向中小企业采购金额合计数/预算编制时部门预留金额合计数）×100%。</w:t>
            </w:r>
            <w:r>
              <w:rPr>
                <w:rFonts w:eastAsia="宋体" w:cs="Times New Roman"/>
                <w:kern w:val="0"/>
                <w:sz w:val="18"/>
                <w:szCs w:val="18"/>
              </w:rPr>
              <w:br w:type="textWrapping"/>
            </w:r>
            <w:r>
              <w:rPr>
                <w:rFonts w:eastAsia="宋体" w:cs="Times New Roman"/>
                <w:kern w:val="0"/>
                <w:sz w:val="18"/>
                <w:szCs w:val="18"/>
              </w:rPr>
              <w:t>评分=数值×分值。</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0.43</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2022年韶关市卫生健康局预留中小微企业采购项目预算金额为55,162,127.00元，实际授予中小微企业合同金额为23,757,706.00元，采购数值为0.43，指标得分0.43分。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资产管理</w:t>
            </w: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资产配置合规性</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符合标准的，得2分，发现一项（类）不符的，扣1分，扣完为止。</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韶关市卫生健康局领导干部办公用房面积符合《中央国家机关办公设备和办公家具配置标准（试行）》要求。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资产收益上缴的及时性</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检查处置收益和租金上缴是否及时（高校可自留的资金除外）。存在长期（超过3个月）未上缴的，每1笔扣0.5分，扣完为止。</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2022年韶关市卫生健康局按规定完成资产处置，第十三次局务会议通过资产处置方式，按要求按时完成资产处置工作，此项得1分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资产盘点情况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每年进行一次资产盘点，并完成结果处理的，得1分。未进行盘点的，不得分。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2022年韶关市卫生健康局及其下属单位按规定完成资产汇总表上报工作，并完成2022年账面价值8,374.13元的固定资产处置。此项不扣分，指标得1.00分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数据质量</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部门（单位）行政事业性国有资产年报数据完整、准确，核实性问题均能提供有效、真实的说明，且资产账与财务账、资产实体相符的，得2分；否则酌情扣分。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hint="eastAsia" w:eastAsia="宋体" w:cs="Times New Roman"/>
                <w:kern w:val="0"/>
                <w:sz w:val="18"/>
                <w:szCs w:val="18"/>
              </w:rPr>
              <w:t>部分固定资产会计处理方式不符合规定：部分资产计提折旧时间超出10年（如1994年台式电脑折旧时间为25年、1995年的空调折旧时间为23年、1997年的消毒柜折旧时间为21年），固定资产数据管理质量有待进一步提高。考虑评价年度未对该部分资产进行规范处理，指标酌情扣1.00分，此项得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资产管理合规性</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1.有无行政事业性国有资产管理内部管理规程；如无，扣0.5分。</w:t>
            </w:r>
            <w:r>
              <w:rPr>
                <w:rFonts w:eastAsia="宋体" w:cs="Times New Roman"/>
                <w:kern w:val="0"/>
                <w:sz w:val="18"/>
                <w:szCs w:val="18"/>
              </w:rPr>
              <w:br w:type="textWrapping"/>
            </w:r>
            <w:r>
              <w:rPr>
                <w:rFonts w:eastAsia="宋体" w:cs="Times New Roman"/>
                <w:kern w:val="0"/>
                <w:sz w:val="18"/>
                <w:szCs w:val="18"/>
              </w:rPr>
              <w:t>2.在各类巡视、审计、监督检查工作中如发现资产管理存在问题的，每发现1次扣0.5分，扣完为止。</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现场抽查发现，部分固定资产未按规定进行核算登记，入账登记超时；部分固定资产资料不全面，47个固定资产存放地点未明确，14个固定资产缺少会计凭证号。考虑以上资产管理问题均发生在过往年度、评价年度未完成相关资产管理规范管理，指标酌情扣减1.00分，此项得分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固定资产利用率</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部门（单位）实际在用固定资产总额与所有固定资产总额的比例。</w:t>
            </w:r>
            <w:r>
              <w:rPr>
                <w:rFonts w:eastAsia="宋体" w:cs="Times New Roman"/>
                <w:kern w:val="0"/>
                <w:sz w:val="18"/>
                <w:szCs w:val="18"/>
              </w:rPr>
              <w:br w:type="textWrapping"/>
            </w:r>
            <w:r>
              <w:rPr>
                <w:rFonts w:eastAsia="宋体" w:cs="Times New Roman"/>
                <w:kern w:val="0"/>
                <w:sz w:val="18"/>
                <w:szCs w:val="18"/>
              </w:rPr>
              <w:t>1.比率≥90%的，得2分；</w:t>
            </w:r>
            <w:r>
              <w:rPr>
                <w:rFonts w:eastAsia="宋体" w:cs="Times New Roman"/>
                <w:kern w:val="0"/>
                <w:sz w:val="18"/>
                <w:szCs w:val="18"/>
              </w:rPr>
              <w:br w:type="textWrapping"/>
            </w:r>
            <w:r>
              <w:rPr>
                <w:rFonts w:eastAsia="宋体" w:cs="Times New Roman"/>
                <w:kern w:val="0"/>
                <w:sz w:val="18"/>
                <w:szCs w:val="18"/>
              </w:rPr>
              <w:t>2.90%＞比率≥75%的，得1分；</w:t>
            </w:r>
            <w:r>
              <w:rPr>
                <w:rFonts w:eastAsia="宋体" w:cs="Times New Roman"/>
                <w:kern w:val="0"/>
                <w:sz w:val="18"/>
                <w:szCs w:val="18"/>
              </w:rPr>
              <w:br w:type="textWrapping"/>
            </w:r>
            <w:r>
              <w:rPr>
                <w:rFonts w:eastAsia="宋体" w:cs="Times New Roman"/>
                <w:kern w:val="0"/>
                <w:sz w:val="18"/>
                <w:szCs w:val="18"/>
              </w:rPr>
              <w:t>3.75%＞比率≥60%的，得0.5分；</w:t>
            </w:r>
            <w:r>
              <w:rPr>
                <w:rFonts w:eastAsia="宋体" w:cs="Times New Roman"/>
                <w:kern w:val="0"/>
                <w:sz w:val="18"/>
                <w:szCs w:val="18"/>
              </w:rPr>
              <w:br w:type="textWrapping"/>
            </w:r>
            <w:r>
              <w:rPr>
                <w:rFonts w:eastAsia="宋体" w:cs="Times New Roman"/>
                <w:kern w:val="0"/>
                <w:sz w:val="18"/>
                <w:szCs w:val="18"/>
              </w:rPr>
              <w:t>4.比率＜60%的，得0分。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2.00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韶关市卫生健康局固定资产原值36035229.95元，在用固定资产36035229.95元，固定资产利用率为100.00%。指标得分2分。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restart"/>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运行成本</w:t>
            </w: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经济成本控制情况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1.相关工作预算编制依据较为明确的，得3分；</w:t>
            </w:r>
            <w:r>
              <w:rPr>
                <w:rFonts w:eastAsia="宋体" w:cs="Times New Roman"/>
                <w:kern w:val="0"/>
                <w:sz w:val="18"/>
                <w:szCs w:val="18"/>
              </w:rPr>
              <w:br w:type="textWrapping"/>
            </w:r>
            <w:r>
              <w:rPr>
                <w:rFonts w:eastAsia="宋体" w:cs="Times New Roman"/>
                <w:kern w:val="0"/>
                <w:sz w:val="18"/>
                <w:szCs w:val="18"/>
              </w:rPr>
              <w:t>2.相关工作成本与市场价格、行业标准、其他地市的同类项目相比较为合理的得3分。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4.00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市卫生健康局本级及下属17个单位2022年支出分类基本明确，决算支出397,566.28万元（其中基本支出321,264.5万元，项目支出7,6301.78万元），比2021年决算支出409,332.8万元均有所下降（其中基本支出321,713.27万元，项目支出87,619.53万元），指标得4.00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97" w:type="dxa"/>
            <w:vMerge w:val="continue"/>
            <w:vAlign w:val="center"/>
          </w:tcPr>
          <w:p>
            <w:pPr>
              <w:widowControl/>
              <w:ind w:firstLine="0" w:firstLineChars="0"/>
              <w:jc w:val="left"/>
              <w:rPr>
                <w:rFonts w:eastAsia="宋体" w:cs="Times New Roman"/>
                <w:kern w:val="0"/>
                <w:sz w:val="18"/>
                <w:szCs w:val="18"/>
              </w:rPr>
            </w:pPr>
          </w:p>
        </w:tc>
        <w:tc>
          <w:tcPr>
            <w:tcW w:w="630" w:type="dxa"/>
            <w:vMerge w:val="continue"/>
            <w:vAlign w:val="center"/>
          </w:tcPr>
          <w:p>
            <w:pPr>
              <w:widowControl/>
              <w:ind w:firstLine="0" w:firstLineChars="0"/>
              <w:jc w:val="left"/>
              <w:rPr>
                <w:rFonts w:eastAsia="宋体" w:cs="Times New Roman"/>
                <w:kern w:val="0"/>
                <w:sz w:val="18"/>
                <w:szCs w:val="18"/>
              </w:rPr>
            </w:pPr>
          </w:p>
        </w:tc>
        <w:tc>
          <w:tcPr>
            <w:tcW w:w="2103" w:type="dxa"/>
            <w:gridSpan w:val="2"/>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“三公”经费控制情况</w:t>
            </w:r>
          </w:p>
        </w:tc>
        <w:tc>
          <w:tcPr>
            <w:tcW w:w="4811"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“三公”经费实际支出数（按照经济科目计算）≤预算安排的“三公”经费数（按照预算公开金额取数），符合要求的得满分，不符合要求的不得分。</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1.00</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2022年市卫健局共安排“三公”经费预算183.75万元，决算支出178.08万元，“三公”经费使用控制在预算范围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8241" w:type="dxa"/>
            <w:gridSpan w:val="5"/>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合计</w:t>
            </w:r>
          </w:p>
        </w:tc>
        <w:tc>
          <w:tcPr>
            <w:tcW w:w="738" w:type="dxa"/>
            <w:shd w:val="clear" w:color="auto" w:fill="auto"/>
            <w:vAlign w:val="center"/>
          </w:tcPr>
          <w:p>
            <w:pPr>
              <w:widowControl/>
              <w:ind w:firstLine="0" w:firstLineChars="0"/>
              <w:jc w:val="center"/>
              <w:rPr>
                <w:rFonts w:eastAsia="宋体" w:cs="Times New Roman"/>
                <w:kern w:val="0"/>
                <w:sz w:val="18"/>
                <w:szCs w:val="18"/>
              </w:rPr>
            </w:pPr>
            <w:r>
              <w:rPr>
                <w:rFonts w:eastAsia="宋体" w:cs="Times New Roman"/>
                <w:kern w:val="0"/>
                <w:sz w:val="18"/>
                <w:szCs w:val="18"/>
              </w:rPr>
              <w:t>86.49</w:t>
            </w:r>
          </w:p>
        </w:tc>
        <w:tc>
          <w:tcPr>
            <w:tcW w:w="6163" w:type="dxa"/>
            <w:shd w:val="clear" w:color="auto" w:fill="auto"/>
            <w:vAlign w:val="center"/>
          </w:tcPr>
          <w:p>
            <w:pPr>
              <w:widowControl/>
              <w:ind w:firstLine="0" w:firstLineChars="0"/>
              <w:jc w:val="left"/>
              <w:rPr>
                <w:rFonts w:eastAsia="宋体" w:cs="Times New Roman"/>
                <w:kern w:val="0"/>
                <w:sz w:val="18"/>
                <w:szCs w:val="18"/>
              </w:rPr>
            </w:pPr>
            <w:r>
              <w:rPr>
                <w:rFonts w:eastAsia="宋体" w:cs="Times New Roman"/>
                <w:kern w:val="0"/>
                <w:sz w:val="18"/>
                <w:szCs w:val="18"/>
              </w:rPr>
              <w:t>　</w:t>
            </w:r>
          </w:p>
        </w:tc>
      </w:tr>
    </w:tbl>
    <w:p>
      <w:pPr>
        <w:ind w:firstLine="0" w:firstLineChars="0"/>
        <w:rPr>
          <w:rFonts w:ascii="华文中宋" w:hAnsi="华文中宋" w:eastAsia="华文中宋"/>
          <w:sz w:val="24"/>
          <w:szCs w:val="24"/>
        </w:rPr>
      </w:pPr>
    </w:p>
    <w:p>
      <w:pPr>
        <w:widowControl/>
        <w:ind w:firstLine="0" w:firstLineChars="0"/>
        <w:jc w:val="left"/>
        <w:rPr>
          <w:rFonts w:ascii="华文中宋" w:hAnsi="华文中宋" w:eastAsia="华文中宋"/>
          <w:sz w:val="24"/>
          <w:szCs w:val="24"/>
        </w:rPr>
      </w:pPr>
      <w:r>
        <w:rPr>
          <w:rFonts w:ascii="华文中宋" w:hAnsi="华文中宋" w:eastAsia="华文中宋"/>
          <w:sz w:val="24"/>
          <w:szCs w:val="24"/>
        </w:rPr>
        <w:br w:type="page"/>
      </w:r>
    </w:p>
    <w:p>
      <w:pPr>
        <w:pStyle w:val="3"/>
        <w:ind w:firstLine="0" w:firstLineChars="0"/>
        <w:rPr>
          <w:rFonts w:ascii="CESI黑体-GB2312" w:hAnsi="CESI黑体-GB2312" w:eastAsia="CESI黑体-GB2312" w:cs="CESI黑体-GB2312"/>
          <w:b w:val="0"/>
          <w:bCs/>
        </w:rPr>
      </w:pPr>
      <w:bookmarkStart w:id="63" w:name="_Toc150765135"/>
      <w:r>
        <w:rPr>
          <w:rFonts w:hint="eastAsia" w:ascii="CESI黑体-GB2312" w:hAnsi="CESI黑体-GB2312" w:eastAsia="CESI黑体-GB2312" w:cs="CESI黑体-GB2312"/>
          <w:b w:val="0"/>
          <w:bCs/>
        </w:rPr>
        <w:t>附件2</w:t>
      </w:r>
      <w:bookmarkEnd w:id="63"/>
    </w:p>
    <w:p>
      <w:pPr>
        <w:pStyle w:val="3"/>
        <w:ind w:firstLine="0" w:firstLineChars="0"/>
        <w:jc w:val="center"/>
        <w:rPr>
          <w:rFonts w:ascii="CESI宋体-GB2312" w:hAnsi="CESI宋体-GB2312" w:eastAsia="CESI宋体-GB2312" w:cs="CESI宋体-GB2312"/>
        </w:rPr>
      </w:pPr>
      <w:bookmarkStart w:id="64" w:name="_Toc150765136"/>
      <w:r>
        <w:rPr>
          <w:rFonts w:hint="eastAsia" w:ascii="CESI宋体-GB2312" w:hAnsi="CESI宋体-GB2312" w:eastAsia="CESI宋体-GB2312" w:cs="CESI宋体-GB2312"/>
        </w:rPr>
        <w:t>部门存放地点未明确的固定资产名单</w:t>
      </w:r>
      <w:bookmarkEnd w:id="64"/>
    </w:p>
    <w:tbl>
      <w:tblPr>
        <w:tblStyle w:val="17"/>
        <w:tblW w:w="5000" w:type="pct"/>
        <w:jc w:val="center"/>
        <w:tblLayout w:type="autofit"/>
        <w:tblCellMar>
          <w:top w:w="0" w:type="dxa"/>
          <w:left w:w="108" w:type="dxa"/>
          <w:bottom w:w="0" w:type="dxa"/>
          <w:right w:w="108" w:type="dxa"/>
        </w:tblCellMar>
      </w:tblPr>
      <w:tblGrid>
        <w:gridCol w:w="3952"/>
        <w:gridCol w:w="1651"/>
        <w:gridCol w:w="8905"/>
      </w:tblGrid>
      <w:tr>
        <w:tblPrEx>
          <w:tblCellMar>
            <w:top w:w="0" w:type="dxa"/>
            <w:left w:w="108" w:type="dxa"/>
            <w:bottom w:w="0" w:type="dxa"/>
            <w:right w:w="108" w:type="dxa"/>
          </w:tblCellMar>
        </w:tblPrEx>
        <w:trPr>
          <w:trHeight w:val="340" w:hRule="atLeast"/>
          <w:tblHeader/>
          <w:jc w:val="center"/>
        </w:trPr>
        <w:tc>
          <w:tcPr>
            <w:tcW w:w="29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资产类型</w:t>
            </w:r>
          </w:p>
        </w:tc>
        <w:tc>
          <w:tcPr>
            <w:tcW w:w="1220"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数量</w:t>
            </w:r>
          </w:p>
        </w:tc>
        <w:tc>
          <w:tcPr>
            <w:tcW w:w="6580"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资产编号</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电梯</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202401-2101009-000001-001</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电脑类（含平板电脑、电脑cpu等）</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-2010106-000045、202401-711701-000041、202401-2010104-000126、202401-2010104-000127、202401-711702-000026、202401-2010105-000019、202401-2010105-000018、202401-2010501-000004、202401-2010105-000017、202401-711702-000004、202401-2010105-000015、202401-2010501-000012、202401-2010501-000002、202401-711702-000005、202401-2010105-000016、202401-2010105-000014、202401-2010501-000003、202401-2010106-000044、202401-2010106-000043、202401-2010106-000047、202401-2010106-000046、202401-2010105-000041、202401-2010106-000041、202401-2010106-000042、202401-2010106-000033、202401-2010106-000027、202401-2010106-000021、202401-2010106-000019、202401-2010106-000018、202401-2010106-000015、202401-2010106-000014、202401-2010106-000013、202401-2010106-000011、202401-2010106-000008、202401-2010106-000007、202401-2010106-000005、202401-2010106-000004、202401-2010106-000003、202401-2010106-000020、202401-2010106-000006</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万能货架</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202401-6010600-000002-003、202401-6010600-000002-002、202401-6010600-000002-001、202401-6010600-000002</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椅子</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263</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202401-6010200-000014-（000-059）、202401-6010300-000004-（000-024）、202401-6010300-000005-（000-029）、202401-6010300-000006-（000-067）、202401-6010300-000009-（000-079）</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候诊凳</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202401-6010300-000001-(000-009)</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神州网信win10政府版操作系统</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202401-2010901-(000000-000031)</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移动硬盘</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202401-7123-(000004-000043)</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汽车类</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202401-531601-000008、202401-2030401-000002</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主板</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202401-2010501-（000005-000007）</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计生综合服务大楼（13层）</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202401-1020401-000001</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院内第3栋</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202401-1029900-000001</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局大门口值班室</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202401-026199-000002</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住宅</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202401-028199-000001</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局招待所（院内第7栋）</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202401-026199-000001</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院内第5栋</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202401-1020401-000002</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四层饭堂、招待所</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202401-1029900-000002</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办公楼</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202401-023100-000001</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单人办公桌</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202401-6010200-000069</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格力壁挂式空调</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202401-2101905-000045</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服务器硬盘、内存、陈列卡</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202401-2010501-000001</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DVD</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202401-708900-000021</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S5700核心交换机</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202401-2010202-000003</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电子记事本</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202401-464903-000003</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照相机</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202401-464301-000001</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液晶显示器</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202401-2010604-000003</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人口信息系统建设</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202401-2010903-000004</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生育服务网上办事系统项目</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202401-2010903-000005</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家庭医生管理工作信息系统软件</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202401-2010903-000003</w:t>
            </w:r>
          </w:p>
        </w:tc>
      </w:tr>
      <w:tr>
        <w:tblPrEx>
          <w:tblCellMar>
            <w:top w:w="0" w:type="dxa"/>
            <w:left w:w="108" w:type="dxa"/>
            <w:bottom w:w="0" w:type="dxa"/>
            <w:right w:w="108" w:type="dxa"/>
          </w:tblCellMar>
        </w:tblPrEx>
        <w:trPr>
          <w:trHeight w:val="340" w:hRule="atLeast"/>
          <w:jc w:val="center"/>
        </w:trPr>
        <w:tc>
          <w:tcPr>
            <w:tcW w:w="2920"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多级泵</w:t>
            </w:r>
          </w:p>
        </w:tc>
        <w:tc>
          <w:tcPr>
            <w:tcW w:w="12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58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202401-2101599-000001</w:t>
            </w:r>
          </w:p>
        </w:tc>
      </w:tr>
    </w:tbl>
    <w:p>
      <w:pPr>
        <w:ind w:firstLine="480"/>
        <w:jc w:val="center"/>
        <w:rPr>
          <w:rFonts w:ascii="华文中宋" w:hAnsi="华文中宋" w:eastAsia="华文中宋"/>
          <w:sz w:val="24"/>
          <w:szCs w:val="24"/>
        </w:rPr>
      </w:pPr>
    </w:p>
    <w:p>
      <w:pPr>
        <w:widowControl/>
        <w:ind w:firstLine="0" w:firstLineChars="0"/>
        <w:jc w:val="left"/>
        <w:rPr>
          <w:rFonts w:ascii="华文中宋" w:hAnsi="华文中宋" w:eastAsia="华文中宋"/>
          <w:sz w:val="24"/>
          <w:szCs w:val="24"/>
        </w:rPr>
      </w:pPr>
      <w:r>
        <w:rPr>
          <w:rFonts w:ascii="华文中宋" w:hAnsi="华文中宋" w:eastAsia="华文中宋"/>
          <w:sz w:val="24"/>
          <w:szCs w:val="24"/>
        </w:rPr>
        <w:br w:type="page"/>
      </w:r>
    </w:p>
    <w:p>
      <w:pPr>
        <w:pStyle w:val="3"/>
        <w:ind w:firstLine="0" w:firstLineChars="0"/>
        <w:rPr>
          <w:rFonts w:ascii="CESI黑体-GB2312" w:hAnsi="CESI黑体-GB2312" w:eastAsia="CESI黑体-GB2312" w:cs="CESI黑体-GB2312"/>
          <w:b w:val="0"/>
          <w:bCs/>
        </w:rPr>
      </w:pPr>
      <w:bookmarkStart w:id="65" w:name="_Toc150765137"/>
      <w:r>
        <w:rPr>
          <w:rFonts w:hint="eastAsia" w:ascii="CESI黑体-GB2312" w:hAnsi="CESI黑体-GB2312" w:eastAsia="CESI黑体-GB2312" w:cs="CESI黑体-GB2312"/>
          <w:b w:val="0"/>
          <w:bCs/>
        </w:rPr>
        <w:t>附件3</w:t>
      </w:r>
      <w:bookmarkEnd w:id="65"/>
    </w:p>
    <w:p>
      <w:pPr>
        <w:pStyle w:val="3"/>
        <w:ind w:firstLine="0" w:firstLineChars="0"/>
        <w:jc w:val="center"/>
        <w:rPr>
          <w:rFonts w:ascii="CESI宋体-GB2312" w:hAnsi="CESI宋体-GB2312" w:eastAsia="CESI宋体-GB2312" w:cs="CESI宋体-GB2312"/>
        </w:rPr>
      </w:pPr>
      <w:bookmarkStart w:id="66" w:name="_Toc150765138"/>
      <w:r>
        <w:rPr>
          <w:rFonts w:hint="eastAsia" w:ascii="CESI宋体-GB2312" w:hAnsi="CESI宋体-GB2312" w:eastAsia="CESI宋体-GB2312" w:cs="CESI宋体-GB2312"/>
        </w:rPr>
        <w:t>会计凭证号不完整的固定资产名单</w:t>
      </w:r>
      <w:bookmarkEnd w:id="66"/>
    </w:p>
    <w:tbl>
      <w:tblPr>
        <w:tblStyle w:val="17"/>
        <w:tblW w:w="13478" w:type="dxa"/>
        <w:jc w:val="center"/>
        <w:tblLayout w:type="autofit"/>
        <w:tblCellMar>
          <w:top w:w="0" w:type="dxa"/>
          <w:left w:w="108" w:type="dxa"/>
          <w:bottom w:w="0" w:type="dxa"/>
          <w:right w:w="108" w:type="dxa"/>
        </w:tblCellMar>
      </w:tblPr>
      <w:tblGrid>
        <w:gridCol w:w="1168"/>
        <w:gridCol w:w="3251"/>
        <w:gridCol w:w="3750"/>
        <w:gridCol w:w="2411"/>
        <w:gridCol w:w="2898"/>
      </w:tblGrid>
      <w:tr>
        <w:tblPrEx>
          <w:tblCellMar>
            <w:top w:w="0" w:type="dxa"/>
            <w:left w:w="108" w:type="dxa"/>
            <w:bottom w:w="0" w:type="dxa"/>
            <w:right w:w="108" w:type="dxa"/>
          </w:tblCellMar>
        </w:tblPrEx>
        <w:trPr>
          <w:trHeight w:val="348" w:hRule="atLeast"/>
          <w:jc w:val="center"/>
        </w:trPr>
        <w:tc>
          <w:tcPr>
            <w:tcW w:w="9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序号</w:t>
            </w:r>
          </w:p>
        </w:tc>
        <w:tc>
          <w:tcPr>
            <w:tcW w:w="2670"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资产名称</w:t>
            </w:r>
          </w:p>
        </w:tc>
        <w:tc>
          <w:tcPr>
            <w:tcW w:w="3080"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资产编号</w:t>
            </w:r>
          </w:p>
        </w:tc>
        <w:tc>
          <w:tcPr>
            <w:tcW w:w="1980"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资产状态</w:t>
            </w:r>
          </w:p>
        </w:tc>
        <w:tc>
          <w:tcPr>
            <w:tcW w:w="2380"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会计凭证号</w:t>
            </w:r>
          </w:p>
        </w:tc>
      </w:tr>
      <w:tr>
        <w:tblPrEx>
          <w:tblCellMar>
            <w:top w:w="0" w:type="dxa"/>
            <w:left w:w="108" w:type="dxa"/>
            <w:bottom w:w="0" w:type="dxa"/>
            <w:right w:w="108" w:type="dxa"/>
          </w:tblCellMar>
        </w:tblPrEx>
        <w:trPr>
          <w:trHeight w:val="312" w:hRule="atLeast"/>
          <w:jc w:val="center"/>
        </w:trPr>
        <w:tc>
          <w:tcPr>
            <w:tcW w:w="960"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267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日立录象机</w:t>
            </w:r>
          </w:p>
        </w:tc>
        <w:tc>
          <w:tcPr>
            <w:tcW w:w="30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202401-2321001-000001</w:t>
            </w:r>
          </w:p>
        </w:tc>
        <w:tc>
          <w:tcPr>
            <w:tcW w:w="19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在用</w:t>
            </w:r>
          </w:p>
        </w:tc>
        <w:tc>
          <w:tcPr>
            <w:tcW w:w="23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无</w:t>
            </w:r>
          </w:p>
        </w:tc>
      </w:tr>
      <w:tr>
        <w:tblPrEx>
          <w:tblCellMar>
            <w:top w:w="0" w:type="dxa"/>
            <w:left w:w="108" w:type="dxa"/>
            <w:bottom w:w="0" w:type="dxa"/>
            <w:right w:w="108" w:type="dxa"/>
          </w:tblCellMar>
        </w:tblPrEx>
        <w:trPr>
          <w:trHeight w:val="312" w:hRule="atLeast"/>
          <w:jc w:val="center"/>
        </w:trPr>
        <w:tc>
          <w:tcPr>
            <w:tcW w:w="960"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267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YASHICA胶片照相机</w:t>
            </w:r>
          </w:p>
        </w:tc>
        <w:tc>
          <w:tcPr>
            <w:tcW w:w="30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202401-2020400-000007</w:t>
            </w:r>
          </w:p>
        </w:tc>
        <w:tc>
          <w:tcPr>
            <w:tcW w:w="19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在用</w:t>
            </w:r>
          </w:p>
        </w:tc>
        <w:tc>
          <w:tcPr>
            <w:tcW w:w="23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无</w:t>
            </w:r>
          </w:p>
        </w:tc>
      </w:tr>
      <w:tr>
        <w:tblPrEx>
          <w:tblCellMar>
            <w:top w:w="0" w:type="dxa"/>
            <w:left w:w="108" w:type="dxa"/>
            <w:bottom w:w="0" w:type="dxa"/>
            <w:right w:w="108" w:type="dxa"/>
          </w:tblCellMar>
        </w:tblPrEx>
        <w:trPr>
          <w:trHeight w:val="312" w:hRule="atLeast"/>
          <w:jc w:val="center"/>
        </w:trPr>
        <w:tc>
          <w:tcPr>
            <w:tcW w:w="960"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267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惠普台式电脑</w:t>
            </w:r>
          </w:p>
        </w:tc>
        <w:tc>
          <w:tcPr>
            <w:tcW w:w="30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202401-2010104-000010</w:t>
            </w:r>
          </w:p>
        </w:tc>
        <w:tc>
          <w:tcPr>
            <w:tcW w:w="19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在用</w:t>
            </w:r>
          </w:p>
        </w:tc>
        <w:tc>
          <w:tcPr>
            <w:tcW w:w="23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无</w:t>
            </w:r>
          </w:p>
        </w:tc>
      </w:tr>
      <w:tr>
        <w:tblPrEx>
          <w:tblCellMar>
            <w:top w:w="0" w:type="dxa"/>
            <w:left w:w="108" w:type="dxa"/>
            <w:bottom w:w="0" w:type="dxa"/>
            <w:right w:w="108" w:type="dxa"/>
          </w:tblCellMar>
        </w:tblPrEx>
        <w:trPr>
          <w:trHeight w:val="312" w:hRule="atLeast"/>
          <w:jc w:val="center"/>
        </w:trPr>
        <w:tc>
          <w:tcPr>
            <w:tcW w:w="960"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67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局大门口值班室</w:t>
            </w:r>
          </w:p>
        </w:tc>
        <w:tc>
          <w:tcPr>
            <w:tcW w:w="30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202401-026199-000002</w:t>
            </w:r>
          </w:p>
        </w:tc>
        <w:tc>
          <w:tcPr>
            <w:tcW w:w="19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在用</w:t>
            </w:r>
          </w:p>
        </w:tc>
        <w:tc>
          <w:tcPr>
            <w:tcW w:w="23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缺</w:t>
            </w:r>
          </w:p>
        </w:tc>
      </w:tr>
      <w:tr>
        <w:tblPrEx>
          <w:tblCellMar>
            <w:top w:w="0" w:type="dxa"/>
            <w:left w:w="108" w:type="dxa"/>
            <w:bottom w:w="0" w:type="dxa"/>
            <w:right w:w="108" w:type="dxa"/>
          </w:tblCellMar>
        </w:tblPrEx>
        <w:trPr>
          <w:trHeight w:val="312" w:hRule="atLeast"/>
          <w:jc w:val="center"/>
        </w:trPr>
        <w:tc>
          <w:tcPr>
            <w:tcW w:w="960"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267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住宅</w:t>
            </w:r>
          </w:p>
        </w:tc>
        <w:tc>
          <w:tcPr>
            <w:tcW w:w="30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202401-028199-000001</w:t>
            </w:r>
          </w:p>
        </w:tc>
        <w:tc>
          <w:tcPr>
            <w:tcW w:w="19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在用</w:t>
            </w:r>
          </w:p>
        </w:tc>
        <w:tc>
          <w:tcPr>
            <w:tcW w:w="23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缺</w:t>
            </w:r>
          </w:p>
        </w:tc>
      </w:tr>
      <w:tr>
        <w:tblPrEx>
          <w:tblCellMar>
            <w:top w:w="0" w:type="dxa"/>
            <w:left w:w="108" w:type="dxa"/>
            <w:bottom w:w="0" w:type="dxa"/>
            <w:right w:w="108" w:type="dxa"/>
          </w:tblCellMar>
        </w:tblPrEx>
        <w:trPr>
          <w:trHeight w:val="312" w:hRule="atLeast"/>
          <w:jc w:val="center"/>
        </w:trPr>
        <w:tc>
          <w:tcPr>
            <w:tcW w:w="960"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267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局招待所（院内第7栋）</w:t>
            </w:r>
          </w:p>
        </w:tc>
        <w:tc>
          <w:tcPr>
            <w:tcW w:w="30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202401-026199-000001</w:t>
            </w:r>
          </w:p>
        </w:tc>
        <w:tc>
          <w:tcPr>
            <w:tcW w:w="19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在用</w:t>
            </w:r>
          </w:p>
        </w:tc>
        <w:tc>
          <w:tcPr>
            <w:tcW w:w="23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缺</w:t>
            </w:r>
          </w:p>
        </w:tc>
      </w:tr>
      <w:tr>
        <w:tblPrEx>
          <w:tblCellMar>
            <w:top w:w="0" w:type="dxa"/>
            <w:left w:w="108" w:type="dxa"/>
            <w:bottom w:w="0" w:type="dxa"/>
            <w:right w:w="108" w:type="dxa"/>
          </w:tblCellMar>
        </w:tblPrEx>
        <w:trPr>
          <w:trHeight w:val="312" w:hRule="atLeast"/>
          <w:jc w:val="center"/>
        </w:trPr>
        <w:tc>
          <w:tcPr>
            <w:tcW w:w="960"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267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四层饭堂、招待所</w:t>
            </w:r>
          </w:p>
        </w:tc>
        <w:tc>
          <w:tcPr>
            <w:tcW w:w="30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202401-1029900-000002</w:t>
            </w:r>
          </w:p>
        </w:tc>
        <w:tc>
          <w:tcPr>
            <w:tcW w:w="19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在用</w:t>
            </w:r>
          </w:p>
        </w:tc>
        <w:tc>
          <w:tcPr>
            <w:tcW w:w="23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无</w:t>
            </w:r>
          </w:p>
        </w:tc>
      </w:tr>
      <w:tr>
        <w:tblPrEx>
          <w:tblCellMar>
            <w:top w:w="0" w:type="dxa"/>
            <w:left w:w="108" w:type="dxa"/>
            <w:bottom w:w="0" w:type="dxa"/>
            <w:right w:w="108" w:type="dxa"/>
          </w:tblCellMar>
        </w:tblPrEx>
        <w:trPr>
          <w:trHeight w:val="312" w:hRule="atLeast"/>
          <w:jc w:val="center"/>
        </w:trPr>
        <w:tc>
          <w:tcPr>
            <w:tcW w:w="960"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267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办公楼</w:t>
            </w:r>
          </w:p>
        </w:tc>
        <w:tc>
          <w:tcPr>
            <w:tcW w:w="30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202401-023100-000001</w:t>
            </w:r>
          </w:p>
        </w:tc>
        <w:tc>
          <w:tcPr>
            <w:tcW w:w="19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在用</w:t>
            </w:r>
          </w:p>
        </w:tc>
        <w:tc>
          <w:tcPr>
            <w:tcW w:w="23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缺</w:t>
            </w:r>
          </w:p>
        </w:tc>
      </w:tr>
      <w:tr>
        <w:tblPrEx>
          <w:tblCellMar>
            <w:top w:w="0" w:type="dxa"/>
            <w:left w:w="108" w:type="dxa"/>
            <w:bottom w:w="0" w:type="dxa"/>
            <w:right w:w="108" w:type="dxa"/>
          </w:tblCellMar>
        </w:tblPrEx>
        <w:trPr>
          <w:trHeight w:val="312" w:hRule="atLeast"/>
          <w:jc w:val="center"/>
        </w:trPr>
        <w:tc>
          <w:tcPr>
            <w:tcW w:w="960"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267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沙发</w:t>
            </w:r>
          </w:p>
        </w:tc>
        <w:tc>
          <w:tcPr>
            <w:tcW w:w="30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202401-6010400-000008-002</w:t>
            </w:r>
          </w:p>
        </w:tc>
        <w:tc>
          <w:tcPr>
            <w:tcW w:w="19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在用</w:t>
            </w:r>
          </w:p>
        </w:tc>
        <w:tc>
          <w:tcPr>
            <w:tcW w:w="23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无</w:t>
            </w:r>
          </w:p>
        </w:tc>
      </w:tr>
      <w:tr>
        <w:tblPrEx>
          <w:tblCellMar>
            <w:top w:w="0" w:type="dxa"/>
            <w:left w:w="108" w:type="dxa"/>
            <w:bottom w:w="0" w:type="dxa"/>
            <w:right w:w="108" w:type="dxa"/>
          </w:tblCellMar>
        </w:tblPrEx>
        <w:trPr>
          <w:trHeight w:val="312" w:hRule="atLeast"/>
          <w:jc w:val="center"/>
        </w:trPr>
        <w:tc>
          <w:tcPr>
            <w:tcW w:w="960"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267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沙发</w:t>
            </w:r>
          </w:p>
        </w:tc>
        <w:tc>
          <w:tcPr>
            <w:tcW w:w="30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202401-6010400-000008-001</w:t>
            </w:r>
          </w:p>
        </w:tc>
        <w:tc>
          <w:tcPr>
            <w:tcW w:w="19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在用</w:t>
            </w:r>
          </w:p>
        </w:tc>
        <w:tc>
          <w:tcPr>
            <w:tcW w:w="23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无</w:t>
            </w:r>
          </w:p>
        </w:tc>
      </w:tr>
      <w:tr>
        <w:tblPrEx>
          <w:tblCellMar>
            <w:top w:w="0" w:type="dxa"/>
            <w:left w:w="108" w:type="dxa"/>
            <w:bottom w:w="0" w:type="dxa"/>
            <w:right w:w="108" w:type="dxa"/>
          </w:tblCellMar>
        </w:tblPrEx>
        <w:trPr>
          <w:trHeight w:val="312" w:hRule="atLeast"/>
          <w:jc w:val="center"/>
        </w:trPr>
        <w:tc>
          <w:tcPr>
            <w:tcW w:w="960"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w:t>
            </w:r>
          </w:p>
        </w:tc>
        <w:tc>
          <w:tcPr>
            <w:tcW w:w="267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沙发</w:t>
            </w:r>
          </w:p>
        </w:tc>
        <w:tc>
          <w:tcPr>
            <w:tcW w:w="30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202401-6010400-000008</w:t>
            </w:r>
          </w:p>
        </w:tc>
        <w:tc>
          <w:tcPr>
            <w:tcW w:w="19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在用</w:t>
            </w:r>
          </w:p>
        </w:tc>
        <w:tc>
          <w:tcPr>
            <w:tcW w:w="23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无</w:t>
            </w:r>
          </w:p>
        </w:tc>
      </w:tr>
      <w:tr>
        <w:tblPrEx>
          <w:tblCellMar>
            <w:top w:w="0" w:type="dxa"/>
            <w:left w:w="108" w:type="dxa"/>
            <w:bottom w:w="0" w:type="dxa"/>
            <w:right w:w="108" w:type="dxa"/>
          </w:tblCellMar>
        </w:tblPrEx>
        <w:trPr>
          <w:trHeight w:val="312" w:hRule="atLeast"/>
          <w:jc w:val="center"/>
        </w:trPr>
        <w:tc>
          <w:tcPr>
            <w:tcW w:w="960"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12</w:t>
            </w:r>
          </w:p>
        </w:tc>
        <w:tc>
          <w:tcPr>
            <w:tcW w:w="267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汽车防盗器</w:t>
            </w:r>
          </w:p>
        </w:tc>
        <w:tc>
          <w:tcPr>
            <w:tcW w:w="30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202401-3609900-000002</w:t>
            </w:r>
          </w:p>
        </w:tc>
        <w:tc>
          <w:tcPr>
            <w:tcW w:w="19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在用</w:t>
            </w:r>
          </w:p>
        </w:tc>
        <w:tc>
          <w:tcPr>
            <w:tcW w:w="238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无</w:t>
            </w:r>
          </w:p>
        </w:tc>
      </w:tr>
    </w:tbl>
    <w:p>
      <w:pPr>
        <w:ind w:firstLine="480"/>
        <w:rPr>
          <w:rFonts w:ascii="华文中宋" w:hAnsi="华文中宋" w:eastAsia="华文中宋"/>
          <w:sz w:val="24"/>
          <w:szCs w:val="24"/>
        </w:rPr>
      </w:pPr>
    </w:p>
    <w:sectPr>
      <w:footerReference r:id="rId13" w:type="default"/>
      <w:pgSz w:w="16838" w:h="11906" w:orient="landscape"/>
      <w:pgMar w:top="1066" w:right="1106" w:bottom="896" w:left="1440" w:header="624" w:footer="539" w:gutter="0"/>
      <w:pgNumType w:fmt="numberInDash"/>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w:altName w:val="华文中宋"/>
    <w:panose1 w:val="02010600030101010101"/>
    <w:charset w:val="86"/>
    <w:family w:val="auto"/>
    <w:pitch w:val="default"/>
    <w:sig w:usb0="00000000" w:usb1="00000000" w:usb2="00000016" w:usb3="00000000" w:csb0="0004000F" w:csb1="00000000"/>
  </w:font>
  <w:font w:name="微软雅黑">
    <w:altName w:val="方正黑体_GBK"/>
    <w:panose1 w:val="020B0503020204020204"/>
    <w:charset w:val="86"/>
    <w:family w:val="swiss"/>
    <w:pitch w:val="default"/>
    <w:sig w:usb0="00000000" w:usb1="00000000" w:usb2="00000016" w:usb3="00000000" w:csb0="0004001F" w:csb1="00000000"/>
  </w:font>
  <w:font w:name="方正大标宋简体">
    <w:altName w:val="方正书宋_GBK"/>
    <w:panose1 w:val="03000509000000000000"/>
    <w:charset w:val="86"/>
    <w:family w:val="script"/>
    <w:pitch w:val="default"/>
    <w:sig w:usb0="00000000" w:usb1="00000000" w:usb2="00000010" w:usb3="00000000" w:csb0="00040000" w:csb1="00000000"/>
  </w:font>
  <w:font w:name="方正小标宋_GBK">
    <w:panose1 w:val="02000000000000000000"/>
    <w:charset w:val="86"/>
    <w:family w:val="script"/>
    <w:pitch w:val="default"/>
    <w:sig w:usb0="00000001" w:usb1="0800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CESI宋体-GB2312">
    <w:panose1 w:val="02000500000000000000"/>
    <w:charset w:val="86"/>
    <w:family w:val="auto"/>
    <w:pitch w:val="default"/>
    <w:sig w:usb0="800002AF" w:usb1="08476CF8" w:usb2="00000010" w:usb3="00000000" w:csb0="0004000F" w:csb1="00000000"/>
  </w:font>
  <w:font w:name="Arial">
    <w:altName w:val="DejaVu Sans"/>
    <w:panose1 w:val="020B0604020202020204"/>
    <w:charset w:val="00"/>
    <w:family w:val="swiss"/>
    <w:pitch w:val="default"/>
    <w:sig w:usb0="00000000" w:usb1="00000000" w:usb2="00000009" w:usb3="00000000" w:csb0="000001FF" w:csb1="00000000"/>
  </w:font>
  <w:font w:name="Noto Sans CJK JP Bold">
    <w:panose1 w:val="020B0800000000000000"/>
    <w:charset w:val="86"/>
    <w:family w:val="auto"/>
    <w:pitch w:val="default"/>
    <w:sig w:usb0="30000003" w:usb1="2BDF3C10" w:usb2="00000016" w:usb3="00000000" w:csb0="602E0107" w:csb1="00000000"/>
  </w:font>
  <w:font w:name="等线">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6171095"/>
    </w:sdtPr>
    <w:sdtContent>
      <w:p>
        <w:pPr>
          <w:pStyle w:val="10"/>
          <w:ind w:firstLine="360"/>
          <w:jc w:val="center"/>
        </w:pPr>
      </w:p>
    </w:sdtContent>
  </w:sdt>
  <w:p>
    <w:pPr>
      <w:pStyle w:val="10"/>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26301126"/>
                          </w:sdtPr>
                          <w:sdtContent>
                            <w:p>
                              <w:pPr>
                                <w:pStyle w:val="10"/>
                                <w:ind w:firstLine="0" w:firstLineChars="0"/>
                                <w:jc w:val="center"/>
                              </w:pP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PAGE   \* MERGEFORMAT</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lang w:val="zh-CN"/>
                                </w:rPr>
                                <w:t>2</w:t>
                              </w:r>
                              <w:r>
                                <w:rPr>
                                  <w:rFonts w:hint="eastAsia" w:ascii="CESI宋体-GB2312" w:hAnsi="CESI宋体-GB2312" w:eastAsia="CESI宋体-GB2312" w:cs="CESI宋体-GB2312"/>
                                  <w:sz w:val="28"/>
                                  <w:szCs w:val="28"/>
                                </w:rPr>
                                <w:fldChar w:fldCharType="end"/>
                              </w:r>
                            </w:p>
                          </w:sdtContent>
                        </w:sdt>
                        <w:p>
                          <w:pPr>
                            <w:ind w:firstLine="64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BWGMPysCAABVBAAADgAAAAAAAAABACAAAAA1AQAAZHJz&#10;L2Uyb0RvYy54bWxQSwUGAAAAAAYABgBZAQAA0gUAAAAA&#10;">
              <v:fill on="f" focussize="0,0"/>
              <v:stroke on="f" weight="0.5pt"/>
              <v:imagedata o:title=""/>
              <o:lock v:ext="edit" aspectratio="f"/>
              <v:textbox inset="0mm,0mm,0mm,0mm" style="mso-fit-shape-to-text:t;">
                <w:txbxContent>
                  <w:sdt>
                    <w:sdtPr>
                      <w:id w:val="1026301126"/>
                    </w:sdtPr>
                    <w:sdtContent>
                      <w:p>
                        <w:pPr>
                          <w:pStyle w:val="10"/>
                          <w:ind w:firstLine="0" w:firstLineChars="0"/>
                          <w:jc w:val="center"/>
                        </w:pP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PAGE   \* MERGEFORMAT</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lang w:val="zh-CN"/>
                          </w:rPr>
                          <w:t>2</w:t>
                        </w:r>
                        <w:r>
                          <w:rPr>
                            <w:rFonts w:hint="eastAsia" w:ascii="CESI宋体-GB2312" w:hAnsi="CESI宋体-GB2312" w:eastAsia="CESI宋体-GB2312" w:cs="CESI宋体-GB2312"/>
                            <w:sz w:val="28"/>
                            <w:szCs w:val="28"/>
                          </w:rPr>
                          <w:fldChar w:fldCharType="end"/>
                        </w:r>
                      </w:p>
                    </w:sdtContent>
                  </w:sdt>
                  <w:p>
                    <w:pPr>
                      <w:ind w:firstLine="640"/>
                    </w:pPr>
                  </w:p>
                </w:txbxContent>
              </v:textbox>
            </v:shape>
          </w:pict>
        </mc:Fallback>
      </mc:AlternateContent>
    </w:r>
  </w:p>
  <w:p>
    <w:pPr>
      <w:pStyle w:val="10"/>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cente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
                          </w:sdtPr>
                          <w:sdtContent>
                            <w:p>
                              <w:pPr>
                                <w:pStyle w:val="10"/>
                                <w:ind w:firstLine="0" w:firstLineChars="0"/>
                                <w:jc w:val="center"/>
                              </w:pP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PAGE   \* MERGEFORMAT</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lang w:val="zh-CN"/>
                                </w:rPr>
                                <w:t>2</w:t>
                              </w:r>
                              <w:r>
                                <w:rPr>
                                  <w:rFonts w:hint="eastAsia" w:ascii="CESI宋体-GB2312" w:hAnsi="CESI宋体-GB2312" w:eastAsia="CESI宋体-GB2312" w:cs="CESI宋体-GB2312"/>
                                  <w:sz w:val="28"/>
                                  <w:szCs w:val="28"/>
                                </w:rPr>
                                <w:fldChar w:fldCharType="end"/>
                              </w:r>
                            </w:p>
                          </w:sdtContent>
                        </w:sdt>
                        <w:p>
                          <w:pPr>
                            <w:ind w:firstLine="64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DIm4LAIAAFU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odcsCxv9YHmEjuJ5u9wHCJh0jaL0Spy1QrelypwnI7bzn/sU9fg3WPw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BcMibgsAgAAVQQAAA4AAAAAAAAAAQAgAAAANQEAAGRy&#10;cy9lMm9Eb2MueG1sUEsFBgAAAAAGAAYAWQEAANMFAAAAAA==&#10;">
              <v:fill on="f" focussize="0,0"/>
              <v:stroke on="f" weight="0.5pt"/>
              <v:imagedata o:title=""/>
              <o:lock v:ext="edit" aspectratio="f"/>
              <v:textbox inset="0mm,0mm,0mm,0mm" style="mso-fit-shape-to-text:t;">
                <w:txbxContent>
                  <w:sdt>
                    <w:sdtPr>
                      <w:id w:val="-1"/>
                    </w:sdtPr>
                    <w:sdtContent>
                      <w:p>
                        <w:pPr>
                          <w:pStyle w:val="10"/>
                          <w:ind w:firstLine="0" w:firstLineChars="0"/>
                          <w:jc w:val="center"/>
                        </w:pP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PAGE   \* MERGEFORMAT</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lang w:val="zh-CN"/>
                          </w:rPr>
                          <w:t>2</w:t>
                        </w:r>
                        <w:r>
                          <w:rPr>
                            <w:rFonts w:hint="eastAsia" w:ascii="CESI宋体-GB2312" w:hAnsi="CESI宋体-GB2312" w:eastAsia="CESI宋体-GB2312" w:cs="CESI宋体-GB2312"/>
                            <w:sz w:val="28"/>
                            <w:szCs w:val="28"/>
                          </w:rPr>
                          <w:fldChar w:fldCharType="end"/>
                        </w:r>
                      </w:p>
                    </w:sdtContent>
                  </w:sdt>
                  <w:p>
                    <w:pPr>
                      <w:ind w:firstLine="640"/>
                    </w:pPr>
                  </w:p>
                </w:txbxContent>
              </v:textbox>
            </v:shape>
          </w:pict>
        </mc:Fallback>
      </mc:AlternateContent>
    </w:r>
  </w:p>
  <w:p>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pPr>
        <w:ind w:firstLine="640"/>
      </w:pPr>
      <w:r>
        <w:separator/>
      </w:r>
    </w:p>
  </w:footnote>
  <w:footnote w:type="continuationSeparator" w:id="7">
    <w:p>
      <w:pPr>
        <w:ind w:firstLine="640"/>
      </w:pPr>
      <w:r>
        <w:continuationSeparator/>
      </w:r>
    </w:p>
  </w:footnote>
  <w:footnote w:id="0">
    <w:p>
      <w:pPr>
        <w:pStyle w:val="13"/>
        <w:ind w:firstLine="400"/>
      </w:pPr>
      <w:r>
        <w:rPr>
          <w:rStyle w:val="23"/>
        </w:rPr>
        <w:footnoteRef/>
      </w:r>
      <w:r>
        <w:t xml:space="preserve"> </w:t>
      </w:r>
      <w:r>
        <w:rPr>
          <w:rFonts w:hint="eastAsia"/>
        </w:rPr>
        <w:t>数据来源于《2</w:t>
      </w:r>
      <w:r>
        <w:t>022</w:t>
      </w:r>
      <w:r>
        <w:rPr>
          <w:rFonts w:hint="eastAsia"/>
        </w:rPr>
        <w:t>韶关市卫生健康局部门预算公开》</w:t>
      </w:r>
    </w:p>
  </w:footnote>
  <w:footnote w:id="1">
    <w:p>
      <w:pPr>
        <w:pStyle w:val="13"/>
        <w:ind w:left="0" w:leftChars="0" w:firstLine="0" w:firstLineChars="0"/>
      </w:pPr>
      <w:r>
        <w:rPr>
          <w:rStyle w:val="23"/>
        </w:rPr>
        <w:footnoteRef/>
      </w:r>
      <w:r>
        <w:t xml:space="preserve"> </w:t>
      </w:r>
      <w:r>
        <w:rPr>
          <w:rFonts w:hint="eastAsia"/>
        </w:rPr>
        <w:t>2</w:t>
      </w:r>
      <w:r>
        <w:t>022年任务数为</w:t>
      </w:r>
      <w:r>
        <w:rPr>
          <w:rFonts w:hint="eastAsia"/>
        </w:rPr>
        <w:t>3</w:t>
      </w:r>
      <w:r>
        <w:t>3119人，实际结案</w:t>
      </w:r>
      <w:r>
        <w:rPr>
          <w:rFonts w:hint="eastAsia"/>
        </w:rPr>
        <w:t>3</w:t>
      </w:r>
      <w:r>
        <w:t>5437人，结案率</w:t>
      </w:r>
      <w:r>
        <w:rPr>
          <w:rFonts w:hint="eastAsia"/>
        </w:rPr>
        <w:t>=</w:t>
      </w:r>
      <w:r>
        <w:t>35437/33119*100%=107</w:t>
      </w:r>
      <w:bookmarkStart w:id="67" w:name="_GoBack"/>
      <w:bookmarkEnd w:id="67"/>
      <w:r>
        <w:t>%</w:t>
      </w:r>
    </w:p>
  </w:footnote>
  <w:footnote w:id="2">
    <w:p>
      <w:pPr>
        <w:pStyle w:val="13"/>
        <w:ind w:left="0" w:leftChars="0" w:firstLine="0" w:firstLineChars="0"/>
      </w:pPr>
      <w:r>
        <w:rPr>
          <w:rStyle w:val="23"/>
        </w:rPr>
        <w:footnoteRef/>
      </w:r>
      <w:r>
        <w:t xml:space="preserve"> </w:t>
      </w:r>
      <w:r>
        <w:rPr>
          <w:rFonts w:hint="eastAsia"/>
        </w:rPr>
        <w:t>2</w:t>
      </w:r>
      <w:r>
        <w:t>022年任务数为</w:t>
      </w:r>
      <w:r>
        <w:rPr>
          <w:rFonts w:hint="eastAsia"/>
        </w:rPr>
        <w:t>3</w:t>
      </w:r>
      <w:r>
        <w:t>3119人，实际结案</w:t>
      </w:r>
      <w:r>
        <w:rPr>
          <w:rFonts w:hint="eastAsia"/>
        </w:rPr>
        <w:t>3</w:t>
      </w:r>
      <w:r>
        <w:t>5442人，结案率</w:t>
      </w:r>
      <w:r>
        <w:rPr>
          <w:rFonts w:hint="eastAsia"/>
        </w:rPr>
        <w:t>=</w:t>
      </w:r>
      <w:r>
        <w:t>35442/33119*100%=107.01%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footnotePr>
    <w:footnote w:id="6"/>
    <w:footnote w:id="7"/>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xYzdjZDYzNDEwYTc2Y2E4NTZmYjk5YjFhMDgyNWQifQ=="/>
  </w:docVars>
  <w:rsids>
    <w:rsidRoot w:val="0017724B"/>
    <w:rsid w:val="00000FB8"/>
    <w:rsid w:val="00001B4D"/>
    <w:rsid w:val="00002950"/>
    <w:rsid w:val="0000309F"/>
    <w:rsid w:val="0000365C"/>
    <w:rsid w:val="000044B2"/>
    <w:rsid w:val="00010165"/>
    <w:rsid w:val="000116B9"/>
    <w:rsid w:val="000148F1"/>
    <w:rsid w:val="00016303"/>
    <w:rsid w:val="00017153"/>
    <w:rsid w:val="00017967"/>
    <w:rsid w:val="00021E9E"/>
    <w:rsid w:val="0002298B"/>
    <w:rsid w:val="00023658"/>
    <w:rsid w:val="0003022D"/>
    <w:rsid w:val="000313D1"/>
    <w:rsid w:val="000314A6"/>
    <w:rsid w:val="000318D5"/>
    <w:rsid w:val="00031E40"/>
    <w:rsid w:val="00032CA9"/>
    <w:rsid w:val="0003328A"/>
    <w:rsid w:val="000336BF"/>
    <w:rsid w:val="00034495"/>
    <w:rsid w:val="00041BE4"/>
    <w:rsid w:val="00044219"/>
    <w:rsid w:val="000458A3"/>
    <w:rsid w:val="00045C24"/>
    <w:rsid w:val="0005136E"/>
    <w:rsid w:val="00051695"/>
    <w:rsid w:val="00051B5B"/>
    <w:rsid w:val="000539F3"/>
    <w:rsid w:val="00054DEB"/>
    <w:rsid w:val="0005645E"/>
    <w:rsid w:val="000569A7"/>
    <w:rsid w:val="000576CF"/>
    <w:rsid w:val="0006113C"/>
    <w:rsid w:val="00061536"/>
    <w:rsid w:val="00062EBF"/>
    <w:rsid w:val="00063D38"/>
    <w:rsid w:val="00066781"/>
    <w:rsid w:val="0007108C"/>
    <w:rsid w:val="00071E2B"/>
    <w:rsid w:val="00072647"/>
    <w:rsid w:val="00072DE4"/>
    <w:rsid w:val="00076106"/>
    <w:rsid w:val="000764EA"/>
    <w:rsid w:val="000765D4"/>
    <w:rsid w:val="0007693A"/>
    <w:rsid w:val="000779C8"/>
    <w:rsid w:val="0008051D"/>
    <w:rsid w:val="00080779"/>
    <w:rsid w:val="00080AD1"/>
    <w:rsid w:val="00082A6B"/>
    <w:rsid w:val="00082BD7"/>
    <w:rsid w:val="0008430E"/>
    <w:rsid w:val="000913E7"/>
    <w:rsid w:val="00092B34"/>
    <w:rsid w:val="00092DFB"/>
    <w:rsid w:val="00093AAE"/>
    <w:rsid w:val="00094ADB"/>
    <w:rsid w:val="000A0717"/>
    <w:rsid w:val="000A4AFE"/>
    <w:rsid w:val="000A5E3E"/>
    <w:rsid w:val="000A610D"/>
    <w:rsid w:val="000B0BE2"/>
    <w:rsid w:val="000B1CCE"/>
    <w:rsid w:val="000B2803"/>
    <w:rsid w:val="000B296A"/>
    <w:rsid w:val="000B2EE1"/>
    <w:rsid w:val="000B4D33"/>
    <w:rsid w:val="000B7758"/>
    <w:rsid w:val="000C1B24"/>
    <w:rsid w:val="000D05F9"/>
    <w:rsid w:val="000D0F54"/>
    <w:rsid w:val="000D0FD4"/>
    <w:rsid w:val="000D1BEA"/>
    <w:rsid w:val="000D1D0E"/>
    <w:rsid w:val="000D54B5"/>
    <w:rsid w:val="000D5C6C"/>
    <w:rsid w:val="000E39E2"/>
    <w:rsid w:val="000E3BC0"/>
    <w:rsid w:val="000E42BE"/>
    <w:rsid w:val="000E5CD9"/>
    <w:rsid w:val="000F1DCB"/>
    <w:rsid w:val="00100257"/>
    <w:rsid w:val="00100BA0"/>
    <w:rsid w:val="001039D0"/>
    <w:rsid w:val="00103D34"/>
    <w:rsid w:val="00103E53"/>
    <w:rsid w:val="00105F68"/>
    <w:rsid w:val="001073F8"/>
    <w:rsid w:val="00110409"/>
    <w:rsid w:val="00110520"/>
    <w:rsid w:val="00111F7F"/>
    <w:rsid w:val="00111FFA"/>
    <w:rsid w:val="001136FD"/>
    <w:rsid w:val="001144BB"/>
    <w:rsid w:val="001150D3"/>
    <w:rsid w:val="001157B4"/>
    <w:rsid w:val="00115BCF"/>
    <w:rsid w:val="00116068"/>
    <w:rsid w:val="0011613E"/>
    <w:rsid w:val="00116238"/>
    <w:rsid w:val="001165A6"/>
    <w:rsid w:val="00117254"/>
    <w:rsid w:val="001175B7"/>
    <w:rsid w:val="00122586"/>
    <w:rsid w:val="001225F7"/>
    <w:rsid w:val="001229EB"/>
    <w:rsid w:val="0012446C"/>
    <w:rsid w:val="001270AA"/>
    <w:rsid w:val="001272F9"/>
    <w:rsid w:val="00131061"/>
    <w:rsid w:val="00133415"/>
    <w:rsid w:val="00133788"/>
    <w:rsid w:val="00134B6A"/>
    <w:rsid w:val="00140FB6"/>
    <w:rsid w:val="0014384D"/>
    <w:rsid w:val="00144D31"/>
    <w:rsid w:val="00144FE9"/>
    <w:rsid w:val="0014604C"/>
    <w:rsid w:val="00146089"/>
    <w:rsid w:val="0015051A"/>
    <w:rsid w:val="001508DD"/>
    <w:rsid w:val="001529E8"/>
    <w:rsid w:val="00155607"/>
    <w:rsid w:val="001573A3"/>
    <w:rsid w:val="00157B60"/>
    <w:rsid w:val="0016015A"/>
    <w:rsid w:val="001604E6"/>
    <w:rsid w:val="001609AA"/>
    <w:rsid w:val="00160AA5"/>
    <w:rsid w:val="00164027"/>
    <w:rsid w:val="001640FF"/>
    <w:rsid w:val="001646EE"/>
    <w:rsid w:val="001648FA"/>
    <w:rsid w:val="00165033"/>
    <w:rsid w:val="0016560D"/>
    <w:rsid w:val="00167679"/>
    <w:rsid w:val="001711A3"/>
    <w:rsid w:val="00173296"/>
    <w:rsid w:val="0017598E"/>
    <w:rsid w:val="00176537"/>
    <w:rsid w:val="001765D1"/>
    <w:rsid w:val="0017724B"/>
    <w:rsid w:val="00177B87"/>
    <w:rsid w:val="00180255"/>
    <w:rsid w:val="001807EA"/>
    <w:rsid w:val="00180DB5"/>
    <w:rsid w:val="001812DF"/>
    <w:rsid w:val="001822D8"/>
    <w:rsid w:val="001826FA"/>
    <w:rsid w:val="001831FB"/>
    <w:rsid w:val="001833FF"/>
    <w:rsid w:val="001858C8"/>
    <w:rsid w:val="00186641"/>
    <w:rsid w:val="00187AFE"/>
    <w:rsid w:val="00187F91"/>
    <w:rsid w:val="00191544"/>
    <w:rsid w:val="00192545"/>
    <w:rsid w:val="0019257E"/>
    <w:rsid w:val="00193469"/>
    <w:rsid w:val="00193BA0"/>
    <w:rsid w:val="00194D73"/>
    <w:rsid w:val="001958D2"/>
    <w:rsid w:val="001A7A1C"/>
    <w:rsid w:val="001A7FB5"/>
    <w:rsid w:val="001B5A28"/>
    <w:rsid w:val="001C199F"/>
    <w:rsid w:val="001C24B6"/>
    <w:rsid w:val="001C5A19"/>
    <w:rsid w:val="001C5C30"/>
    <w:rsid w:val="001D0803"/>
    <w:rsid w:val="001D297C"/>
    <w:rsid w:val="001D424F"/>
    <w:rsid w:val="001E1851"/>
    <w:rsid w:val="001E2AE5"/>
    <w:rsid w:val="001E4046"/>
    <w:rsid w:val="001E4D2C"/>
    <w:rsid w:val="001E554A"/>
    <w:rsid w:val="001E685F"/>
    <w:rsid w:val="001E6E42"/>
    <w:rsid w:val="001F0020"/>
    <w:rsid w:val="001F0C26"/>
    <w:rsid w:val="001F14D5"/>
    <w:rsid w:val="001F197D"/>
    <w:rsid w:val="001F2F69"/>
    <w:rsid w:val="001F3D72"/>
    <w:rsid w:val="001F4C8F"/>
    <w:rsid w:val="001F6B00"/>
    <w:rsid w:val="0020032D"/>
    <w:rsid w:val="0020072B"/>
    <w:rsid w:val="00201016"/>
    <w:rsid w:val="00210882"/>
    <w:rsid w:val="00210D4A"/>
    <w:rsid w:val="002122B3"/>
    <w:rsid w:val="002126DD"/>
    <w:rsid w:val="00212B6E"/>
    <w:rsid w:val="00215191"/>
    <w:rsid w:val="00215F75"/>
    <w:rsid w:val="00216554"/>
    <w:rsid w:val="0021713B"/>
    <w:rsid w:val="00217772"/>
    <w:rsid w:val="00220C9C"/>
    <w:rsid w:val="00221426"/>
    <w:rsid w:val="00221523"/>
    <w:rsid w:val="002215BE"/>
    <w:rsid w:val="0022276B"/>
    <w:rsid w:val="00223D96"/>
    <w:rsid w:val="0022551E"/>
    <w:rsid w:val="00225FB2"/>
    <w:rsid w:val="00226B8E"/>
    <w:rsid w:val="00230645"/>
    <w:rsid w:val="00230B75"/>
    <w:rsid w:val="00230BC2"/>
    <w:rsid w:val="00230E26"/>
    <w:rsid w:val="00231E87"/>
    <w:rsid w:val="0023338F"/>
    <w:rsid w:val="0023463B"/>
    <w:rsid w:val="00234B84"/>
    <w:rsid w:val="00236A6D"/>
    <w:rsid w:val="00240647"/>
    <w:rsid w:val="00240B85"/>
    <w:rsid w:val="0024133F"/>
    <w:rsid w:val="00241E07"/>
    <w:rsid w:val="002433A9"/>
    <w:rsid w:val="00246B93"/>
    <w:rsid w:val="002476D3"/>
    <w:rsid w:val="00252D5C"/>
    <w:rsid w:val="00254A1C"/>
    <w:rsid w:val="00256317"/>
    <w:rsid w:val="002563B4"/>
    <w:rsid w:val="002564D7"/>
    <w:rsid w:val="00260702"/>
    <w:rsid w:val="00262429"/>
    <w:rsid w:val="00265202"/>
    <w:rsid w:val="00265810"/>
    <w:rsid w:val="00265F37"/>
    <w:rsid w:val="002666D9"/>
    <w:rsid w:val="00266B8D"/>
    <w:rsid w:val="002704A6"/>
    <w:rsid w:val="0027077F"/>
    <w:rsid w:val="00270F65"/>
    <w:rsid w:val="00271FD0"/>
    <w:rsid w:val="002723A5"/>
    <w:rsid w:val="0027248B"/>
    <w:rsid w:val="00275A0D"/>
    <w:rsid w:val="00275A3D"/>
    <w:rsid w:val="00276161"/>
    <w:rsid w:val="0027624B"/>
    <w:rsid w:val="00276D3F"/>
    <w:rsid w:val="00281C7B"/>
    <w:rsid w:val="00281CAD"/>
    <w:rsid w:val="00281D15"/>
    <w:rsid w:val="00282AAF"/>
    <w:rsid w:val="00283DBA"/>
    <w:rsid w:val="0028559A"/>
    <w:rsid w:val="00285ACF"/>
    <w:rsid w:val="002861D8"/>
    <w:rsid w:val="0029047E"/>
    <w:rsid w:val="002912F8"/>
    <w:rsid w:val="00291A96"/>
    <w:rsid w:val="002930D6"/>
    <w:rsid w:val="002937FD"/>
    <w:rsid w:val="00293EF0"/>
    <w:rsid w:val="00296EC6"/>
    <w:rsid w:val="00297CD2"/>
    <w:rsid w:val="002A1E2B"/>
    <w:rsid w:val="002A2B8C"/>
    <w:rsid w:val="002A3B25"/>
    <w:rsid w:val="002A4425"/>
    <w:rsid w:val="002A5B4E"/>
    <w:rsid w:val="002A79CE"/>
    <w:rsid w:val="002B0252"/>
    <w:rsid w:val="002B06A4"/>
    <w:rsid w:val="002B1388"/>
    <w:rsid w:val="002B2D41"/>
    <w:rsid w:val="002B3CAA"/>
    <w:rsid w:val="002B7CF9"/>
    <w:rsid w:val="002C3B6A"/>
    <w:rsid w:val="002C7718"/>
    <w:rsid w:val="002D0DB8"/>
    <w:rsid w:val="002D1719"/>
    <w:rsid w:val="002D4A87"/>
    <w:rsid w:val="002D5115"/>
    <w:rsid w:val="002D70A0"/>
    <w:rsid w:val="002D7540"/>
    <w:rsid w:val="002D759A"/>
    <w:rsid w:val="002D77BF"/>
    <w:rsid w:val="002D786F"/>
    <w:rsid w:val="002D7D48"/>
    <w:rsid w:val="002E6307"/>
    <w:rsid w:val="002E6D7F"/>
    <w:rsid w:val="002F1403"/>
    <w:rsid w:val="002F49C9"/>
    <w:rsid w:val="002F7768"/>
    <w:rsid w:val="003005E3"/>
    <w:rsid w:val="00301134"/>
    <w:rsid w:val="0030275C"/>
    <w:rsid w:val="003028B0"/>
    <w:rsid w:val="00306D4B"/>
    <w:rsid w:val="00311B7F"/>
    <w:rsid w:val="0031238E"/>
    <w:rsid w:val="0031311E"/>
    <w:rsid w:val="00313A01"/>
    <w:rsid w:val="00313ACE"/>
    <w:rsid w:val="00314F40"/>
    <w:rsid w:val="00315A9A"/>
    <w:rsid w:val="003162C7"/>
    <w:rsid w:val="00322582"/>
    <w:rsid w:val="00323256"/>
    <w:rsid w:val="00323605"/>
    <w:rsid w:val="00324196"/>
    <w:rsid w:val="003241C9"/>
    <w:rsid w:val="0032481D"/>
    <w:rsid w:val="00325E06"/>
    <w:rsid w:val="003265D5"/>
    <w:rsid w:val="00326F56"/>
    <w:rsid w:val="00327E79"/>
    <w:rsid w:val="00331EEC"/>
    <w:rsid w:val="003335DF"/>
    <w:rsid w:val="00333AF2"/>
    <w:rsid w:val="003345F2"/>
    <w:rsid w:val="0033503E"/>
    <w:rsid w:val="00340FB7"/>
    <w:rsid w:val="00340FDD"/>
    <w:rsid w:val="00341F87"/>
    <w:rsid w:val="00345631"/>
    <w:rsid w:val="00345C7E"/>
    <w:rsid w:val="003461BF"/>
    <w:rsid w:val="00346856"/>
    <w:rsid w:val="003513A9"/>
    <w:rsid w:val="003519D4"/>
    <w:rsid w:val="003524D5"/>
    <w:rsid w:val="00352FB2"/>
    <w:rsid w:val="0035328B"/>
    <w:rsid w:val="003536A9"/>
    <w:rsid w:val="00355B49"/>
    <w:rsid w:val="00355C82"/>
    <w:rsid w:val="0035772E"/>
    <w:rsid w:val="00357778"/>
    <w:rsid w:val="003621F2"/>
    <w:rsid w:val="00363D75"/>
    <w:rsid w:val="00364B47"/>
    <w:rsid w:val="00366C32"/>
    <w:rsid w:val="003710ED"/>
    <w:rsid w:val="00372E59"/>
    <w:rsid w:val="00373021"/>
    <w:rsid w:val="003805E9"/>
    <w:rsid w:val="003829CF"/>
    <w:rsid w:val="00383873"/>
    <w:rsid w:val="00383982"/>
    <w:rsid w:val="00385C69"/>
    <w:rsid w:val="00386D28"/>
    <w:rsid w:val="0039405E"/>
    <w:rsid w:val="00395543"/>
    <w:rsid w:val="003957FA"/>
    <w:rsid w:val="00395F49"/>
    <w:rsid w:val="003A0AC9"/>
    <w:rsid w:val="003A14ED"/>
    <w:rsid w:val="003A3097"/>
    <w:rsid w:val="003A30A0"/>
    <w:rsid w:val="003A3BEC"/>
    <w:rsid w:val="003A4499"/>
    <w:rsid w:val="003A4BFF"/>
    <w:rsid w:val="003A681A"/>
    <w:rsid w:val="003A689F"/>
    <w:rsid w:val="003A77BD"/>
    <w:rsid w:val="003B0D02"/>
    <w:rsid w:val="003B0DFF"/>
    <w:rsid w:val="003B34B7"/>
    <w:rsid w:val="003B3D10"/>
    <w:rsid w:val="003B536E"/>
    <w:rsid w:val="003B584B"/>
    <w:rsid w:val="003B5D4C"/>
    <w:rsid w:val="003B79D6"/>
    <w:rsid w:val="003B7BFE"/>
    <w:rsid w:val="003C0306"/>
    <w:rsid w:val="003C0464"/>
    <w:rsid w:val="003C0EF1"/>
    <w:rsid w:val="003C1D52"/>
    <w:rsid w:val="003C1FCF"/>
    <w:rsid w:val="003C4014"/>
    <w:rsid w:val="003C4E25"/>
    <w:rsid w:val="003C61B0"/>
    <w:rsid w:val="003D052C"/>
    <w:rsid w:val="003D27F9"/>
    <w:rsid w:val="003D2F50"/>
    <w:rsid w:val="003D52A3"/>
    <w:rsid w:val="003D5F5D"/>
    <w:rsid w:val="003D6689"/>
    <w:rsid w:val="003E01D2"/>
    <w:rsid w:val="003E2A38"/>
    <w:rsid w:val="003E320A"/>
    <w:rsid w:val="003F2704"/>
    <w:rsid w:val="003F3883"/>
    <w:rsid w:val="003F5749"/>
    <w:rsid w:val="003F577E"/>
    <w:rsid w:val="003F66D6"/>
    <w:rsid w:val="003F7099"/>
    <w:rsid w:val="00400B13"/>
    <w:rsid w:val="00402036"/>
    <w:rsid w:val="004050D1"/>
    <w:rsid w:val="00405DC6"/>
    <w:rsid w:val="00406115"/>
    <w:rsid w:val="00406BF8"/>
    <w:rsid w:val="00406C51"/>
    <w:rsid w:val="004077CA"/>
    <w:rsid w:val="0041240E"/>
    <w:rsid w:val="004134B2"/>
    <w:rsid w:val="004158BA"/>
    <w:rsid w:val="004158EA"/>
    <w:rsid w:val="0041708D"/>
    <w:rsid w:val="00420532"/>
    <w:rsid w:val="00422E48"/>
    <w:rsid w:val="0042459D"/>
    <w:rsid w:val="00427E2C"/>
    <w:rsid w:val="00427F53"/>
    <w:rsid w:val="00433939"/>
    <w:rsid w:val="00434B1A"/>
    <w:rsid w:val="00435BAE"/>
    <w:rsid w:val="00437BE1"/>
    <w:rsid w:val="00440287"/>
    <w:rsid w:val="004408AF"/>
    <w:rsid w:val="00440ADB"/>
    <w:rsid w:val="00443431"/>
    <w:rsid w:val="00444536"/>
    <w:rsid w:val="00444B9A"/>
    <w:rsid w:val="00445008"/>
    <w:rsid w:val="0044575F"/>
    <w:rsid w:val="004513AC"/>
    <w:rsid w:val="00451FC5"/>
    <w:rsid w:val="00452F2C"/>
    <w:rsid w:val="004538FC"/>
    <w:rsid w:val="00456EDD"/>
    <w:rsid w:val="00456F51"/>
    <w:rsid w:val="00461AD1"/>
    <w:rsid w:val="00461FAE"/>
    <w:rsid w:val="004621E2"/>
    <w:rsid w:val="00463212"/>
    <w:rsid w:val="004637E7"/>
    <w:rsid w:val="00463C57"/>
    <w:rsid w:val="0046534C"/>
    <w:rsid w:val="004661E9"/>
    <w:rsid w:val="0046623A"/>
    <w:rsid w:val="004672DC"/>
    <w:rsid w:val="00470DFC"/>
    <w:rsid w:val="0047248E"/>
    <w:rsid w:val="00475AE3"/>
    <w:rsid w:val="004770A9"/>
    <w:rsid w:val="00480269"/>
    <w:rsid w:val="004814C0"/>
    <w:rsid w:val="00481BF6"/>
    <w:rsid w:val="0048360F"/>
    <w:rsid w:val="00483670"/>
    <w:rsid w:val="00485C24"/>
    <w:rsid w:val="00485F48"/>
    <w:rsid w:val="0048644B"/>
    <w:rsid w:val="00490648"/>
    <w:rsid w:val="004916E3"/>
    <w:rsid w:val="00492653"/>
    <w:rsid w:val="004926A9"/>
    <w:rsid w:val="00493647"/>
    <w:rsid w:val="004940AC"/>
    <w:rsid w:val="004979AA"/>
    <w:rsid w:val="004A417B"/>
    <w:rsid w:val="004A4BC4"/>
    <w:rsid w:val="004A7314"/>
    <w:rsid w:val="004B0178"/>
    <w:rsid w:val="004B31C5"/>
    <w:rsid w:val="004B3941"/>
    <w:rsid w:val="004B3C24"/>
    <w:rsid w:val="004B4E53"/>
    <w:rsid w:val="004B568F"/>
    <w:rsid w:val="004B7351"/>
    <w:rsid w:val="004B7DC0"/>
    <w:rsid w:val="004C219E"/>
    <w:rsid w:val="004C4BC6"/>
    <w:rsid w:val="004D534A"/>
    <w:rsid w:val="004D59F5"/>
    <w:rsid w:val="004D5F8F"/>
    <w:rsid w:val="004D758C"/>
    <w:rsid w:val="004D7BB1"/>
    <w:rsid w:val="004E30F0"/>
    <w:rsid w:val="004E5850"/>
    <w:rsid w:val="004E76B2"/>
    <w:rsid w:val="004F09AB"/>
    <w:rsid w:val="004F1263"/>
    <w:rsid w:val="004F1949"/>
    <w:rsid w:val="004F325D"/>
    <w:rsid w:val="004F58A4"/>
    <w:rsid w:val="004F5CF3"/>
    <w:rsid w:val="004F691C"/>
    <w:rsid w:val="00500FF9"/>
    <w:rsid w:val="005012D1"/>
    <w:rsid w:val="00502AFC"/>
    <w:rsid w:val="00502FAA"/>
    <w:rsid w:val="00503014"/>
    <w:rsid w:val="00504909"/>
    <w:rsid w:val="00505EB1"/>
    <w:rsid w:val="005147B6"/>
    <w:rsid w:val="005149AE"/>
    <w:rsid w:val="005154D0"/>
    <w:rsid w:val="005155D9"/>
    <w:rsid w:val="0051646A"/>
    <w:rsid w:val="00516D90"/>
    <w:rsid w:val="00517D0B"/>
    <w:rsid w:val="00520875"/>
    <w:rsid w:val="005217FF"/>
    <w:rsid w:val="00522442"/>
    <w:rsid w:val="005244F3"/>
    <w:rsid w:val="00525629"/>
    <w:rsid w:val="00525D25"/>
    <w:rsid w:val="00525D8B"/>
    <w:rsid w:val="00525FDB"/>
    <w:rsid w:val="005275BA"/>
    <w:rsid w:val="00530FAF"/>
    <w:rsid w:val="0053265D"/>
    <w:rsid w:val="00532FCC"/>
    <w:rsid w:val="00535668"/>
    <w:rsid w:val="00535D22"/>
    <w:rsid w:val="005378BC"/>
    <w:rsid w:val="00540841"/>
    <w:rsid w:val="00541188"/>
    <w:rsid w:val="00541299"/>
    <w:rsid w:val="00543E47"/>
    <w:rsid w:val="00545040"/>
    <w:rsid w:val="00546D16"/>
    <w:rsid w:val="00547659"/>
    <w:rsid w:val="005509C6"/>
    <w:rsid w:val="005519B9"/>
    <w:rsid w:val="005527C3"/>
    <w:rsid w:val="005535B3"/>
    <w:rsid w:val="005552A4"/>
    <w:rsid w:val="00555EF3"/>
    <w:rsid w:val="00557651"/>
    <w:rsid w:val="0055767C"/>
    <w:rsid w:val="005612F4"/>
    <w:rsid w:val="00561AD9"/>
    <w:rsid w:val="00561D45"/>
    <w:rsid w:val="005638F0"/>
    <w:rsid w:val="00564320"/>
    <w:rsid w:val="005648DE"/>
    <w:rsid w:val="00566D0E"/>
    <w:rsid w:val="00571ED6"/>
    <w:rsid w:val="00573434"/>
    <w:rsid w:val="00573BA0"/>
    <w:rsid w:val="0057459D"/>
    <w:rsid w:val="00575F5F"/>
    <w:rsid w:val="005779C0"/>
    <w:rsid w:val="00577B0E"/>
    <w:rsid w:val="00580AEF"/>
    <w:rsid w:val="00590738"/>
    <w:rsid w:val="00591191"/>
    <w:rsid w:val="00591C44"/>
    <w:rsid w:val="005936F7"/>
    <w:rsid w:val="00595BA5"/>
    <w:rsid w:val="005A3231"/>
    <w:rsid w:val="005A53BD"/>
    <w:rsid w:val="005A722A"/>
    <w:rsid w:val="005B03E7"/>
    <w:rsid w:val="005B3125"/>
    <w:rsid w:val="005B34E3"/>
    <w:rsid w:val="005B360F"/>
    <w:rsid w:val="005B3A12"/>
    <w:rsid w:val="005B54E2"/>
    <w:rsid w:val="005C02E2"/>
    <w:rsid w:val="005C042E"/>
    <w:rsid w:val="005C2B15"/>
    <w:rsid w:val="005C3271"/>
    <w:rsid w:val="005C3590"/>
    <w:rsid w:val="005C45D4"/>
    <w:rsid w:val="005C4641"/>
    <w:rsid w:val="005C6737"/>
    <w:rsid w:val="005D15BC"/>
    <w:rsid w:val="005D2213"/>
    <w:rsid w:val="005D2B0D"/>
    <w:rsid w:val="005D34D6"/>
    <w:rsid w:val="005D3584"/>
    <w:rsid w:val="005D3908"/>
    <w:rsid w:val="005D49CD"/>
    <w:rsid w:val="005D55E6"/>
    <w:rsid w:val="005D6380"/>
    <w:rsid w:val="005E1B05"/>
    <w:rsid w:val="005E2157"/>
    <w:rsid w:val="005E2B3E"/>
    <w:rsid w:val="005E3859"/>
    <w:rsid w:val="005E3D86"/>
    <w:rsid w:val="005E4E55"/>
    <w:rsid w:val="005E7AC5"/>
    <w:rsid w:val="005F145E"/>
    <w:rsid w:val="005F1647"/>
    <w:rsid w:val="005F4DA2"/>
    <w:rsid w:val="005F66F9"/>
    <w:rsid w:val="00600DDB"/>
    <w:rsid w:val="00601142"/>
    <w:rsid w:val="00601B8F"/>
    <w:rsid w:val="00602075"/>
    <w:rsid w:val="00602510"/>
    <w:rsid w:val="00603FDD"/>
    <w:rsid w:val="006043FC"/>
    <w:rsid w:val="00606EF0"/>
    <w:rsid w:val="006120A3"/>
    <w:rsid w:val="00613C86"/>
    <w:rsid w:val="00616230"/>
    <w:rsid w:val="006179B1"/>
    <w:rsid w:val="00621E67"/>
    <w:rsid w:val="00623076"/>
    <w:rsid w:val="00624892"/>
    <w:rsid w:val="00625692"/>
    <w:rsid w:val="0062695D"/>
    <w:rsid w:val="00627F45"/>
    <w:rsid w:val="00630A5C"/>
    <w:rsid w:val="00633D35"/>
    <w:rsid w:val="00634A4F"/>
    <w:rsid w:val="00636199"/>
    <w:rsid w:val="006361D1"/>
    <w:rsid w:val="00636812"/>
    <w:rsid w:val="00636EED"/>
    <w:rsid w:val="00637E22"/>
    <w:rsid w:val="0064168A"/>
    <w:rsid w:val="00644A60"/>
    <w:rsid w:val="006473E6"/>
    <w:rsid w:val="00650401"/>
    <w:rsid w:val="00651E71"/>
    <w:rsid w:val="00653416"/>
    <w:rsid w:val="0065456B"/>
    <w:rsid w:val="0065728F"/>
    <w:rsid w:val="00660161"/>
    <w:rsid w:val="00663FFA"/>
    <w:rsid w:val="00665E31"/>
    <w:rsid w:val="006670EA"/>
    <w:rsid w:val="006729FB"/>
    <w:rsid w:val="0067315A"/>
    <w:rsid w:val="006747DD"/>
    <w:rsid w:val="00674BDC"/>
    <w:rsid w:val="00675995"/>
    <w:rsid w:val="00675A77"/>
    <w:rsid w:val="00675CF1"/>
    <w:rsid w:val="0068016B"/>
    <w:rsid w:val="00680D79"/>
    <w:rsid w:val="006848AE"/>
    <w:rsid w:val="006868E9"/>
    <w:rsid w:val="0068733B"/>
    <w:rsid w:val="00690060"/>
    <w:rsid w:val="0069350A"/>
    <w:rsid w:val="00695681"/>
    <w:rsid w:val="0069671B"/>
    <w:rsid w:val="00696DFF"/>
    <w:rsid w:val="00697471"/>
    <w:rsid w:val="00697C60"/>
    <w:rsid w:val="006A5541"/>
    <w:rsid w:val="006A5D55"/>
    <w:rsid w:val="006A61F0"/>
    <w:rsid w:val="006B0676"/>
    <w:rsid w:val="006B1FDB"/>
    <w:rsid w:val="006B2A61"/>
    <w:rsid w:val="006B448C"/>
    <w:rsid w:val="006B7097"/>
    <w:rsid w:val="006C1585"/>
    <w:rsid w:val="006C1D21"/>
    <w:rsid w:val="006C36A7"/>
    <w:rsid w:val="006C609D"/>
    <w:rsid w:val="006C629B"/>
    <w:rsid w:val="006C6B41"/>
    <w:rsid w:val="006D1257"/>
    <w:rsid w:val="006D1998"/>
    <w:rsid w:val="006D1EF0"/>
    <w:rsid w:val="006D2478"/>
    <w:rsid w:val="006D28D1"/>
    <w:rsid w:val="006E0538"/>
    <w:rsid w:val="006E0DF5"/>
    <w:rsid w:val="006E3098"/>
    <w:rsid w:val="006E3375"/>
    <w:rsid w:val="006E3F22"/>
    <w:rsid w:val="006E5FBA"/>
    <w:rsid w:val="006F0856"/>
    <w:rsid w:val="006F52AD"/>
    <w:rsid w:val="006F550B"/>
    <w:rsid w:val="006F7118"/>
    <w:rsid w:val="006F77E5"/>
    <w:rsid w:val="007001A6"/>
    <w:rsid w:val="00703272"/>
    <w:rsid w:val="00705C0F"/>
    <w:rsid w:val="00706454"/>
    <w:rsid w:val="00710B76"/>
    <w:rsid w:val="00714579"/>
    <w:rsid w:val="00714BEE"/>
    <w:rsid w:val="00715993"/>
    <w:rsid w:val="00715C4A"/>
    <w:rsid w:val="00716192"/>
    <w:rsid w:val="00717D37"/>
    <w:rsid w:val="00722973"/>
    <w:rsid w:val="007248E0"/>
    <w:rsid w:val="007251EA"/>
    <w:rsid w:val="00725B0F"/>
    <w:rsid w:val="007269BE"/>
    <w:rsid w:val="00730369"/>
    <w:rsid w:val="00731281"/>
    <w:rsid w:val="0073145C"/>
    <w:rsid w:val="00731691"/>
    <w:rsid w:val="00731EDB"/>
    <w:rsid w:val="007414D6"/>
    <w:rsid w:val="00743549"/>
    <w:rsid w:val="00744667"/>
    <w:rsid w:val="00747B54"/>
    <w:rsid w:val="007507F7"/>
    <w:rsid w:val="0075146A"/>
    <w:rsid w:val="00753FC1"/>
    <w:rsid w:val="00755CCC"/>
    <w:rsid w:val="0075764B"/>
    <w:rsid w:val="00757668"/>
    <w:rsid w:val="0076275B"/>
    <w:rsid w:val="007633DD"/>
    <w:rsid w:val="007653D0"/>
    <w:rsid w:val="00765BF7"/>
    <w:rsid w:val="00765CB1"/>
    <w:rsid w:val="00766665"/>
    <w:rsid w:val="00766F23"/>
    <w:rsid w:val="007709E1"/>
    <w:rsid w:val="0077140E"/>
    <w:rsid w:val="00771F44"/>
    <w:rsid w:val="00773581"/>
    <w:rsid w:val="007748C1"/>
    <w:rsid w:val="00775625"/>
    <w:rsid w:val="007765CD"/>
    <w:rsid w:val="00781123"/>
    <w:rsid w:val="0078232B"/>
    <w:rsid w:val="0078262E"/>
    <w:rsid w:val="00784CF7"/>
    <w:rsid w:val="00785A93"/>
    <w:rsid w:val="007868C5"/>
    <w:rsid w:val="00791293"/>
    <w:rsid w:val="00791896"/>
    <w:rsid w:val="00792DE8"/>
    <w:rsid w:val="0079487F"/>
    <w:rsid w:val="00795253"/>
    <w:rsid w:val="00796395"/>
    <w:rsid w:val="007963F4"/>
    <w:rsid w:val="00797FDA"/>
    <w:rsid w:val="007A19B0"/>
    <w:rsid w:val="007A1B39"/>
    <w:rsid w:val="007A3E81"/>
    <w:rsid w:val="007A785C"/>
    <w:rsid w:val="007B0802"/>
    <w:rsid w:val="007B1ACE"/>
    <w:rsid w:val="007B2F2B"/>
    <w:rsid w:val="007B330A"/>
    <w:rsid w:val="007B4835"/>
    <w:rsid w:val="007B4E81"/>
    <w:rsid w:val="007B514E"/>
    <w:rsid w:val="007B5EC8"/>
    <w:rsid w:val="007B6B23"/>
    <w:rsid w:val="007B6C8D"/>
    <w:rsid w:val="007C003C"/>
    <w:rsid w:val="007C2632"/>
    <w:rsid w:val="007C38B2"/>
    <w:rsid w:val="007D056F"/>
    <w:rsid w:val="007D09EC"/>
    <w:rsid w:val="007D2EE4"/>
    <w:rsid w:val="007D478E"/>
    <w:rsid w:val="007D4E17"/>
    <w:rsid w:val="007D5482"/>
    <w:rsid w:val="007D5BBF"/>
    <w:rsid w:val="007D60C4"/>
    <w:rsid w:val="007D6859"/>
    <w:rsid w:val="007D755C"/>
    <w:rsid w:val="007E0B55"/>
    <w:rsid w:val="007E18B3"/>
    <w:rsid w:val="007E3789"/>
    <w:rsid w:val="007E66B5"/>
    <w:rsid w:val="007F1E7A"/>
    <w:rsid w:val="007F22F0"/>
    <w:rsid w:val="007F26F2"/>
    <w:rsid w:val="007F5667"/>
    <w:rsid w:val="0080013F"/>
    <w:rsid w:val="0080024A"/>
    <w:rsid w:val="0080093C"/>
    <w:rsid w:val="008009AE"/>
    <w:rsid w:val="0080109E"/>
    <w:rsid w:val="0080156D"/>
    <w:rsid w:val="00801970"/>
    <w:rsid w:val="00801C45"/>
    <w:rsid w:val="00803709"/>
    <w:rsid w:val="0080446A"/>
    <w:rsid w:val="00804DAE"/>
    <w:rsid w:val="008057C6"/>
    <w:rsid w:val="0080584F"/>
    <w:rsid w:val="00805866"/>
    <w:rsid w:val="00806534"/>
    <w:rsid w:val="008070CA"/>
    <w:rsid w:val="00807D17"/>
    <w:rsid w:val="00810A6B"/>
    <w:rsid w:val="00811D8D"/>
    <w:rsid w:val="00814831"/>
    <w:rsid w:val="00817F28"/>
    <w:rsid w:val="0082166E"/>
    <w:rsid w:val="008237C0"/>
    <w:rsid w:val="00824997"/>
    <w:rsid w:val="00827A85"/>
    <w:rsid w:val="00831F14"/>
    <w:rsid w:val="00834424"/>
    <w:rsid w:val="008348BF"/>
    <w:rsid w:val="00836C7F"/>
    <w:rsid w:val="00840F07"/>
    <w:rsid w:val="00841D01"/>
    <w:rsid w:val="00841E78"/>
    <w:rsid w:val="008437A6"/>
    <w:rsid w:val="0084391B"/>
    <w:rsid w:val="008447EF"/>
    <w:rsid w:val="00845E89"/>
    <w:rsid w:val="008470E1"/>
    <w:rsid w:val="00850541"/>
    <w:rsid w:val="0085352A"/>
    <w:rsid w:val="008633F5"/>
    <w:rsid w:val="00872097"/>
    <w:rsid w:val="00875C3A"/>
    <w:rsid w:val="00875D9F"/>
    <w:rsid w:val="0087748F"/>
    <w:rsid w:val="00883625"/>
    <w:rsid w:val="00884CDF"/>
    <w:rsid w:val="00885B53"/>
    <w:rsid w:val="0088777F"/>
    <w:rsid w:val="00887D90"/>
    <w:rsid w:val="00887DD1"/>
    <w:rsid w:val="00890F91"/>
    <w:rsid w:val="008920F9"/>
    <w:rsid w:val="008931A0"/>
    <w:rsid w:val="008A0623"/>
    <w:rsid w:val="008A0686"/>
    <w:rsid w:val="008A1EE4"/>
    <w:rsid w:val="008A2344"/>
    <w:rsid w:val="008A497C"/>
    <w:rsid w:val="008A7B81"/>
    <w:rsid w:val="008B25E1"/>
    <w:rsid w:val="008B2CBE"/>
    <w:rsid w:val="008B47DB"/>
    <w:rsid w:val="008B5B82"/>
    <w:rsid w:val="008B6032"/>
    <w:rsid w:val="008B7431"/>
    <w:rsid w:val="008C0B52"/>
    <w:rsid w:val="008C7B73"/>
    <w:rsid w:val="008D0EB5"/>
    <w:rsid w:val="008D1EBF"/>
    <w:rsid w:val="008D42CA"/>
    <w:rsid w:val="008D4F6B"/>
    <w:rsid w:val="008D5231"/>
    <w:rsid w:val="008D5CFF"/>
    <w:rsid w:val="008D7409"/>
    <w:rsid w:val="008E3DC9"/>
    <w:rsid w:val="008F0541"/>
    <w:rsid w:val="008F0FB9"/>
    <w:rsid w:val="008F1620"/>
    <w:rsid w:val="008F181D"/>
    <w:rsid w:val="008F1BAA"/>
    <w:rsid w:val="008F2790"/>
    <w:rsid w:val="008F4F47"/>
    <w:rsid w:val="008F726B"/>
    <w:rsid w:val="008F7BDE"/>
    <w:rsid w:val="008F7C5A"/>
    <w:rsid w:val="008F7EC8"/>
    <w:rsid w:val="009002DC"/>
    <w:rsid w:val="00901A24"/>
    <w:rsid w:val="00902172"/>
    <w:rsid w:val="009025B7"/>
    <w:rsid w:val="009032AC"/>
    <w:rsid w:val="00903849"/>
    <w:rsid w:val="0090392A"/>
    <w:rsid w:val="00903CAD"/>
    <w:rsid w:val="00904C87"/>
    <w:rsid w:val="00905EC0"/>
    <w:rsid w:val="00906266"/>
    <w:rsid w:val="00910C1F"/>
    <w:rsid w:val="00911597"/>
    <w:rsid w:val="009126B5"/>
    <w:rsid w:val="0091507C"/>
    <w:rsid w:val="0092040A"/>
    <w:rsid w:val="00920934"/>
    <w:rsid w:val="00923C49"/>
    <w:rsid w:val="00923CA3"/>
    <w:rsid w:val="009249A3"/>
    <w:rsid w:val="0093031A"/>
    <w:rsid w:val="00930528"/>
    <w:rsid w:val="009325AF"/>
    <w:rsid w:val="00932D4F"/>
    <w:rsid w:val="009363DF"/>
    <w:rsid w:val="00937EBB"/>
    <w:rsid w:val="0094520D"/>
    <w:rsid w:val="009457BB"/>
    <w:rsid w:val="0094675B"/>
    <w:rsid w:val="009509F9"/>
    <w:rsid w:val="00950A72"/>
    <w:rsid w:val="009526C3"/>
    <w:rsid w:val="00954939"/>
    <w:rsid w:val="00962BAB"/>
    <w:rsid w:val="009637F3"/>
    <w:rsid w:val="00963C47"/>
    <w:rsid w:val="00964615"/>
    <w:rsid w:val="0096609F"/>
    <w:rsid w:val="009663B7"/>
    <w:rsid w:val="00966608"/>
    <w:rsid w:val="009670D3"/>
    <w:rsid w:val="009706AD"/>
    <w:rsid w:val="00972064"/>
    <w:rsid w:val="009720F9"/>
    <w:rsid w:val="00974DE7"/>
    <w:rsid w:val="009750E7"/>
    <w:rsid w:val="00975B76"/>
    <w:rsid w:val="00977E11"/>
    <w:rsid w:val="009810E4"/>
    <w:rsid w:val="00983A22"/>
    <w:rsid w:val="009855EE"/>
    <w:rsid w:val="0098596D"/>
    <w:rsid w:val="00986B70"/>
    <w:rsid w:val="00987A84"/>
    <w:rsid w:val="00991698"/>
    <w:rsid w:val="009926E8"/>
    <w:rsid w:val="0099401B"/>
    <w:rsid w:val="009944ED"/>
    <w:rsid w:val="00994707"/>
    <w:rsid w:val="0099592F"/>
    <w:rsid w:val="009963DF"/>
    <w:rsid w:val="00996A0A"/>
    <w:rsid w:val="009975AF"/>
    <w:rsid w:val="009A24E9"/>
    <w:rsid w:val="009A27AB"/>
    <w:rsid w:val="009A3256"/>
    <w:rsid w:val="009A4D55"/>
    <w:rsid w:val="009A52FF"/>
    <w:rsid w:val="009A53EC"/>
    <w:rsid w:val="009A6471"/>
    <w:rsid w:val="009B2C9F"/>
    <w:rsid w:val="009B3E69"/>
    <w:rsid w:val="009B7AB0"/>
    <w:rsid w:val="009C1662"/>
    <w:rsid w:val="009C1881"/>
    <w:rsid w:val="009C2EE9"/>
    <w:rsid w:val="009C42F9"/>
    <w:rsid w:val="009C51AE"/>
    <w:rsid w:val="009C57A6"/>
    <w:rsid w:val="009C5E19"/>
    <w:rsid w:val="009C7594"/>
    <w:rsid w:val="009C7D23"/>
    <w:rsid w:val="009D021A"/>
    <w:rsid w:val="009D069A"/>
    <w:rsid w:val="009D5861"/>
    <w:rsid w:val="009E1867"/>
    <w:rsid w:val="009E1D46"/>
    <w:rsid w:val="009E22C9"/>
    <w:rsid w:val="009E3BE0"/>
    <w:rsid w:val="009F2CA6"/>
    <w:rsid w:val="009F5BC7"/>
    <w:rsid w:val="009F6623"/>
    <w:rsid w:val="009F7EB5"/>
    <w:rsid w:val="00A0061F"/>
    <w:rsid w:val="00A0081F"/>
    <w:rsid w:val="00A02A23"/>
    <w:rsid w:val="00A03C74"/>
    <w:rsid w:val="00A05073"/>
    <w:rsid w:val="00A060CC"/>
    <w:rsid w:val="00A10496"/>
    <w:rsid w:val="00A1150D"/>
    <w:rsid w:val="00A140F5"/>
    <w:rsid w:val="00A14E2D"/>
    <w:rsid w:val="00A1666D"/>
    <w:rsid w:val="00A16D09"/>
    <w:rsid w:val="00A17582"/>
    <w:rsid w:val="00A20FB9"/>
    <w:rsid w:val="00A25BEA"/>
    <w:rsid w:val="00A277DD"/>
    <w:rsid w:val="00A305EA"/>
    <w:rsid w:val="00A31472"/>
    <w:rsid w:val="00A3776F"/>
    <w:rsid w:val="00A40ABD"/>
    <w:rsid w:val="00A40B75"/>
    <w:rsid w:val="00A42205"/>
    <w:rsid w:val="00A44336"/>
    <w:rsid w:val="00A475C6"/>
    <w:rsid w:val="00A50C61"/>
    <w:rsid w:val="00A51782"/>
    <w:rsid w:val="00A52189"/>
    <w:rsid w:val="00A53DCB"/>
    <w:rsid w:val="00A550C7"/>
    <w:rsid w:val="00A557B7"/>
    <w:rsid w:val="00A55F1E"/>
    <w:rsid w:val="00A55F31"/>
    <w:rsid w:val="00A56812"/>
    <w:rsid w:val="00A57CFF"/>
    <w:rsid w:val="00A648B1"/>
    <w:rsid w:val="00A65ADB"/>
    <w:rsid w:val="00A669C9"/>
    <w:rsid w:val="00A71D58"/>
    <w:rsid w:val="00A726C7"/>
    <w:rsid w:val="00A7369F"/>
    <w:rsid w:val="00A74683"/>
    <w:rsid w:val="00A76833"/>
    <w:rsid w:val="00A76907"/>
    <w:rsid w:val="00A76EF7"/>
    <w:rsid w:val="00A775BA"/>
    <w:rsid w:val="00A805CE"/>
    <w:rsid w:val="00A81975"/>
    <w:rsid w:val="00A82F5C"/>
    <w:rsid w:val="00A83CA4"/>
    <w:rsid w:val="00A85923"/>
    <w:rsid w:val="00A8785A"/>
    <w:rsid w:val="00A90B04"/>
    <w:rsid w:val="00A93A2B"/>
    <w:rsid w:val="00A95552"/>
    <w:rsid w:val="00A95D06"/>
    <w:rsid w:val="00A96E8A"/>
    <w:rsid w:val="00A9758B"/>
    <w:rsid w:val="00AA1777"/>
    <w:rsid w:val="00AA5179"/>
    <w:rsid w:val="00AA65E8"/>
    <w:rsid w:val="00AB0896"/>
    <w:rsid w:val="00AB1A60"/>
    <w:rsid w:val="00AB4D23"/>
    <w:rsid w:val="00AB4E86"/>
    <w:rsid w:val="00AB6FAE"/>
    <w:rsid w:val="00AB7F1F"/>
    <w:rsid w:val="00AC29FA"/>
    <w:rsid w:val="00AC2EA1"/>
    <w:rsid w:val="00AC3FE3"/>
    <w:rsid w:val="00AC622F"/>
    <w:rsid w:val="00AC6571"/>
    <w:rsid w:val="00AD04D5"/>
    <w:rsid w:val="00AD62B2"/>
    <w:rsid w:val="00AD68A4"/>
    <w:rsid w:val="00AE13C6"/>
    <w:rsid w:val="00AE1921"/>
    <w:rsid w:val="00AE207B"/>
    <w:rsid w:val="00AE2363"/>
    <w:rsid w:val="00AE3207"/>
    <w:rsid w:val="00AE6514"/>
    <w:rsid w:val="00AE77D2"/>
    <w:rsid w:val="00AF1765"/>
    <w:rsid w:val="00AF49DD"/>
    <w:rsid w:val="00AF5BF4"/>
    <w:rsid w:val="00B016BC"/>
    <w:rsid w:val="00B01DAA"/>
    <w:rsid w:val="00B0467E"/>
    <w:rsid w:val="00B05C06"/>
    <w:rsid w:val="00B05CE4"/>
    <w:rsid w:val="00B05EAA"/>
    <w:rsid w:val="00B10E72"/>
    <w:rsid w:val="00B119DC"/>
    <w:rsid w:val="00B13179"/>
    <w:rsid w:val="00B156DC"/>
    <w:rsid w:val="00B20C66"/>
    <w:rsid w:val="00B21230"/>
    <w:rsid w:val="00B22410"/>
    <w:rsid w:val="00B23443"/>
    <w:rsid w:val="00B2414B"/>
    <w:rsid w:val="00B248CE"/>
    <w:rsid w:val="00B26D23"/>
    <w:rsid w:val="00B307EA"/>
    <w:rsid w:val="00B34367"/>
    <w:rsid w:val="00B349C9"/>
    <w:rsid w:val="00B34DD7"/>
    <w:rsid w:val="00B35017"/>
    <w:rsid w:val="00B404FF"/>
    <w:rsid w:val="00B416BD"/>
    <w:rsid w:val="00B41954"/>
    <w:rsid w:val="00B45091"/>
    <w:rsid w:val="00B46EE8"/>
    <w:rsid w:val="00B47417"/>
    <w:rsid w:val="00B53BA3"/>
    <w:rsid w:val="00B54B3D"/>
    <w:rsid w:val="00B55C4D"/>
    <w:rsid w:val="00B56023"/>
    <w:rsid w:val="00B57AB2"/>
    <w:rsid w:val="00B60AAB"/>
    <w:rsid w:val="00B6115C"/>
    <w:rsid w:val="00B627AC"/>
    <w:rsid w:val="00B63533"/>
    <w:rsid w:val="00B652CE"/>
    <w:rsid w:val="00B66661"/>
    <w:rsid w:val="00B73529"/>
    <w:rsid w:val="00B74879"/>
    <w:rsid w:val="00B76E4A"/>
    <w:rsid w:val="00B76FB9"/>
    <w:rsid w:val="00B7780A"/>
    <w:rsid w:val="00B779E6"/>
    <w:rsid w:val="00B84B4F"/>
    <w:rsid w:val="00B84C74"/>
    <w:rsid w:val="00B84E41"/>
    <w:rsid w:val="00B87BE2"/>
    <w:rsid w:val="00B91367"/>
    <w:rsid w:val="00B9693C"/>
    <w:rsid w:val="00B9712F"/>
    <w:rsid w:val="00BA1B16"/>
    <w:rsid w:val="00BA2C18"/>
    <w:rsid w:val="00BA7117"/>
    <w:rsid w:val="00BA7E8C"/>
    <w:rsid w:val="00BB0C75"/>
    <w:rsid w:val="00BC141E"/>
    <w:rsid w:val="00BC2FB9"/>
    <w:rsid w:val="00BC3238"/>
    <w:rsid w:val="00BC3FC8"/>
    <w:rsid w:val="00BC428C"/>
    <w:rsid w:val="00BC56C5"/>
    <w:rsid w:val="00BC7B44"/>
    <w:rsid w:val="00BC7D9D"/>
    <w:rsid w:val="00BD0C1B"/>
    <w:rsid w:val="00BD2FEE"/>
    <w:rsid w:val="00BD36AF"/>
    <w:rsid w:val="00BD3B85"/>
    <w:rsid w:val="00BD4A00"/>
    <w:rsid w:val="00BD674C"/>
    <w:rsid w:val="00BD7A17"/>
    <w:rsid w:val="00BE1262"/>
    <w:rsid w:val="00BE3A79"/>
    <w:rsid w:val="00BE3E50"/>
    <w:rsid w:val="00BE409B"/>
    <w:rsid w:val="00BE57F2"/>
    <w:rsid w:val="00BE66DA"/>
    <w:rsid w:val="00BE7B8C"/>
    <w:rsid w:val="00BF04EB"/>
    <w:rsid w:val="00BF3DFE"/>
    <w:rsid w:val="00BF763D"/>
    <w:rsid w:val="00BF7AFA"/>
    <w:rsid w:val="00C0144B"/>
    <w:rsid w:val="00C019B0"/>
    <w:rsid w:val="00C01E39"/>
    <w:rsid w:val="00C0324F"/>
    <w:rsid w:val="00C04ED2"/>
    <w:rsid w:val="00C05742"/>
    <w:rsid w:val="00C0593F"/>
    <w:rsid w:val="00C07910"/>
    <w:rsid w:val="00C079A7"/>
    <w:rsid w:val="00C111B9"/>
    <w:rsid w:val="00C134C4"/>
    <w:rsid w:val="00C13A29"/>
    <w:rsid w:val="00C13FCD"/>
    <w:rsid w:val="00C14E5F"/>
    <w:rsid w:val="00C158CB"/>
    <w:rsid w:val="00C20552"/>
    <w:rsid w:val="00C22115"/>
    <w:rsid w:val="00C23D59"/>
    <w:rsid w:val="00C26261"/>
    <w:rsid w:val="00C27275"/>
    <w:rsid w:val="00C30130"/>
    <w:rsid w:val="00C3201D"/>
    <w:rsid w:val="00C320A9"/>
    <w:rsid w:val="00C327CD"/>
    <w:rsid w:val="00C411AA"/>
    <w:rsid w:val="00C41728"/>
    <w:rsid w:val="00C4328E"/>
    <w:rsid w:val="00C450CD"/>
    <w:rsid w:val="00C45E1C"/>
    <w:rsid w:val="00C45F1C"/>
    <w:rsid w:val="00C46C8D"/>
    <w:rsid w:val="00C471C9"/>
    <w:rsid w:val="00C476B7"/>
    <w:rsid w:val="00C50152"/>
    <w:rsid w:val="00C51A28"/>
    <w:rsid w:val="00C539BB"/>
    <w:rsid w:val="00C53EAC"/>
    <w:rsid w:val="00C54D13"/>
    <w:rsid w:val="00C5763A"/>
    <w:rsid w:val="00C57DBB"/>
    <w:rsid w:val="00C65EAE"/>
    <w:rsid w:val="00C670D8"/>
    <w:rsid w:val="00C67D96"/>
    <w:rsid w:val="00C70242"/>
    <w:rsid w:val="00C7164B"/>
    <w:rsid w:val="00C71B7B"/>
    <w:rsid w:val="00C820D7"/>
    <w:rsid w:val="00C82FF9"/>
    <w:rsid w:val="00C851DD"/>
    <w:rsid w:val="00C8585E"/>
    <w:rsid w:val="00C90327"/>
    <w:rsid w:val="00C904E0"/>
    <w:rsid w:val="00C9129E"/>
    <w:rsid w:val="00C9136B"/>
    <w:rsid w:val="00C93018"/>
    <w:rsid w:val="00C952CA"/>
    <w:rsid w:val="00C95DB9"/>
    <w:rsid w:val="00C95EFB"/>
    <w:rsid w:val="00C97FBA"/>
    <w:rsid w:val="00CA262D"/>
    <w:rsid w:val="00CA3072"/>
    <w:rsid w:val="00CA39C0"/>
    <w:rsid w:val="00CA530A"/>
    <w:rsid w:val="00CA66B9"/>
    <w:rsid w:val="00CA7B0B"/>
    <w:rsid w:val="00CB10CD"/>
    <w:rsid w:val="00CB27EA"/>
    <w:rsid w:val="00CB4A90"/>
    <w:rsid w:val="00CB4F12"/>
    <w:rsid w:val="00CB5955"/>
    <w:rsid w:val="00CC011B"/>
    <w:rsid w:val="00CC0856"/>
    <w:rsid w:val="00CC25D9"/>
    <w:rsid w:val="00CC30E7"/>
    <w:rsid w:val="00CC364E"/>
    <w:rsid w:val="00CC3B88"/>
    <w:rsid w:val="00CC3C86"/>
    <w:rsid w:val="00CC4B10"/>
    <w:rsid w:val="00CC5D61"/>
    <w:rsid w:val="00CD03F7"/>
    <w:rsid w:val="00CD13F0"/>
    <w:rsid w:val="00CD27DF"/>
    <w:rsid w:val="00CD6248"/>
    <w:rsid w:val="00CE15D1"/>
    <w:rsid w:val="00CE18FF"/>
    <w:rsid w:val="00CE2245"/>
    <w:rsid w:val="00CE30EE"/>
    <w:rsid w:val="00CE36A3"/>
    <w:rsid w:val="00CE42A6"/>
    <w:rsid w:val="00CE4C44"/>
    <w:rsid w:val="00CE6873"/>
    <w:rsid w:val="00CE7D77"/>
    <w:rsid w:val="00CF18C3"/>
    <w:rsid w:val="00CF331C"/>
    <w:rsid w:val="00CF361C"/>
    <w:rsid w:val="00CF470D"/>
    <w:rsid w:val="00CF5932"/>
    <w:rsid w:val="00CF7FC5"/>
    <w:rsid w:val="00D025D1"/>
    <w:rsid w:val="00D0292B"/>
    <w:rsid w:val="00D041F3"/>
    <w:rsid w:val="00D04699"/>
    <w:rsid w:val="00D0553B"/>
    <w:rsid w:val="00D05792"/>
    <w:rsid w:val="00D0736D"/>
    <w:rsid w:val="00D10018"/>
    <w:rsid w:val="00D10B74"/>
    <w:rsid w:val="00D1156D"/>
    <w:rsid w:val="00D12767"/>
    <w:rsid w:val="00D129F8"/>
    <w:rsid w:val="00D12A53"/>
    <w:rsid w:val="00D12F9D"/>
    <w:rsid w:val="00D12FF8"/>
    <w:rsid w:val="00D13150"/>
    <w:rsid w:val="00D14289"/>
    <w:rsid w:val="00D15427"/>
    <w:rsid w:val="00D17E33"/>
    <w:rsid w:val="00D20900"/>
    <w:rsid w:val="00D263BC"/>
    <w:rsid w:val="00D26539"/>
    <w:rsid w:val="00D26ED6"/>
    <w:rsid w:val="00D2701F"/>
    <w:rsid w:val="00D27E2D"/>
    <w:rsid w:val="00D304DA"/>
    <w:rsid w:val="00D31447"/>
    <w:rsid w:val="00D31456"/>
    <w:rsid w:val="00D31A9E"/>
    <w:rsid w:val="00D34892"/>
    <w:rsid w:val="00D371DA"/>
    <w:rsid w:val="00D375A3"/>
    <w:rsid w:val="00D37BEB"/>
    <w:rsid w:val="00D41D48"/>
    <w:rsid w:val="00D43270"/>
    <w:rsid w:val="00D445B4"/>
    <w:rsid w:val="00D44C14"/>
    <w:rsid w:val="00D47D1B"/>
    <w:rsid w:val="00D504B4"/>
    <w:rsid w:val="00D51222"/>
    <w:rsid w:val="00D537F4"/>
    <w:rsid w:val="00D53CC2"/>
    <w:rsid w:val="00D54C5D"/>
    <w:rsid w:val="00D5540D"/>
    <w:rsid w:val="00D5548E"/>
    <w:rsid w:val="00D55CD0"/>
    <w:rsid w:val="00D56751"/>
    <w:rsid w:val="00D608A3"/>
    <w:rsid w:val="00D642D1"/>
    <w:rsid w:val="00D72AAE"/>
    <w:rsid w:val="00D72BF1"/>
    <w:rsid w:val="00D731B3"/>
    <w:rsid w:val="00D74105"/>
    <w:rsid w:val="00D74CA1"/>
    <w:rsid w:val="00D772C7"/>
    <w:rsid w:val="00D80FDB"/>
    <w:rsid w:val="00D82906"/>
    <w:rsid w:val="00D85623"/>
    <w:rsid w:val="00D9175D"/>
    <w:rsid w:val="00D9455F"/>
    <w:rsid w:val="00D95453"/>
    <w:rsid w:val="00D9686F"/>
    <w:rsid w:val="00D969A5"/>
    <w:rsid w:val="00D96FF9"/>
    <w:rsid w:val="00D974BF"/>
    <w:rsid w:val="00DA0334"/>
    <w:rsid w:val="00DA06A2"/>
    <w:rsid w:val="00DA2AD3"/>
    <w:rsid w:val="00DA38CC"/>
    <w:rsid w:val="00DA5FCD"/>
    <w:rsid w:val="00DA693C"/>
    <w:rsid w:val="00DB0F78"/>
    <w:rsid w:val="00DB260C"/>
    <w:rsid w:val="00DB2EFB"/>
    <w:rsid w:val="00DB38D4"/>
    <w:rsid w:val="00DB4F9A"/>
    <w:rsid w:val="00DB5BFD"/>
    <w:rsid w:val="00DC0A18"/>
    <w:rsid w:val="00DC0C9E"/>
    <w:rsid w:val="00DC2684"/>
    <w:rsid w:val="00DC2F72"/>
    <w:rsid w:val="00DC45A8"/>
    <w:rsid w:val="00DD167F"/>
    <w:rsid w:val="00DD1CA3"/>
    <w:rsid w:val="00DD227B"/>
    <w:rsid w:val="00DD4035"/>
    <w:rsid w:val="00DD4060"/>
    <w:rsid w:val="00DD4251"/>
    <w:rsid w:val="00DD4938"/>
    <w:rsid w:val="00DD6148"/>
    <w:rsid w:val="00DD6A0D"/>
    <w:rsid w:val="00DE2510"/>
    <w:rsid w:val="00DE5308"/>
    <w:rsid w:val="00DE69F0"/>
    <w:rsid w:val="00DE6BEE"/>
    <w:rsid w:val="00DF108F"/>
    <w:rsid w:val="00DF4848"/>
    <w:rsid w:val="00DF5178"/>
    <w:rsid w:val="00DF6766"/>
    <w:rsid w:val="00DF7834"/>
    <w:rsid w:val="00DF7E73"/>
    <w:rsid w:val="00E016DF"/>
    <w:rsid w:val="00E0410B"/>
    <w:rsid w:val="00E07B55"/>
    <w:rsid w:val="00E10EFC"/>
    <w:rsid w:val="00E11724"/>
    <w:rsid w:val="00E11A5E"/>
    <w:rsid w:val="00E11BE5"/>
    <w:rsid w:val="00E13644"/>
    <w:rsid w:val="00E14C18"/>
    <w:rsid w:val="00E157EA"/>
    <w:rsid w:val="00E15A59"/>
    <w:rsid w:val="00E16426"/>
    <w:rsid w:val="00E16CB6"/>
    <w:rsid w:val="00E201EF"/>
    <w:rsid w:val="00E2100C"/>
    <w:rsid w:val="00E211E4"/>
    <w:rsid w:val="00E235FD"/>
    <w:rsid w:val="00E31849"/>
    <w:rsid w:val="00E32BED"/>
    <w:rsid w:val="00E33947"/>
    <w:rsid w:val="00E34754"/>
    <w:rsid w:val="00E36260"/>
    <w:rsid w:val="00E37EEC"/>
    <w:rsid w:val="00E409C8"/>
    <w:rsid w:val="00E40FB0"/>
    <w:rsid w:val="00E432C2"/>
    <w:rsid w:val="00E44629"/>
    <w:rsid w:val="00E451C9"/>
    <w:rsid w:val="00E452EB"/>
    <w:rsid w:val="00E45EDE"/>
    <w:rsid w:val="00E478DC"/>
    <w:rsid w:val="00E51295"/>
    <w:rsid w:val="00E55085"/>
    <w:rsid w:val="00E5514F"/>
    <w:rsid w:val="00E56244"/>
    <w:rsid w:val="00E567E2"/>
    <w:rsid w:val="00E57A43"/>
    <w:rsid w:val="00E61FB5"/>
    <w:rsid w:val="00E64008"/>
    <w:rsid w:val="00E65791"/>
    <w:rsid w:val="00E658C9"/>
    <w:rsid w:val="00E6776D"/>
    <w:rsid w:val="00E67991"/>
    <w:rsid w:val="00E7002A"/>
    <w:rsid w:val="00E71262"/>
    <w:rsid w:val="00E73724"/>
    <w:rsid w:val="00E742FE"/>
    <w:rsid w:val="00E754D2"/>
    <w:rsid w:val="00E7592E"/>
    <w:rsid w:val="00E75F90"/>
    <w:rsid w:val="00E7768B"/>
    <w:rsid w:val="00E81A20"/>
    <w:rsid w:val="00E8391C"/>
    <w:rsid w:val="00E85060"/>
    <w:rsid w:val="00E86C0B"/>
    <w:rsid w:val="00E9204E"/>
    <w:rsid w:val="00E93913"/>
    <w:rsid w:val="00E93B0C"/>
    <w:rsid w:val="00E947D5"/>
    <w:rsid w:val="00E96BD1"/>
    <w:rsid w:val="00E973CD"/>
    <w:rsid w:val="00EA0AC1"/>
    <w:rsid w:val="00EA2CE5"/>
    <w:rsid w:val="00EA46F9"/>
    <w:rsid w:val="00EA5647"/>
    <w:rsid w:val="00EA5A72"/>
    <w:rsid w:val="00EA5EA0"/>
    <w:rsid w:val="00EA7940"/>
    <w:rsid w:val="00EB0343"/>
    <w:rsid w:val="00EB25D4"/>
    <w:rsid w:val="00EB3435"/>
    <w:rsid w:val="00EB3789"/>
    <w:rsid w:val="00EB4854"/>
    <w:rsid w:val="00EB4975"/>
    <w:rsid w:val="00EB5DAD"/>
    <w:rsid w:val="00EB74AC"/>
    <w:rsid w:val="00EC0915"/>
    <w:rsid w:val="00EC22CA"/>
    <w:rsid w:val="00EC2335"/>
    <w:rsid w:val="00EC2342"/>
    <w:rsid w:val="00EC2E98"/>
    <w:rsid w:val="00EC4EA5"/>
    <w:rsid w:val="00EC5763"/>
    <w:rsid w:val="00ED7211"/>
    <w:rsid w:val="00EE26FD"/>
    <w:rsid w:val="00EE42C6"/>
    <w:rsid w:val="00EE49C8"/>
    <w:rsid w:val="00EE5A06"/>
    <w:rsid w:val="00EE6016"/>
    <w:rsid w:val="00EE6C83"/>
    <w:rsid w:val="00EE7F36"/>
    <w:rsid w:val="00EF1081"/>
    <w:rsid w:val="00EF149D"/>
    <w:rsid w:val="00EF494A"/>
    <w:rsid w:val="00EF63B3"/>
    <w:rsid w:val="00EF67EF"/>
    <w:rsid w:val="00EF6BF6"/>
    <w:rsid w:val="00F00666"/>
    <w:rsid w:val="00F02BB9"/>
    <w:rsid w:val="00F048DB"/>
    <w:rsid w:val="00F0567C"/>
    <w:rsid w:val="00F0602C"/>
    <w:rsid w:val="00F061DA"/>
    <w:rsid w:val="00F06CB9"/>
    <w:rsid w:val="00F15D57"/>
    <w:rsid w:val="00F17F8D"/>
    <w:rsid w:val="00F20A60"/>
    <w:rsid w:val="00F20EC2"/>
    <w:rsid w:val="00F21BB8"/>
    <w:rsid w:val="00F22EF4"/>
    <w:rsid w:val="00F2581B"/>
    <w:rsid w:val="00F26B39"/>
    <w:rsid w:val="00F310B7"/>
    <w:rsid w:val="00F32AD5"/>
    <w:rsid w:val="00F345AB"/>
    <w:rsid w:val="00F37729"/>
    <w:rsid w:val="00F434C7"/>
    <w:rsid w:val="00F43CFF"/>
    <w:rsid w:val="00F45362"/>
    <w:rsid w:val="00F46FAA"/>
    <w:rsid w:val="00F47006"/>
    <w:rsid w:val="00F51EFD"/>
    <w:rsid w:val="00F52131"/>
    <w:rsid w:val="00F52D00"/>
    <w:rsid w:val="00F53245"/>
    <w:rsid w:val="00F538B2"/>
    <w:rsid w:val="00F54F0F"/>
    <w:rsid w:val="00F55729"/>
    <w:rsid w:val="00F55D65"/>
    <w:rsid w:val="00F575BC"/>
    <w:rsid w:val="00F60E8C"/>
    <w:rsid w:val="00F6119B"/>
    <w:rsid w:val="00F61515"/>
    <w:rsid w:val="00F62645"/>
    <w:rsid w:val="00F62FC7"/>
    <w:rsid w:val="00F6330C"/>
    <w:rsid w:val="00F63568"/>
    <w:rsid w:val="00F64046"/>
    <w:rsid w:val="00F66985"/>
    <w:rsid w:val="00F669B1"/>
    <w:rsid w:val="00F70DEA"/>
    <w:rsid w:val="00F712E1"/>
    <w:rsid w:val="00F73289"/>
    <w:rsid w:val="00F75858"/>
    <w:rsid w:val="00F75D14"/>
    <w:rsid w:val="00F77008"/>
    <w:rsid w:val="00F77BC9"/>
    <w:rsid w:val="00F8142C"/>
    <w:rsid w:val="00F81890"/>
    <w:rsid w:val="00F81C3B"/>
    <w:rsid w:val="00F82611"/>
    <w:rsid w:val="00F90AF3"/>
    <w:rsid w:val="00F9100D"/>
    <w:rsid w:val="00F93C6D"/>
    <w:rsid w:val="00F95D79"/>
    <w:rsid w:val="00FA088B"/>
    <w:rsid w:val="00FA1151"/>
    <w:rsid w:val="00FA37C8"/>
    <w:rsid w:val="00FA555D"/>
    <w:rsid w:val="00FB369E"/>
    <w:rsid w:val="00FB4E46"/>
    <w:rsid w:val="00FB7F6C"/>
    <w:rsid w:val="00FC07A8"/>
    <w:rsid w:val="00FC0D7A"/>
    <w:rsid w:val="00FD0DDC"/>
    <w:rsid w:val="00FD1BFE"/>
    <w:rsid w:val="00FD22A3"/>
    <w:rsid w:val="00FD2A24"/>
    <w:rsid w:val="00FD5A3F"/>
    <w:rsid w:val="00FD649A"/>
    <w:rsid w:val="00FE35ED"/>
    <w:rsid w:val="00FE35F2"/>
    <w:rsid w:val="00FE6FD8"/>
    <w:rsid w:val="00FE794C"/>
    <w:rsid w:val="00FF03B7"/>
    <w:rsid w:val="00FF0D5A"/>
    <w:rsid w:val="00FF2391"/>
    <w:rsid w:val="00FF30F6"/>
    <w:rsid w:val="00FF401B"/>
    <w:rsid w:val="00FF6A30"/>
    <w:rsid w:val="127F6BD9"/>
    <w:rsid w:val="1EC263BB"/>
    <w:rsid w:val="27420D01"/>
    <w:rsid w:val="331B30DB"/>
    <w:rsid w:val="36EB7AE0"/>
    <w:rsid w:val="416D34CD"/>
    <w:rsid w:val="637401A7"/>
    <w:rsid w:val="6AEC5A44"/>
    <w:rsid w:val="733C7DAF"/>
    <w:rsid w:val="7BB01E86"/>
    <w:rsid w:val="7EEED942"/>
    <w:rsid w:val="BFEE0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qFormat="1"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link w:val="33"/>
    <w:qFormat/>
    <w:uiPriority w:val="9"/>
    <w:pPr>
      <w:widowControl/>
      <w:ind w:firstLine="660"/>
      <w:outlineLvl w:val="0"/>
    </w:pPr>
    <w:rPr>
      <w:rFonts w:ascii="黑体" w:hAnsi="黑体" w:eastAsia="黑体" w:cs="Times New Roman"/>
      <w:b/>
      <w:spacing w:val="10"/>
      <w:kern w:val="0"/>
    </w:rPr>
  </w:style>
  <w:style w:type="paragraph" w:styleId="3">
    <w:name w:val="heading 2"/>
    <w:basedOn w:val="4"/>
    <w:next w:val="1"/>
    <w:link w:val="32"/>
    <w:unhideWhenUsed/>
    <w:qFormat/>
    <w:uiPriority w:val="9"/>
    <w:pPr>
      <w:spacing w:before="0" w:beforeAutospacing="0" w:after="0" w:afterAutospacing="0" w:line="540" w:lineRule="exact"/>
      <w:ind w:firstLine="640"/>
      <w:jc w:val="both"/>
      <w:outlineLvl w:val="1"/>
    </w:pPr>
    <w:rPr>
      <w:rFonts w:ascii="Times New Roman" w:hAnsi="Times New Roman" w:eastAsia="楷体_GB2312" w:cs="Times New Roman"/>
      <w:b/>
      <w:sz w:val="32"/>
      <w:szCs w:val="32"/>
    </w:rPr>
  </w:style>
  <w:style w:type="paragraph" w:styleId="5">
    <w:name w:val="heading 3"/>
    <w:basedOn w:val="1"/>
    <w:next w:val="1"/>
    <w:link w:val="34"/>
    <w:unhideWhenUsed/>
    <w:qFormat/>
    <w:uiPriority w:val="9"/>
    <w:pPr>
      <w:widowControl/>
      <w:ind w:firstLine="663"/>
      <w:jc w:val="left"/>
      <w:outlineLvl w:val="2"/>
    </w:pPr>
    <w:rPr>
      <w:rFonts w:ascii="仿宋_GB2312" w:cs="Times New Roman"/>
      <w:b/>
      <w:spacing w:val="10"/>
      <w:kern w:val="0"/>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6">
    <w:name w:val="annotation text"/>
    <w:basedOn w:val="1"/>
    <w:link w:val="29"/>
    <w:unhideWhenUsed/>
    <w:qFormat/>
    <w:uiPriority w:val="99"/>
    <w:pPr>
      <w:jc w:val="left"/>
    </w:pPr>
  </w:style>
  <w:style w:type="paragraph" w:styleId="7">
    <w:name w:val="toc 3"/>
    <w:basedOn w:val="1"/>
    <w:next w:val="1"/>
    <w:unhideWhenUsed/>
    <w:qFormat/>
    <w:uiPriority w:val="39"/>
    <w:pPr>
      <w:ind w:left="840" w:leftChars="400"/>
    </w:pPr>
  </w:style>
  <w:style w:type="paragraph" w:styleId="8">
    <w:name w:val="Date"/>
    <w:basedOn w:val="1"/>
    <w:next w:val="1"/>
    <w:link w:val="31"/>
    <w:semiHidden/>
    <w:unhideWhenUsed/>
    <w:qFormat/>
    <w:uiPriority w:val="99"/>
    <w:pPr>
      <w:ind w:left="100" w:leftChars="2500"/>
    </w:pPr>
  </w:style>
  <w:style w:type="paragraph" w:styleId="9">
    <w:name w:val="Balloon Text"/>
    <w:basedOn w:val="1"/>
    <w:link w:val="36"/>
    <w:semiHidden/>
    <w:unhideWhenUsed/>
    <w:qFormat/>
    <w:uiPriority w:val="99"/>
    <w:rPr>
      <w:sz w:val="18"/>
      <w:szCs w:val="18"/>
    </w:rPr>
  </w:style>
  <w:style w:type="paragraph" w:styleId="10">
    <w:name w:val="footer"/>
    <w:basedOn w:val="1"/>
    <w:link w:val="26"/>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tabs>
        <w:tab w:val="right" w:leader="dot" w:pos="8296"/>
      </w:tabs>
      <w:ind w:firstLine="0" w:firstLineChars="0"/>
    </w:pPr>
    <w:rPr>
      <w:rFonts w:ascii="仿宋_GB2312" w:hAnsi="黑体" w:cs="Times New Roman"/>
      <w:b/>
      <w:bCs/>
      <w:spacing w:val="10"/>
      <w:kern w:val="0"/>
      <w:sz w:val="28"/>
      <w:szCs w:val="28"/>
    </w:rPr>
  </w:style>
  <w:style w:type="paragraph" w:styleId="13">
    <w:name w:val="footnote text"/>
    <w:basedOn w:val="1"/>
    <w:link w:val="27"/>
    <w:semiHidden/>
    <w:unhideWhenUsed/>
    <w:qFormat/>
    <w:uiPriority w:val="99"/>
    <w:pPr>
      <w:widowControl/>
      <w:jc w:val="left"/>
    </w:pPr>
    <w:rPr>
      <w:kern w:val="0"/>
      <w:sz w:val="20"/>
      <w:szCs w:val="20"/>
    </w:rPr>
  </w:style>
  <w:style w:type="paragraph" w:styleId="14">
    <w:name w:val="toc 2"/>
    <w:basedOn w:val="1"/>
    <w:next w:val="1"/>
    <w:unhideWhenUsed/>
    <w:qFormat/>
    <w:uiPriority w:val="39"/>
  </w:style>
  <w:style w:type="paragraph" w:styleId="15">
    <w:name w:val="toc 9"/>
    <w:basedOn w:val="1"/>
    <w:next w:val="1"/>
    <w:semiHidden/>
    <w:unhideWhenUsed/>
    <w:qFormat/>
    <w:uiPriority w:val="39"/>
    <w:pPr>
      <w:ind w:left="3360" w:leftChars="1600"/>
    </w:pPr>
  </w:style>
  <w:style w:type="paragraph" w:styleId="16">
    <w:name w:val="annotation subject"/>
    <w:basedOn w:val="6"/>
    <w:next w:val="6"/>
    <w:link w:val="30"/>
    <w:semiHidden/>
    <w:unhideWhenUsed/>
    <w:qFormat/>
    <w:uiPriority w:val="99"/>
    <w:rPr>
      <w:b/>
      <w:bCs/>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FollowedHyperlink"/>
    <w:basedOn w:val="19"/>
    <w:semiHidden/>
    <w:unhideWhenUsed/>
    <w:qFormat/>
    <w:uiPriority w:val="99"/>
    <w:rPr>
      <w:color w:val="954F72"/>
      <w:u w:val="single"/>
    </w:rPr>
  </w:style>
  <w:style w:type="character" w:styleId="21">
    <w:name w:val="Hyperlink"/>
    <w:basedOn w:val="19"/>
    <w:unhideWhenUsed/>
    <w:qFormat/>
    <w:uiPriority w:val="99"/>
    <w:rPr>
      <w:color w:val="0563C1" w:themeColor="hyperlink"/>
      <w:u w:val="single"/>
      <w14:textFill>
        <w14:solidFill>
          <w14:schemeClr w14:val="hlink"/>
        </w14:solidFill>
      </w14:textFill>
    </w:rPr>
  </w:style>
  <w:style w:type="character" w:styleId="22">
    <w:name w:val="annotation reference"/>
    <w:basedOn w:val="19"/>
    <w:semiHidden/>
    <w:unhideWhenUsed/>
    <w:qFormat/>
    <w:uiPriority w:val="99"/>
    <w:rPr>
      <w:sz w:val="21"/>
      <w:szCs w:val="21"/>
    </w:rPr>
  </w:style>
  <w:style w:type="character" w:styleId="23">
    <w:name w:val="footnote reference"/>
    <w:basedOn w:val="19"/>
    <w:semiHidden/>
    <w:unhideWhenUsed/>
    <w:qFormat/>
    <w:uiPriority w:val="99"/>
    <w:rPr>
      <w:vertAlign w:val="superscript"/>
    </w:rPr>
  </w:style>
  <w:style w:type="paragraph" w:styleId="24">
    <w:name w:val="List Paragraph"/>
    <w:basedOn w:val="1"/>
    <w:qFormat/>
    <w:uiPriority w:val="34"/>
    <w:pPr>
      <w:ind w:firstLine="420"/>
    </w:pPr>
  </w:style>
  <w:style w:type="character" w:customStyle="1" w:styleId="25">
    <w:name w:val="页眉 字符"/>
    <w:basedOn w:val="19"/>
    <w:link w:val="11"/>
    <w:qFormat/>
    <w:uiPriority w:val="99"/>
    <w:rPr>
      <w:sz w:val="18"/>
      <w:szCs w:val="18"/>
    </w:rPr>
  </w:style>
  <w:style w:type="character" w:customStyle="1" w:styleId="26">
    <w:name w:val="页脚 字符"/>
    <w:basedOn w:val="19"/>
    <w:link w:val="10"/>
    <w:qFormat/>
    <w:uiPriority w:val="99"/>
    <w:rPr>
      <w:sz w:val="18"/>
      <w:szCs w:val="18"/>
    </w:rPr>
  </w:style>
  <w:style w:type="character" w:customStyle="1" w:styleId="27">
    <w:name w:val="脚注文本 字符"/>
    <w:basedOn w:val="19"/>
    <w:link w:val="13"/>
    <w:semiHidden/>
    <w:qFormat/>
    <w:uiPriority w:val="99"/>
    <w:rPr>
      <w:rFonts w:ascii="Times New Roman" w:hAnsi="Times New Roman" w:eastAsia="仿宋_GB2312"/>
      <w:kern w:val="0"/>
      <w:sz w:val="20"/>
      <w:szCs w:val="20"/>
    </w:rPr>
  </w:style>
  <w:style w:type="character" w:styleId="28">
    <w:name w:val="Placeholder Text"/>
    <w:basedOn w:val="19"/>
    <w:semiHidden/>
    <w:qFormat/>
    <w:uiPriority w:val="99"/>
    <w:rPr>
      <w:color w:val="808080"/>
    </w:rPr>
  </w:style>
  <w:style w:type="character" w:customStyle="1" w:styleId="29">
    <w:name w:val="批注文字 字符"/>
    <w:basedOn w:val="19"/>
    <w:link w:val="6"/>
    <w:qFormat/>
    <w:uiPriority w:val="99"/>
  </w:style>
  <w:style w:type="character" w:customStyle="1" w:styleId="30">
    <w:name w:val="批注主题 字符"/>
    <w:basedOn w:val="29"/>
    <w:link w:val="16"/>
    <w:semiHidden/>
    <w:qFormat/>
    <w:uiPriority w:val="99"/>
    <w:rPr>
      <w:b/>
      <w:bCs/>
    </w:rPr>
  </w:style>
  <w:style w:type="character" w:customStyle="1" w:styleId="31">
    <w:name w:val="日期 字符"/>
    <w:basedOn w:val="19"/>
    <w:link w:val="8"/>
    <w:semiHidden/>
    <w:qFormat/>
    <w:uiPriority w:val="99"/>
  </w:style>
  <w:style w:type="character" w:customStyle="1" w:styleId="32">
    <w:name w:val="标题 2 字符"/>
    <w:basedOn w:val="19"/>
    <w:link w:val="3"/>
    <w:qFormat/>
    <w:uiPriority w:val="9"/>
    <w:rPr>
      <w:rFonts w:ascii="Times New Roman" w:hAnsi="Times New Roman" w:eastAsia="楷体_GB2312" w:cs="Times New Roman"/>
      <w:b/>
      <w:kern w:val="0"/>
      <w:sz w:val="32"/>
      <w:szCs w:val="32"/>
    </w:rPr>
  </w:style>
  <w:style w:type="character" w:customStyle="1" w:styleId="33">
    <w:name w:val="标题 1 字符"/>
    <w:basedOn w:val="19"/>
    <w:link w:val="2"/>
    <w:qFormat/>
    <w:uiPriority w:val="9"/>
    <w:rPr>
      <w:rFonts w:ascii="黑体" w:hAnsi="黑体" w:eastAsia="黑体" w:cs="Times New Roman"/>
      <w:b/>
      <w:spacing w:val="10"/>
      <w:kern w:val="0"/>
      <w:sz w:val="32"/>
    </w:rPr>
  </w:style>
  <w:style w:type="character" w:customStyle="1" w:styleId="34">
    <w:name w:val="标题 3 字符"/>
    <w:basedOn w:val="19"/>
    <w:link w:val="5"/>
    <w:qFormat/>
    <w:uiPriority w:val="9"/>
    <w:rPr>
      <w:rFonts w:ascii="仿宋_GB2312" w:hAnsi="Times New Roman" w:eastAsia="仿宋_GB2312" w:cs="Times New Roman"/>
      <w:b/>
      <w:spacing w:val="10"/>
      <w:kern w:val="0"/>
      <w:sz w:val="32"/>
    </w:rPr>
  </w:style>
  <w:style w:type="paragraph" w:customStyle="1" w:styleId="35">
    <w:name w:val="TOC 标题1"/>
    <w:basedOn w:val="2"/>
    <w:next w:val="1"/>
    <w:unhideWhenUsed/>
    <w:qFormat/>
    <w:uiPriority w:val="39"/>
    <w:pPr>
      <w:keepNext/>
      <w:keepLines/>
      <w:spacing w:before="240" w:line="259" w:lineRule="auto"/>
      <w:ind w:firstLine="0" w:firstLineChars="0"/>
      <w:jc w:val="left"/>
      <w:outlineLvl w:val="9"/>
    </w:pPr>
    <w:rPr>
      <w:rFonts w:asciiTheme="majorHAnsi" w:hAnsiTheme="majorHAnsi" w:eastAsiaTheme="majorEastAsia" w:cstheme="majorBidi"/>
      <w:b w:val="0"/>
      <w:bCs/>
      <w:color w:val="2F5597" w:themeColor="accent1" w:themeShade="BF"/>
      <w:spacing w:val="0"/>
      <w:szCs w:val="32"/>
    </w:rPr>
  </w:style>
  <w:style w:type="character" w:customStyle="1" w:styleId="36">
    <w:name w:val="批注框文本 字符"/>
    <w:basedOn w:val="19"/>
    <w:link w:val="9"/>
    <w:semiHidden/>
    <w:qFormat/>
    <w:uiPriority w:val="99"/>
    <w:rPr>
      <w:sz w:val="18"/>
      <w:szCs w:val="18"/>
    </w:rPr>
  </w:style>
  <w:style w:type="paragraph" w:customStyle="1" w:styleId="37">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8">
    <w:name w:val="msonormal"/>
    <w:basedOn w:val="1"/>
    <w:qFormat/>
    <w:uiPriority w:val="0"/>
    <w:pPr>
      <w:widowControl/>
      <w:spacing w:before="100" w:beforeAutospacing="1" w:after="100" w:afterAutospacing="1"/>
      <w:ind w:firstLine="0" w:firstLineChars="0"/>
      <w:jc w:val="left"/>
    </w:pPr>
    <w:rPr>
      <w:rFonts w:ascii="宋体" w:hAnsi="宋体" w:eastAsia="宋体" w:cs="宋体"/>
      <w:kern w:val="0"/>
      <w:sz w:val="24"/>
      <w:szCs w:val="24"/>
    </w:rPr>
  </w:style>
  <w:style w:type="paragraph" w:customStyle="1" w:styleId="39">
    <w:name w:val="xl6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ind w:firstLine="0" w:firstLineChars="0"/>
      <w:jc w:val="center"/>
    </w:pPr>
    <w:rPr>
      <w:rFonts w:ascii="宋体" w:hAnsi="宋体" w:eastAsia="宋体" w:cs="宋体"/>
      <w:b/>
      <w:bCs/>
      <w:kern w:val="0"/>
      <w:sz w:val="28"/>
      <w:szCs w:val="28"/>
    </w:rPr>
  </w:style>
  <w:style w:type="paragraph" w:customStyle="1" w:styleId="40">
    <w:name w:val="xl6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ind w:firstLine="0" w:firstLineChars="0"/>
      <w:jc w:val="center"/>
    </w:pPr>
    <w:rPr>
      <w:rFonts w:ascii="宋体" w:hAnsi="宋体" w:eastAsia="宋体" w:cs="宋体"/>
      <w:kern w:val="0"/>
      <w:sz w:val="24"/>
      <w:szCs w:val="24"/>
    </w:rPr>
  </w:style>
  <w:style w:type="paragraph" w:customStyle="1" w:styleId="41">
    <w:name w:val="xl65"/>
    <w:basedOn w:val="1"/>
    <w:qFormat/>
    <w:uiPriority w:val="0"/>
    <w:pPr>
      <w:widowControl/>
      <w:spacing w:before="100" w:beforeAutospacing="1" w:after="100" w:afterAutospacing="1"/>
      <w:ind w:firstLine="0" w:firstLineChars="0"/>
      <w:jc w:val="center"/>
    </w:pPr>
    <w:rPr>
      <w:rFonts w:ascii="宋体" w:hAnsi="宋体" w:eastAsia="宋体" w:cs="宋体"/>
      <w:kern w:val="0"/>
      <w:sz w:val="24"/>
      <w:szCs w:val="24"/>
    </w:rPr>
  </w:style>
  <w:style w:type="character" w:customStyle="1" w:styleId="42">
    <w:name w:val="font11"/>
    <w:basedOn w:val="19"/>
    <w:qFormat/>
    <w:uiPriority w:val="0"/>
    <w:rPr>
      <w:rFonts w:ascii="仿宋_GB2312" w:eastAsia="仿宋_GB2312" w:cs="仿宋_GB2312"/>
      <w:color w:val="000000"/>
      <w:sz w:val="24"/>
      <w:szCs w:val="24"/>
      <w:u w:val="none"/>
    </w:rPr>
  </w:style>
  <w:style w:type="character" w:customStyle="1" w:styleId="43">
    <w:name w:val="font41"/>
    <w:basedOn w:val="19"/>
    <w:qFormat/>
    <w:uiPriority w:val="0"/>
    <w:rPr>
      <w:rFonts w:hint="default" w:ascii="Times New Roman" w:hAnsi="Times New Roman" w:cs="Times New Roman"/>
      <w:color w:val="000000"/>
      <w:sz w:val="24"/>
      <w:szCs w:val="24"/>
      <w:u w:val="none"/>
    </w:rPr>
  </w:style>
  <w:style w:type="character" w:customStyle="1" w:styleId="44">
    <w:name w:val="font51"/>
    <w:basedOn w:val="19"/>
    <w:qFormat/>
    <w:uiPriority w:val="0"/>
    <w:rPr>
      <w:rFonts w:hint="default" w:ascii="Times New Roman" w:hAnsi="Times New Roman" w:cs="Times New Roman"/>
      <w:color w:val="000000"/>
      <w:sz w:val="20"/>
      <w:szCs w:val="20"/>
      <w:u w:val="none"/>
    </w:rPr>
  </w:style>
  <w:style w:type="character" w:customStyle="1" w:styleId="45">
    <w:name w:val="font21"/>
    <w:basedOn w:val="19"/>
    <w:qFormat/>
    <w:uiPriority w:val="0"/>
    <w:rPr>
      <w:rFonts w:hint="eastAsia" w:ascii="仿宋_GB2312" w:eastAsia="仿宋_GB2312" w:cs="仿宋_GB2312"/>
      <w:color w:val="000000"/>
      <w:sz w:val="20"/>
      <w:szCs w:val="20"/>
      <w:u w:val="none"/>
    </w:rPr>
  </w:style>
  <w:style w:type="paragraph" w:customStyle="1" w:styleId="46">
    <w:name w:val="font5"/>
    <w:basedOn w:val="1"/>
    <w:qFormat/>
    <w:uiPriority w:val="0"/>
    <w:pPr>
      <w:widowControl/>
      <w:spacing w:before="100" w:beforeAutospacing="1" w:after="100" w:afterAutospacing="1"/>
      <w:ind w:firstLine="0" w:firstLineChars="0"/>
      <w:jc w:val="left"/>
    </w:pPr>
    <w:rPr>
      <w:rFonts w:ascii="仿宋_GB2312" w:hAnsi="宋体" w:cs="宋体"/>
      <w:kern w:val="0"/>
      <w:sz w:val="24"/>
      <w:szCs w:val="24"/>
    </w:rPr>
  </w:style>
  <w:style w:type="paragraph" w:customStyle="1" w:styleId="47">
    <w:name w:val="font6"/>
    <w:basedOn w:val="1"/>
    <w:qFormat/>
    <w:uiPriority w:val="0"/>
    <w:pPr>
      <w:widowControl/>
      <w:spacing w:before="100" w:beforeAutospacing="1" w:after="100" w:afterAutospacing="1"/>
      <w:ind w:firstLine="0" w:firstLineChars="0"/>
      <w:jc w:val="left"/>
    </w:pPr>
    <w:rPr>
      <w:rFonts w:eastAsia="宋体" w:cs="Times New Roman"/>
      <w:kern w:val="0"/>
      <w:sz w:val="24"/>
      <w:szCs w:val="24"/>
    </w:rPr>
  </w:style>
  <w:style w:type="paragraph" w:customStyle="1" w:styleId="48">
    <w:name w:val="font7"/>
    <w:basedOn w:val="1"/>
    <w:qFormat/>
    <w:uiPriority w:val="0"/>
    <w:pPr>
      <w:widowControl/>
      <w:spacing w:before="100" w:beforeAutospacing="1" w:after="100" w:afterAutospacing="1"/>
      <w:ind w:firstLine="0" w:firstLineChars="0"/>
      <w:jc w:val="left"/>
    </w:pPr>
    <w:rPr>
      <w:rFonts w:eastAsia="宋体" w:cs="Times New Roman"/>
      <w:kern w:val="0"/>
      <w:sz w:val="20"/>
      <w:szCs w:val="20"/>
    </w:rPr>
  </w:style>
  <w:style w:type="paragraph" w:customStyle="1" w:styleId="49">
    <w:name w:val="font8"/>
    <w:basedOn w:val="1"/>
    <w:qFormat/>
    <w:uiPriority w:val="0"/>
    <w:pPr>
      <w:widowControl/>
      <w:spacing w:before="100" w:beforeAutospacing="1" w:after="100" w:afterAutospacing="1"/>
      <w:ind w:firstLine="0" w:firstLineChars="0"/>
      <w:jc w:val="left"/>
    </w:pPr>
    <w:rPr>
      <w:rFonts w:ascii="仿宋_GB2312" w:hAnsi="宋体" w:cs="宋体"/>
      <w:kern w:val="0"/>
      <w:sz w:val="20"/>
      <w:szCs w:val="20"/>
    </w:rPr>
  </w:style>
  <w:style w:type="paragraph" w:customStyle="1" w:styleId="50">
    <w:name w:val="font9"/>
    <w:basedOn w:val="1"/>
    <w:qFormat/>
    <w:uiPriority w:val="0"/>
    <w:pPr>
      <w:widowControl/>
      <w:spacing w:before="100" w:beforeAutospacing="1" w:after="100" w:afterAutospacing="1"/>
      <w:ind w:firstLine="0" w:firstLineChars="0"/>
      <w:jc w:val="left"/>
    </w:pPr>
    <w:rPr>
      <w:rFonts w:ascii="宋体" w:hAnsi="宋体" w:eastAsia="宋体" w:cs="宋体"/>
      <w:kern w:val="0"/>
      <w:sz w:val="18"/>
      <w:szCs w:val="18"/>
    </w:rPr>
  </w:style>
  <w:style w:type="paragraph" w:customStyle="1" w:styleId="51">
    <w:name w:val="font10"/>
    <w:basedOn w:val="1"/>
    <w:qFormat/>
    <w:uiPriority w:val="0"/>
    <w:pPr>
      <w:widowControl/>
      <w:spacing w:before="100" w:beforeAutospacing="1" w:after="100" w:afterAutospacing="1"/>
      <w:ind w:firstLine="0" w:firstLineChars="0"/>
      <w:jc w:val="left"/>
    </w:pPr>
    <w:rPr>
      <w:rFonts w:ascii="微软雅黑" w:hAnsi="微软雅黑" w:eastAsia="微软雅黑" w:cs="宋体"/>
      <w:kern w:val="0"/>
      <w:sz w:val="24"/>
      <w:szCs w:val="24"/>
    </w:rPr>
  </w:style>
  <w:style w:type="paragraph" w:customStyle="1" w:styleId="52">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0" w:firstLineChars="0"/>
      <w:jc w:val="center"/>
    </w:pPr>
    <w:rPr>
      <w:rFonts w:eastAsia="宋体" w:cs="Times New Roman"/>
      <w:kern w:val="0"/>
      <w:sz w:val="24"/>
      <w:szCs w:val="24"/>
    </w:rPr>
  </w:style>
  <w:style w:type="paragraph" w:customStyle="1" w:styleId="53">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0" w:firstLineChars="0"/>
      <w:jc w:val="center"/>
    </w:pPr>
    <w:rPr>
      <w:rFonts w:eastAsia="宋体" w:cs="Times New Roman"/>
      <w:kern w:val="0"/>
      <w:sz w:val="20"/>
      <w:szCs w:val="20"/>
    </w:rPr>
  </w:style>
  <w:style w:type="paragraph" w:customStyle="1" w:styleId="54">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0" w:firstLineChars="0"/>
      <w:jc w:val="center"/>
    </w:pPr>
    <w:rPr>
      <w:rFonts w:eastAsia="宋体" w:cs="Times New Roman"/>
      <w:kern w:val="0"/>
      <w:sz w:val="24"/>
      <w:szCs w:val="24"/>
    </w:rPr>
  </w:style>
  <w:style w:type="paragraph" w:customStyle="1" w:styleId="5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0" w:firstLineChars="0"/>
      <w:jc w:val="center"/>
    </w:pPr>
    <w:rPr>
      <w:rFonts w:eastAsia="宋体" w:cs="Times New Roman"/>
      <w:kern w:val="0"/>
      <w:sz w:val="24"/>
      <w:szCs w:val="24"/>
    </w:rPr>
  </w:style>
  <w:style w:type="paragraph" w:customStyle="1" w:styleId="56">
    <w:name w:val="xl70"/>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ind w:firstLine="0" w:firstLineChars="0"/>
      <w:jc w:val="center"/>
    </w:pPr>
    <w:rPr>
      <w:rFonts w:eastAsia="宋体" w:cs="Times New Roman"/>
      <w:kern w:val="0"/>
      <w:sz w:val="24"/>
      <w:szCs w:val="24"/>
    </w:rPr>
  </w:style>
  <w:style w:type="paragraph" w:customStyle="1" w:styleId="57">
    <w:name w:val="xl71"/>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ind w:firstLine="0" w:firstLineChars="0"/>
      <w:jc w:val="center"/>
    </w:pPr>
    <w:rPr>
      <w:rFonts w:eastAsia="宋体" w:cs="Times New Roman"/>
      <w:kern w:val="0"/>
      <w:sz w:val="24"/>
      <w:szCs w:val="24"/>
    </w:rPr>
  </w:style>
  <w:style w:type="paragraph" w:customStyle="1" w:styleId="58">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0" w:firstLineChars="0"/>
      <w:jc w:val="center"/>
    </w:pPr>
    <w:rPr>
      <w:rFonts w:eastAsia="宋体" w:cs="Times New Roman"/>
      <w:kern w:val="0"/>
      <w:sz w:val="24"/>
      <w:szCs w:val="24"/>
    </w:rPr>
  </w:style>
  <w:style w:type="paragraph" w:customStyle="1" w:styleId="59">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0" w:firstLineChars="0"/>
      <w:jc w:val="center"/>
    </w:pPr>
    <w:rPr>
      <w:rFonts w:eastAsia="宋体" w:cs="Times New Roman"/>
      <w:kern w:val="0"/>
      <w:sz w:val="20"/>
      <w:szCs w:val="20"/>
    </w:rPr>
  </w:style>
  <w:style w:type="paragraph" w:customStyle="1" w:styleId="60">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0" w:firstLineChars="0"/>
      <w:jc w:val="center"/>
    </w:pPr>
    <w:rPr>
      <w:rFonts w:eastAsia="宋体" w:cs="Times New Roman"/>
      <w:kern w:val="0"/>
      <w:sz w:val="20"/>
      <w:szCs w:val="20"/>
    </w:rPr>
  </w:style>
  <w:style w:type="paragraph" w:customStyle="1" w:styleId="61">
    <w:name w:val="xl7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ind w:firstLine="0" w:firstLineChars="0"/>
      <w:jc w:val="center"/>
    </w:pPr>
    <w:rPr>
      <w:rFonts w:eastAsia="宋体" w:cs="Times New Roman"/>
      <w:kern w:val="0"/>
      <w:sz w:val="24"/>
      <w:szCs w:val="24"/>
    </w:rPr>
  </w:style>
  <w:style w:type="paragraph" w:customStyle="1" w:styleId="62">
    <w:name w:val="xl76"/>
    <w:basedOn w:val="1"/>
    <w:qFormat/>
    <w:uiPriority w:val="0"/>
    <w:pPr>
      <w:widowControl/>
      <w:spacing w:before="100" w:beforeAutospacing="1" w:after="100" w:afterAutospacing="1"/>
      <w:ind w:firstLine="0" w:firstLineChars="0"/>
      <w:jc w:val="center"/>
    </w:pPr>
    <w:rPr>
      <w:rFonts w:ascii="仿宋_GB2312" w:hAnsi="宋体" w:cs="宋体"/>
      <w:kern w:val="0"/>
      <w:sz w:val="24"/>
      <w:szCs w:val="24"/>
    </w:rPr>
  </w:style>
  <w:style w:type="paragraph" w:customStyle="1" w:styleId="63">
    <w:name w:val="xl77"/>
    <w:basedOn w:val="1"/>
    <w:qFormat/>
    <w:uiPriority w:val="0"/>
    <w:pPr>
      <w:widowControl/>
      <w:spacing w:before="100" w:beforeAutospacing="1" w:after="100" w:afterAutospacing="1"/>
      <w:ind w:firstLine="0" w:firstLineChars="0"/>
      <w:jc w:val="center"/>
    </w:pPr>
    <w:rPr>
      <w:rFonts w:ascii="仿宋_GB2312" w:hAnsi="宋体" w:cs="宋体"/>
      <w:kern w:val="0"/>
      <w:sz w:val="24"/>
      <w:szCs w:val="24"/>
    </w:rPr>
  </w:style>
  <w:style w:type="paragraph" w:customStyle="1" w:styleId="64">
    <w:name w:val="xl78"/>
    <w:basedOn w:val="1"/>
    <w:qFormat/>
    <w:uiPriority w:val="0"/>
    <w:pPr>
      <w:widowControl/>
      <w:spacing w:before="100" w:beforeAutospacing="1" w:after="100" w:afterAutospacing="1"/>
      <w:ind w:firstLine="0" w:firstLineChars="0"/>
      <w:jc w:val="center"/>
    </w:pPr>
    <w:rPr>
      <w:rFonts w:eastAsia="宋体" w:cs="Times New Roman"/>
      <w:kern w:val="0"/>
      <w:sz w:val="24"/>
      <w:szCs w:val="24"/>
    </w:rPr>
  </w:style>
  <w:style w:type="paragraph" w:customStyle="1" w:styleId="65">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0" w:firstLineChars="0"/>
      <w:jc w:val="center"/>
    </w:pPr>
    <w:rPr>
      <w:rFonts w:eastAsia="宋体" w:cs="Times New Roman"/>
      <w:kern w:val="0"/>
      <w:sz w:val="24"/>
      <w:szCs w:val="24"/>
    </w:rPr>
  </w:style>
  <w:style w:type="paragraph" w:customStyle="1" w:styleId="66">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ind w:firstLine="0" w:firstLineChars="0"/>
      <w:jc w:val="center"/>
    </w:pPr>
    <w:rPr>
      <w:rFonts w:eastAsia="宋体" w:cs="Times New Roman"/>
      <w:kern w:val="0"/>
      <w:sz w:val="24"/>
      <w:szCs w:val="24"/>
    </w:rPr>
  </w:style>
  <w:style w:type="paragraph" w:customStyle="1" w:styleId="67">
    <w:name w:val="xl81"/>
    <w:basedOn w:val="1"/>
    <w:qFormat/>
    <w:uiPriority w:val="0"/>
    <w:pPr>
      <w:widowControl/>
      <w:spacing w:before="100" w:beforeAutospacing="1" w:after="100" w:afterAutospacing="1"/>
      <w:ind w:firstLine="0" w:firstLineChars="0"/>
      <w:jc w:val="center"/>
    </w:pPr>
    <w:rPr>
      <w:rFonts w:ascii="仿宋_GB2312" w:hAnsi="宋体" w:cs="宋体"/>
      <w:kern w:val="0"/>
      <w:sz w:val="20"/>
      <w:szCs w:val="20"/>
    </w:rPr>
  </w:style>
  <w:style w:type="paragraph" w:customStyle="1" w:styleId="68">
    <w:name w:val="xl82"/>
    <w:basedOn w:val="1"/>
    <w:qFormat/>
    <w:uiPriority w:val="0"/>
    <w:pPr>
      <w:widowControl/>
      <w:pBdr>
        <w:top w:val="single" w:color="auto" w:sz="4" w:space="0"/>
        <w:left w:val="single" w:color="auto" w:sz="4" w:space="0"/>
        <w:bottom w:val="single" w:color="auto" w:sz="8" w:space="0"/>
      </w:pBdr>
      <w:spacing w:before="100" w:beforeAutospacing="1" w:after="100" w:afterAutospacing="1"/>
      <w:ind w:firstLine="0" w:firstLineChars="0"/>
      <w:jc w:val="center"/>
    </w:pPr>
    <w:rPr>
      <w:rFonts w:eastAsia="宋体" w:cs="Times New Roman"/>
      <w:kern w:val="0"/>
      <w:sz w:val="24"/>
      <w:szCs w:val="24"/>
    </w:rPr>
  </w:style>
  <w:style w:type="paragraph" w:customStyle="1" w:styleId="69">
    <w:name w:val="xl83"/>
    <w:basedOn w:val="1"/>
    <w:qFormat/>
    <w:uiPriority w:val="0"/>
    <w:pPr>
      <w:widowControl/>
      <w:pBdr>
        <w:top w:val="single" w:color="auto" w:sz="4" w:space="0"/>
        <w:bottom w:val="single" w:color="auto" w:sz="8" w:space="0"/>
      </w:pBdr>
      <w:spacing w:before="100" w:beforeAutospacing="1" w:after="100" w:afterAutospacing="1"/>
      <w:ind w:firstLine="0" w:firstLineChars="0"/>
      <w:jc w:val="center"/>
    </w:pPr>
    <w:rPr>
      <w:rFonts w:eastAsia="宋体" w:cs="Times New Roman"/>
      <w:kern w:val="0"/>
      <w:sz w:val="24"/>
      <w:szCs w:val="24"/>
    </w:rPr>
  </w:style>
  <w:style w:type="paragraph" w:customStyle="1" w:styleId="70">
    <w:name w:val="xl84"/>
    <w:basedOn w:val="1"/>
    <w:qFormat/>
    <w:uiPriority w:val="0"/>
    <w:pPr>
      <w:widowControl/>
      <w:pBdr>
        <w:top w:val="single" w:color="auto" w:sz="4" w:space="0"/>
        <w:bottom w:val="single" w:color="auto" w:sz="8" w:space="0"/>
        <w:right w:val="single" w:color="auto" w:sz="4" w:space="0"/>
      </w:pBdr>
      <w:spacing w:before="100" w:beforeAutospacing="1" w:after="100" w:afterAutospacing="1"/>
      <w:ind w:firstLine="0" w:firstLineChars="0"/>
      <w:jc w:val="center"/>
    </w:pPr>
    <w:rPr>
      <w:rFonts w:eastAsia="宋体" w:cs="Times New Roman"/>
      <w:kern w:val="0"/>
      <w:sz w:val="24"/>
      <w:szCs w:val="24"/>
    </w:rPr>
  </w:style>
  <w:style w:type="paragraph" w:customStyle="1" w:styleId="71">
    <w:name w:val="Revision"/>
    <w:hidden/>
    <w:unhideWhenUsed/>
    <w:qFormat/>
    <w:uiPriority w:val="99"/>
    <w:rPr>
      <w:rFonts w:ascii="Times New Roman" w:hAnsi="Times New Roman" w:eastAsia="仿宋_GB2312"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chart" Target="charts/chart10.xml"/><Relationship Id="rId23" Type="http://schemas.openxmlformats.org/officeDocument/2006/relationships/chart" Target="charts/chart9.xml"/><Relationship Id="rId22" Type="http://schemas.openxmlformats.org/officeDocument/2006/relationships/chart" Target="charts/chart8.xml"/><Relationship Id="rId21" Type="http://schemas.openxmlformats.org/officeDocument/2006/relationships/chart" Target="charts/chart7.xml"/><Relationship Id="rId20" Type="http://schemas.openxmlformats.org/officeDocument/2006/relationships/chart" Target="charts/chart6.xml"/><Relationship Id="rId2" Type="http://schemas.openxmlformats.org/officeDocument/2006/relationships/settings" Target="settings.xml"/><Relationship Id="rId19" Type="http://schemas.openxmlformats.org/officeDocument/2006/relationships/chart" Target="charts/chart5.xml"/><Relationship Id="rId18" Type="http://schemas.openxmlformats.org/officeDocument/2006/relationships/chart" Target="charts/chart4.xml"/><Relationship Id="rId17" Type="http://schemas.openxmlformats.org/officeDocument/2006/relationships/chart" Target="charts/chart3.xml"/><Relationship Id="rId16" Type="http://schemas.openxmlformats.org/officeDocument/2006/relationships/chart" Target="charts/chart2.xml"/><Relationship Id="rId15" Type="http://schemas.openxmlformats.org/officeDocument/2006/relationships/chart" Target="charts/chart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C:\Users\MP\Desktop\&#38902;&#20851;&#24066;&#21355;&#20581;&#23616;\1110\&#38468;&#20214;1&#65306;&#38902;&#20851;&#24066;2022&#24180;&#24230;&#21355;&#29983;&#20581;&#24247;&#23616;&#37096;&#38376;&#25972;&#20307;&#25903;&#20986;&#32489;&#25928;&#35780;&#20215;&#25351;&#26631;&#20307;&#31995;-&#20013;&#22823;&#21672;&#35810;20231110.xlsx" TargetMode="External"/></Relationships>
</file>

<file path=word/charts/_rels/chart10.xml.rels><?xml version="1.0" encoding="UTF-8" standalone="yes"?>
<Relationships xmlns="http://schemas.openxmlformats.org/package/2006/relationships"><Relationship Id="rId3" Type="http://schemas.microsoft.com/office/2011/relationships/chartColorStyle" Target="colors9.xml"/><Relationship Id="rId2" Type="http://schemas.microsoft.com/office/2011/relationships/chartStyle" Target="style9.xml"/><Relationship Id="rId1" Type="http://schemas.openxmlformats.org/officeDocument/2006/relationships/oleObject" Target="file:///D:\2023\2.&#39033;&#30446;\2.&#38902;&#20851;&#24066;&#21355;&#29983;&#20581;&#24247;&#23616;&#37096;&#38376;&#25972;&#20307;\&#38902;&#20851;&#24066;&#21355;&#20581;&#23616;&#25253;&#21578;20231113&#25253;&#21578;\&#38902;&#20851;&#24066;&#21355;&#20581;&#23616;&#25253;&#21578;20231113\&#38468;&#20214;1&#65306;&#38902;&#20851;&#24066;2022&#24180;&#24230;&#21355;&#29983;&#20581;&#24247;&#23616;&#37096;&#38376;&#25972;&#20307;&#25903;&#20986;&#32489;&#25928;&#35780;&#20215;&#25351;&#26631;&#20307;&#31995;-&#20013;&#22823;&#21672;&#35810;20231113.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MP\Desktop\&#38902;&#20851;&#24066;&#21355;&#20581;&#23616;\1110\&#38468;&#20214;1&#65306;&#38902;&#20851;&#24066;2022&#24180;&#24230;&#21355;&#29983;&#20581;&#24247;&#23616;&#37096;&#38376;&#25972;&#20307;&#25903;&#20986;&#32489;&#25928;&#35780;&#20215;&#25351;&#26631;&#20307;&#31995;-&#20013;&#22823;&#21672;&#35810;20231110.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023\2.&#39033;&#30446;\2.&#38902;&#20851;&#24066;&#21355;&#29983;&#20581;&#24247;&#23616;&#37096;&#38376;&#25972;&#20307;\&#38902;&#20851;&#24066;&#21355;&#20581;&#23616;&#25253;&#21578;20231205&#25253;&#21578;\&#38902;&#20851;&#24066;&#21355;&#20581;&#23616;&#25253;&#21578;20231205\&#38468;&#20214;1&#65306;&#38902;&#20851;&#24066;2022&#24180;&#24230;&#21355;&#29983;&#20581;&#24247;&#23616;&#37096;&#38376;&#25972;&#20307;&#25903;&#20986;&#32489;&#25928;&#35780;&#20215;&#25351;&#26631;&#20307;&#31995;-&#20013;&#22823;&#21672;&#35810;20231205.xlsx"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D:\2023\2.&#39033;&#30446;\2.&#38902;&#20851;&#24066;&#21355;&#29983;&#20581;&#24247;&#23616;&#37096;&#38376;&#25972;&#20307;\&#38902;&#20851;&#24066;&#21355;&#20581;&#23616;&#25253;&#21578;20231205&#25253;&#21578;\&#38902;&#20851;&#24066;&#21355;&#20581;&#23616;&#25253;&#21578;20231205\&#38468;&#20214;1&#65306;&#38902;&#20851;&#24066;2022&#24180;&#24230;&#21355;&#29983;&#20581;&#24247;&#23616;&#37096;&#38376;&#25972;&#20307;&#25903;&#20986;&#32489;&#25928;&#35780;&#20215;&#25351;&#26631;&#20307;&#31995;-&#20013;&#22823;&#21672;&#35810;20231205.xlsx"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D:\2023\2.&#39033;&#30446;\2.&#38902;&#20851;&#24066;&#21355;&#29983;&#20581;&#24247;&#23616;&#37096;&#38376;&#25972;&#20307;\&#38902;&#20851;&#24066;&#21355;&#20581;&#23616;&#25253;&#21578;20231205&#25253;&#21578;\&#38902;&#20851;&#24066;&#21355;&#20581;&#23616;&#25253;&#21578;20231205\&#38468;&#20214;1&#65306;&#38902;&#20851;&#24066;2022&#24180;&#24230;&#21355;&#29983;&#20581;&#24247;&#23616;&#37096;&#38376;&#25972;&#20307;&#25903;&#20986;&#32489;&#25928;&#35780;&#20215;&#25351;&#26631;&#20307;&#31995;-&#20013;&#22823;&#21672;&#35810;20231205.xlsx"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D:\2023\2.&#39033;&#30446;\2.&#38902;&#20851;&#24066;&#21355;&#29983;&#20581;&#24247;&#23616;&#37096;&#38376;&#25972;&#20307;\&#38902;&#20851;&#24066;&#21355;&#20581;&#23616;&#25253;&#21578;20231113&#25253;&#21578;\&#38902;&#20851;&#24066;&#21355;&#20581;&#23616;&#25253;&#21578;20231113\&#38468;&#20214;1&#65306;&#38902;&#20851;&#24066;2022&#24180;&#24230;&#21355;&#29983;&#20581;&#24247;&#23616;&#37096;&#38376;&#25972;&#20307;&#25903;&#20986;&#32489;&#25928;&#35780;&#20215;&#25351;&#26631;&#20307;&#31995;-&#20013;&#22823;&#21672;&#35810;20231113.xlsx"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10.xml"/><Relationship Id="rId2" Type="http://schemas.microsoft.com/office/2011/relationships/chartStyle" Target="style10.xml"/><Relationship Id="rId1" Type="http://schemas.openxmlformats.org/officeDocument/2006/relationships/oleObject" Target="file:///D:\2023\2.&#39033;&#30446;\2.&#38902;&#20851;&#24066;&#21355;&#29983;&#20581;&#24247;&#23616;&#37096;&#38376;&#25972;&#20307;\&#38902;&#20851;&#24066;&#21355;&#20581;&#23616;&#25253;&#21578;20231113&#25253;&#21578;\&#38902;&#20851;&#24066;&#21355;&#20581;&#23616;&#25253;&#21578;20231113\&#38468;&#20214;1&#65306;&#38902;&#20851;&#24066;2022&#24180;&#24230;&#21355;&#29983;&#20581;&#24247;&#23616;&#37096;&#38376;&#25972;&#20307;&#25903;&#20986;&#32489;&#25928;&#35780;&#20215;&#25351;&#26631;&#20307;&#31995;-&#20013;&#22823;&#21672;&#35810;20231113.xlsx" TargetMode="External"/></Relationships>
</file>

<file path=word/charts/_rels/chart8.xml.rels><?xml version="1.0" encoding="UTF-8" standalone="yes"?>
<Relationships xmlns="http://schemas.openxmlformats.org/package/2006/relationships"><Relationship Id="rId3" Type="http://schemas.microsoft.com/office/2011/relationships/chartColorStyle" Target="colors8.xml"/><Relationship Id="rId2" Type="http://schemas.microsoft.com/office/2011/relationships/chartStyle" Target="style8.xml"/><Relationship Id="rId1" Type="http://schemas.openxmlformats.org/officeDocument/2006/relationships/oleObject" Target="file:///D:\2023\2.&#39033;&#30446;\2.&#38902;&#20851;&#24066;&#21355;&#29983;&#20581;&#24247;&#23616;&#37096;&#38376;&#25972;&#20307;\&#38902;&#20851;&#24066;&#21355;&#20581;&#23616;&#25253;&#21578;20231113&#25253;&#21578;\&#38902;&#20851;&#24066;&#21355;&#20581;&#23616;&#25253;&#21578;20231113\&#38468;&#20214;1&#65306;&#38902;&#20851;&#24066;2022&#24180;&#24230;&#21355;&#29983;&#20581;&#24247;&#23616;&#37096;&#38376;&#25972;&#20307;&#25903;&#20986;&#32489;&#25928;&#35780;&#20215;&#25351;&#26631;&#20307;&#31995;-&#20013;&#22823;&#21672;&#35810;20231113.xlsx" TargetMode="External"/></Relationships>
</file>

<file path=word/charts/_rels/chart9.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file:///D:\2023\2.&#39033;&#30446;\2.&#38902;&#20851;&#24066;&#21355;&#29983;&#20581;&#24247;&#23616;&#37096;&#38376;&#25972;&#20307;\&#38902;&#20851;&#24066;&#21355;&#20581;&#23616;&#25253;&#21578;20231113&#25253;&#21578;\&#38902;&#20851;&#24066;&#21355;&#20581;&#23616;&#25253;&#21578;20231113\&#38468;&#20214;1&#65306;&#38902;&#20851;&#24066;2022&#24180;&#24230;&#21355;&#29983;&#20581;&#24247;&#23616;&#37096;&#38376;&#25972;&#20307;&#25903;&#20986;&#32489;&#25928;&#35780;&#20215;&#25351;&#26631;&#20307;&#31995;-&#20013;&#22823;&#21672;&#35810;202311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52358705161855"/>
          <c:y val="0.186111111111111"/>
          <c:w val="0.500259405074366"/>
          <c:h val="0.715748760571595"/>
        </c:manualLayout>
      </c:layout>
      <c:barChart>
        <c:barDir val="bar"/>
        <c:grouping val="percentStack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得分率!$C$2:$C$3</c:f>
              <c:strCache>
                <c:ptCount val="2"/>
                <c:pt idx="0">
                  <c:v>部门整体绩效目标效益指标完成情况</c:v>
                </c:pt>
                <c:pt idx="1">
                  <c:v>部门整体绩效目标产出指标完成情况</c:v>
                </c:pt>
              </c:strCache>
            </c:strRef>
          </c:cat>
          <c:val>
            <c:numRef>
              <c:f>得分率!$F$2:$F$3</c:f>
              <c:numCache>
                <c:formatCode>0.00%</c:formatCode>
                <c:ptCount val="2"/>
                <c:pt idx="0">
                  <c:v>0.85</c:v>
                </c:pt>
                <c:pt idx="1">
                  <c:v>1</c:v>
                </c:pt>
              </c:numCache>
            </c:numRef>
          </c:val>
        </c:ser>
        <c:dLbls>
          <c:showLegendKey val="0"/>
          <c:showVal val="1"/>
          <c:showCatName val="0"/>
          <c:showSerName val="0"/>
          <c:showPercent val="0"/>
          <c:showBubbleSize val="0"/>
        </c:dLbls>
        <c:gapWidth val="150"/>
        <c:overlap val="100"/>
        <c:axId val="637550656"/>
        <c:axId val="637551136"/>
      </c:barChart>
      <c:catAx>
        <c:axId val="637550656"/>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37551136"/>
        <c:crosses val="autoZero"/>
        <c:auto val="1"/>
        <c:lblAlgn val="ctr"/>
        <c:lblOffset val="100"/>
        <c:noMultiLvlLbl val="0"/>
      </c:catAx>
      <c:valAx>
        <c:axId val="63755113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375506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得分率!$C$147:$C$148</c:f>
              <c:strCache>
                <c:ptCount val="2"/>
                <c:pt idx="0">
                  <c:v>经济成本控制情况</c:v>
                </c:pt>
                <c:pt idx="1">
                  <c:v>“三公”经费控制情况</c:v>
                </c:pt>
              </c:strCache>
            </c:strRef>
          </c:cat>
          <c:val>
            <c:numRef>
              <c:f>得分率!$F$147:$F$148</c:f>
              <c:numCache>
                <c:formatCode>0.00%</c:formatCode>
                <c:ptCount val="2"/>
                <c:pt idx="0">
                  <c:v>0.666666666666667</c:v>
                </c:pt>
                <c:pt idx="1">
                  <c:v>1</c:v>
                </c:pt>
              </c:numCache>
            </c:numRef>
          </c:val>
        </c:ser>
        <c:dLbls>
          <c:showLegendKey val="0"/>
          <c:showVal val="1"/>
          <c:showCatName val="0"/>
          <c:showSerName val="0"/>
          <c:showPercent val="0"/>
          <c:showBubbleSize val="0"/>
        </c:dLbls>
        <c:gapWidth val="150"/>
        <c:overlap val="100"/>
        <c:axId val="921030576"/>
        <c:axId val="921033936"/>
      </c:barChart>
      <c:catAx>
        <c:axId val="921030576"/>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21033936"/>
        <c:crosses val="autoZero"/>
        <c:auto val="1"/>
        <c:lblAlgn val="ctr"/>
        <c:lblOffset val="100"/>
        <c:noMultiLvlLbl val="0"/>
      </c:catAx>
      <c:valAx>
        <c:axId val="921033936"/>
        <c:scaling>
          <c:orientation val="minMax"/>
        </c:scaling>
        <c:delete val="1"/>
        <c:axPos val="t"/>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210305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得分率!$C$18:$C$32</c:f>
              <c:strCache>
                <c:ptCount val="15"/>
                <c:pt idx="0">
                  <c:v>居民电子健康档案建档率</c:v>
                </c:pt>
                <c:pt idx="1">
                  <c:v>传染病报告率和报告及时率</c:v>
                </c:pt>
                <c:pt idx="2">
                  <c:v>突发公共卫生事件相关信息报告率</c:v>
                </c:pt>
                <c:pt idx="3">
                  <c:v>患者管理率</c:v>
                </c:pt>
                <c:pt idx="4">
                  <c:v>国家免疫规划疫苗接种率</c:v>
                </c:pt>
                <c:pt idx="5">
                  <c:v>肠癌早筛任务完成情况</c:v>
                </c:pt>
                <c:pt idx="6">
                  <c:v>老年人城乡社区规范健康管理服务率</c:v>
                </c:pt>
                <c:pt idx="7">
                  <c:v>二级及以上综合性医院设置老年医学科的比例</c:v>
                </c:pt>
                <c:pt idx="8">
                  <c:v>基本药物配备品种</c:v>
                </c:pt>
                <c:pt idx="9">
                  <c:v>政府办基层医疗卫生机构实施国家基本药物制度覆盖率</c:v>
                </c:pt>
                <c:pt idx="10">
                  <c:v>食品安全检测任务完成情况</c:v>
                </c:pt>
                <c:pt idx="11">
                  <c:v>孕产妇系统管理率</c:v>
                </c:pt>
                <c:pt idx="12">
                  <c:v>3岁以下儿童系统管理率</c:v>
                </c:pt>
                <c:pt idx="13">
                  <c:v>新生儿筛查任务完成情况</c:v>
                </c:pt>
                <c:pt idx="14">
                  <c:v>两癌工作完成情况</c:v>
                </c:pt>
              </c:strCache>
            </c:strRef>
          </c:cat>
          <c:val>
            <c:numRef>
              <c:f>得分率!$F$18:$F$32</c:f>
              <c:numCache>
                <c:formatCode>0.00%</c:formatCode>
                <c:ptCount val="15"/>
                <c:pt idx="0">
                  <c:v>1</c:v>
                </c:pt>
                <c:pt idx="1">
                  <c:v>1</c:v>
                </c:pt>
                <c:pt idx="2">
                  <c:v>1</c:v>
                </c:pt>
                <c:pt idx="3">
                  <c:v>1</c:v>
                </c:pt>
                <c:pt idx="4">
                  <c:v>1</c:v>
                </c:pt>
                <c:pt idx="5">
                  <c:v>1</c:v>
                </c:pt>
                <c:pt idx="6">
                  <c:v>1</c:v>
                </c:pt>
                <c:pt idx="7">
                  <c:v>1</c:v>
                </c:pt>
                <c:pt idx="8">
                  <c:v>1</c:v>
                </c:pt>
                <c:pt idx="9">
                  <c:v>1</c:v>
                </c:pt>
                <c:pt idx="10">
                  <c:v>1</c:v>
                </c:pt>
                <c:pt idx="11">
                  <c:v>1</c:v>
                </c:pt>
                <c:pt idx="12">
                  <c:v>1</c:v>
                </c:pt>
                <c:pt idx="13">
                  <c:v>1</c:v>
                </c:pt>
                <c:pt idx="14">
                  <c:v>1</c:v>
                </c:pt>
              </c:numCache>
            </c:numRef>
          </c:val>
        </c:ser>
        <c:dLbls>
          <c:showLegendKey val="0"/>
          <c:showVal val="1"/>
          <c:showCatName val="0"/>
          <c:showSerName val="0"/>
          <c:showPercent val="0"/>
          <c:showBubbleSize val="0"/>
        </c:dLbls>
        <c:gapWidth val="150"/>
        <c:overlap val="100"/>
        <c:axId val="909730768"/>
        <c:axId val="909729808"/>
      </c:barChart>
      <c:catAx>
        <c:axId val="909730768"/>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9729808"/>
        <c:crosses val="autoZero"/>
        <c:auto val="1"/>
        <c:lblAlgn val="ctr"/>
        <c:lblOffset val="100"/>
        <c:noMultiLvlLbl val="0"/>
      </c:catAx>
      <c:valAx>
        <c:axId val="909729808"/>
        <c:scaling>
          <c:orientation val="minMax"/>
        </c:scaling>
        <c:delete val="1"/>
        <c:axPos val="t"/>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97307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得分率!$C$36:$C$45</c:f>
              <c:strCache>
                <c:ptCount val="10"/>
                <c:pt idx="0">
                  <c:v>人均预期寿命（岁）</c:v>
                </c:pt>
                <c:pt idx="1">
                  <c:v>每千常驻人口医疗卫生机构床位数</c:v>
                </c:pt>
                <c:pt idx="2">
                  <c:v>每千人口拥有执业（助理）医师数</c:v>
                </c:pt>
                <c:pt idx="3">
                  <c:v>每万常住人口全科医生数</c:v>
                </c:pt>
                <c:pt idx="4">
                  <c:v>公立医院高质量发展水平提高</c:v>
                </c:pt>
                <c:pt idx="5">
                  <c:v>5 岁以下儿童死亡率</c:v>
                </c:pt>
                <c:pt idx="6">
                  <c:v>孕产妇死亡率</c:v>
                </c:pt>
                <c:pt idx="7">
                  <c:v>公立医院住院率</c:v>
                </c:pt>
                <c:pt idx="8">
                  <c:v>现代医院管理制度</c:v>
                </c:pt>
                <c:pt idx="9">
                  <c:v>促成“引进来”项目协议投资额</c:v>
                </c:pt>
              </c:strCache>
            </c:strRef>
          </c:cat>
          <c:val>
            <c:numRef>
              <c:f>得分率!$F$36:$F$45</c:f>
              <c:numCache>
                <c:formatCode>0.00%</c:formatCode>
                <c:ptCount val="10"/>
                <c:pt idx="0">
                  <c:v>1</c:v>
                </c:pt>
                <c:pt idx="1">
                  <c:v>1</c:v>
                </c:pt>
                <c:pt idx="2">
                  <c:v>1</c:v>
                </c:pt>
                <c:pt idx="3">
                  <c:v>1</c:v>
                </c:pt>
                <c:pt idx="4">
                  <c:v>0.666666666666667</c:v>
                </c:pt>
                <c:pt idx="5">
                  <c:v>1</c:v>
                </c:pt>
                <c:pt idx="6">
                  <c:v>1</c:v>
                </c:pt>
                <c:pt idx="7">
                  <c:v>1</c:v>
                </c:pt>
                <c:pt idx="8">
                  <c:v>1</c:v>
                </c:pt>
                <c:pt idx="9">
                  <c:v>1</c:v>
                </c:pt>
              </c:numCache>
            </c:numRef>
          </c:val>
        </c:ser>
        <c:dLbls>
          <c:showLegendKey val="0"/>
          <c:showVal val="1"/>
          <c:showCatName val="0"/>
          <c:showSerName val="0"/>
          <c:showPercent val="0"/>
          <c:showBubbleSize val="0"/>
        </c:dLbls>
        <c:gapWidth val="150"/>
        <c:overlap val="100"/>
        <c:axId val="921031536"/>
        <c:axId val="921029616"/>
      </c:barChart>
      <c:catAx>
        <c:axId val="921031536"/>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21029616"/>
        <c:crosses val="autoZero"/>
        <c:auto val="1"/>
        <c:lblAlgn val="ctr"/>
        <c:lblOffset val="100"/>
        <c:noMultiLvlLbl val="0"/>
      </c:catAx>
      <c:valAx>
        <c:axId val="921029616"/>
        <c:scaling>
          <c:orientation val="minMax"/>
        </c:scaling>
        <c:delete val="1"/>
        <c:axPos val="t"/>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210315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得分率!$C$53:$C$62</c:f>
              <c:strCache>
                <c:ptCount val="10"/>
                <c:pt idx="0">
                  <c:v>重大传染病防控任务完成情况</c:v>
                </c:pt>
                <c:pt idx="1">
                  <c:v>卫生健康人才培养任务完成情况</c:v>
                </c:pt>
                <c:pt idx="2">
                  <c:v>医疗机构能力建设任务完成情况</c:v>
                </c:pt>
                <c:pt idx="3">
                  <c:v>公立医院综合改革任务完成情况</c:v>
                </c:pt>
                <c:pt idx="4">
                  <c:v>计划生育补助任务完成情况</c:v>
                </c:pt>
                <c:pt idx="5">
                  <c:v>适龄女生HPV疫苗接种任务完成情况</c:v>
                </c:pt>
                <c:pt idx="6">
                  <c:v>卫生健康领域补助任务完成情况</c:v>
                </c:pt>
                <c:pt idx="7">
                  <c:v>疫病防控任务完成情况</c:v>
                </c:pt>
                <c:pt idx="8">
                  <c:v>基层医疗卫生人才队伍建设任务完成情况</c:v>
                </c:pt>
                <c:pt idx="9">
                  <c:v>中医药人才培养及能力建设完成情况</c:v>
                </c:pt>
              </c:strCache>
            </c:strRef>
          </c:cat>
          <c:val>
            <c:numRef>
              <c:f>得分率!$F$53:$F$62</c:f>
              <c:numCache>
                <c:formatCode>0.00%</c:formatCode>
                <c:ptCount val="10"/>
                <c:pt idx="0">
                  <c:v>1</c:v>
                </c:pt>
                <c:pt idx="1">
                  <c:v>1</c:v>
                </c:pt>
                <c:pt idx="2">
                  <c:v>1</c:v>
                </c:pt>
                <c:pt idx="3">
                  <c:v>1</c:v>
                </c:pt>
                <c:pt idx="4">
                  <c:v>1</c:v>
                </c:pt>
                <c:pt idx="5">
                  <c:v>1</c:v>
                </c:pt>
                <c:pt idx="6">
                  <c:v>1</c:v>
                </c:pt>
                <c:pt idx="7">
                  <c:v>1</c:v>
                </c:pt>
                <c:pt idx="8">
                  <c:v>0.5</c:v>
                </c:pt>
                <c:pt idx="9">
                  <c:v>1</c:v>
                </c:pt>
              </c:numCache>
            </c:numRef>
          </c:val>
        </c:ser>
        <c:dLbls>
          <c:showLegendKey val="0"/>
          <c:showVal val="1"/>
          <c:showCatName val="0"/>
          <c:showSerName val="0"/>
          <c:showPercent val="0"/>
          <c:showBubbleSize val="0"/>
        </c:dLbls>
        <c:gapWidth val="150"/>
        <c:overlap val="100"/>
        <c:axId val="974947344"/>
        <c:axId val="974951184"/>
      </c:barChart>
      <c:catAx>
        <c:axId val="974947344"/>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4951184"/>
        <c:crosses val="autoZero"/>
        <c:auto val="1"/>
        <c:lblAlgn val="ctr"/>
        <c:lblOffset val="100"/>
        <c:noMultiLvlLbl val="0"/>
      </c:catAx>
      <c:valAx>
        <c:axId val="974951184"/>
        <c:scaling>
          <c:orientation val="minMax"/>
        </c:scaling>
        <c:delete val="1"/>
        <c:axPos val="t"/>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49473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得分率!$C$67:$C$68</c:f>
              <c:strCache>
                <c:ptCount val="2"/>
                <c:pt idx="0">
                  <c:v>财务管理合规性</c:v>
                </c:pt>
                <c:pt idx="1">
                  <c:v>预算编制约束性</c:v>
                </c:pt>
              </c:strCache>
            </c:strRef>
          </c:cat>
          <c:val>
            <c:numRef>
              <c:f>得分率!$F$67:$F$68</c:f>
              <c:numCache>
                <c:formatCode>0.00%</c:formatCode>
                <c:ptCount val="2"/>
                <c:pt idx="0">
                  <c:v>0.944444444444444</c:v>
                </c:pt>
                <c:pt idx="1">
                  <c:v>1</c:v>
                </c:pt>
              </c:numCache>
            </c:numRef>
          </c:val>
        </c:ser>
        <c:dLbls>
          <c:showLegendKey val="0"/>
          <c:showVal val="1"/>
          <c:showCatName val="0"/>
          <c:showSerName val="0"/>
          <c:showPercent val="0"/>
          <c:showBubbleSize val="0"/>
        </c:dLbls>
        <c:gapWidth val="150"/>
        <c:overlap val="100"/>
        <c:axId val="974939664"/>
        <c:axId val="974938224"/>
      </c:barChart>
      <c:catAx>
        <c:axId val="974939664"/>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4938224"/>
        <c:crosses val="autoZero"/>
        <c:auto val="1"/>
        <c:lblAlgn val="ctr"/>
        <c:lblOffset val="100"/>
        <c:noMultiLvlLbl val="0"/>
      </c:catAx>
      <c:valAx>
        <c:axId val="974938224"/>
        <c:scaling>
          <c:orientation val="minMax"/>
        </c:scaling>
        <c:delete val="1"/>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49396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得分率!$C$83:$C$84</c:f>
              <c:strCache>
                <c:ptCount val="2"/>
                <c:pt idx="0">
                  <c:v>绩效信息公开情况</c:v>
                </c:pt>
                <c:pt idx="1">
                  <c:v>预决算公开合规性</c:v>
                </c:pt>
              </c:strCache>
            </c:strRef>
          </c:cat>
          <c:val>
            <c:numRef>
              <c:f>得分率!$F$83:$F$84</c:f>
              <c:numCache>
                <c:formatCode>0.00%</c:formatCode>
                <c:ptCount val="2"/>
                <c:pt idx="0">
                  <c:v>1</c:v>
                </c:pt>
                <c:pt idx="1">
                  <c:v>1</c:v>
                </c:pt>
              </c:numCache>
            </c:numRef>
          </c:val>
        </c:ser>
        <c:dLbls>
          <c:showLegendKey val="0"/>
          <c:showVal val="1"/>
          <c:showCatName val="0"/>
          <c:showSerName val="0"/>
          <c:showPercent val="0"/>
          <c:showBubbleSize val="0"/>
        </c:dLbls>
        <c:gapWidth val="150"/>
        <c:overlap val="100"/>
        <c:axId val="974950704"/>
        <c:axId val="974941584"/>
      </c:barChart>
      <c:catAx>
        <c:axId val="974950704"/>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4941584"/>
        <c:crosses val="autoZero"/>
        <c:auto val="1"/>
        <c:lblAlgn val="ctr"/>
        <c:lblOffset val="100"/>
        <c:noMultiLvlLbl val="0"/>
      </c:catAx>
      <c:valAx>
        <c:axId val="974941584"/>
        <c:scaling>
          <c:orientation val="minMax"/>
        </c:scaling>
        <c:delete val="1"/>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49507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得分率!$C$98:$C$99</c:f>
              <c:strCache>
                <c:ptCount val="2"/>
                <c:pt idx="0">
                  <c:v>绩效管理制度执行</c:v>
                </c:pt>
                <c:pt idx="1">
                  <c:v>绩效管理制度建设</c:v>
                </c:pt>
              </c:strCache>
            </c:strRef>
          </c:cat>
          <c:val>
            <c:numRef>
              <c:f>得分率!$F$98:$F$99</c:f>
              <c:numCache>
                <c:formatCode>0.00%</c:formatCode>
                <c:ptCount val="2"/>
                <c:pt idx="0">
                  <c:v>0.833333333333333</c:v>
                </c:pt>
                <c:pt idx="1">
                  <c:v>1</c:v>
                </c:pt>
              </c:numCache>
            </c:numRef>
          </c:val>
        </c:ser>
        <c:dLbls>
          <c:showLegendKey val="0"/>
          <c:showVal val="1"/>
          <c:showCatName val="0"/>
          <c:showSerName val="0"/>
          <c:showPercent val="0"/>
          <c:showBubbleSize val="0"/>
        </c:dLbls>
        <c:gapWidth val="150"/>
        <c:overlap val="100"/>
        <c:axId val="907097200"/>
        <c:axId val="907098640"/>
      </c:barChart>
      <c:catAx>
        <c:axId val="907097200"/>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7098640"/>
        <c:crosses val="autoZero"/>
        <c:auto val="1"/>
        <c:lblAlgn val="ctr"/>
        <c:lblOffset val="100"/>
        <c:noMultiLvlLbl val="0"/>
      </c:catAx>
      <c:valAx>
        <c:axId val="907098640"/>
        <c:scaling>
          <c:orientation val="minMax"/>
        </c:scaling>
        <c:delete val="1"/>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70972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4"/>
              <c:layout>
                <c:manualLayout>
                  <c:x val="0.0657894736842105"/>
                  <c:y val="-0.00462962962962954"/>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得分率!$C$115:$C$120</c:f>
              <c:strCache>
                <c:ptCount val="6"/>
                <c:pt idx="0">
                  <c:v>采购意向公开合规性</c:v>
                </c:pt>
                <c:pt idx="1">
                  <c:v>采购内控制度建设</c:v>
                </c:pt>
                <c:pt idx="2">
                  <c:v>采购活动合规性</c:v>
                </c:pt>
                <c:pt idx="3">
                  <c:v>采购合同签订时效性</c:v>
                </c:pt>
                <c:pt idx="4">
                  <c:v>合同备案时效性</c:v>
                </c:pt>
                <c:pt idx="5">
                  <c:v>采购政策效能</c:v>
                </c:pt>
              </c:strCache>
            </c:strRef>
          </c:cat>
          <c:val>
            <c:numRef>
              <c:f>得分率!$F$115:$F$120</c:f>
              <c:numCache>
                <c:formatCode>0.00%</c:formatCode>
                <c:ptCount val="6"/>
                <c:pt idx="0">
                  <c:v>0.75</c:v>
                </c:pt>
                <c:pt idx="1">
                  <c:v>1</c:v>
                </c:pt>
                <c:pt idx="2">
                  <c:v>1</c:v>
                </c:pt>
                <c:pt idx="3">
                  <c:v>0.333333333333333</c:v>
                </c:pt>
                <c:pt idx="4">
                  <c:v>0</c:v>
                </c:pt>
                <c:pt idx="5">
                  <c:v>0.43</c:v>
                </c:pt>
              </c:numCache>
            </c:numRef>
          </c:val>
        </c:ser>
        <c:dLbls>
          <c:showLegendKey val="0"/>
          <c:showVal val="1"/>
          <c:showCatName val="0"/>
          <c:showSerName val="0"/>
          <c:showPercent val="0"/>
          <c:showBubbleSize val="0"/>
        </c:dLbls>
        <c:gapWidth val="150"/>
        <c:overlap val="100"/>
        <c:axId val="774023184"/>
        <c:axId val="774024144"/>
      </c:barChart>
      <c:catAx>
        <c:axId val="774023184"/>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74024144"/>
        <c:crosses val="autoZero"/>
        <c:auto val="1"/>
        <c:lblAlgn val="ctr"/>
        <c:lblOffset val="100"/>
        <c:noMultiLvlLbl val="0"/>
      </c:catAx>
      <c:valAx>
        <c:axId val="774024144"/>
        <c:scaling>
          <c:orientation val="minMax"/>
        </c:scaling>
        <c:delete val="1"/>
        <c:axPos val="t"/>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740231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得分率!$C$132:$C$137</c:f>
              <c:strCache>
                <c:ptCount val="6"/>
                <c:pt idx="0">
                  <c:v>资产配置合规性</c:v>
                </c:pt>
                <c:pt idx="1">
                  <c:v>资产收益上缴的及时性</c:v>
                </c:pt>
                <c:pt idx="2">
                  <c:v>资产盘点情况</c:v>
                </c:pt>
                <c:pt idx="3">
                  <c:v>数据质量</c:v>
                </c:pt>
                <c:pt idx="4">
                  <c:v>资产管理合规性</c:v>
                </c:pt>
                <c:pt idx="5">
                  <c:v>固定资产利用率</c:v>
                </c:pt>
              </c:strCache>
            </c:strRef>
          </c:cat>
          <c:val>
            <c:numRef>
              <c:f>得分率!$F$132:$F$137</c:f>
              <c:numCache>
                <c:formatCode>0.00%</c:formatCode>
                <c:ptCount val="6"/>
                <c:pt idx="0">
                  <c:v>1</c:v>
                </c:pt>
                <c:pt idx="1">
                  <c:v>1</c:v>
                </c:pt>
                <c:pt idx="2">
                  <c:v>1</c:v>
                </c:pt>
                <c:pt idx="3">
                  <c:v>0.5</c:v>
                </c:pt>
                <c:pt idx="4">
                  <c:v>0.5</c:v>
                </c:pt>
                <c:pt idx="5">
                  <c:v>1</c:v>
                </c:pt>
              </c:numCache>
            </c:numRef>
          </c:val>
        </c:ser>
        <c:dLbls>
          <c:showLegendKey val="0"/>
          <c:showVal val="1"/>
          <c:showCatName val="0"/>
          <c:showSerName val="0"/>
          <c:showPercent val="0"/>
          <c:showBubbleSize val="0"/>
        </c:dLbls>
        <c:gapWidth val="150"/>
        <c:overlap val="100"/>
        <c:axId val="990146336"/>
        <c:axId val="990147776"/>
      </c:barChart>
      <c:catAx>
        <c:axId val="990146336"/>
        <c:scaling>
          <c:orientation val="maxMin"/>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0147776"/>
        <c:crosses val="autoZero"/>
        <c:auto val="1"/>
        <c:lblAlgn val="ctr"/>
        <c:lblOffset val="100"/>
        <c:noMultiLvlLbl val="0"/>
      </c:catAx>
      <c:valAx>
        <c:axId val="990147776"/>
        <c:scaling>
          <c:orientation val="minMax"/>
        </c:scaling>
        <c:delete val="1"/>
        <c:axPos val="t"/>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01463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0.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6.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7.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55</Pages>
  <Words>5787</Words>
  <Characters>32990</Characters>
  <Lines>274</Lines>
  <Paragraphs>77</Paragraphs>
  <TotalTime>299</TotalTime>
  <ScaleCrop>false</ScaleCrop>
  <LinksUpToDate>false</LinksUpToDate>
  <CharactersWithSpaces>38700</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2023-11-12T21:50:00Z</dcterms:created>
  <dc:creator>Ace Xu</dc:creator>
  <cp:lastModifiedBy>user</cp:lastModifiedBy>
  <dcterms:modified xsi:type="dcterms:W3CDTF">2023-12-08T09:07:02Z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8EA217D4952240F3AB06961521F8EA31_13</vt:lpwstr>
  </property>
</Properties>
</file>