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firstLine="880" w:firstLineChars="200"/>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广东省韶关生态环境监测中心站</w:t>
      </w:r>
    </w:p>
    <w:p>
      <w:pPr>
        <w:autoSpaceDE w:val="0"/>
        <w:autoSpaceDN w:val="0"/>
        <w:adjustRightInd w:val="0"/>
        <w:spacing w:line="560" w:lineRule="exact"/>
        <w:ind w:firstLine="880" w:firstLineChars="20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rPr>
        <w:t>202</w:t>
      </w:r>
      <w:r>
        <w:rPr>
          <w:rFonts w:hint="eastAsia" w:ascii="方正小标宋简体" w:hAnsi="方正小标宋简体" w:eastAsia="方正小标宋简体" w:cs="方正小标宋简体"/>
          <w:b w:val="0"/>
          <w:bCs w:val="0"/>
          <w:color w:val="auto"/>
          <w:kern w:val="0"/>
          <w:sz w:val="44"/>
          <w:szCs w:val="44"/>
          <w:lang w:val="en-US" w:eastAsia="zh-CN"/>
        </w:rPr>
        <w:t>4</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val="en-US" w:eastAsia="zh-CN"/>
        </w:rPr>
        <w:t>工业气体采购需求</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工业气体种类</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工业气体采购包含液氩（高纯氩）、氮气（纯氮）、氮气（纯氮）、干燥空气、高纯氦气、氩气（纯氩）、乙炔、液氮等气体类型。</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、项目需求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73"/>
        <w:gridCol w:w="1391"/>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序号</w:t>
            </w:r>
          </w:p>
        </w:tc>
        <w:tc>
          <w:tcPr>
            <w:tcW w:w="2073" w:type="dxa"/>
            <w:vAlign w:val="center"/>
          </w:tcPr>
          <w:p>
            <w:pPr>
              <w:pStyle w:val="6"/>
              <w:shd w:val="clear" w:color="auto" w:fill="FFFFFF"/>
              <w:spacing w:before="0" w:beforeAutospacing="0" w:after="0" w:afterAutospacing="0" w:line="240" w:lineRule="auto"/>
              <w:jc w:val="center"/>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气体名称</w:t>
            </w:r>
          </w:p>
        </w:tc>
        <w:tc>
          <w:tcPr>
            <w:tcW w:w="1391" w:type="dxa"/>
            <w:vAlign w:val="center"/>
          </w:tcPr>
          <w:p>
            <w:pPr>
              <w:pStyle w:val="6"/>
              <w:shd w:val="clear" w:color="auto" w:fill="FFFFFF"/>
              <w:spacing w:before="0" w:beforeAutospacing="0" w:after="0" w:afterAutospacing="0" w:line="24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单价</w:t>
            </w:r>
          </w:p>
          <w:p>
            <w:pPr>
              <w:pStyle w:val="6"/>
              <w:shd w:val="clear" w:color="auto" w:fill="FFFFFF"/>
              <w:spacing w:before="0" w:beforeAutospacing="0" w:after="0" w:afterAutospacing="0" w:line="24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（元/瓶）</w:t>
            </w:r>
          </w:p>
        </w:tc>
        <w:tc>
          <w:tcPr>
            <w:tcW w:w="4239" w:type="dxa"/>
            <w:vAlign w:val="center"/>
          </w:tcPr>
          <w:p>
            <w:pPr>
              <w:pStyle w:val="6"/>
              <w:shd w:val="clear" w:color="auto" w:fill="FFFFFF"/>
              <w:spacing w:before="0" w:beforeAutospacing="0" w:after="0" w:afterAutospacing="0" w:line="240" w:lineRule="auto"/>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液氩（高纯氩）</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1900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技术要求：GB/T 4842-2017，纯度：≥99.999% 规格容量：175L/瓶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1"/>
                <w:szCs w:val="21"/>
                <w:u w:val="none"/>
                <w:lang w:val="en-US" w:eastAsia="zh-CN" w:bidi="ar"/>
              </w:rPr>
              <w:t>氮气（纯氮）</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  技术要求：GB/T 8979-2008，纯度：≥99.99%  规格容量： 10L/瓶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1"/>
                <w:szCs w:val="21"/>
                <w:u w:val="none"/>
                <w:lang w:val="en-US" w:eastAsia="zh-CN" w:bidi="ar"/>
              </w:rPr>
              <w:t>氮气（纯氮）</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   技术要求：GB/T 8979-2008，纯度：≥99.99%  规格容量： 40L/瓶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1"/>
                <w:szCs w:val="21"/>
                <w:u w:val="none"/>
                <w:lang w:val="en-US" w:eastAsia="zh-CN" w:bidi="ar"/>
              </w:rPr>
              <w:t>干燥空气</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   技术要求：GB/T 132773-2015，纯度：≥99.99%  规格容量： 40L/瓶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高纯氦气</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3500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ICP-MS使用  技术要求：GB 4844-2011 纯度：≥99.999%    规格容量：40L/瓶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1"/>
                <w:szCs w:val="21"/>
                <w:u w:val="none"/>
                <w:lang w:val="en-US" w:eastAsia="zh-CN" w:bidi="ar"/>
              </w:rPr>
              <w:t>氩气（纯氩）</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1"/>
                <w:szCs w:val="21"/>
                <w:u w:val="none"/>
                <w:lang w:val="en-US" w:eastAsia="zh-CN" w:bidi="ar"/>
              </w:rPr>
              <w:t xml:space="preserve">原子荧光、ICP-MS用  技术要求：GB/T 4842-2017，纯度：≥99.99%  规格容量：40L/瓶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乙炔</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250</w:t>
            </w:r>
          </w:p>
        </w:tc>
        <w:tc>
          <w:tcPr>
            <w:tcW w:w="423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   原子吸收用  技术要求：GB 6819-2004 纯度：≥98%    规格容量：40.8L/瓶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液氮</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900</w:t>
            </w:r>
          </w:p>
        </w:tc>
        <w:tc>
          <w:tcPr>
            <w:tcW w:w="423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GC-MS、预浓缩仪用  技术要求：GB 4844-2011，纯度：≥99.999% 规格容量：175L/瓶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液氮</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700</w:t>
            </w:r>
          </w:p>
        </w:tc>
        <w:tc>
          <w:tcPr>
            <w:tcW w:w="423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0"/>
                <w:szCs w:val="20"/>
                <w:u w:val="none"/>
                <w:lang w:val="en-US" w:eastAsia="zh-CN" w:bidi="ar"/>
              </w:rPr>
              <w:t xml:space="preserve">GC-MS、预浓缩仪用 技术要求：GB 4844-2011，纯度：≥99.999% 规格容量：80kg/瓶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07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高纯氧气</w:t>
            </w:r>
          </w:p>
        </w:tc>
        <w:tc>
          <w:tcPr>
            <w:tcW w:w="1391" w:type="dxa"/>
            <w:vAlign w:val="center"/>
          </w:tcPr>
          <w:p>
            <w:pPr>
              <w:pStyle w:val="6"/>
              <w:shd w:val="clear" w:color="auto" w:fill="FFFFFF"/>
              <w:spacing w:before="0" w:beforeAutospacing="0" w:after="0" w:afterAutospacing="0" w:line="240" w:lineRule="auto"/>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w:t>
            </w:r>
          </w:p>
        </w:tc>
        <w:tc>
          <w:tcPr>
            <w:tcW w:w="4239" w:type="dxa"/>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 w:hAnsi="仿宋" w:eastAsia="仿宋" w:cs="仿宋"/>
                <w:i w:val="0"/>
                <w:iCs w:val="0"/>
                <w:color w:val="auto"/>
                <w:kern w:val="0"/>
                <w:sz w:val="18"/>
                <w:szCs w:val="18"/>
                <w:u w:val="none"/>
                <w:lang w:val="en-US" w:eastAsia="zh-CN" w:bidi="ar"/>
              </w:rPr>
              <w:t>DMA-80测汞仪使用，技术要求：HJ 923-2017，纯度≥99.999 %，规格容量40L/瓶</w:t>
            </w:r>
          </w:p>
        </w:tc>
      </w:tr>
    </w:tbl>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）采购人提出供货需求后24小时内供货。原则上不超过时限2天。</w:t>
      </w:r>
    </w:p>
    <w:p>
      <w:pPr>
        <w:pStyle w:val="6"/>
        <w:numPr>
          <w:ilvl w:val="0"/>
          <w:numId w:val="1"/>
        </w:numPr>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val="en-US" w:eastAsia="zh-CN"/>
        </w:rPr>
        <w:t>采购价</w:t>
      </w:r>
      <w:r>
        <w:rPr>
          <w:rFonts w:hint="eastAsia" w:ascii="仿宋_GB2312" w:hAnsi="仿宋_GB2312" w:eastAsia="仿宋_GB2312" w:cs="仿宋_GB2312"/>
          <w:color w:val="auto"/>
          <w:sz w:val="32"/>
          <w:szCs w:val="32"/>
        </w:rPr>
        <w:t>为最高限价，每种</w:t>
      </w:r>
      <w:r>
        <w:rPr>
          <w:rFonts w:hint="eastAsia" w:ascii="仿宋_GB2312" w:hAnsi="仿宋_GB2312" w:eastAsia="仿宋_GB2312" w:cs="仿宋_GB2312"/>
          <w:color w:val="auto"/>
          <w:sz w:val="32"/>
          <w:szCs w:val="32"/>
          <w:lang w:val="en-US" w:eastAsia="zh-CN"/>
        </w:rPr>
        <w:t>气体</w:t>
      </w:r>
      <w:r>
        <w:rPr>
          <w:rFonts w:hint="eastAsia" w:ascii="仿宋_GB2312" w:hAnsi="仿宋_GB2312" w:eastAsia="仿宋_GB2312" w:cs="仿宋_GB2312"/>
          <w:color w:val="auto"/>
          <w:sz w:val="32"/>
          <w:szCs w:val="32"/>
        </w:rPr>
        <w:t>的报价不能超过其对应的最高限价。</w:t>
      </w:r>
      <w:r>
        <w:rPr>
          <w:rFonts w:hint="eastAsia" w:ascii="仿宋_GB2312" w:hAnsi="仿宋_GB2312" w:eastAsia="仿宋_GB2312" w:cs="仿宋_GB2312"/>
          <w:color w:val="auto"/>
          <w:sz w:val="32"/>
          <w:szCs w:val="32"/>
          <w:lang w:val="en-US" w:eastAsia="zh-CN"/>
        </w:rPr>
        <w:t>采购价包含</w:t>
      </w:r>
      <w:r>
        <w:rPr>
          <w:rFonts w:hint="eastAsia" w:ascii="仿宋_GB2312" w:hAnsi="仿宋_GB2312" w:eastAsia="仿宋_GB2312" w:cs="仿宋_GB2312"/>
          <w:color w:val="auto"/>
          <w:sz w:val="32"/>
          <w:szCs w:val="32"/>
        </w:rPr>
        <w:t>运输费、上楼服务费、搬运服务费、所有气瓶及杜瓦罐的租赁费，有效期内的气瓶及杜瓦罐的检定合格证书等</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、供应商资格要求</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）乙方必须是一个合法的</w:t>
      </w:r>
      <w:r>
        <w:rPr>
          <w:rFonts w:hint="eastAsia" w:ascii="仿宋_GB2312" w:hAnsi="仿宋_GB2312" w:eastAsia="仿宋_GB2312" w:cs="仿宋_GB2312"/>
          <w:color w:val="auto"/>
          <w:sz w:val="32"/>
          <w:szCs w:val="32"/>
          <w:lang w:val="en-US" w:eastAsia="zh-CN"/>
        </w:rPr>
        <w:t>工业气体供应</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（包括气体供应资质证、气瓶充装许可证、危化品经营许可证），</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lang w:val="en-US" w:eastAsia="zh-CN"/>
        </w:rPr>
        <w:t>危险气体</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lang w:val="en-US" w:eastAsia="zh-CN"/>
        </w:rPr>
        <w:t>灌装、</w:t>
      </w:r>
      <w:r>
        <w:rPr>
          <w:rFonts w:hint="eastAsia" w:ascii="仿宋_GB2312" w:hAnsi="仿宋_GB2312" w:eastAsia="仿宋_GB2312" w:cs="仿宋_GB2312"/>
          <w:color w:val="auto"/>
          <w:sz w:val="32"/>
          <w:szCs w:val="32"/>
          <w:lang w:eastAsia="zh-CN"/>
        </w:rPr>
        <w:t>实际承运的资质、经验和能力，能为用户提供年检、维修、检漏、调压、清洗等服务。能开具正规发票。</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易燃易爆气体的投标单位应当具有国家安全生产许可证，并且需要具备相应的安全生产管理体系，确保安全生产。</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气体供应商应严格执行国家和政府相关部门的法律法规及相关的行业标准，保证各类气瓶符合国家压力容器安全技术监察规程等规范要求，确保产品安全使用。</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）气体供应商应按照有关规定做好气瓶的钢印和颜色标记，写明气体名称，不得随意更改，以防混淆。若气瓶上的颜色、品名等不清楚而无法识别，不得进入</w:t>
      </w:r>
      <w:r>
        <w:rPr>
          <w:rFonts w:hint="eastAsia" w:ascii="仿宋_GB2312" w:hAnsi="仿宋_GB2312" w:eastAsia="仿宋_GB2312" w:cs="仿宋_GB2312"/>
          <w:color w:val="auto"/>
          <w:sz w:val="32"/>
          <w:szCs w:val="32"/>
          <w:lang w:val="en-US" w:eastAsia="zh-CN"/>
        </w:rPr>
        <w:t>甲方实验室</w:t>
      </w:r>
      <w:r>
        <w:rPr>
          <w:rFonts w:hint="eastAsia" w:ascii="仿宋_GB2312" w:hAnsi="仿宋_GB2312" w:eastAsia="仿宋_GB2312" w:cs="仿宋_GB2312"/>
          <w:color w:val="auto"/>
          <w:sz w:val="32"/>
          <w:szCs w:val="32"/>
          <w:lang w:eastAsia="zh-CN"/>
        </w:rPr>
        <w:t xml:space="preserve">。 </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）气体供应商应聘请具备良好素质的供货人员，必须对供货人员进行有关气体性质、气瓶的基础知识、潜在危险和应急处理措施等内容的培训，供货人员经培训合格后持证上岗，持证供货人员才能进出</w:t>
      </w:r>
      <w:r>
        <w:rPr>
          <w:rFonts w:hint="eastAsia" w:ascii="仿宋_GB2312" w:hAnsi="仿宋_GB2312" w:eastAsia="仿宋_GB2312" w:cs="仿宋_GB2312"/>
          <w:color w:val="auto"/>
          <w:sz w:val="32"/>
          <w:szCs w:val="32"/>
          <w:lang w:val="en-US" w:eastAsia="zh-CN"/>
        </w:rPr>
        <w:t>甲方实验室</w:t>
      </w:r>
      <w:r>
        <w:rPr>
          <w:rFonts w:hint="eastAsia" w:ascii="仿宋_GB2312" w:hAnsi="仿宋_GB2312" w:eastAsia="仿宋_GB2312" w:cs="仿宋_GB2312"/>
          <w:color w:val="auto"/>
          <w:sz w:val="32"/>
          <w:szCs w:val="32"/>
          <w:lang w:eastAsia="zh-CN"/>
        </w:rPr>
        <w:t>。</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（6）在运输过程中，气瓶应装上防震垫圈、旋紧安全帽，注意安全。供货人员在搬动气瓶时一般用特别的担架或小推车也可以用手平台或者垂直转动，但决不允许用手搬着开关总阀移动。</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（7）气体供应商应根据用户需求，及时供货。</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如果实验单位需要，供应商必须承诺回收废旧气瓶和残余气体。</w:t>
      </w:r>
      <w:bookmarkStart w:id="0" w:name="_GoBack"/>
      <w:bookmarkEnd w:id="0"/>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对于不按规定开展供货工作的气体供应商，将取消其供货资格。</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四、结算方式</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分批次按照合同附件约定的单价、实际采购量据实结算，结算金额累计不超过采购预算。</w:t>
      </w:r>
    </w:p>
    <w:p>
      <w:pPr>
        <w:pStyle w:val="6"/>
        <w:shd w:val="clear" w:color="auto" w:fill="FFFFFF"/>
        <w:spacing w:before="0" w:beforeAutospacing="0" w:after="0" w:afterAutospacing="0" w:line="560" w:lineRule="exact"/>
        <w:ind w:firstLine="48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合同暂定预算总额（即采购预算）为（大写）：  壹拾三万元整   （￥ 130000.00  元）人民币（已含税费）。</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合同履行</w:t>
      </w:r>
      <w:r>
        <w:rPr>
          <w:rFonts w:hint="eastAsia" w:ascii="仿宋_GB2312" w:hAnsi="仿宋_GB2312" w:eastAsia="仿宋_GB2312" w:cs="仿宋_GB2312"/>
          <w:color w:val="auto"/>
          <w:sz w:val="32"/>
          <w:szCs w:val="32"/>
          <w:lang w:eastAsia="zh-CN"/>
        </w:rPr>
        <w:t>期限</w:t>
      </w:r>
      <w:r>
        <w:rPr>
          <w:rFonts w:hint="eastAsia" w:ascii="仿宋_GB2312" w:hAnsi="仿宋_GB2312" w:eastAsia="仿宋_GB2312" w:cs="仿宋_GB2312"/>
          <w:color w:val="auto"/>
          <w:sz w:val="32"/>
          <w:szCs w:val="32"/>
        </w:rPr>
        <w:t>：1年（具体时间以合同签订为准）。</w:t>
      </w: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rPr>
      </w:pPr>
    </w:p>
    <w:p>
      <w:pPr>
        <w:pStyle w:val="6"/>
        <w:shd w:val="clear" w:color="auto" w:fill="FFFFFF"/>
        <w:spacing w:before="0" w:beforeAutospacing="0" w:after="0" w:afterAutospacing="0" w:line="560" w:lineRule="exact"/>
        <w:ind w:firstLine="480"/>
        <w:rPr>
          <w:rFonts w:hint="eastAsia" w:ascii="仿宋_GB2312" w:hAnsi="仿宋_GB2312" w:eastAsia="仿宋_GB2312" w:cs="仿宋_GB2312"/>
          <w:color w:val="auto"/>
          <w:sz w:val="32"/>
          <w:szCs w:val="32"/>
        </w:rPr>
      </w:pPr>
    </w:p>
    <w:p>
      <w:pPr>
        <w:spacing w:line="560" w:lineRule="exact"/>
        <w:rPr>
          <w:rFonts w:ascii="仿宋" w:hAnsi="仿宋" w:eastAsia="仿宋"/>
          <w:color w:val="auto"/>
          <w:sz w:val="32"/>
          <w:szCs w:val="32"/>
        </w:rPr>
      </w:pPr>
    </w:p>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5DC8F"/>
    <w:multiLevelType w:val="singleLevel"/>
    <w:tmpl w:val="6205DC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ZDJkZGZlYjM3MjdmZWQ0OTUzM2JmYTU0MzVkZjgifQ=="/>
  </w:docVars>
  <w:rsids>
    <w:rsidRoot w:val="003C0010"/>
    <w:rsid w:val="002C4728"/>
    <w:rsid w:val="003C0010"/>
    <w:rsid w:val="00704E7F"/>
    <w:rsid w:val="0088260E"/>
    <w:rsid w:val="00B77EC0"/>
    <w:rsid w:val="00CA6733"/>
    <w:rsid w:val="00DB55CE"/>
    <w:rsid w:val="00DD2100"/>
    <w:rsid w:val="00F07E3F"/>
    <w:rsid w:val="01D70076"/>
    <w:rsid w:val="066E5E3E"/>
    <w:rsid w:val="098D57F0"/>
    <w:rsid w:val="0DD91CC5"/>
    <w:rsid w:val="0F6355C8"/>
    <w:rsid w:val="18E13E92"/>
    <w:rsid w:val="1A8838CD"/>
    <w:rsid w:val="1F8165C6"/>
    <w:rsid w:val="25854B97"/>
    <w:rsid w:val="2BEA0598"/>
    <w:rsid w:val="2EEE6F05"/>
    <w:rsid w:val="348A60E7"/>
    <w:rsid w:val="39F56A59"/>
    <w:rsid w:val="42C867E8"/>
    <w:rsid w:val="479243B4"/>
    <w:rsid w:val="47C30153"/>
    <w:rsid w:val="483E5427"/>
    <w:rsid w:val="4AD17EF4"/>
    <w:rsid w:val="4CD91623"/>
    <w:rsid w:val="4CF138BB"/>
    <w:rsid w:val="5195362C"/>
    <w:rsid w:val="51AE3555"/>
    <w:rsid w:val="58736967"/>
    <w:rsid w:val="589519FD"/>
    <w:rsid w:val="5C776C4B"/>
    <w:rsid w:val="5F6920CE"/>
    <w:rsid w:val="629B5A6E"/>
    <w:rsid w:val="690A46BD"/>
    <w:rsid w:val="6945252A"/>
    <w:rsid w:val="6ACD7618"/>
    <w:rsid w:val="703242F4"/>
    <w:rsid w:val="71B1100E"/>
    <w:rsid w:val="74AF7363"/>
    <w:rsid w:val="74C95D85"/>
    <w:rsid w:val="75F12B72"/>
    <w:rsid w:val="7D416415"/>
    <w:rsid w:val="7EEB6ABA"/>
    <w:rsid w:val="7F31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kern w:val="0"/>
      <w:sz w:val="20"/>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autoRedefine/>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2 Char"/>
    <w:basedOn w:val="9"/>
    <w:link w:val="3"/>
    <w:autoRedefine/>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1521</Words>
  <Characters>1608</Characters>
  <Lines>7</Lines>
  <Paragraphs>2</Paragraphs>
  <TotalTime>16</TotalTime>
  <ScaleCrop>false</ScaleCrop>
  <LinksUpToDate>false</LinksUpToDate>
  <CharactersWithSpaces>1611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2023-03-06T13:40:00Z</dcterms:created>
  <dc:creator>六六</dc:creator>
  <cp:lastModifiedBy>李华</cp:lastModifiedBy>
  <cp:lastPrinted>2024-02-05T04:50:14Z</cp:lastPrinted>
  <dcterms:modified xsi:type="dcterms:W3CDTF">2024-02-05T06:25:20Z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F7B1D76F2A6B4FE0A8795E9A33C498C6</vt:lpwstr>
  </property>
</Properties>
</file>