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pacing w:line="560" w:lineRule="exact"/>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lang w:eastAsia="zh-CN"/>
        </w:rPr>
        <w:t>韶关</w:t>
      </w:r>
      <w:r>
        <w:rPr>
          <w:rFonts w:hint="eastAsia" w:ascii="方正小标宋简体" w:eastAsia="方正小标宋简体"/>
          <w:sz w:val="44"/>
          <w:szCs w:val="44"/>
          <w:highlight w:val="none"/>
        </w:rPr>
        <w:t>市</w:t>
      </w:r>
      <w:r>
        <w:rPr>
          <w:rFonts w:hint="eastAsia" w:ascii="方正小标宋简体" w:eastAsia="方正小标宋简体"/>
          <w:sz w:val="44"/>
          <w:szCs w:val="44"/>
          <w:highlight w:val="none"/>
          <w:lang w:val="en-US" w:eastAsia="zh-CN"/>
        </w:rPr>
        <w:t>企业</w:t>
      </w:r>
      <w:r>
        <w:rPr>
          <w:rFonts w:hint="eastAsia" w:ascii="方正小标宋简体" w:eastAsia="方正小标宋简体"/>
          <w:sz w:val="44"/>
          <w:szCs w:val="44"/>
          <w:highlight w:val="none"/>
        </w:rPr>
        <w:t>职业技能等级认定工作指引</w:t>
      </w:r>
    </w:p>
    <w:p>
      <w:pPr>
        <w:pStyle w:val="12"/>
        <w:spacing w:line="560" w:lineRule="exact"/>
        <w:rPr>
          <w:highlight w:val="none"/>
        </w:rPr>
      </w:pPr>
    </w:p>
    <w:p>
      <w:pPr>
        <w:pStyle w:val="12"/>
        <w:spacing w:line="560" w:lineRule="exact"/>
        <w:ind w:firstLine="640" w:firstLineChars="200"/>
        <w:rPr>
          <w:rFonts w:hint="eastAsia" w:ascii="黑体" w:hAnsi="黑体" w:eastAsia="黑体"/>
          <w:sz w:val="32"/>
          <w:szCs w:val="32"/>
          <w:highlight w:val="none"/>
        </w:rPr>
      </w:pPr>
      <w:r>
        <w:rPr>
          <w:rFonts w:hint="eastAsia" w:ascii="黑体" w:hAnsi="黑体" w:eastAsia="黑体"/>
          <w:sz w:val="32"/>
          <w:szCs w:val="32"/>
          <w:highlight w:val="none"/>
        </w:rPr>
        <w:t>一、</w:t>
      </w:r>
      <w:r>
        <w:rPr>
          <w:rFonts w:hint="eastAsia" w:ascii="黑体" w:hAnsi="黑体" w:eastAsia="黑体"/>
          <w:sz w:val="32"/>
          <w:szCs w:val="32"/>
          <w:highlight w:val="none"/>
          <w:lang w:val="en-US" w:eastAsia="zh-CN"/>
        </w:rPr>
        <w:t>申请备案企业条件</w:t>
      </w:r>
    </w:p>
    <w:p>
      <w:pPr>
        <w:pStyle w:val="12"/>
        <w:spacing w:line="560" w:lineRule="exact"/>
        <w:ind w:firstLine="640" w:firstLineChars="200"/>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一</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基本条件</w:t>
      </w:r>
    </w:p>
    <w:p>
      <w:pPr>
        <w:pStyle w:val="12"/>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rPr>
        <w:t>在我市依法注册、合法经营，具有独立法人资格，具有规范的财务制度和管理制度，社会信用良好，无违法违规、失信等不良行为记录。</w:t>
      </w:r>
    </w:p>
    <w:p>
      <w:pPr>
        <w:pStyle w:val="12"/>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2.</w:t>
      </w:r>
      <w:r>
        <w:rPr>
          <w:rFonts w:hint="eastAsia" w:ascii="仿宋_GB2312" w:eastAsia="仿宋_GB2312"/>
          <w:sz w:val="32"/>
          <w:szCs w:val="32"/>
          <w:highlight w:val="none"/>
        </w:rPr>
        <w:t>重视企业内部技能人才培养，在拟开展评价的职业领域具有广泛的影响力和代表性、在所申报职业</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工种</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方面有较丰富的培训考核经验</w:t>
      </w:r>
      <w:r>
        <w:rPr>
          <w:rFonts w:hint="eastAsia" w:ascii="仿宋_GB2312" w:eastAsia="仿宋_GB2312"/>
          <w:sz w:val="32"/>
          <w:szCs w:val="32"/>
          <w:highlight w:val="none"/>
          <w:lang w:eastAsia="zh-CN"/>
        </w:rPr>
        <w:t>。</w:t>
      </w:r>
    </w:p>
    <w:p>
      <w:pPr>
        <w:pStyle w:val="12"/>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rPr>
        <w:t>有专门负责职业技能等级认定工作的工作机构、工作人员、专家团队</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含考评人员队伍</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、评价规章制度、信息管理系统及与评价项目相适应的场地、设备设施</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含视频监控设备</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、仪器仪表等。</w:t>
      </w:r>
    </w:p>
    <w:p>
      <w:pPr>
        <w:pStyle w:val="12"/>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坚持社会效益为先</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为企业职业技能等级认定工作提供稳定的经费保障，</w:t>
      </w:r>
      <w:r>
        <w:rPr>
          <w:rFonts w:hint="eastAsia" w:ascii="仿宋_GB2312" w:eastAsia="仿宋_GB2312"/>
          <w:sz w:val="32"/>
          <w:szCs w:val="32"/>
          <w:highlight w:val="none"/>
          <w:lang w:eastAsia="zh-CN"/>
        </w:rPr>
        <w:t>积极推动企业人力资源管理制度与职业技能等级制度对接融合</w:t>
      </w:r>
      <w:r>
        <w:rPr>
          <w:rFonts w:hint="eastAsia" w:ascii="仿宋_GB2312" w:eastAsia="仿宋_GB2312"/>
          <w:sz w:val="32"/>
          <w:szCs w:val="32"/>
          <w:highlight w:val="none"/>
        </w:rPr>
        <w:t>。</w:t>
      </w:r>
    </w:p>
    <w:p>
      <w:pPr>
        <w:pStyle w:val="12"/>
        <w:spacing w:line="560" w:lineRule="exact"/>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具有完备的职业技能等级认定工作管理措施和完善的内部质量监督机制，并配备相应的内部质量督导人员。</w:t>
      </w:r>
    </w:p>
    <w:p>
      <w:pPr>
        <w:pStyle w:val="12"/>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二</w:t>
      </w:r>
      <w:r>
        <w:rPr>
          <w:rFonts w:hint="eastAsia" w:ascii="仿宋_GB2312" w:eastAsia="仿宋_GB2312"/>
          <w:sz w:val="32"/>
          <w:szCs w:val="32"/>
          <w:highlight w:val="none"/>
          <w:lang w:eastAsia="zh-CN"/>
        </w:rPr>
        <w:t>）企业规模符合下列条件之一：</w:t>
      </w:r>
    </w:p>
    <w:p>
      <w:pPr>
        <w:pStyle w:val="12"/>
        <w:spacing w:line="560" w:lineRule="exact"/>
        <w:ind w:firstLine="640" w:firstLineChars="200"/>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1.</w:t>
      </w:r>
      <w:r>
        <w:rPr>
          <w:rFonts w:hint="eastAsia" w:ascii="仿宋_GB2312" w:eastAsia="仿宋_GB2312"/>
          <w:sz w:val="32"/>
          <w:szCs w:val="32"/>
          <w:highlight w:val="none"/>
          <w:lang w:eastAsia="zh-CN"/>
        </w:rPr>
        <w:t>企业规模符合国家统计局发布的《统计上大中小微型企业划分标准》</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国统字〔2017〕213号</w:t>
      </w:r>
      <w:r>
        <w:rPr>
          <w:rFonts w:hint="eastAsia" w:ascii="仿宋_GB2312" w:eastAsia="仿宋_GB2312"/>
          <w:sz w:val="32"/>
          <w:szCs w:val="32"/>
          <w:highlight w:val="none"/>
          <w:lang w:val="en-US" w:eastAsia="zh-CN"/>
        </w:rPr>
        <w:t>）（详见附件1）</w:t>
      </w:r>
      <w:r>
        <w:rPr>
          <w:rFonts w:hint="eastAsia" w:ascii="仿宋_GB2312" w:eastAsia="仿宋_GB2312"/>
          <w:sz w:val="32"/>
          <w:szCs w:val="32"/>
          <w:highlight w:val="none"/>
          <w:lang w:eastAsia="zh-CN"/>
        </w:rPr>
        <w:t>里的中型及以上企业标准。</w:t>
      </w:r>
    </w:p>
    <w:p>
      <w:pPr>
        <w:pStyle w:val="12"/>
        <w:spacing w:line="56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lang w:eastAsia="zh-CN"/>
        </w:rPr>
        <w:t>.被统计部门列入规上企业，以技能人员为主体且在职员工</w:t>
      </w:r>
      <w:r>
        <w:rPr>
          <w:rFonts w:hint="eastAsia" w:ascii="仿宋_GB2312" w:eastAsia="仿宋_GB2312"/>
          <w:color w:val="auto"/>
          <w:sz w:val="32"/>
          <w:szCs w:val="32"/>
          <w:highlight w:val="none"/>
          <w:lang w:val="en-US" w:eastAsia="zh-CN"/>
        </w:rPr>
        <w:t>100人以上</w:t>
      </w:r>
      <w:r>
        <w:rPr>
          <w:rFonts w:hint="eastAsia" w:ascii="仿宋_GB2312" w:eastAsia="仿宋_GB2312"/>
          <w:color w:val="auto"/>
          <w:sz w:val="32"/>
          <w:szCs w:val="32"/>
          <w:highlight w:val="none"/>
          <w:lang w:eastAsia="zh-CN"/>
        </w:rPr>
        <w:t>。</w:t>
      </w:r>
    </w:p>
    <w:p>
      <w:pPr>
        <w:pStyle w:val="12"/>
        <w:spacing w:line="560" w:lineRule="exact"/>
        <w:ind w:firstLine="640" w:firstLineChars="200"/>
        <w:rPr>
          <w:rFonts w:hint="eastAsia" w:ascii="黑体" w:hAnsi="黑体" w:eastAsia="黑体"/>
          <w:sz w:val="32"/>
          <w:szCs w:val="32"/>
          <w:highlight w:val="none"/>
        </w:rPr>
      </w:pPr>
      <w:r>
        <w:rPr>
          <w:rFonts w:hint="eastAsia" w:ascii="黑体" w:hAnsi="黑体" w:eastAsia="黑体"/>
          <w:sz w:val="32"/>
          <w:szCs w:val="32"/>
          <w:highlight w:val="none"/>
        </w:rPr>
        <w:t>二、评价对象</w:t>
      </w:r>
    </w:p>
    <w:p>
      <w:pPr>
        <w:pStyle w:val="12"/>
        <w:spacing w:line="560" w:lineRule="exact"/>
        <w:ind w:firstLine="640" w:firstLineChars="200"/>
        <w:rPr>
          <w:rFonts w:hint="eastAsia" w:ascii="黑体" w:hAnsi="黑体" w:eastAsia="黑体"/>
          <w:sz w:val="32"/>
          <w:szCs w:val="32"/>
          <w:highlight w:val="none"/>
        </w:rPr>
      </w:pPr>
      <w:r>
        <w:rPr>
          <w:rFonts w:hint="eastAsia" w:ascii="仿宋_GB2312" w:eastAsia="仿宋_GB2312"/>
          <w:sz w:val="32"/>
          <w:szCs w:val="32"/>
          <w:highlight w:val="none"/>
          <w:lang w:eastAsia="zh-CN"/>
        </w:rPr>
        <w:t>本单位职工（含在本单位工作满一年的劳务派遣人员），且符合《中华人民共和国劳动法》规定的法定劳动年龄。</w:t>
      </w:r>
    </w:p>
    <w:p>
      <w:pPr>
        <w:pStyle w:val="12"/>
        <w:spacing w:line="560" w:lineRule="exact"/>
        <w:ind w:firstLine="640" w:firstLineChars="200"/>
        <w:rPr>
          <w:rFonts w:hint="eastAsia" w:ascii="黑体" w:hAnsi="黑体" w:eastAsia="黑体"/>
          <w:sz w:val="32"/>
          <w:szCs w:val="32"/>
          <w:highlight w:val="none"/>
        </w:rPr>
      </w:pPr>
      <w:r>
        <w:rPr>
          <w:rFonts w:hint="eastAsia" w:ascii="黑体" w:hAnsi="黑体" w:eastAsia="黑体"/>
          <w:sz w:val="32"/>
          <w:szCs w:val="32"/>
          <w:highlight w:val="none"/>
          <w:lang w:val="en-US" w:eastAsia="zh-CN"/>
        </w:rPr>
        <w:t>三</w:t>
      </w:r>
      <w:r>
        <w:rPr>
          <w:rFonts w:hint="eastAsia" w:ascii="黑体" w:hAnsi="黑体" w:eastAsia="黑体"/>
          <w:sz w:val="32"/>
          <w:szCs w:val="32"/>
          <w:highlight w:val="none"/>
        </w:rPr>
        <w:t>、职业（工种）认定范围</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《中华人民共和国职业分类大典（2022年版）》</w:t>
      </w:r>
      <w:r>
        <w:rPr>
          <w:rFonts w:hint="eastAsia" w:ascii="仿宋_GB2312" w:eastAsia="仿宋_GB2312"/>
          <w:sz w:val="32"/>
          <w:szCs w:val="32"/>
          <w:highlight w:val="none"/>
          <w:lang w:val="en-US" w:eastAsia="zh-CN"/>
        </w:rPr>
        <w:t>（详见附件2）</w:t>
      </w:r>
      <w:r>
        <w:rPr>
          <w:rFonts w:hint="eastAsia" w:ascii="仿宋_GB2312" w:hAnsi="Times New Roman" w:eastAsia="仿宋_GB2312"/>
          <w:sz w:val="32"/>
          <w:szCs w:val="32"/>
          <w:highlight w:val="none"/>
          <w:lang w:val="en-US" w:eastAsia="zh-CN"/>
        </w:rPr>
        <w:t>中第3至第6大类职业（工种）以及后续经人力资源和社会保障部发布或备案的技能类职业（工种）。</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对职业分类大典未列入但企业生产经营中实际存在的技能岗位，可按照相邻相近原则对应到职业分类大典内职业（工种）实施评价。</w:t>
      </w:r>
    </w:p>
    <w:p>
      <w:pPr>
        <w:pStyle w:val="12"/>
        <w:spacing w:line="560" w:lineRule="exact"/>
        <w:ind w:firstLine="640" w:firstLineChars="200"/>
        <w:rPr>
          <w:rFonts w:hint="default" w:ascii="黑体" w:hAnsi="黑体" w:eastAsia="黑体"/>
          <w:sz w:val="32"/>
          <w:szCs w:val="32"/>
          <w:highlight w:val="none"/>
          <w:lang w:val="en-US" w:eastAsia="zh-CN"/>
        </w:rPr>
      </w:pPr>
      <w:r>
        <w:rPr>
          <w:rFonts w:hint="eastAsia" w:ascii="黑体" w:hAnsi="黑体" w:eastAsia="黑体"/>
          <w:sz w:val="32"/>
          <w:szCs w:val="32"/>
          <w:highlight w:val="none"/>
          <w:lang w:val="en-US" w:eastAsia="zh-CN"/>
        </w:rPr>
        <w:t>四、评价依据</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企业依据国家职业技能标准或行业企业评价规范开展职业技能等级认定工作。国家职业标准可在技能人才评价工作网（http://www.osta.org.cn/biaozhun.html）查询。</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支持备案企业按照岗位技能要求、生产工作内容、企业生产场所设备、企业为员工搭建的晋升通道等确定职业技能等级认定标准、认定内容、认定考场设备及申报条件，开发行业企业评价规范的经报备后作为考核评价依据。</w:t>
      </w:r>
    </w:p>
    <w:p>
      <w:pPr>
        <w:pStyle w:val="12"/>
        <w:spacing w:line="560" w:lineRule="exact"/>
        <w:ind w:firstLine="640" w:firstLineChars="200"/>
        <w:rPr>
          <w:rFonts w:hint="default" w:ascii="黑体" w:hAnsi="黑体" w:eastAsia="黑体"/>
          <w:sz w:val="32"/>
          <w:szCs w:val="32"/>
          <w:highlight w:val="none"/>
          <w:lang w:val="en-US" w:eastAsia="zh-CN"/>
        </w:rPr>
      </w:pPr>
      <w:r>
        <w:rPr>
          <w:rFonts w:hint="eastAsia" w:ascii="黑体" w:hAnsi="黑体" w:eastAsia="黑体"/>
          <w:sz w:val="32"/>
          <w:szCs w:val="32"/>
          <w:highlight w:val="none"/>
          <w:lang w:val="en-US" w:eastAsia="zh-CN"/>
        </w:rPr>
        <w:t>五、评价等级岗位要求</w:t>
      </w:r>
    </w:p>
    <w:tbl>
      <w:tblPr>
        <w:tblStyle w:val="9"/>
        <w:tblpPr w:leftFromText="180" w:rightFromText="180" w:vertAnchor="text" w:horzAnchor="page" w:tblpX="1755" w:tblpY="299"/>
        <w:tblOverlap w:val="never"/>
        <w:tblW w:w="8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32"/>
        <w:gridCol w:w="6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00" w:type="dxa"/>
            <w:vAlign w:val="center"/>
          </w:tcPr>
          <w:p>
            <w:pPr>
              <w:pStyle w:val="5"/>
              <w:spacing w:line="360" w:lineRule="exact"/>
              <w:jc w:val="center"/>
              <w:rPr>
                <w:rFonts w:hint="eastAsia" w:ascii="黑体" w:hAnsi="黑体" w:eastAsia="黑体" w:cs="黑体"/>
                <w:sz w:val="28"/>
                <w:szCs w:val="28"/>
                <w:vertAlign w:val="baseline"/>
              </w:rPr>
            </w:pPr>
            <w:r>
              <w:rPr>
                <w:rFonts w:hint="eastAsia" w:ascii="黑体" w:hAnsi="黑体" w:eastAsia="黑体" w:cs="黑体"/>
                <w:sz w:val="28"/>
                <w:szCs w:val="28"/>
                <w:vertAlign w:val="baseline"/>
              </w:rPr>
              <w:t>序号</w:t>
            </w:r>
          </w:p>
        </w:tc>
        <w:tc>
          <w:tcPr>
            <w:tcW w:w="1532" w:type="dxa"/>
            <w:vAlign w:val="center"/>
          </w:tcPr>
          <w:p>
            <w:pPr>
              <w:pStyle w:val="5"/>
              <w:spacing w:line="360" w:lineRule="exact"/>
              <w:jc w:val="center"/>
              <w:rPr>
                <w:rFonts w:hint="eastAsia" w:ascii="黑体" w:hAnsi="黑体" w:eastAsia="黑体" w:cs="黑体"/>
                <w:sz w:val="28"/>
                <w:szCs w:val="28"/>
                <w:vertAlign w:val="baseline"/>
              </w:rPr>
            </w:pPr>
            <w:r>
              <w:rPr>
                <w:rFonts w:hint="eastAsia" w:ascii="黑体" w:hAnsi="黑体" w:eastAsia="黑体" w:cs="黑体"/>
                <w:sz w:val="28"/>
                <w:szCs w:val="28"/>
                <w:vertAlign w:val="baseline"/>
              </w:rPr>
              <w:t>级别名称</w:t>
            </w:r>
          </w:p>
        </w:tc>
        <w:tc>
          <w:tcPr>
            <w:tcW w:w="6338" w:type="dxa"/>
            <w:vAlign w:val="center"/>
          </w:tcPr>
          <w:p>
            <w:pPr>
              <w:pStyle w:val="5"/>
              <w:spacing w:line="360" w:lineRule="exact"/>
              <w:jc w:val="center"/>
              <w:rPr>
                <w:rFonts w:hint="default" w:ascii="黑体" w:hAnsi="黑体" w:eastAsia="黑体" w:cs="黑体"/>
                <w:sz w:val="28"/>
                <w:szCs w:val="28"/>
                <w:vertAlign w:val="baseline"/>
              </w:rPr>
            </w:pPr>
            <w:r>
              <w:rPr>
                <w:rFonts w:hint="default" w:ascii="黑体" w:hAnsi="黑体" w:eastAsia="黑体" w:cs="黑体"/>
                <w:sz w:val="28"/>
                <w:szCs w:val="28"/>
                <w:vertAlign w:val="baseline"/>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00"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rPr>
              <w:t>1</w:t>
            </w:r>
          </w:p>
        </w:tc>
        <w:tc>
          <w:tcPr>
            <w:tcW w:w="1532" w:type="dxa"/>
            <w:vAlign w:val="center"/>
          </w:tcPr>
          <w:p>
            <w:pPr>
              <w:spacing w:line="360" w:lineRule="exact"/>
              <w:ind w:firstLine="0" w:firstLineChars="0"/>
              <w:contextualSpacing/>
              <w:jc w:val="center"/>
              <w:rPr>
                <w:rFonts w:hint="eastAsia" w:ascii="仿宋" w:hAnsi="仿宋" w:eastAsia="仿宋" w:cs="仿宋"/>
                <w:sz w:val="28"/>
                <w:szCs w:val="28"/>
                <w:vertAlign w:val="baseline"/>
              </w:rPr>
            </w:pPr>
            <w:r>
              <w:rPr>
                <w:rFonts w:hint="eastAsia" w:ascii="仿宋" w:hAnsi="仿宋" w:eastAsia="仿宋" w:cs="仿宋"/>
                <w:sz w:val="28"/>
                <w:szCs w:val="28"/>
              </w:rPr>
              <w:t>学徒工</w:t>
            </w:r>
          </w:p>
        </w:tc>
        <w:tc>
          <w:tcPr>
            <w:tcW w:w="6338" w:type="dxa"/>
            <w:vAlign w:val="center"/>
          </w:tcPr>
          <w:p>
            <w:pPr>
              <w:pStyle w:val="5"/>
              <w:spacing w:line="360" w:lineRule="exact"/>
              <w:jc w:val="left"/>
              <w:rPr>
                <w:rFonts w:hint="eastAsia" w:ascii="仿宋" w:hAnsi="仿宋" w:eastAsia="仿宋" w:cs="仿宋"/>
                <w:sz w:val="28"/>
                <w:szCs w:val="28"/>
                <w:vertAlign w:val="baseline"/>
              </w:rPr>
            </w:pPr>
            <w:r>
              <w:rPr>
                <w:rFonts w:hint="eastAsia" w:ascii="仿宋" w:hAnsi="仿宋" w:eastAsia="仿宋" w:cs="仿宋"/>
                <w:sz w:val="28"/>
                <w:szCs w:val="28"/>
                <w:vertAlign w:val="baseline"/>
              </w:rPr>
              <w:t>能够基本完成本职业某一方面的主要工作。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00"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rPr>
              <w:t>2</w:t>
            </w:r>
          </w:p>
        </w:tc>
        <w:tc>
          <w:tcPr>
            <w:tcW w:w="1532"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rPr>
              <w:t>初级工</w:t>
            </w:r>
          </w:p>
        </w:tc>
        <w:tc>
          <w:tcPr>
            <w:tcW w:w="6338" w:type="dxa"/>
            <w:vAlign w:val="center"/>
          </w:tcPr>
          <w:p>
            <w:pPr>
              <w:pStyle w:val="5"/>
              <w:spacing w:line="360" w:lineRule="exact"/>
              <w:jc w:val="both"/>
              <w:rPr>
                <w:rFonts w:hint="eastAsia" w:ascii="仿宋" w:hAnsi="仿宋" w:eastAsia="仿宋" w:cs="仿宋"/>
                <w:sz w:val="28"/>
                <w:szCs w:val="28"/>
                <w:vertAlign w:val="baseline"/>
              </w:rPr>
            </w:pPr>
            <w:r>
              <w:rPr>
                <w:rFonts w:hint="eastAsia" w:ascii="仿宋" w:hAnsi="仿宋" w:eastAsia="仿宋" w:cs="仿宋"/>
                <w:color w:val="000000"/>
                <w:sz w:val="28"/>
                <w:szCs w:val="28"/>
              </w:rPr>
              <w:t>能够运用基本技能独立完成本职业的常规工作。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00"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rPr>
              <w:t>3</w:t>
            </w:r>
          </w:p>
        </w:tc>
        <w:tc>
          <w:tcPr>
            <w:tcW w:w="1532"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rPr>
              <w:t>中级工</w:t>
            </w:r>
          </w:p>
        </w:tc>
        <w:tc>
          <w:tcPr>
            <w:tcW w:w="6338" w:type="dxa"/>
            <w:vAlign w:val="center"/>
          </w:tcPr>
          <w:p>
            <w:pPr>
              <w:pStyle w:val="5"/>
              <w:spacing w:line="360" w:lineRule="exact"/>
              <w:jc w:val="both"/>
              <w:rPr>
                <w:rFonts w:hint="eastAsia" w:ascii="仿宋" w:hAnsi="仿宋" w:eastAsia="仿宋" w:cs="仿宋"/>
                <w:color w:val="000000"/>
                <w:sz w:val="28"/>
                <w:szCs w:val="28"/>
              </w:rPr>
            </w:pPr>
            <w:r>
              <w:rPr>
                <w:rFonts w:hint="eastAsia" w:ascii="仿宋" w:hAnsi="仿宋" w:eastAsia="仿宋" w:cs="仿宋"/>
                <w:b w:val="0"/>
                <w:bCs w:val="0"/>
                <w:color w:val="000000"/>
                <w:sz w:val="28"/>
                <w:szCs w:val="28"/>
              </w:rPr>
              <w:t>能够熟练运用基本技能独立完成本职业的常规工作；在特定情况下，能够运用专门技能完成技术较为复杂的工作；能够与他人合作。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00"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rPr>
              <w:t>4</w:t>
            </w:r>
          </w:p>
        </w:tc>
        <w:tc>
          <w:tcPr>
            <w:tcW w:w="1532"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rPr>
              <w:t>高级工</w:t>
            </w:r>
          </w:p>
        </w:tc>
        <w:tc>
          <w:tcPr>
            <w:tcW w:w="6338" w:type="dxa"/>
            <w:vAlign w:val="center"/>
          </w:tcPr>
          <w:p>
            <w:pPr>
              <w:pStyle w:val="5"/>
              <w:spacing w:line="360" w:lineRule="exact"/>
              <w:jc w:val="both"/>
              <w:rPr>
                <w:rFonts w:hint="eastAsia" w:ascii="仿宋" w:hAnsi="仿宋" w:eastAsia="仿宋" w:cs="仿宋"/>
                <w:b w:val="0"/>
                <w:bCs w:val="0"/>
                <w:color w:val="000000"/>
                <w:sz w:val="28"/>
                <w:szCs w:val="28"/>
              </w:rPr>
            </w:pPr>
            <w:r>
              <w:rPr>
                <w:rFonts w:hint="eastAsia" w:ascii="仿宋" w:hAnsi="仿宋" w:eastAsia="仿宋" w:cs="仿宋"/>
                <w:color w:val="000000"/>
                <w:sz w:val="28"/>
                <w:szCs w:val="28"/>
              </w:rPr>
              <w:t>能够熟练运用基本技能和专门技能完成本职业较为复杂的工作，包括完成部分非常规性的工作；能够独立处理工作中出现的问题；能够指导和培训初、中级工。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00"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rPr>
              <w:t>5</w:t>
            </w:r>
          </w:p>
        </w:tc>
        <w:tc>
          <w:tcPr>
            <w:tcW w:w="1532"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rPr>
              <w:t>技师</w:t>
            </w:r>
          </w:p>
        </w:tc>
        <w:tc>
          <w:tcPr>
            <w:tcW w:w="6338" w:type="dxa"/>
            <w:vAlign w:val="center"/>
          </w:tcPr>
          <w:p>
            <w:pPr>
              <w:pStyle w:val="5"/>
              <w:spacing w:line="360" w:lineRule="exact"/>
              <w:jc w:val="both"/>
              <w:rPr>
                <w:rFonts w:hint="eastAsia" w:ascii="仿宋" w:hAnsi="仿宋" w:eastAsia="仿宋" w:cs="仿宋"/>
                <w:color w:val="000000"/>
                <w:sz w:val="28"/>
                <w:szCs w:val="28"/>
              </w:rPr>
            </w:pPr>
            <w:r>
              <w:rPr>
                <w:rFonts w:hint="eastAsia" w:ascii="仿宋" w:hAnsi="仿宋" w:eastAsia="仿宋" w:cs="仿宋"/>
                <w:color w:val="000000"/>
                <w:sz w:val="28"/>
                <w:szCs w:val="28"/>
              </w:rPr>
              <w:t>能够熟练运用专门技能和特殊技能完成本职业复杂的、非常规性的工作；掌握本职业的关键技术技能，能够独立处理和解决技术或工艺难题；在技术技能方面有创新；能够指导和培训初、中、高级工；具有一定的技术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00"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rPr>
              <w:t>6</w:t>
            </w:r>
          </w:p>
        </w:tc>
        <w:tc>
          <w:tcPr>
            <w:tcW w:w="1532"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rPr>
              <w:t>高级技师</w:t>
            </w:r>
          </w:p>
        </w:tc>
        <w:tc>
          <w:tcPr>
            <w:tcW w:w="6338" w:type="dxa"/>
            <w:vAlign w:val="center"/>
          </w:tcPr>
          <w:p>
            <w:pPr>
              <w:pStyle w:val="5"/>
              <w:spacing w:line="360" w:lineRule="exact"/>
              <w:jc w:val="both"/>
              <w:rPr>
                <w:rFonts w:hint="eastAsia" w:ascii="仿宋" w:hAnsi="仿宋" w:eastAsia="仿宋" w:cs="仿宋"/>
                <w:color w:val="000000"/>
                <w:sz w:val="28"/>
                <w:szCs w:val="28"/>
              </w:rPr>
            </w:pPr>
            <w:r>
              <w:rPr>
                <w:rFonts w:hint="eastAsia" w:ascii="仿宋" w:hAnsi="仿宋" w:eastAsia="仿宋" w:cs="仿宋"/>
                <w:color w:val="000000"/>
                <w:sz w:val="28"/>
                <w:szCs w:val="28"/>
              </w:rPr>
              <w:t>能够熟练运用专门技能和特殊技能在本职业的各个领域完成复杂的、非常规性工作；熟练掌握本职业的关键技术技能，能够独立处理和解决高难度的技术问题或工艺难题；在技术攻关和工艺革新方面有创新；能够组织开展技术改造、技术革新活动；能够组织开展系统的专业技术培训；具有技术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00"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rPr>
              <w:t>7</w:t>
            </w:r>
          </w:p>
        </w:tc>
        <w:tc>
          <w:tcPr>
            <w:tcW w:w="1532"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rPr>
              <w:t>特级技师</w:t>
            </w:r>
            <w:r>
              <w:rPr>
                <w:rStyle w:val="11"/>
                <w:rFonts w:hint="eastAsia" w:ascii="仿宋" w:hAnsi="仿宋" w:eastAsia="仿宋" w:cs="仿宋"/>
                <w:sz w:val="28"/>
                <w:szCs w:val="28"/>
              </w:rPr>
              <w:footnoteReference w:id="0" w:customMarkFollows="1"/>
              <w:t>*</w:t>
            </w:r>
          </w:p>
          <w:p>
            <w:pPr>
              <w:pStyle w:val="5"/>
              <w:spacing w:line="360" w:lineRule="exact"/>
              <w:jc w:val="center"/>
              <w:rPr>
                <w:rFonts w:hint="eastAsia" w:ascii="仿宋" w:hAnsi="仿宋" w:eastAsia="仿宋" w:cs="仿宋"/>
                <w:sz w:val="28"/>
                <w:szCs w:val="28"/>
              </w:rPr>
            </w:pPr>
          </w:p>
        </w:tc>
        <w:tc>
          <w:tcPr>
            <w:tcW w:w="6338" w:type="dxa"/>
            <w:vAlign w:val="center"/>
          </w:tcPr>
          <w:p>
            <w:pPr>
              <w:pStyle w:val="5"/>
              <w:spacing w:line="360" w:lineRule="exact"/>
              <w:jc w:val="both"/>
              <w:rPr>
                <w:rFonts w:hint="eastAsia" w:ascii="仿宋" w:hAnsi="仿宋" w:eastAsia="仿宋" w:cs="仿宋"/>
                <w:color w:val="000000"/>
                <w:sz w:val="28"/>
                <w:szCs w:val="28"/>
              </w:rPr>
            </w:pPr>
            <w:r>
              <w:rPr>
                <w:rFonts w:hint="eastAsia" w:ascii="仿宋" w:hAnsi="仿宋" w:eastAsia="仿宋" w:cs="仿宋"/>
                <w:b w:val="0"/>
                <w:bCs w:val="0"/>
                <w:i w:val="0"/>
                <w:iCs w:val="0"/>
                <w:color w:val="000000"/>
                <w:sz w:val="28"/>
                <w:szCs w:val="28"/>
              </w:rPr>
              <w:t>在生产科研一线从事技术技能工作、业绩贡献突出的“企业高技能领军人才”。能够熟练运用专门技能和特殊技能在本职业的各个领域完成复杂的、非常规性工作；精通本职业及相关职业的重要理论原理及关键技术技能，能够独立处理和解决高难度的技术问题或工艺难题；承担传授技艺的任务，在技能人才梯队培养上作出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trPr>
        <w:tc>
          <w:tcPr>
            <w:tcW w:w="900"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rPr>
              <w:t>8</w:t>
            </w:r>
          </w:p>
        </w:tc>
        <w:tc>
          <w:tcPr>
            <w:tcW w:w="1532" w:type="dxa"/>
            <w:vAlign w:val="center"/>
          </w:tcPr>
          <w:p>
            <w:pPr>
              <w:pStyle w:val="5"/>
              <w:spacing w:line="360" w:lineRule="exact"/>
              <w:jc w:val="center"/>
              <w:rPr>
                <w:rFonts w:hint="eastAsia" w:ascii="仿宋" w:hAnsi="仿宋" w:eastAsia="仿宋" w:cs="仿宋"/>
                <w:sz w:val="28"/>
                <w:szCs w:val="28"/>
                <w:vertAlign w:val="baseline"/>
              </w:rPr>
            </w:pPr>
            <w:r>
              <w:rPr>
                <w:rFonts w:hint="eastAsia" w:ascii="仿宋" w:hAnsi="仿宋" w:eastAsia="仿宋" w:cs="仿宋"/>
                <w:sz w:val="28"/>
                <w:szCs w:val="28"/>
                <w:vertAlign w:val="baseline"/>
              </w:rPr>
              <w:t>首席技师</w:t>
            </w:r>
            <w:r>
              <w:rPr>
                <w:rStyle w:val="11"/>
                <w:rFonts w:hint="eastAsia" w:ascii="仿宋" w:hAnsi="仿宋" w:eastAsia="仿宋" w:cs="仿宋"/>
                <w:sz w:val="28"/>
                <w:szCs w:val="28"/>
              </w:rPr>
              <w:footnoteReference w:id="1" w:customMarkFollows="1"/>
              <w:t>*</w:t>
            </w:r>
          </w:p>
        </w:tc>
        <w:tc>
          <w:tcPr>
            <w:tcW w:w="6338" w:type="dxa"/>
            <w:vAlign w:val="top"/>
          </w:tcPr>
          <w:p>
            <w:pPr>
              <w:spacing w:line="360" w:lineRule="exact"/>
              <w:ind w:firstLine="0" w:firstLineChars="0"/>
              <w:contextualSpacing/>
              <w:rPr>
                <w:rFonts w:hint="eastAsia" w:ascii="仿宋" w:hAnsi="仿宋" w:eastAsia="仿宋" w:cs="仿宋"/>
                <w:sz w:val="28"/>
                <w:szCs w:val="28"/>
              </w:rPr>
            </w:pPr>
            <w:r>
              <w:rPr>
                <w:rFonts w:hint="eastAsia" w:ascii="仿宋" w:hAnsi="仿宋" w:eastAsia="仿宋" w:cs="仿宋"/>
                <w:sz w:val="28"/>
                <w:szCs w:val="28"/>
              </w:rPr>
              <w:t>在技术技能领域作出重大贡献，或在本地区、本行业企业具有公认的高超技能、精湛技艺的</w:t>
            </w:r>
            <w:r>
              <w:rPr>
                <w:rFonts w:hint="eastAsia" w:ascii="仿宋" w:hAnsi="仿宋" w:eastAsia="仿宋" w:cs="仿宋"/>
                <w:color w:val="000000"/>
                <w:sz w:val="28"/>
                <w:szCs w:val="28"/>
              </w:rPr>
              <w:t>“地方或行业企业高技能领军人才”。为地方、行业企业高技能人才队伍建设作出突出贡献；为国家重大技术攻关、成果转化、技术创新、发明等作出突出贡献，在地方、行业企业的技术进步与发展中发挥关键作用，专业水平在地方、行业企业具有很高认可度和影响力。</w:t>
            </w:r>
          </w:p>
        </w:tc>
      </w:tr>
    </w:tbl>
    <w:p>
      <w:pPr>
        <w:pStyle w:val="12"/>
        <w:spacing w:line="560" w:lineRule="exact"/>
        <w:ind w:firstLine="640" w:firstLineChars="200"/>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六、评价方式</w:t>
      </w:r>
    </w:p>
    <w:p>
      <w:pPr>
        <w:pStyle w:val="12"/>
        <w:spacing w:line="560" w:lineRule="exact"/>
        <w:ind w:firstLine="643" w:firstLineChars="200"/>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（一）直接认定方式</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 xml:space="preserve"> 1.直接认定五级（初级工）、四级（中级工）、三级（高级工）职业技能等级，一般以企业员工职业能力评分和业绩评定的方式进行。</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 xml:space="preserve"> 2.直接认定二级（技师）、一级（高级技师）职业技能等级，应在员工职业能力和业绩评定的基础上，组织现场评审或答辩，确定直接认定结果。</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参加直接认定二级（技师）、一级（高级技师）的人员原则上应具备低一级别的职业技能等级证书（或职业资格证书）。</w:t>
      </w:r>
    </w:p>
    <w:p>
      <w:pPr>
        <w:pStyle w:val="12"/>
        <w:spacing w:line="560" w:lineRule="exact"/>
        <w:ind w:firstLine="643" w:firstLineChars="200"/>
        <w:rPr>
          <w:rFonts w:hint="eastAsia" w:ascii="楷体" w:hAnsi="楷体" w:eastAsia="楷体" w:cs="楷体"/>
          <w:b/>
          <w:bCs/>
          <w:sz w:val="32"/>
          <w:szCs w:val="32"/>
          <w:highlight w:val="none"/>
          <w:lang w:val="en-US" w:eastAsia="zh-CN"/>
        </w:rPr>
      </w:pPr>
      <w:r>
        <w:rPr>
          <w:rFonts w:hint="eastAsia" w:ascii="楷体" w:hAnsi="楷体" w:eastAsia="楷体" w:cs="楷体"/>
          <w:b/>
          <w:bCs/>
          <w:sz w:val="32"/>
          <w:szCs w:val="32"/>
          <w:highlight w:val="none"/>
          <w:lang w:val="en-US" w:eastAsia="zh-CN"/>
        </w:rPr>
        <w:t>（二）考核方式</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按照生产实际和技能人员情况，企业可科学灵活的采用理论知识考试、技能操作考核、理论技能一体化考核、模拟操作考核、岗位练兵、技术比武、竞赛选拔等多种考核方式，对职工进行五级至一级职业技能等级评价。</w:t>
      </w:r>
    </w:p>
    <w:p>
      <w:pPr>
        <w:pStyle w:val="12"/>
        <w:spacing w:line="560" w:lineRule="exact"/>
        <w:ind w:firstLine="640" w:firstLineChars="200"/>
        <w:rPr>
          <w:rFonts w:hint="default" w:ascii="黑体" w:hAnsi="黑体" w:eastAsia="黑体"/>
          <w:sz w:val="32"/>
          <w:szCs w:val="32"/>
          <w:highlight w:val="none"/>
          <w:lang w:val="en-US" w:eastAsia="zh-CN"/>
        </w:rPr>
      </w:pPr>
      <w:r>
        <w:rPr>
          <w:rFonts w:hint="eastAsia" w:ascii="黑体" w:hAnsi="黑体" w:eastAsia="黑体"/>
          <w:sz w:val="32"/>
          <w:szCs w:val="32"/>
          <w:highlight w:val="none"/>
          <w:lang w:val="en-US" w:eastAsia="zh-CN"/>
        </w:rPr>
        <w:t>七、工作流程</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Times New Roman" w:eastAsia="仿宋_GB2312" w:cstheme="minorBidi"/>
          <w:kern w:val="2"/>
          <w:sz w:val="32"/>
          <w:szCs w:val="32"/>
          <w:highlight w:val="none"/>
          <w:lang w:val="en-US" w:eastAsia="zh-CN" w:bidi="ar-SA"/>
        </w:rPr>
      </w:pPr>
      <w:r>
        <w:rPr>
          <w:rFonts w:hint="eastAsia" w:ascii="楷体" w:hAnsi="楷体" w:eastAsia="楷体"/>
          <w:b/>
          <w:bCs/>
          <w:sz w:val="32"/>
          <w:szCs w:val="32"/>
          <w:highlight w:val="none"/>
        </w:rPr>
        <w:t>（一）备案申请</w:t>
      </w:r>
    </w:p>
    <w:p>
      <w:pPr>
        <w:pStyle w:val="12"/>
        <w:spacing w:line="560" w:lineRule="exact"/>
        <w:ind w:firstLine="640" w:firstLineChars="200"/>
        <w:jc w:val="distribute"/>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1.首次申请备案企业按照属地管理原则，向所在辖</w:t>
      </w:r>
      <w:r>
        <w:rPr>
          <w:rFonts w:hint="eastAsia" w:ascii="仿宋_GB2312" w:eastAsia="仿宋_GB2312"/>
          <w:sz w:val="32"/>
          <w:szCs w:val="32"/>
          <w:highlight w:val="none"/>
          <w:lang w:val="en-US" w:eastAsia="zh-CN"/>
        </w:rPr>
        <w:t>县（市、区）</w:t>
      </w:r>
      <w:r>
        <w:rPr>
          <w:rFonts w:hint="eastAsia" w:ascii="仿宋_GB2312" w:hAnsi="Times New Roman" w:eastAsia="仿宋_GB2312"/>
          <w:sz w:val="32"/>
          <w:szCs w:val="32"/>
          <w:highlight w:val="none"/>
          <w:lang w:val="en-US" w:eastAsia="zh-CN"/>
        </w:rPr>
        <w:t>人社部门提交相应申请材料（材料要求详见附件</w:t>
      </w:r>
      <w:r>
        <w:rPr>
          <w:rFonts w:hint="eastAsia" w:ascii="仿宋_GB2312" w:eastAsia="仿宋_GB2312"/>
          <w:sz w:val="32"/>
          <w:szCs w:val="32"/>
          <w:highlight w:val="none"/>
          <w:lang w:val="en-US" w:eastAsia="zh-CN"/>
        </w:rPr>
        <w:t>3</w:t>
      </w:r>
      <w:r>
        <w:rPr>
          <w:rFonts w:hint="eastAsia" w:ascii="仿宋_GB2312" w:hAnsi="Times New Roman" w:eastAsia="仿宋_GB2312"/>
          <w:sz w:val="32"/>
          <w:szCs w:val="32"/>
          <w:highlight w:val="none"/>
          <w:lang w:val="en-US" w:eastAsia="zh-CN"/>
        </w:rPr>
        <w:t>、</w:t>
      </w:r>
      <w:r>
        <w:rPr>
          <w:rFonts w:hint="eastAsia" w:ascii="仿宋_GB2312" w:eastAsia="仿宋_GB2312"/>
          <w:sz w:val="32"/>
          <w:szCs w:val="32"/>
          <w:highlight w:val="none"/>
          <w:lang w:val="en-US" w:eastAsia="zh-CN"/>
        </w:rPr>
        <w:t>4、5</w:t>
      </w:r>
      <w:r>
        <w:rPr>
          <w:rFonts w:hint="eastAsia" w:ascii="仿宋_GB2312" w:hAnsi="Times New Roman" w:eastAsia="仿宋_GB2312"/>
          <w:sz w:val="32"/>
          <w:szCs w:val="32"/>
          <w:highlight w:val="none"/>
          <w:lang w:val="en-US" w:eastAsia="zh-CN"/>
        </w:rPr>
        <w:t>），以上资料经专家审核和备案评估后盖章上传至“广东省职业技能等级认定监管系统平台”</w:t>
      </w:r>
    </w:p>
    <w:p>
      <w:pPr>
        <w:pStyle w:val="12"/>
        <w:spacing w:line="560" w:lineRule="exact"/>
        <w:jc w:val="distribute"/>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（以下简称“省监管系统”，网址： https://ggfw.hrss.gd.gov.cn/isso/login.html)。</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2.已备案企业如需新增或变更职业（工种）级别，可在监管系统进行职业（工种）变更申请。已备案职业（工种）的等级设置有初级工的，可申请往下增设学徒工，已备案职业（工种）的等级设置有高级技师的，符合条件的可申请往上增设特级技师、首席技师，相应申请材料要求详见附件</w:t>
      </w:r>
      <w:r>
        <w:rPr>
          <w:rFonts w:hint="eastAsia" w:ascii="仿宋_GB2312" w:eastAsia="仿宋_GB2312"/>
          <w:sz w:val="32"/>
          <w:szCs w:val="32"/>
          <w:highlight w:val="none"/>
          <w:lang w:val="en-US" w:eastAsia="zh-CN"/>
        </w:rPr>
        <w:t>6</w:t>
      </w:r>
      <w:r>
        <w:rPr>
          <w:rFonts w:hint="eastAsia" w:ascii="仿宋_GB2312" w:hAnsi="Times New Roman" w:eastAsia="仿宋_GB2312"/>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b/>
          <w:bCs/>
          <w:sz w:val="32"/>
          <w:szCs w:val="32"/>
          <w:highlight w:val="none"/>
          <w:lang w:val="en-US" w:eastAsia="zh-CN"/>
        </w:rPr>
      </w:pPr>
      <w:r>
        <w:rPr>
          <w:rFonts w:hint="eastAsia" w:ascii="楷体" w:hAnsi="楷体" w:eastAsia="楷体"/>
          <w:b/>
          <w:bCs/>
          <w:sz w:val="32"/>
          <w:szCs w:val="32"/>
          <w:highlight w:val="none"/>
          <w:lang w:val="en-US" w:eastAsia="zh-CN"/>
        </w:rPr>
        <w:t>（二）备案受理及完成</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市、区职业</w:t>
      </w:r>
      <w:r>
        <w:rPr>
          <w:rFonts w:hint="default" w:ascii="仿宋_GB2312" w:hAnsi="Times New Roman" w:eastAsia="仿宋_GB2312"/>
          <w:sz w:val="32"/>
          <w:szCs w:val="32"/>
          <w:highlight w:val="none"/>
          <w:lang w:val="en-US" w:eastAsia="zh-CN"/>
        </w:rPr>
        <w:t>技能评价指导机构</w:t>
      </w:r>
      <w:r>
        <w:rPr>
          <w:rFonts w:hint="eastAsia" w:ascii="仿宋_GB2312" w:hAnsi="Times New Roman" w:eastAsia="仿宋_GB2312"/>
          <w:sz w:val="32"/>
          <w:szCs w:val="32"/>
          <w:highlight w:val="none"/>
          <w:lang w:val="en-US" w:eastAsia="zh-CN"/>
        </w:rPr>
        <w:t>根据职责分工范围，按</w:t>
      </w:r>
      <w:r>
        <w:rPr>
          <w:rFonts w:hint="eastAsia" w:ascii="仿宋_GB2312" w:eastAsia="仿宋_GB2312"/>
          <w:sz w:val="32"/>
          <w:szCs w:val="32"/>
          <w:highlight w:val="none"/>
          <w:lang w:val="en-US" w:eastAsia="zh-CN"/>
        </w:rPr>
        <w:t>县（市、区）人社部门直接</w:t>
      </w:r>
      <w:r>
        <w:rPr>
          <w:rFonts w:hint="eastAsia" w:ascii="仿宋_GB2312" w:hAnsi="Times New Roman" w:eastAsia="仿宋_GB2312"/>
          <w:sz w:val="32"/>
          <w:szCs w:val="32"/>
          <w:highlight w:val="none"/>
          <w:lang w:val="en-US" w:eastAsia="zh-CN"/>
        </w:rPr>
        <w:t>受理</w:t>
      </w:r>
      <w:r>
        <w:rPr>
          <w:rFonts w:hint="eastAsia" w:ascii="仿宋_GB2312" w:eastAsia="仿宋_GB2312"/>
          <w:sz w:val="32"/>
          <w:szCs w:val="32"/>
          <w:highlight w:val="none"/>
          <w:lang w:val="en-US" w:eastAsia="zh-CN"/>
        </w:rPr>
        <w:t>、市职业技能服务中心复核的流程方式审核</w:t>
      </w:r>
      <w:r>
        <w:rPr>
          <w:rFonts w:hint="eastAsia" w:ascii="仿宋_GB2312" w:hAnsi="Times New Roman" w:eastAsia="仿宋_GB2312"/>
          <w:sz w:val="32"/>
          <w:szCs w:val="32"/>
          <w:highlight w:val="none"/>
          <w:lang w:val="en-US" w:eastAsia="zh-CN"/>
        </w:rPr>
        <w:t>企业备案申请材料，并组织专家开展评估工作，</w:t>
      </w:r>
      <w:r>
        <w:rPr>
          <w:rFonts w:hint="default" w:ascii="仿宋_GB2312" w:hAnsi="Times New Roman" w:eastAsia="仿宋_GB2312"/>
          <w:sz w:val="32"/>
          <w:szCs w:val="32"/>
          <w:highlight w:val="none"/>
          <w:lang w:val="en-US" w:eastAsia="zh-CN"/>
        </w:rPr>
        <w:t>经评估符合条件者</w:t>
      </w:r>
      <w:r>
        <w:rPr>
          <w:rFonts w:hint="eastAsia" w:ascii="仿宋_GB2312" w:hAnsi="Times New Roman" w:eastAsia="仿宋_GB2312"/>
          <w:sz w:val="32"/>
          <w:szCs w:val="32"/>
          <w:highlight w:val="none"/>
          <w:lang w:val="en-US" w:eastAsia="zh-CN"/>
        </w:rPr>
        <w:t>由市</w:t>
      </w:r>
      <w:r>
        <w:rPr>
          <w:rFonts w:hint="eastAsia" w:ascii="仿宋_GB2312" w:eastAsia="仿宋_GB2312"/>
          <w:sz w:val="32"/>
          <w:szCs w:val="32"/>
          <w:highlight w:val="none"/>
          <w:lang w:val="en-US" w:eastAsia="zh-CN"/>
        </w:rPr>
        <w:t>职业技能服务</w:t>
      </w:r>
      <w:r>
        <w:rPr>
          <w:rFonts w:hint="eastAsia" w:ascii="仿宋_GB2312" w:hAnsi="Times New Roman" w:eastAsia="仿宋_GB2312"/>
          <w:sz w:val="32"/>
          <w:szCs w:val="32"/>
          <w:highlight w:val="none"/>
          <w:lang w:val="en-US" w:eastAsia="zh-CN"/>
        </w:rPr>
        <w:t>中心</w:t>
      </w:r>
      <w:r>
        <w:rPr>
          <w:rFonts w:hint="default" w:ascii="仿宋_GB2312" w:hAnsi="Times New Roman" w:eastAsia="仿宋_GB2312"/>
          <w:sz w:val="32"/>
          <w:szCs w:val="32"/>
          <w:highlight w:val="none"/>
          <w:lang w:val="en-US" w:eastAsia="zh-CN"/>
        </w:rPr>
        <w:t>出具备</w:t>
      </w:r>
      <w:r>
        <w:rPr>
          <w:rFonts w:hint="eastAsia" w:ascii="仿宋_GB2312" w:hAnsi="Times New Roman" w:eastAsia="仿宋_GB2312"/>
          <w:sz w:val="32"/>
          <w:szCs w:val="32"/>
          <w:highlight w:val="none"/>
          <w:lang w:val="en-US" w:eastAsia="zh-CN"/>
        </w:rPr>
        <w:t>案函。</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b/>
          <w:bCs/>
          <w:sz w:val="32"/>
          <w:szCs w:val="32"/>
          <w:highlight w:val="none"/>
          <w:lang w:val="en-US" w:eastAsia="zh-CN"/>
        </w:rPr>
      </w:pPr>
      <w:bookmarkStart w:id="0" w:name="bookmark13"/>
      <w:r>
        <w:rPr>
          <w:rFonts w:hint="eastAsia" w:ascii="楷体" w:hAnsi="楷体" w:eastAsia="楷体"/>
          <w:b/>
          <w:bCs/>
          <w:sz w:val="32"/>
          <w:szCs w:val="32"/>
          <w:highlight w:val="none"/>
          <w:lang w:val="en-US" w:eastAsia="zh-CN"/>
        </w:rPr>
        <w:t>（</w:t>
      </w:r>
      <w:bookmarkEnd w:id="0"/>
      <w:r>
        <w:rPr>
          <w:rFonts w:hint="eastAsia" w:ascii="楷体" w:hAnsi="楷体" w:eastAsia="楷体"/>
          <w:b/>
          <w:bCs/>
          <w:sz w:val="32"/>
          <w:szCs w:val="32"/>
          <w:highlight w:val="none"/>
          <w:lang w:val="en-US" w:eastAsia="zh-CN"/>
        </w:rPr>
        <w:t>三）成立评价工作委员会</w:t>
      </w:r>
    </w:p>
    <w:p>
      <w:pPr>
        <w:pStyle w:val="12"/>
        <w:spacing w:line="560" w:lineRule="exact"/>
        <w:ind w:firstLine="640" w:firstLineChars="200"/>
        <w:rPr>
          <w:rFonts w:hint="eastAsia" w:ascii="仿宋_GB2312" w:hAnsi="Times New Roman" w:eastAsia="仿宋_GB2312"/>
          <w:sz w:val="32"/>
          <w:szCs w:val="32"/>
          <w:highlight w:val="none"/>
          <w:lang w:val="en-US" w:eastAsia="zh-CN"/>
        </w:rPr>
      </w:pPr>
      <w:r>
        <w:rPr>
          <w:rFonts w:hint="eastAsia" w:ascii="仿宋_GB2312" w:hAnsi="Times New Roman" w:eastAsia="仿宋_GB2312"/>
          <w:sz w:val="32"/>
          <w:szCs w:val="32"/>
          <w:highlight w:val="none"/>
          <w:lang w:val="en-US" w:eastAsia="zh-CN"/>
        </w:rPr>
        <w:t>企业成立职业技能等级认定评价工作委员会，建立固定团队（可兼任）专门负责跟进评价各环节工作：包括制定本企业职业技能等级评价工作方案、制度、计划并监督执行。自行建立考评人员（含考评员和高级考评员，其中考评员可选择已掌握相应技能及考评方法的企业职工担任；高级考评员可选择企业生产一线技术负责人、一线高级或资深工程师以及企业认可的有资格担任考评工作的人员担任高级考评员）、内部质量督导员队伍，自主开展企业职工的评价及发证工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楷体" w:hAnsi="楷体" w:eastAsia="楷体"/>
          <w:b/>
          <w:bCs/>
          <w:sz w:val="32"/>
          <w:szCs w:val="32"/>
          <w:highlight w:val="none"/>
          <w:lang w:val="en-US" w:eastAsia="zh-CN"/>
        </w:rPr>
      </w:pPr>
      <w:bookmarkStart w:id="1" w:name="bookmark14"/>
      <w:r>
        <w:rPr>
          <w:rFonts w:hint="eastAsia" w:ascii="楷体" w:hAnsi="楷体" w:eastAsia="楷体"/>
          <w:b/>
          <w:bCs/>
          <w:sz w:val="32"/>
          <w:szCs w:val="32"/>
          <w:highlight w:val="none"/>
          <w:lang w:val="en-US" w:eastAsia="zh-CN"/>
        </w:rPr>
        <w:t>（</w:t>
      </w:r>
      <w:bookmarkEnd w:id="1"/>
      <w:r>
        <w:rPr>
          <w:rFonts w:hint="eastAsia" w:ascii="楷体" w:hAnsi="楷体" w:eastAsia="楷体"/>
          <w:b/>
          <w:bCs/>
          <w:sz w:val="32"/>
          <w:szCs w:val="32"/>
          <w:highlight w:val="none"/>
          <w:lang w:val="en-US" w:eastAsia="zh-CN"/>
        </w:rPr>
        <w:t>四）自主选择评价方式</w:t>
      </w:r>
    </w:p>
    <w:p>
      <w:pPr>
        <w:pStyle w:val="14"/>
        <w:keepNext w:val="0"/>
        <w:keepLines w:val="0"/>
        <w:widowControl w:val="0"/>
        <w:shd w:val="clear" w:color="auto" w:fill="auto"/>
        <w:bidi w:val="0"/>
        <w:spacing w:before="0" w:after="0" w:line="601" w:lineRule="exact"/>
        <w:ind w:left="0" w:right="0" w:firstLine="620"/>
        <w:jc w:val="both"/>
        <w:rPr>
          <w:rFonts w:hint="eastAsia" w:ascii="仿宋_GB2312" w:hAnsi="Times New Roman" w:eastAsia="仿宋_GB2312" w:cstheme="minorBidi"/>
          <w:kern w:val="2"/>
          <w:sz w:val="32"/>
          <w:szCs w:val="32"/>
          <w:highlight w:val="none"/>
          <w:u w:val="none"/>
          <w:shd w:val="clear"/>
          <w:lang w:val="en-US" w:eastAsia="zh-CN" w:bidi="ar-SA"/>
        </w:rPr>
      </w:pPr>
      <w:r>
        <w:rPr>
          <w:rFonts w:hint="eastAsia" w:ascii="仿宋_GB2312" w:hAnsi="Times New Roman" w:eastAsia="仿宋_GB2312" w:cstheme="minorBidi"/>
          <w:kern w:val="2"/>
          <w:sz w:val="32"/>
          <w:szCs w:val="32"/>
          <w:highlight w:val="none"/>
          <w:u w:val="none"/>
          <w:shd w:val="clear"/>
          <w:lang w:val="en-US" w:eastAsia="zh-CN" w:bidi="ar-SA"/>
        </w:rPr>
        <w:t>企业结合生产经营特点和对技能人才的实际需要，自主选择评价方式。如评价方式与机构备案时提交的工作方案中评价方式存在不一致，可作调整，由企业填写《关于调整企业自主评价方式的说明》（附件7），提交属地职业技能评价指导机构报备后实施。</w:t>
      </w:r>
    </w:p>
    <w:p>
      <w:pPr>
        <w:pStyle w:val="14"/>
        <w:keepNext w:val="0"/>
        <w:keepLines w:val="0"/>
        <w:widowControl w:val="0"/>
        <w:shd w:val="clear" w:color="auto" w:fill="auto"/>
        <w:bidi w:val="0"/>
        <w:spacing w:before="0" w:after="0" w:line="601" w:lineRule="exact"/>
        <w:ind w:left="0" w:right="0" w:firstLine="620"/>
        <w:jc w:val="both"/>
        <w:rPr>
          <w:rFonts w:hint="eastAsia" w:ascii="仿宋_GB2312" w:hAnsi="Times New Roman" w:eastAsia="仿宋_GB2312" w:cstheme="minorBidi"/>
          <w:kern w:val="2"/>
          <w:sz w:val="32"/>
          <w:szCs w:val="32"/>
          <w:highlight w:val="none"/>
          <w:u w:val="none"/>
          <w:shd w:val="clear"/>
          <w:lang w:val="en-US" w:eastAsia="zh-CN" w:bidi="ar-SA"/>
        </w:rPr>
      </w:pPr>
      <w:r>
        <w:rPr>
          <w:rFonts w:hint="eastAsia" w:ascii="仿宋_GB2312" w:hAnsi="Times New Roman" w:eastAsia="仿宋_GB2312" w:cstheme="minorBidi"/>
          <w:kern w:val="2"/>
          <w:sz w:val="32"/>
          <w:szCs w:val="32"/>
          <w:highlight w:val="none"/>
          <w:u w:val="none"/>
          <w:shd w:val="clear"/>
          <w:lang w:val="en-US" w:eastAsia="zh-CN" w:bidi="ar-SA"/>
        </w:rPr>
        <w:t>采取直接认定方式的，由企业制定相应级别的评价表（可参考附件5内相应等级的评价表模板）后实施。</w:t>
      </w:r>
    </w:p>
    <w:p>
      <w:pPr>
        <w:pStyle w:val="14"/>
        <w:keepNext w:val="0"/>
        <w:keepLines w:val="0"/>
        <w:widowControl w:val="0"/>
        <w:shd w:val="clear" w:color="auto" w:fill="auto"/>
        <w:bidi w:val="0"/>
        <w:spacing w:before="0" w:after="0" w:line="601" w:lineRule="exact"/>
        <w:ind w:left="0" w:right="0" w:firstLine="620"/>
        <w:jc w:val="both"/>
        <w:rPr>
          <w:rFonts w:hint="eastAsia" w:ascii="仿宋_GB2312" w:hAnsi="Times New Roman" w:eastAsia="仿宋_GB2312" w:cstheme="minorBidi"/>
          <w:kern w:val="2"/>
          <w:sz w:val="32"/>
          <w:szCs w:val="32"/>
          <w:highlight w:val="none"/>
          <w:u w:val="none"/>
          <w:shd w:val="clear"/>
          <w:lang w:val="en-US" w:eastAsia="zh-CN" w:bidi="ar-SA"/>
        </w:rPr>
      </w:pPr>
      <w:r>
        <w:rPr>
          <w:rFonts w:hint="eastAsia" w:ascii="仿宋_GB2312" w:hAnsi="Times New Roman" w:eastAsia="仿宋_GB2312" w:cstheme="minorBidi"/>
          <w:kern w:val="2"/>
          <w:sz w:val="32"/>
          <w:szCs w:val="32"/>
          <w:highlight w:val="none"/>
          <w:u w:val="none"/>
          <w:shd w:val="clear"/>
          <w:lang w:val="en-US" w:eastAsia="zh-CN" w:bidi="ar-SA"/>
        </w:rPr>
        <w:t>采用考核方式开展职业技能等级评价的，由企业结合技能岗位需要，依托现有的生产场地和设备，自行开发试题后实施。</w:t>
      </w:r>
    </w:p>
    <w:p>
      <w:pPr>
        <w:pStyle w:val="14"/>
        <w:keepNext w:val="0"/>
        <w:keepLines w:val="0"/>
        <w:widowControl w:val="0"/>
        <w:shd w:val="clear" w:color="auto" w:fill="auto"/>
        <w:bidi w:val="0"/>
        <w:spacing w:before="0" w:after="0" w:line="601" w:lineRule="exact"/>
        <w:ind w:left="0" w:right="0" w:firstLine="620"/>
        <w:jc w:val="both"/>
        <w:rPr>
          <w:rFonts w:hint="eastAsia" w:ascii="仿宋_GB2312" w:hAnsi="Times New Roman" w:eastAsia="仿宋_GB2312" w:cstheme="minorBidi"/>
          <w:kern w:val="2"/>
          <w:sz w:val="32"/>
          <w:szCs w:val="32"/>
          <w:highlight w:val="none"/>
          <w:u w:val="none"/>
          <w:shd w:val="clear"/>
          <w:lang w:val="en-US" w:eastAsia="zh-CN" w:bidi="ar-SA"/>
        </w:rPr>
      </w:pPr>
      <w:r>
        <w:rPr>
          <w:rFonts w:hint="eastAsia" w:ascii="仿宋_GB2312" w:hAnsi="Times New Roman" w:eastAsia="仿宋_GB2312" w:cstheme="minorBidi"/>
          <w:kern w:val="2"/>
          <w:sz w:val="32"/>
          <w:szCs w:val="32"/>
          <w:highlight w:val="none"/>
          <w:u w:val="none"/>
          <w:shd w:val="clear"/>
          <w:lang w:val="en-US" w:eastAsia="zh-CN" w:bidi="ar-SA"/>
        </w:rPr>
        <w:t>特级技师、首席技师评聘工作，按我省发布的特级技师、首席技师评聘工作通知执行。</w:t>
      </w:r>
    </w:p>
    <w:p>
      <w:pPr>
        <w:pStyle w:val="14"/>
        <w:keepNext w:val="0"/>
        <w:keepLines w:val="0"/>
        <w:widowControl w:val="0"/>
        <w:shd w:val="clear" w:color="auto" w:fill="auto"/>
        <w:tabs>
          <w:tab w:val="left" w:pos="1641"/>
        </w:tabs>
        <w:bidi w:val="0"/>
        <w:spacing w:before="0" w:after="0" w:line="600" w:lineRule="exact"/>
        <w:ind w:left="0" w:right="0" w:firstLine="800"/>
        <w:jc w:val="both"/>
        <w:rPr>
          <w:sz w:val="30"/>
          <w:szCs w:val="30"/>
        </w:rPr>
      </w:pPr>
      <w:bookmarkStart w:id="2" w:name="bookmark15"/>
      <w:r>
        <w:rPr>
          <w:rFonts w:hint="eastAsia" w:ascii="楷体" w:hAnsi="楷体" w:eastAsia="楷体" w:cstheme="minorBidi"/>
          <w:b/>
          <w:bCs/>
          <w:kern w:val="2"/>
          <w:sz w:val="32"/>
          <w:szCs w:val="32"/>
          <w:highlight w:val="none"/>
          <w:u w:val="none"/>
          <w:shd w:val="clear"/>
          <w:lang w:val="en-US" w:eastAsia="zh-CN" w:bidi="ar-SA"/>
        </w:rPr>
        <w:t>（</w:t>
      </w:r>
      <w:bookmarkEnd w:id="2"/>
      <w:r>
        <w:rPr>
          <w:rFonts w:hint="eastAsia" w:ascii="楷体" w:hAnsi="楷体" w:eastAsia="楷体" w:cstheme="minorBidi"/>
          <w:b/>
          <w:bCs/>
          <w:kern w:val="2"/>
          <w:sz w:val="32"/>
          <w:szCs w:val="32"/>
          <w:highlight w:val="none"/>
          <w:u w:val="none"/>
          <w:shd w:val="clear"/>
          <w:lang w:val="en-US" w:eastAsia="zh-CN" w:bidi="ar-SA"/>
        </w:rPr>
        <w:t>五）发布评价公告</w:t>
      </w:r>
    </w:p>
    <w:p>
      <w:pPr>
        <w:pStyle w:val="14"/>
        <w:keepNext w:val="0"/>
        <w:keepLines w:val="0"/>
        <w:widowControl w:val="0"/>
        <w:shd w:val="clear" w:color="auto" w:fill="auto"/>
        <w:bidi w:val="0"/>
        <w:spacing w:before="0" w:after="0" w:line="600" w:lineRule="exact"/>
        <w:ind w:left="0" w:right="0" w:firstLine="680"/>
        <w:jc w:val="both"/>
      </w:pPr>
      <w:r>
        <w:rPr>
          <w:rFonts w:hint="eastAsia" w:ascii="仿宋_GB2312" w:hAnsi="Times New Roman" w:eastAsia="仿宋_GB2312" w:cstheme="minorBidi"/>
          <w:kern w:val="2"/>
          <w:sz w:val="32"/>
          <w:szCs w:val="32"/>
          <w:highlight w:val="none"/>
          <w:u w:val="none"/>
          <w:shd w:val="clear"/>
          <w:lang w:val="en-US" w:eastAsia="zh-CN" w:bidi="ar-SA"/>
        </w:rPr>
        <w:t>评价工作委员会根据企业技能人才培养需求，结合当年生产实际，面向企业职工发布评价公告。公告内容主要包括：可开展认定的职业（工种）目录和级别、申报条件、报考流程、评价结果运用等，确保职工应知尽知，做到公平、公正、公开。</w:t>
      </w:r>
    </w:p>
    <w:p>
      <w:pPr>
        <w:pStyle w:val="14"/>
        <w:keepNext w:val="0"/>
        <w:keepLines w:val="0"/>
        <w:widowControl w:val="0"/>
        <w:shd w:val="clear" w:color="auto" w:fill="auto"/>
        <w:tabs>
          <w:tab w:val="left" w:pos="1641"/>
        </w:tabs>
        <w:bidi w:val="0"/>
        <w:spacing w:before="0" w:after="0" w:line="600" w:lineRule="exact"/>
        <w:ind w:left="0" w:right="0" w:firstLine="800"/>
        <w:jc w:val="both"/>
        <w:rPr>
          <w:rFonts w:hint="eastAsia" w:ascii="楷体" w:hAnsi="楷体" w:eastAsia="楷体" w:cstheme="minorBidi"/>
          <w:b/>
          <w:bCs/>
          <w:kern w:val="2"/>
          <w:sz w:val="32"/>
          <w:szCs w:val="32"/>
          <w:highlight w:val="none"/>
          <w:u w:val="none"/>
          <w:shd w:val="clear"/>
          <w:lang w:val="en-US" w:eastAsia="zh-CN" w:bidi="ar-SA"/>
        </w:rPr>
      </w:pPr>
      <w:bookmarkStart w:id="3" w:name="bookmark16"/>
      <w:r>
        <w:rPr>
          <w:rFonts w:hint="eastAsia" w:ascii="楷体" w:hAnsi="楷体" w:eastAsia="楷体" w:cstheme="minorBidi"/>
          <w:b/>
          <w:bCs/>
          <w:kern w:val="2"/>
          <w:sz w:val="32"/>
          <w:szCs w:val="32"/>
          <w:highlight w:val="none"/>
          <w:u w:val="none"/>
          <w:shd w:val="clear"/>
          <w:lang w:val="en-US" w:eastAsia="zh-CN" w:bidi="ar-SA"/>
        </w:rPr>
        <w:t>（</w:t>
      </w:r>
      <w:bookmarkEnd w:id="3"/>
      <w:r>
        <w:rPr>
          <w:rFonts w:hint="eastAsia" w:ascii="楷体" w:hAnsi="楷体" w:eastAsia="楷体" w:cstheme="minorBidi"/>
          <w:b/>
          <w:bCs/>
          <w:kern w:val="2"/>
          <w:sz w:val="32"/>
          <w:szCs w:val="32"/>
          <w:highlight w:val="none"/>
          <w:u w:val="none"/>
          <w:shd w:val="clear"/>
          <w:lang w:val="en-US" w:eastAsia="zh-CN" w:bidi="ar-SA"/>
        </w:rPr>
        <w:t>六）做好资格审核工作</w:t>
      </w:r>
    </w:p>
    <w:p>
      <w:pPr>
        <w:pStyle w:val="14"/>
        <w:keepNext w:val="0"/>
        <w:keepLines w:val="0"/>
        <w:widowControl w:val="0"/>
        <w:shd w:val="clear" w:color="auto" w:fill="auto"/>
        <w:bidi w:val="0"/>
        <w:spacing w:before="0" w:after="0" w:line="600" w:lineRule="exact"/>
        <w:ind w:left="0" w:right="0" w:firstLine="680"/>
        <w:jc w:val="both"/>
        <w:rPr>
          <w:rFonts w:hint="eastAsia" w:ascii="仿宋_GB2312" w:hAnsi="Times New Roman" w:eastAsia="仿宋_GB2312" w:cstheme="minorBidi"/>
          <w:kern w:val="2"/>
          <w:sz w:val="32"/>
          <w:szCs w:val="32"/>
          <w:highlight w:val="none"/>
          <w:u w:val="none"/>
          <w:shd w:val="clear"/>
          <w:lang w:val="en-US" w:eastAsia="zh-CN" w:bidi="ar-SA"/>
        </w:rPr>
      </w:pPr>
      <w:r>
        <w:rPr>
          <w:rFonts w:hint="eastAsia" w:ascii="仿宋_GB2312" w:hAnsi="Times New Roman" w:eastAsia="仿宋_GB2312" w:cstheme="minorBidi"/>
          <w:kern w:val="2"/>
          <w:sz w:val="32"/>
          <w:szCs w:val="32"/>
          <w:highlight w:val="none"/>
          <w:u w:val="none"/>
          <w:shd w:val="clear"/>
          <w:lang w:val="en-US" w:eastAsia="zh-CN" w:bidi="ar-SA"/>
        </w:rPr>
        <w:t>评价工作委员会根据工作方案内的申报条件，审核职工的申报资格，确定参评人员信息后，提前5个工作日向属地职业技能评价指导机构报备评价计划，录入考评人员、内部质量督导员和参评人员等信息。</w:t>
      </w:r>
    </w:p>
    <w:p>
      <w:pPr>
        <w:pStyle w:val="14"/>
        <w:keepNext w:val="0"/>
        <w:keepLines w:val="0"/>
        <w:widowControl w:val="0"/>
        <w:shd w:val="clear" w:color="auto" w:fill="auto"/>
        <w:tabs>
          <w:tab w:val="left" w:pos="1641"/>
        </w:tabs>
        <w:bidi w:val="0"/>
        <w:spacing w:before="0" w:after="0" w:line="600" w:lineRule="exact"/>
        <w:ind w:left="0" w:right="0" w:firstLine="800"/>
        <w:jc w:val="both"/>
        <w:rPr>
          <w:rFonts w:hint="eastAsia" w:ascii="楷体" w:hAnsi="楷体" w:eastAsia="楷体" w:cstheme="minorBidi"/>
          <w:b/>
          <w:bCs/>
          <w:kern w:val="2"/>
          <w:sz w:val="32"/>
          <w:szCs w:val="32"/>
          <w:highlight w:val="none"/>
          <w:u w:val="none"/>
          <w:shd w:val="clear"/>
          <w:lang w:val="en-US" w:eastAsia="zh-CN" w:bidi="ar-SA"/>
        </w:rPr>
      </w:pPr>
      <w:bookmarkStart w:id="4" w:name="bookmark17"/>
      <w:r>
        <w:rPr>
          <w:rFonts w:hint="eastAsia" w:ascii="楷体" w:hAnsi="楷体" w:eastAsia="楷体" w:cstheme="minorBidi"/>
          <w:b/>
          <w:bCs/>
          <w:kern w:val="2"/>
          <w:sz w:val="32"/>
          <w:szCs w:val="32"/>
          <w:highlight w:val="none"/>
          <w:u w:val="none"/>
          <w:shd w:val="clear"/>
          <w:lang w:val="en-US" w:eastAsia="zh-CN" w:bidi="ar-SA"/>
        </w:rPr>
        <w:t>（</w:t>
      </w:r>
      <w:bookmarkEnd w:id="4"/>
      <w:r>
        <w:rPr>
          <w:rFonts w:hint="eastAsia" w:ascii="楷体" w:hAnsi="楷体" w:eastAsia="楷体" w:cstheme="minorBidi"/>
          <w:b/>
          <w:bCs/>
          <w:kern w:val="2"/>
          <w:sz w:val="32"/>
          <w:szCs w:val="32"/>
          <w:highlight w:val="none"/>
          <w:u w:val="none"/>
          <w:shd w:val="clear"/>
          <w:lang w:val="en-US" w:eastAsia="zh-CN" w:bidi="ar-SA"/>
        </w:rPr>
        <w:t>七）做好评价实施工作</w:t>
      </w:r>
    </w:p>
    <w:p>
      <w:pPr>
        <w:pStyle w:val="14"/>
        <w:keepNext w:val="0"/>
        <w:keepLines w:val="0"/>
        <w:widowControl w:val="0"/>
        <w:shd w:val="clear" w:color="auto" w:fill="auto"/>
        <w:bidi w:val="0"/>
        <w:spacing w:before="0" w:after="0" w:line="600" w:lineRule="exact"/>
        <w:ind w:left="0" w:right="0" w:firstLine="680"/>
        <w:jc w:val="both"/>
        <w:rPr>
          <w:rFonts w:hint="eastAsia" w:ascii="仿宋_GB2312" w:hAnsi="Times New Roman" w:eastAsia="仿宋_GB2312" w:cstheme="minorBidi"/>
          <w:b/>
          <w:bCs/>
          <w:kern w:val="2"/>
          <w:sz w:val="32"/>
          <w:szCs w:val="32"/>
          <w:highlight w:val="none"/>
          <w:u w:val="none"/>
          <w:shd w:val="clear"/>
          <w:lang w:val="en-US" w:eastAsia="zh-CN" w:bidi="ar-SA"/>
        </w:rPr>
      </w:pPr>
      <w:bookmarkStart w:id="5" w:name="bookmark18"/>
      <w:bookmarkEnd w:id="5"/>
      <w:r>
        <w:rPr>
          <w:rFonts w:hint="eastAsia" w:ascii="仿宋_GB2312" w:hAnsi="Times New Roman" w:eastAsia="仿宋_GB2312" w:cstheme="minorBidi"/>
          <w:b/>
          <w:bCs/>
          <w:kern w:val="2"/>
          <w:sz w:val="32"/>
          <w:szCs w:val="32"/>
          <w:highlight w:val="none"/>
          <w:u w:val="none"/>
          <w:shd w:val="clear"/>
          <w:lang w:val="en-US" w:eastAsia="zh-CN" w:bidi="ar-SA"/>
        </w:rPr>
        <w:t>1.</w:t>
      </w:r>
      <w:r>
        <w:rPr>
          <w:rFonts w:hint="eastAsia" w:ascii="仿宋_GB2312" w:hAnsi="Times New Roman" w:eastAsia="仿宋_GB2312" w:cstheme="minorBidi"/>
          <w:b/>
          <w:bCs/>
          <w:kern w:val="2"/>
          <w:sz w:val="32"/>
          <w:szCs w:val="32"/>
          <w:highlight w:val="none"/>
          <w:u w:val="none"/>
          <w:shd w:val="clear"/>
          <w:lang w:val="zh-CN" w:eastAsia="zh-CN" w:bidi="ar-SA"/>
        </w:rPr>
        <w:t>评</w:t>
      </w:r>
      <w:r>
        <w:rPr>
          <w:rFonts w:hint="eastAsia" w:ascii="仿宋_GB2312" w:hAnsi="Times New Roman" w:eastAsia="仿宋_GB2312" w:cstheme="minorBidi"/>
          <w:b/>
          <w:bCs/>
          <w:kern w:val="2"/>
          <w:sz w:val="32"/>
          <w:szCs w:val="32"/>
          <w:highlight w:val="none"/>
          <w:u w:val="none"/>
          <w:shd w:val="clear"/>
          <w:lang w:val="en-US" w:eastAsia="zh-CN" w:bidi="ar-SA"/>
        </w:rPr>
        <w:t>价准备</w:t>
      </w:r>
    </w:p>
    <w:p>
      <w:pPr>
        <w:pStyle w:val="14"/>
        <w:keepNext w:val="0"/>
        <w:keepLines w:val="0"/>
        <w:widowControl w:val="0"/>
        <w:shd w:val="clear" w:color="auto" w:fill="auto"/>
        <w:bidi w:val="0"/>
        <w:spacing w:before="0" w:after="0" w:line="600" w:lineRule="exact"/>
        <w:ind w:left="0" w:right="0" w:firstLine="680"/>
        <w:jc w:val="both"/>
        <w:rPr>
          <w:rFonts w:hint="eastAsia" w:ascii="仿宋_GB2312" w:hAnsi="Times New Roman" w:eastAsia="仿宋_GB2312" w:cstheme="minorBidi"/>
          <w:kern w:val="2"/>
          <w:sz w:val="32"/>
          <w:szCs w:val="32"/>
          <w:highlight w:val="none"/>
          <w:u w:val="none"/>
          <w:shd w:val="clear"/>
          <w:lang w:val="en-US" w:eastAsia="zh-CN" w:bidi="ar-SA"/>
        </w:rPr>
      </w:pPr>
      <w:r>
        <w:rPr>
          <w:rFonts w:hint="eastAsia" w:ascii="仿宋_GB2312" w:hAnsi="Times New Roman" w:eastAsia="仿宋_GB2312" w:cstheme="minorBidi"/>
          <w:kern w:val="2"/>
          <w:sz w:val="32"/>
          <w:szCs w:val="32"/>
          <w:highlight w:val="none"/>
          <w:u w:val="none"/>
          <w:shd w:val="clear"/>
          <w:lang w:val="en-US" w:eastAsia="zh-CN" w:bidi="ar-SA"/>
        </w:rPr>
        <w:t>评价工作委员会根据工作方案组织开展评价工作，准备好相关的场地设备，召开考务会议，明确职责分工、工作流程、评分标准等。</w:t>
      </w:r>
    </w:p>
    <w:p>
      <w:pPr>
        <w:pStyle w:val="14"/>
        <w:keepNext w:val="0"/>
        <w:keepLines w:val="0"/>
        <w:widowControl w:val="0"/>
        <w:shd w:val="clear" w:color="auto" w:fill="auto"/>
        <w:bidi w:val="0"/>
        <w:spacing w:before="0" w:after="0" w:line="600" w:lineRule="exact"/>
        <w:ind w:left="0" w:right="0" w:firstLine="680"/>
        <w:jc w:val="both"/>
        <w:rPr>
          <w:rFonts w:hint="eastAsia" w:ascii="仿宋_GB2312" w:hAnsi="Times New Roman" w:eastAsia="仿宋_GB2312" w:cstheme="minorBidi"/>
          <w:b/>
          <w:bCs/>
          <w:kern w:val="2"/>
          <w:sz w:val="32"/>
          <w:szCs w:val="32"/>
          <w:highlight w:val="none"/>
          <w:u w:val="none"/>
          <w:shd w:val="clear"/>
          <w:lang w:val="en-US" w:eastAsia="zh-CN" w:bidi="ar-SA"/>
        </w:rPr>
      </w:pPr>
      <w:bookmarkStart w:id="6" w:name="bookmark19"/>
      <w:bookmarkEnd w:id="6"/>
      <w:r>
        <w:rPr>
          <w:rFonts w:hint="eastAsia" w:ascii="仿宋_GB2312" w:hAnsi="Times New Roman" w:eastAsia="仿宋_GB2312" w:cstheme="minorBidi"/>
          <w:b/>
          <w:bCs/>
          <w:kern w:val="2"/>
          <w:sz w:val="32"/>
          <w:szCs w:val="32"/>
          <w:highlight w:val="none"/>
          <w:u w:val="none"/>
          <w:shd w:val="clear"/>
          <w:lang w:val="en-US" w:eastAsia="zh-CN" w:bidi="ar-SA"/>
        </w:rPr>
        <w:t>2</w:t>
      </w:r>
      <w:r>
        <w:rPr>
          <w:rFonts w:hint="eastAsia" w:ascii="仿宋_GB2312" w:hAnsi="Times New Roman" w:eastAsia="仿宋_GB2312" w:cstheme="minorBidi"/>
          <w:b/>
          <w:bCs/>
          <w:kern w:val="2"/>
          <w:sz w:val="32"/>
          <w:szCs w:val="32"/>
          <w:highlight w:val="none"/>
          <w:u w:val="none"/>
          <w:shd w:val="clear"/>
          <w:lang w:val="zh-CN" w:eastAsia="zh-CN" w:bidi="ar-SA"/>
        </w:rPr>
        <w:t>.评</w:t>
      </w:r>
      <w:r>
        <w:rPr>
          <w:rFonts w:hint="eastAsia" w:ascii="仿宋_GB2312" w:hAnsi="Times New Roman" w:eastAsia="仿宋_GB2312" w:cstheme="minorBidi"/>
          <w:b/>
          <w:bCs/>
          <w:kern w:val="2"/>
          <w:sz w:val="32"/>
          <w:szCs w:val="32"/>
          <w:highlight w:val="none"/>
          <w:u w:val="none"/>
          <w:shd w:val="clear"/>
          <w:lang w:val="en-US" w:eastAsia="zh-CN" w:bidi="ar-SA"/>
        </w:rPr>
        <w:t>价实施</w:t>
      </w:r>
    </w:p>
    <w:p>
      <w:pPr>
        <w:pStyle w:val="14"/>
        <w:keepNext w:val="0"/>
        <w:keepLines w:val="0"/>
        <w:widowControl w:val="0"/>
        <w:shd w:val="clear" w:color="auto" w:fill="auto"/>
        <w:bidi w:val="0"/>
        <w:spacing w:before="0" w:after="0" w:line="600" w:lineRule="exact"/>
        <w:ind w:left="0" w:right="0" w:firstLine="680"/>
        <w:jc w:val="both"/>
        <w:rPr>
          <w:rFonts w:hint="eastAsia" w:ascii="仿宋_GB2312" w:hAnsi="Times New Roman" w:eastAsia="仿宋_GB2312" w:cstheme="minorBidi"/>
          <w:kern w:val="2"/>
          <w:sz w:val="32"/>
          <w:szCs w:val="32"/>
          <w:highlight w:val="none"/>
          <w:u w:val="none"/>
          <w:shd w:val="clear"/>
          <w:lang w:val="en-US" w:eastAsia="zh-CN" w:bidi="ar-SA"/>
        </w:rPr>
      </w:pPr>
      <w:r>
        <w:rPr>
          <w:rFonts w:hint="eastAsia" w:ascii="仿宋_GB2312" w:hAnsi="Times New Roman" w:eastAsia="仿宋_GB2312" w:cstheme="minorBidi"/>
          <w:kern w:val="2"/>
          <w:sz w:val="32"/>
          <w:szCs w:val="32"/>
          <w:highlight w:val="none"/>
          <w:u w:val="none"/>
          <w:shd w:val="clear"/>
          <w:lang w:val="en-US" w:eastAsia="zh-CN" w:bidi="ar-SA"/>
        </w:rPr>
        <w:t>由考评人员对参评职工进行评分，要求评分过程公平公正，同时接受内部质量督导员以及属地职业技能评价指导机构随机派遣外部质量督导员的督导检查。按有关要求做好评价全过程的视频监控及录像工作。</w:t>
      </w:r>
    </w:p>
    <w:p>
      <w:pPr>
        <w:pStyle w:val="14"/>
        <w:keepNext w:val="0"/>
        <w:keepLines w:val="0"/>
        <w:widowControl w:val="0"/>
        <w:shd w:val="clear" w:color="auto" w:fill="auto"/>
        <w:bidi w:val="0"/>
        <w:spacing w:before="0" w:after="0" w:line="600" w:lineRule="exact"/>
        <w:ind w:left="0" w:right="0" w:firstLine="680"/>
        <w:jc w:val="both"/>
        <w:rPr>
          <w:rFonts w:hint="eastAsia" w:ascii="仿宋_GB2312" w:hAnsi="Times New Roman" w:eastAsia="仿宋_GB2312" w:cstheme="minorBidi"/>
          <w:kern w:val="2"/>
          <w:sz w:val="32"/>
          <w:szCs w:val="32"/>
          <w:highlight w:val="none"/>
          <w:u w:val="none"/>
          <w:shd w:val="clear"/>
          <w:lang w:val="en-US" w:eastAsia="zh-CN" w:bidi="ar-SA"/>
        </w:rPr>
      </w:pPr>
      <w:r>
        <w:rPr>
          <w:rFonts w:hint="eastAsia" w:ascii="仿宋_GB2312" w:hAnsi="Times New Roman" w:eastAsia="仿宋_GB2312" w:cstheme="minorBidi"/>
          <w:kern w:val="2"/>
          <w:sz w:val="32"/>
          <w:szCs w:val="32"/>
          <w:highlight w:val="none"/>
          <w:u w:val="none"/>
          <w:shd w:val="clear"/>
          <w:lang w:val="en-US" w:eastAsia="zh-CN" w:bidi="ar-SA"/>
        </w:rPr>
        <w:t>采用企业内部竞赛方式评价的，按照竞赛方案实施。</w:t>
      </w:r>
    </w:p>
    <w:p>
      <w:pPr>
        <w:pStyle w:val="14"/>
        <w:keepNext w:val="0"/>
        <w:keepLines w:val="0"/>
        <w:widowControl w:val="0"/>
        <w:shd w:val="clear" w:color="auto" w:fill="auto"/>
        <w:bidi w:val="0"/>
        <w:spacing w:before="0" w:after="0" w:line="600" w:lineRule="exact"/>
        <w:ind w:left="0" w:right="0" w:firstLine="680"/>
        <w:jc w:val="both"/>
        <w:rPr>
          <w:rFonts w:hint="eastAsia" w:ascii="仿宋_GB2312" w:hAnsi="Times New Roman" w:eastAsia="仿宋_GB2312" w:cstheme="minorBidi"/>
          <w:b/>
          <w:bCs/>
          <w:kern w:val="2"/>
          <w:sz w:val="32"/>
          <w:szCs w:val="32"/>
          <w:highlight w:val="none"/>
          <w:u w:val="none"/>
          <w:shd w:val="clear"/>
          <w:lang w:val="en-US" w:eastAsia="zh-CN" w:bidi="ar-SA"/>
        </w:rPr>
      </w:pPr>
      <w:bookmarkStart w:id="7" w:name="bookmark20"/>
      <w:bookmarkEnd w:id="7"/>
      <w:r>
        <w:rPr>
          <w:rFonts w:hint="eastAsia" w:ascii="仿宋_GB2312" w:hAnsi="Times New Roman" w:eastAsia="仿宋_GB2312" w:cstheme="minorBidi"/>
          <w:b/>
          <w:bCs/>
          <w:kern w:val="2"/>
          <w:sz w:val="32"/>
          <w:szCs w:val="32"/>
          <w:highlight w:val="none"/>
          <w:u w:val="none"/>
          <w:shd w:val="clear"/>
          <w:lang w:val="en-US" w:eastAsia="zh-CN" w:bidi="ar-SA"/>
        </w:rPr>
        <w:t>3</w:t>
      </w:r>
      <w:r>
        <w:rPr>
          <w:rFonts w:hint="eastAsia" w:ascii="仿宋_GB2312" w:hAnsi="Times New Roman" w:eastAsia="仿宋_GB2312" w:cstheme="minorBidi"/>
          <w:b/>
          <w:bCs/>
          <w:kern w:val="2"/>
          <w:sz w:val="32"/>
          <w:szCs w:val="32"/>
          <w:highlight w:val="none"/>
          <w:u w:val="none"/>
          <w:shd w:val="clear"/>
          <w:lang w:val="zh-CN" w:eastAsia="zh-CN" w:bidi="ar-SA"/>
        </w:rPr>
        <w:t>.评</w:t>
      </w:r>
      <w:r>
        <w:rPr>
          <w:rFonts w:hint="eastAsia" w:ascii="仿宋_GB2312" w:hAnsi="Times New Roman" w:eastAsia="仿宋_GB2312" w:cstheme="minorBidi"/>
          <w:b/>
          <w:bCs/>
          <w:kern w:val="2"/>
          <w:sz w:val="32"/>
          <w:szCs w:val="32"/>
          <w:highlight w:val="none"/>
          <w:u w:val="none"/>
          <w:shd w:val="clear"/>
          <w:lang w:val="en-US" w:eastAsia="zh-CN" w:bidi="ar-SA"/>
        </w:rPr>
        <w:t>价结果审核</w:t>
      </w:r>
    </w:p>
    <w:p>
      <w:pPr>
        <w:pStyle w:val="14"/>
        <w:keepNext w:val="0"/>
        <w:keepLines w:val="0"/>
        <w:widowControl w:val="0"/>
        <w:shd w:val="clear" w:color="auto" w:fill="auto"/>
        <w:bidi w:val="0"/>
        <w:spacing w:before="0" w:after="0" w:line="600" w:lineRule="exact"/>
        <w:ind w:left="0" w:right="0" w:firstLine="680"/>
        <w:jc w:val="both"/>
      </w:pPr>
      <w:r>
        <w:rPr>
          <w:rFonts w:hint="eastAsia" w:ascii="仿宋_GB2312" w:hAnsi="Times New Roman" w:eastAsia="仿宋_GB2312" w:cstheme="minorBidi"/>
          <w:kern w:val="2"/>
          <w:sz w:val="32"/>
          <w:szCs w:val="32"/>
          <w:highlight w:val="none"/>
          <w:u w:val="none"/>
          <w:shd w:val="clear"/>
          <w:lang w:val="en-US" w:eastAsia="zh-CN" w:bidi="ar-SA"/>
        </w:rPr>
        <w:t>考务人员负责汇总评价结果，并整理上报评价工作委员会审核。</w:t>
      </w:r>
    </w:p>
    <w:p>
      <w:pPr>
        <w:pStyle w:val="14"/>
        <w:keepNext w:val="0"/>
        <w:keepLines w:val="0"/>
        <w:widowControl w:val="0"/>
        <w:shd w:val="clear" w:color="auto" w:fill="auto"/>
        <w:tabs>
          <w:tab w:val="left" w:pos="1641"/>
        </w:tabs>
        <w:bidi w:val="0"/>
        <w:spacing w:before="0" w:after="0" w:line="600" w:lineRule="exact"/>
        <w:ind w:left="0" w:right="0" w:firstLine="800"/>
        <w:jc w:val="both"/>
        <w:rPr>
          <w:rFonts w:hint="eastAsia" w:ascii="楷体" w:hAnsi="楷体" w:eastAsia="楷体" w:cstheme="minorBidi"/>
          <w:b/>
          <w:bCs/>
          <w:kern w:val="2"/>
          <w:sz w:val="32"/>
          <w:szCs w:val="32"/>
          <w:highlight w:val="none"/>
          <w:u w:val="none"/>
          <w:shd w:val="clear"/>
          <w:lang w:val="en-US" w:eastAsia="zh-CN" w:bidi="ar-SA"/>
        </w:rPr>
      </w:pPr>
      <w:bookmarkStart w:id="8" w:name="bookmark21"/>
      <w:r>
        <w:rPr>
          <w:rFonts w:hint="eastAsia" w:ascii="楷体" w:hAnsi="楷体" w:eastAsia="楷体" w:cstheme="minorBidi"/>
          <w:b/>
          <w:bCs/>
          <w:kern w:val="2"/>
          <w:sz w:val="32"/>
          <w:szCs w:val="32"/>
          <w:highlight w:val="none"/>
          <w:u w:val="none"/>
          <w:shd w:val="clear"/>
          <w:lang w:val="en-US" w:eastAsia="zh-CN" w:bidi="ar-SA"/>
        </w:rPr>
        <w:t>（</w:t>
      </w:r>
      <w:bookmarkEnd w:id="8"/>
      <w:r>
        <w:rPr>
          <w:rFonts w:hint="eastAsia" w:ascii="楷体" w:hAnsi="楷体" w:eastAsia="楷体" w:cstheme="minorBidi"/>
          <w:b/>
          <w:bCs/>
          <w:kern w:val="2"/>
          <w:sz w:val="32"/>
          <w:szCs w:val="32"/>
          <w:highlight w:val="none"/>
          <w:u w:val="none"/>
          <w:shd w:val="clear"/>
          <w:lang w:val="en-US" w:eastAsia="zh-CN" w:bidi="ar-SA"/>
        </w:rPr>
        <w:t>八）评价结果公示</w:t>
      </w:r>
    </w:p>
    <w:p>
      <w:pPr>
        <w:pStyle w:val="14"/>
        <w:keepNext w:val="0"/>
        <w:keepLines w:val="0"/>
        <w:widowControl w:val="0"/>
        <w:shd w:val="clear" w:color="auto" w:fill="auto"/>
        <w:bidi w:val="0"/>
        <w:spacing w:before="0" w:after="0" w:line="605" w:lineRule="exact"/>
        <w:ind w:left="0" w:right="0" w:firstLine="640"/>
        <w:jc w:val="both"/>
      </w:pPr>
      <w:r>
        <w:rPr>
          <w:rFonts w:hint="eastAsia" w:ascii="仿宋_GB2312" w:hAnsi="Times New Roman" w:eastAsia="仿宋_GB2312" w:cstheme="minorBidi"/>
          <w:kern w:val="2"/>
          <w:sz w:val="32"/>
          <w:szCs w:val="32"/>
          <w:highlight w:val="none"/>
          <w:u w:val="none"/>
          <w:shd w:val="clear"/>
          <w:lang w:val="en-US" w:eastAsia="zh-CN" w:bidi="ar-SA"/>
        </w:rPr>
        <w:t>经评价工作委员会审核无误后对职工进行公示，公示期不少于5天（按自然日计算）。对公示结果有异议的，由评价工作委员会处理。企业应于评价结果公示结束后的20个工作日内通过</w:t>
      </w:r>
      <w:r>
        <w:rPr>
          <w:rFonts w:hint="eastAsia" w:ascii="仿宋_GB2312" w:hAnsi="Times New Roman" w:eastAsia="仿宋_GB2312"/>
          <w:sz w:val="32"/>
          <w:szCs w:val="32"/>
          <w:highlight w:val="none"/>
          <w:lang w:val="en-US" w:eastAsia="zh-CN"/>
        </w:rPr>
        <w:t>“省监管系统”</w:t>
      </w:r>
      <w:r>
        <w:rPr>
          <w:rFonts w:hint="eastAsia" w:ascii="仿宋_GB2312" w:hAnsi="Times New Roman" w:eastAsia="仿宋_GB2312" w:cstheme="minorBidi"/>
          <w:kern w:val="2"/>
          <w:sz w:val="32"/>
          <w:szCs w:val="32"/>
          <w:highlight w:val="none"/>
          <w:u w:val="none"/>
          <w:shd w:val="clear"/>
          <w:lang w:val="en-US" w:eastAsia="zh-CN" w:bidi="ar-SA"/>
        </w:rPr>
        <w:t>向属地职业技能评价指导机构提交评价结果。</w:t>
      </w:r>
    </w:p>
    <w:p>
      <w:pPr>
        <w:pStyle w:val="14"/>
        <w:keepNext w:val="0"/>
        <w:keepLines w:val="0"/>
        <w:widowControl w:val="0"/>
        <w:shd w:val="clear" w:color="auto" w:fill="auto"/>
        <w:tabs>
          <w:tab w:val="left" w:pos="1641"/>
        </w:tabs>
        <w:bidi w:val="0"/>
        <w:spacing w:before="0" w:after="0" w:line="600" w:lineRule="exact"/>
        <w:ind w:left="0" w:right="0" w:firstLine="800"/>
        <w:jc w:val="both"/>
        <w:rPr>
          <w:rFonts w:hint="default" w:ascii="楷体" w:hAnsi="楷体" w:eastAsia="楷体" w:cstheme="minorBidi"/>
          <w:b/>
          <w:bCs/>
          <w:kern w:val="2"/>
          <w:sz w:val="32"/>
          <w:szCs w:val="32"/>
          <w:highlight w:val="none"/>
          <w:u w:val="none"/>
          <w:shd w:val="clear"/>
          <w:lang w:val="en-US" w:eastAsia="zh-CN" w:bidi="ar-SA"/>
        </w:rPr>
      </w:pPr>
      <w:bookmarkStart w:id="9" w:name="bookmark22"/>
      <w:r>
        <w:rPr>
          <w:rFonts w:hint="eastAsia" w:ascii="楷体" w:hAnsi="楷体" w:eastAsia="楷体" w:cstheme="minorBidi"/>
          <w:b/>
          <w:bCs/>
          <w:kern w:val="2"/>
          <w:sz w:val="32"/>
          <w:szCs w:val="32"/>
          <w:highlight w:val="none"/>
          <w:u w:val="none"/>
          <w:shd w:val="clear"/>
          <w:lang w:val="en-US" w:eastAsia="zh-CN" w:bidi="ar-SA"/>
        </w:rPr>
        <w:t>（</w:t>
      </w:r>
      <w:bookmarkEnd w:id="9"/>
      <w:r>
        <w:rPr>
          <w:rFonts w:hint="eastAsia" w:ascii="楷体" w:hAnsi="楷体" w:eastAsia="楷体" w:cstheme="minorBidi"/>
          <w:b/>
          <w:bCs/>
          <w:kern w:val="2"/>
          <w:sz w:val="32"/>
          <w:szCs w:val="32"/>
          <w:highlight w:val="none"/>
          <w:u w:val="none"/>
          <w:shd w:val="clear"/>
          <w:lang w:val="en-US" w:eastAsia="zh-CN" w:bidi="ar-SA"/>
        </w:rPr>
        <w:t>九）证书数据上报及印发</w:t>
      </w:r>
    </w:p>
    <w:p>
      <w:pPr>
        <w:pStyle w:val="14"/>
        <w:keepNext w:val="0"/>
        <w:keepLines w:val="0"/>
        <w:widowControl w:val="0"/>
        <w:shd w:val="clear" w:color="auto" w:fill="auto"/>
        <w:bidi w:val="0"/>
        <w:spacing w:before="0" w:after="0" w:line="605" w:lineRule="exact"/>
        <w:ind w:left="0" w:right="0" w:firstLine="640"/>
        <w:jc w:val="both"/>
        <w:rPr>
          <w:rFonts w:hint="eastAsia" w:ascii="仿宋_GB2312" w:hAnsi="Times New Roman" w:eastAsia="仿宋_GB2312" w:cstheme="minorBidi"/>
          <w:kern w:val="2"/>
          <w:sz w:val="32"/>
          <w:szCs w:val="32"/>
          <w:highlight w:val="none"/>
          <w:u w:val="none"/>
          <w:shd w:val="clear"/>
          <w:lang w:val="en-US" w:eastAsia="zh-CN" w:bidi="ar-SA"/>
        </w:rPr>
      </w:pPr>
      <w:r>
        <w:rPr>
          <w:rFonts w:hint="eastAsia" w:ascii="仿宋_GB2312" w:hAnsi="Times New Roman" w:eastAsia="仿宋_GB2312" w:cstheme="minorBidi"/>
          <w:kern w:val="2"/>
          <w:sz w:val="32"/>
          <w:szCs w:val="32"/>
          <w:highlight w:val="none"/>
          <w:u w:val="none"/>
          <w:shd w:val="clear"/>
          <w:lang w:val="en-US" w:eastAsia="zh-CN" w:bidi="ar-SA"/>
        </w:rPr>
        <w:t>企业待评价结果审批通过后，按要求在“省监管系统”生成证书号、上传证书数据，证书数据在“</w:t>
      </w:r>
      <w:r>
        <w:rPr>
          <w:rFonts w:hint="eastAsia" w:ascii="仿宋_GB2312" w:hAnsi="Times New Roman" w:eastAsia="仿宋_GB2312" w:cstheme="minorBidi"/>
          <w:kern w:val="2"/>
          <w:sz w:val="32"/>
          <w:szCs w:val="32"/>
          <w:highlight w:val="none"/>
          <w:u w:val="none"/>
          <w:shd w:val="clear"/>
          <w:lang w:val="zh-CN" w:eastAsia="zh-CN" w:bidi="ar-SA"/>
        </w:rPr>
        <w:t>技能</w:t>
      </w:r>
      <w:r>
        <w:rPr>
          <w:rFonts w:hint="eastAsia" w:ascii="仿宋_GB2312" w:hAnsi="Times New Roman" w:eastAsia="仿宋_GB2312" w:cstheme="minorBidi"/>
          <w:kern w:val="2"/>
          <w:sz w:val="32"/>
          <w:szCs w:val="32"/>
          <w:highlight w:val="none"/>
          <w:u w:val="none"/>
          <w:shd w:val="clear"/>
          <w:lang w:val="en-US" w:eastAsia="zh-CN" w:bidi="ar-SA"/>
        </w:rPr>
        <w:t xml:space="preserve">人才评价证书全国联网查询系统”（ </w:t>
      </w:r>
      <w:r>
        <w:rPr>
          <w:rFonts w:hint="eastAsia" w:ascii="仿宋_GB2312" w:hAnsi="Times New Roman" w:eastAsia="仿宋_GB2312" w:cstheme="minorBidi"/>
          <w:kern w:val="2"/>
          <w:sz w:val="32"/>
          <w:szCs w:val="32"/>
          <w:highlight w:val="none"/>
          <w:u w:val="none"/>
          <w:shd w:val="clear"/>
          <w:lang w:val="en-US" w:eastAsia="zh-CN" w:bidi="ar-SA"/>
        </w:rPr>
        <w:fldChar w:fldCharType="begin"/>
      </w:r>
      <w:r>
        <w:rPr>
          <w:rFonts w:hint="eastAsia" w:ascii="仿宋_GB2312" w:hAnsi="Times New Roman" w:eastAsia="仿宋_GB2312" w:cstheme="minorBidi"/>
          <w:kern w:val="2"/>
          <w:sz w:val="32"/>
          <w:szCs w:val="32"/>
          <w:highlight w:val="none"/>
          <w:u w:val="none"/>
          <w:shd w:val="clear"/>
          <w:lang w:val="en-US" w:eastAsia="zh-CN" w:bidi="ar-SA"/>
        </w:rPr>
        <w:instrText xml:space="preserve">HYPERLINK "http://jndj.osta.org.cn/%ef%bc%89%e5%8f%af%e6%9f%a5%e5%90%8e%ef%bc%8c%e6%8c%81%e8%af%81%e4%ba%ba%e5%91%98%e7%ba%b3"</w:instrText>
      </w:r>
      <w:r>
        <w:rPr>
          <w:rFonts w:hint="eastAsia" w:ascii="仿宋_GB2312" w:hAnsi="Times New Roman" w:eastAsia="仿宋_GB2312" w:cstheme="minorBidi"/>
          <w:kern w:val="2"/>
          <w:sz w:val="32"/>
          <w:szCs w:val="32"/>
          <w:highlight w:val="none"/>
          <w:u w:val="none"/>
          <w:shd w:val="clear"/>
          <w:lang w:val="en-US" w:eastAsia="zh-CN" w:bidi="ar-SA"/>
        </w:rPr>
        <w:fldChar w:fldCharType="separate"/>
      </w:r>
      <w:r>
        <w:rPr>
          <w:rFonts w:hint="eastAsia" w:ascii="仿宋_GB2312" w:hAnsi="Times New Roman" w:eastAsia="仿宋_GB2312" w:cstheme="minorBidi"/>
          <w:kern w:val="2"/>
          <w:sz w:val="32"/>
          <w:szCs w:val="32"/>
          <w:highlight w:val="none"/>
          <w:u w:val="none"/>
          <w:shd w:val="clear"/>
          <w:lang w:val="en-US" w:eastAsia="en-US" w:bidi="ar-SA"/>
        </w:rPr>
        <w:t>http://jndj.osta.org.cn/</w:t>
      </w:r>
      <w:r>
        <w:rPr>
          <w:rFonts w:hint="eastAsia" w:ascii="仿宋_GB2312" w:hAnsi="Times New Roman" w:eastAsia="仿宋_GB2312" w:cstheme="minorBidi"/>
          <w:kern w:val="2"/>
          <w:sz w:val="32"/>
          <w:szCs w:val="32"/>
          <w:highlight w:val="none"/>
          <w:u w:val="none"/>
          <w:shd w:val="clear"/>
          <w:lang w:val="en-US" w:eastAsia="zh-CN" w:bidi="ar-SA"/>
        </w:rPr>
        <w:t>）可查后，自行打印并发放证书。</w:t>
      </w:r>
      <w:r>
        <w:rPr>
          <w:rFonts w:hint="eastAsia" w:ascii="仿宋_GB2312" w:hAnsi="Times New Roman" w:eastAsia="仿宋_GB2312" w:cstheme="minorBidi"/>
          <w:kern w:val="2"/>
          <w:sz w:val="32"/>
          <w:szCs w:val="32"/>
          <w:highlight w:val="none"/>
          <w:u w:val="none"/>
          <w:shd w:val="clear"/>
          <w:lang w:val="en-US" w:eastAsia="zh-CN" w:bidi="ar-SA"/>
        </w:rPr>
        <w:fldChar w:fldCharType="end"/>
      </w:r>
    </w:p>
    <w:p>
      <w:pPr>
        <w:pStyle w:val="14"/>
        <w:keepNext w:val="0"/>
        <w:keepLines w:val="0"/>
        <w:widowControl w:val="0"/>
        <w:shd w:val="clear" w:color="auto" w:fill="auto"/>
        <w:tabs>
          <w:tab w:val="left" w:pos="1641"/>
        </w:tabs>
        <w:bidi w:val="0"/>
        <w:spacing w:before="0" w:after="0" w:line="600" w:lineRule="exact"/>
        <w:ind w:left="0" w:right="0" w:firstLine="800"/>
        <w:jc w:val="both"/>
        <w:rPr>
          <w:rFonts w:hint="eastAsia" w:ascii="楷体" w:hAnsi="楷体" w:eastAsia="楷体" w:cstheme="minorBidi"/>
          <w:b/>
          <w:bCs/>
          <w:kern w:val="2"/>
          <w:sz w:val="32"/>
          <w:szCs w:val="32"/>
          <w:highlight w:val="none"/>
          <w:u w:val="none"/>
          <w:shd w:val="clear"/>
          <w:lang w:val="en-US" w:eastAsia="zh-CN" w:bidi="ar-SA"/>
        </w:rPr>
      </w:pPr>
      <w:bookmarkStart w:id="10" w:name="bookmark23"/>
      <w:r>
        <w:rPr>
          <w:rFonts w:hint="eastAsia" w:ascii="楷体" w:hAnsi="楷体" w:eastAsia="楷体" w:cstheme="minorBidi"/>
          <w:b/>
          <w:bCs/>
          <w:kern w:val="2"/>
          <w:sz w:val="32"/>
          <w:szCs w:val="32"/>
          <w:highlight w:val="none"/>
          <w:u w:val="none"/>
          <w:shd w:val="clear"/>
          <w:lang w:val="en-US" w:eastAsia="zh-CN" w:bidi="ar-SA"/>
        </w:rPr>
        <w:t>（</w:t>
      </w:r>
      <w:bookmarkEnd w:id="10"/>
      <w:r>
        <w:rPr>
          <w:rFonts w:hint="eastAsia" w:ascii="楷体" w:hAnsi="楷体" w:eastAsia="楷体" w:cstheme="minorBidi"/>
          <w:b/>
          <w:bCs/>
          <w:kern w:val="2"/>
          <w:sz w:val="32"/>
          <w:szCs w:val="32"/>
          <w:highlight w:val="none"/>
          <w:u w:val="none"/>
          <w:shd w:val="clear"/>
          <w:lang w:val="en-US" w:eastAsia="zh-CN" w:bidi="ar-SA"/>
        </w:rPr>
        <w:t>十）档案归档</w:t>
      </w:r>
    </w:p>
    <w:p>
      <w:pPr>
        <w:pStyle w:val="14"/>
        <w:keepNext w:val="0"/>
        <w:keepLines w:val="0"/>
        <w:widowControl w:val="0"/>
        <w:shd w:val="clear" w:color="auto" w:fill="auto"/>
        <w:bidi w:val="0"/>
        <w:spacing w:before="0" w:after="0" w:line="605" w:lineRule="exact"/>
        <w:ind w:left="0" w:right="0" w:firstLine="640"/>
        <w:jc w:val="both"/>
        <w:rPr>
          <w:rFonts w:hint="eastAsia" w:ascii="仿宋_GB2312" w:hAnsi="Times New Roman" w:eastAsia="仿宋_GB2312" w:cstheme="minorBidi"/>
          <w:kern w:val="2"/>
          <w:sz w:val="32"/>
          <w:szCs w:val="32"/>
          <w:highlight w:val="none"/>
          <w:u w:val="none"/>
          <w:shd w:val="clear"/>
          <w:lang w:val="zh-CN" w:eastAsia="zh-CN" w:bidi="ar-SA"/>
        </w:rPr>
      </w:pPr>
      <w:r>
        <w:rPr>
          <w:rFonts w:hint="eastAsia" w:ascii="仿宋_GB2312" w:hAnsi="Times New Roman" w:eastAsia="仿宋_GB2312" w:cstheme="minorBidi"/>
          <w:kern w:val="2"/>
          <w:sz w:val="32"/>
          <w:szCs w:val="32"/>
          <w:highlight w:val="none"/>
          <w:u w:val="none"/>
          <w:shd w:val="clear"/>
          <w:lang w:val="zh-CN" w:eastAsia="zh-CN" w:bidi="ar-SA"/>
        </w:rPr>
        <w:t>企业应认真做好评价工作过程资料归档</w:t>
      </w:r>
      <w:r>
        <w:rPr>
          <w:rFonts w:hint="eastAsia" w:ascii="仿宋_GB2312" w:hAnsi="Times New Roman" w:eastAsia="仿宋_GB2312" w:cstheme="minorBidi"/>
          <w:kern w:val="2"/>
          <w:sz w:val="32"/>
          <w:szCs w:val="32"/>
          <w:highlight w:val="none"/>
          <w:u w:val="none"/>
          <w:shd w:val="clear"/>
          <w:lang w:val="en-US" w:eastAsia="zh-CN" w:bidi="ar-SA"/>
        </w:rPr>
        <w:t>保存</w:t>
      </w:r>
      <w:r>
        <w:rPr>
          <w:rFonts w:hint="eastAsia" w:ascii="仿宋_GB2312" w:hAnsi="Times New Roman" w:eastAsia="仿宋_GB2312" w:cstheme="minorBidi"/>
          <w:kern w:val="2"/>
          <w:sz w:val="32"/>
          <w:szCs w:val="32"/>
          <w:highlight w:val="none"/>
          <w:u w:val="none"/>
          <w:shd w:val="clear"/>
          <w:lang w:val="zh-CN" w:eastAsia="zh-CN" w:bidi="ar-SA"/>
        </w:rPr>
        <w:t>工作，纸质资料和电子资料都不少于五年，确保评价过程和结果可追溯、可倒查，并接受</w:t>
      </w:r>
      <w:r>
        <w:rPr>
          <w:rFonts w:hint="eastAsia" w:ascii="仿宋_GB2312" w:hAnsi="Times New Roman" w:eastAsia="仿宋_GB2312" w:cstheme="minorBidi"/>
          <w:kern w:val="2"/>
          <w:sz w:val="32"/>
          <w:szCs w:val="32"/>
          <w:highlight w:val="none"/>
          <w:u w:val="none"/>
          <w:shd w:val="clear"/>
          <w:lang w:val="en-US" w:eastAsia="zh-CN" w:bidi="ar-SA"/>
        </w:rPr>
        <w:t>人社、审计等</w:t>
      </w:r>
      <w:r>
        <w:rPr>
          <w:rFonts w:hint="eastAsia" w:ascii="仿宋_GB2312" w:hAnsi="Times New Roman" w:eastAsia="仿宋_GB2312" w:cstheme="minorBidi"/>
          <w:kern w:val="2"/>
          <w:sz w:val="32"/>
          <w:szCs w:val="32"/>
          <w:highlight w:val="none"/>
          <w:u w:val="none"/>
          <w:shd w:val="clear"/>
          <w:lang w:val="zh-CN" w:eastAsia="zh-CN" w:bidi="ar-SA"/>
        </w:rPr>
        <w:t>部门监管或检查。保存期满需要销毁的，应进行台账登记后统一销毁。</w:t>
      </w:r>
    </w:p>
    <w:p>
      <w:pPr>
        <w:numPr>
          <w:ilvl w:val="0"/>
          <w:numId w:val="0"/>
        </w:numPr>
        <w:adjustRightInd w:val="0"/>
        <w:snapToGrid w:val="0"/>
        <w:spacing w:beforeLines="0" w:afterLines="0" w:line="615" w:lineRule="exact"/>
        <w:ind w:firstLine="643" w:firstLineChars="200"/>
        <w:rPr>
          <w:rFonts w:hint="eastAsia" w:ascii="楷体" w:hAnsi="楷体" w:eastAsia="楷体" w:cstheme="minorBidi"/>
          <w:b/>
          <w:bCs/>
          <w:kern w:val="2"/>
          <w:sz w:val="32"/>
          <w:szCs w:val="32"/>
          <w:highlight w:val="none"/>
          <w:u w:val="none"/>
          <w:shd w:val="clear"/>
          <w:lang w:val="en-US" w:eastAsia="zh-CN" w:bidi="ar-SA"/>
        </w:rPr>
      </w:pPr>
      <w:r>
        <w:rPr>
          <w:rFonts w:hint="eastAsia" w:ascii="楷体" w:hAnsi="楷体" w:eastAsia="楷体" w:cstheme="minorBidi"/>
          <w:b/>
          <w:bCs/>
          <w:kern w:val="2"/>
          <w:sz w:val="32"/>
          <w:szCs w:val="32"/>
          <w:shd w:val="clear"/>
          <w:lang w:val="en-US" w:eastAsia="zh-CN" w:bidi="ar-SA"/>
        </w:rPr>
        <w:t>（十一）</w:t>
      </w:r>
      <w:r>
        <w:rPr>
          <w:rFonts w:hint="eastAsia" w:ascii="楷体" w:hAnsi="楷体" w:eastAsia="楷体" w:cstheme="minorBidi"/>
          <w:b/>
          <w:bCs/>
          <w:kern w:val="2"/>
          <w:sz w:val="32"/>
          <w:szCs w:val="32"/>
          <w:highlight w:val="none"/>
          <w:u w:val="none"/>
          <w:shd w:val="clear"/>
          <w:lang w:val="en-US" w:eastAsia="zh-CN" w:bidi="ar-SA"/>
        </w:rPr>
        <w:t>指导与服务</w:t>
      </w:r>
    </w:p>
    <w:p>
      <w:pPr>
        <w:pStyle w:val="4"/>
        <w:numPr>
          <w:ilvl w:val="0"/>
          <w:numId w:val="0"/>
        </w:numPr>
        <w:ind w:firstLine="640" w:firstLineChars="200"/>
        <w:rPr>
          <w:rFonts w:hint="eastAsia" w:ascii="仿宋_GB2312" w:hAnsi="Times New Roman" w:eastAsia="仿宋_GB2312" w:cstheme="minorBidi"/>
          <w:kern w:val="2"/>
          <w:sz w:val="32"/>
          <w:szCs w:val="32"/>
          <w:highlight w:val="none"/>
          <w:u w:val="none"/>
          <w:shd w:val="clear" w:color="auto" w:fill="auto"/>
          <w:lang w:val="en-US" w:eastAsia="zh-CN" w:bidi="ar-SA"/>
        </w:rPr>
      </w:pPr>
      <w:r>
        <w:rPr>
          <w:rFonts w:hint="eastAsia" w:ascii="仿宋_GB2312" w:hAnsi="Times New Roman" w:eastAsia="仿宋_GB2312" w:cstheme="minorBidi"/>
          <w:color w:val="auto"/>
          <w:kern w:val="2"/>
          <w:sz w:val="32"/>
          <w:szCs w:val="32"/>
          <w:highlight w:val="none"/>
          <w:u w:val="none"/>
          <w:shd w:val="clear" w:color="auto" w:fill="auto"/>
          <w:lang w:val="en-US" w:eastAsia="zh-CN" w:bidi="ar-SA"/>
        </w:rPr>
        <w:t>由</w:t>
      </w:r>
      <w:r>
        <w:rPr>
          <w:rFonts w:hint="eastAsia" w:ascii="仿宋_GB2312" w:hAnsi="Times New Roman" w:eastAsia="仿宋_GB2312" w:cstheme="minorBidi"/>
          <w:kern w:val="2"/>
          <w:sz w:val="32"/>
          <w:szCs w:val="32"/>
          <w:highlight w:val="none"/>
          <w:u w:val="none"/>
          <w:shd w:val="clear" w:color="auto" w:fill="auto"/>
          <w:lang w:val="en-US" w:eastAsia="zh-CN" w:bidi="ar-SA"/>
        </w:rPr>
        <w:t>县（市、区）人社部门做好“点对点”直达企业的指导和服务工作，包括不限于：职业技能等级认定工作方案撰写、现场评审、评价认定、补贴申领等工作。市职业技能服务中心统筹各县（市、区）技能服务中心（鉴定中心）协同做好企业的指导和服务工作，及时研究解决工作中遇到的新情况新问题，确保企业职业技能等级认定工作规范有序实施。</w:t>
      </w:r>
    </w:p>
    <w:p>
      <w:pPr>
        <w:numPr>
          <w:ilvl w:val="0"/>
          <w:numId w:val="0"/>
        </w:numPr>
        <w:adjustRightInd w:val="0"/>
        <w:snapToGrid w:val="0"/>
        <w:spacing w:beforeLines="0" w:afterLines="0" w:line="615" w:lineRule="exact"/>
        <w:ind w:firstLine="640" w:firstLineChars="200"/>
        <w:rPr>
          <w:rFonts w:hint="default" w:ascii="Times New Roman" w:hAnsi="Times New Roman" w:eastAsia="黑体" w:cs="Times New Roman"/>
          <w:color w:val="000000"/>
          <w:sz w:val="32"/>
          <w:szCs w:val="32"/>
          <w:lang w:eastAsia="zh-CN"/>
        </w:rPr>
      </w:pPr>
      <w:r>
        <w:rPr>
          <w:rFonts w:hint="eastAsia" w:eastAsia="黑体" w:cs="Times New Roman"/>
          <w:color w:val="000000"/>
          <w:sz w:val="32"/>
          <w:szCs w:val="32"/>
          <w:lang w:val="en-US" w:eastAsia="zh-CN"/>
        </w:rPr>
        <w:t>八、</w:t>
      </w:r>
      <w:r>
        <w:rPr>
          <w:rFonts w:hint="default" w:ascii="Times New Roman" w:hAnsi="Times New Roman" w:eastAsia="黑体" w:cs="Times New Roman"/>
          <w:color w:val="000000"/>
          <w:sz w:val="32"/>
          <w:szCs w:val="32"/>
          <w:lang w:eastAsia="zh-CN"/>
        </w:rPr>
        <w:t>联系方式</w:t>
      </w:r>
    </w:p>
    <w:p>
      <w:pPr>
        <w:pStyle w:val="14"/>
        <w:keepNext w:val="0"/>
        <w:keepLines w:val="0"/>
        <w:widowControl w:val="0"/>
        <w:shd w:val="clear" w:color="auto" w:fill="auto"/>
        <w:bidi w:val="0"/>
        <w:spacing w:before="0" w:after="0" w:line="605" w:lineRule="exact"/>
        <w:ind w:left="0" w:right="0" w:firstLine="640"/>
        <w:jc w:val="both"/>
        <w:rPr>
          <w:rFonts w:hint="eastAsia" w:ascii="仿宋_GB2312" w:hAnsi="Times New Roman" w:eastAsia="仿宋_GB2312" w:cstheme="minorBidi"/>
          <w:sz w:val="32"/>
          <w:szCs w:val="32"/>
          <w:highlight w:val="none"/>
          <w:lang w:val="zh-CN" w:eastAsia="zh-CN" w:bidi="ar-SA"/>
        </w:rPr>
      </w:pPr>
      <w:r>
        <w:rPr>
          <w:rFonts w:hint="eastAsia" w:ascii="仿宋_GB2312" w:hAnsi="Times New Roman" w:eastAsia="仿宋_GB2312" w:cstheme="minorBidi"/>
          <w:sz w:val="32"/>
          <w:szCs w:val="32"/>
          <w:highlight w:val="none"/>
          <w:lang w:val="zh-CN" w:eastAsia="zh-CN" w:bidi="ar-SA"/>
        </w:rPr>
        <w:t>执行过程中如有疑问，请及时联系市职业技能服务中心及</w:t>
      </w:r>
      <w:r>
        <w:rPr>
          <w:rFonts w:hint="eastAsia" w:ascii="仿宋_GB2312" w:hAnsi="Times New Roman" w:eastAsia="仿宋_GB2312" w:cs="Times New Roman"/>
          <w:kern w:val="2"/>
          <w:sz w:val="32"/>
          <w:szCs w:val="32"/>
          <w:highlight w:val="none"/>
          <w:u w:val="none"/>
          <w:shd w:val="clear" w:color="auto" w:fill="auto"/>
          <w:lang w:val="en-US" w:eastAsia="zh-CN" w:bidi="ar-SA"/>
        </w:rPr>
        <w:t>各县（市、区）技能服务中心（鉴定中心）</w:t>
      </w:r>
      <w:r>
        <w:rPr>
          <w:rFonts w:hint="eastAsia" w:ascii="仿宋_GB2312" w:hAnsi="Times New Roman" w:eastAsia="仿宋_GB2312" w:cstheme="minorBidi"/>
          <w:sz w:val="32"/>
          <w:szCs w:val="32"/>
          <w:highlight w:val="none"/>
          <w:lang w:val="zh-CN" w:eastAsia="zh-CN" w:bidi="ar-SA"/>
        </w:rPr>
        <w:t>。</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sz w:val="32"/>
          <w:szCs w:val="32"/>
          <w:highlight w:val="none"/>
          <w:lang w:val="zh-CN" w:eastAsia="zh-CN" w:bidi="ar-SA"/>
        </w:rPr>
      </w:pPr>
      <w:r>
        <w:rPr>
          <w:rFonts w:hint="eastAsia" w:ascii="仿宋_GB2312" w:hAnsi="Times New Roman" w:eastAsia="仿宋_GB2312" w:cstheme="minorBidi"/>
          <w:sz w:val="32"/>
          <w:szCs w:val="32"/>
          <w:highlight w:val="none"/>
          <w:lang w:val="zh-CN" w:eastAsia="zh-CN" w:bidi="ar-SA"/>
        </w:rPr>
        <w:t>市职业技能服务中心：075</w:t>
      </w:r>
      <w:r>
        <w:rPr>
          <w:rFonts w:hint="eastAsia" w:ascii="仿宋_GB2312" w:hAnsi="Times New Roman" w:eastAsia="仿宋_GB2312" w:cstheme="minorBidi"/>
          <w:sz w:val="32"/>
          <w:szCs w:val="32"/>
          <w:highlight w:val="none"/>
          <w:lang w:val="en-US" w:eastAsia="zh-CN" w:bidi="ar-SA"/>
        </w:rPr>
        <w:t>1</w:t>
      </w:r>
      <w:r>
        <w:rPr>
          <w:rFonts w:hint="eastAsia" w:ascii="仿宋_GB2312" w:hAnsi="Times New Roman" w:eastAsia="仿宋_GB2312" w:cstheme="minorBidi"/>
          <w:sz w:val="32"/>
          <w:szCs w:val="32"/>
          <w:highlight w:val="none"/>
          <w:lang w:val="zh-CN" w:eastAsia="zh-CN" w:bidi="ar-SA"/>
        </w:rPr>
        <w:t>-</w:t>
      </w:r>
      <w:r>
        <w:rPr>
          <w:rFonts w:hint="eastAsia" w:ascii="仿宋_GB2312" w:hAnsi="Times New Roman" w:eastAsia="仿宋_GB2312" w:cstheme="minorBidi"/>
          <w:sz w:val="32"/>
          <w:szCs w:val="32"/>
          <w:highlight w:val="none"/>
          <w:lang w:val="en-US" w:eastAsia="zh-CN" w:bidi="ar-SA"/>
        </w:rPr>
        <w:t>8607011</w:t>
      </w:r>
      <w:r>
        <w:rPr>
          <w:rFonts w:hint="eastAsia" w:ascii="仿宋_GB2312" w:hAnsi="Times New Roman" w:eastAsia="仿宋_GB2312" w:cstheme="minorBidi"/>
          <w:sz w:val="32"/>
          <w:szCs w:val="32"/>
          <w:highlight w:val="none"/>
          <w:lang w:val="zh-CN" w:eastAsia="zh-CN" w:bidi="ar-SA"/>
        </w:rPr>
        <w:t>；</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浈江区</w:t>
      </w:r>
      <w:r>
        <w:rPr>
          <w:rFonts w:hint="eastAsia" w:ascii="仿宋_GB2312" w:hAnsi="Times New Roman" w:eastAsia="仿宋_GB2312" w:cs="Times New Roman"/>
          <w:color w:val="auto"/>
          <w:kern w:val="2"/>
          <w:sz w:val="32"/>
          <w:szCs w:val="32"/>
          <w:highlight w:val="none"/>
          <w:u w:val="none"/>
          <w:shd w:val="clear" w:color="auto" w:fill="auto"/>
          <w:lang w:val="en-US" w:eastAsia="zh-CN" w:bidi="ar-SA"/>
        </w:rPr>
        <w:t>职业技能鉴定中心</w:t>
      </w:r>
      <w:r>
        <w:rPr>
          <w:rFonts w:hint="eastAsia" w:ascii="仿宋_GB2312" w:hAnsi="Times New Roman" w:eastAsia="仿宋_GB2312" w:cstheme="minorBidi"/>
          <w:color w:val="auto"/>
          <w:sz w:val="32"/>
          <w:szCs w:val="32"/>
          <w:highlight w:val="none"/>
          <w:lang w:val="zh-CN" w:eastAsia="zh-CN" w:bidi="ar-SA"/>
        </w:rPr>
        <w:t>：075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-8879879；</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武江区职业技能</w:t>
      </w:r>
      <w:r>
        <w:rPr>
          <w:rFonts w:hint="eastAsia" w:ascii="仿宋_GB2312" w:hAnsi="Times New Roman" w:eastAsia="仿宋_GB2312" w:cs="Times New Roman"/>
          <w:color w:val="auto"/>
          <w:kern w:val="2"/>
          <w:sz w:val="32"/>
          <w:szCs w:val="32"/>
          <w:highlight w:val="none"/>
          <w:u w:val="none"/>
          <w:shd w:val="clear" w:color="auto" w:fill="auto"/>
          <w:lang w:val="en-US" w:eastAsia="zh-CN" w:bidi="ar-SA"/>
        </w:rPr>
        <w:t>鉴定指导中心</w:t>
      </w:r>
      <w:r>
        <w:rPr>
          <w:rFonts w:hint="eastAsia" w:ascii="仿宋_GB2312" w:hAnsi="Times New Roman" w:eastAsia="仿宋_GB2312" w:cstheme="minorBidi"/>
          <w:color w:val="auto"/>
          <w:sz w:val="32"/>
          <w:szCs w:val="32"/>
          <w:highlight w:val="none"/>
          <w:lang w:val="zh-CN" w:eastAsia="zh-CN" w:bidi="ar-SA"/>
        </w:rPr>
        <w:t>：075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-8252661；</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曲江区职业</w:t>
      </w:r>
      <w:r>
        <w:rPr>
          <w:rFonts w:hint="eastAsia" w:ascii="仿宋_GB2312" w:hAnsi="Times New Roman" w:eastAsia="仿宋_GB2312" w:cs="Times New Roman"/>
          <w:color w:val="auto"/>
          <w:kern w:val="2"/>
          <w:sz w:val="32"/>
          <w:szCs w:val="32"/>
          <w:highlight w:val="none"/>
          <w:u w:val="none"/>
          <w:shd w:val="clear" w:color="auto" w:fill="auto"/>
          <w:lang w:val="en-US" w:eastAsia="zh-CN" w:bidi="ar-SA"/>
        </w:rPr>
        <w:t>技能指导中心</w:t>
      </w:r>
      <w:r>
        <w:rPr>
          <w:rFonts w:hint="eastAsia" w:ascii="仿宋_GB2312" w:hAnsi="Times New Roman" w:eastAsia="仿宋_GB2312" w:cstheme="minorBidi"/>
          <w:color w:val="auto"/>
          <w:sz w:val="32"/>
          <w:szCs w:val="32"/>
          <w:highlight w:val="none"/>
          <w:lang w:val="zh-CN" w:eastAsia="zh-CN" w:bidi="ar-SA"/>
        </w:rPr>
        <w:t>：075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-6696096；</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乐昌市职业</w:t>
      </w:r>
      <w:r>
        <w:rPr>
          <w:rFonts w:hint="eastAsia" w:ascii="仿宋_GB2312" w:hAnsi="Times New Roman" w:eastAsia="仿宋_GB2312" w:cs="Times New Roman"/>
          <w:color w:val="auto"/>
          <w:kern w:val="2"/>
          <w:sz w:val="32"/>
          <w:szCs w:val="32"/>
          <w:highlight w:val="none"/>
          <w:u w:val="none"/>
          <w:shd w:val="clear" w:color="auto" w:fill="auto"/>
          <w:lang w:val="en-US" w:eastAsia="zh-CN" w:bidi="ar-SA"/>
        </w:rPr>
        <w:t>技能服务中心</w:t>
      </w:r>
      <w:r>
        <w:rPr>
          <w:rFonts w:hint="eastAsia" w:ascii="仿宋_GB2312" w:hAnsi="Times New Roman" w:eastAsia="仿宋_GB2312" w:cstheme="minorBidi"/>
          <w:color w:val="auto"/>
          <w:sz w:val="32"/>
          <w:szCs w:val="32"/>
          <w:highlight w:val="none"/>
          <w:lang w:val="zh-CN" w:eastAsia="zh-CN" w:bidi="ar-SA"/>
        </w:rPr>
        <w:t>：075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-5560831；</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南雄市</w:t>
      </w:r>
      <w:r>
        <w:rPr>
          <w:rFonts w:hint="eastAsia" w:ascii="仿宋_GB2312" w:hAnsi="Times New Roman" w:eastAsia="仿宋_GB2312" w:cs="Times New Roman"/>
          <w:color w:val="auto"/>
          <w:kern w:val="2"/>
          <w:sz w:val="32"/>
          <w:szCs w:val="32"/>
          <w:highlight w:val="none"/>
          <w:u w:val="none"/>
          <w:shd w:val="clear" w:color="auto" w:fill="auto"/>
          <w:lang w:val="en-US" w:eastAsia="zh-CN" w:bidi="ar-SA"/>
        </w:rPr>
        <w:t>职业技能鉴定中心</w:t>
      </w:r>
      <w:r>
        <w:rPr>
          <w:rFonts w:hint="eastAsia" w:ascii="仿宋_GB2312" w:hAnsi="Times New Roman" w:eastAsia="仿宋_GB2312" w:cstheme="minorBidi"/>
          <w:color w:val="auto"/>
          <w:sz w:val="32"/>
          <w:szCs w:val="32"/>
          <w:highlight w:val="none"/>
          <w:lang w:val="zh-CN" w:eastAsia="zh-CN" w:bidi="ar-SA"/>
        </w:rPr>
        <w:t>：075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w:t>
      </w:r>
      <w:r>
        <w:rPr>
          <w:rFonts w:hint="eastAsia" w:ascii="仿宋_GB2312" w:hAnsi="Times New Roman" w:eastAsia="仿宋_GB2312" w:cstheme="minorBidi"/>
          <w:color w:val="auto"/>
          <w:sz w:val="32"/>
          <w:szCs w:val="32"/>
          <w:highlight w:val="none"/>
          <w:lang w:val="en-US" w:eastAsia="zh-CN" w:bidi="ar-SA"/>
        </w:rPr>
        <w:t>3868515</w:t>
      </w:r>
      <w:r>
        <w:rPr>
          <w:rFonts w:hint="eastAsia" w:ascii="仿宋_GB2312" w:hAnsi="Times New Roman" w:eastAsia="仿宋_GB2312" w:cstheme="minorBidi"/>
          <w:color w:val="auto"/>
          <w:sz w:val="32"/>
          <w:szCs w:val="32"/>
          <w:highlight w:val="none"/>
          <w:lang w:val="zh-CN" w:eastAsia="zh-CN" w:bidi="ar-SA"/>
        </w:rPr>
        <w:t>；</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仁化县</w:t>
      </w:r>
      <w:r>
        <w:rPr>
          <w:rFonts w:hint="eastAsia" w:ascii="仿宋_GB2312" w:hAnsi="Times New Roman" w:eastAsia="仿宋_GB2312" w:cs="Times New Roman"/>
          <w:color w:val="auto"/>
          <w:kern w:val="2"/>
          <w:sz w:val="32"/>
          <w:szCs w:val="32"/>
          <w:highlight w:val="none"/>
          <w:u w:val="none"/>
          <w:shd w:val="clear" w:color="auto" w:fill="auto"/>
          <w:lang w:val="en-US" w:eastAsia="zh-CN" w:bidi="ar-SA"/>
        </w:rPr>
        <w:t>职业技能鉴定中心</w:t>
      </w:r>
      <w:r>
        <w:rPr>
          <w:rFonts w:hint="eastAsia" w:ascii="仿宋_GB2312" w:hAnsi="Times New Roman" w:eastAsia="仿宋_GB2312" w:cstheme="minorBidi"/>
          <w:color w:val="auto"/>
          <w:sz w:val="32"/>
          <w:szCs w:val="32"/>
          <w:highlight w:val="none"/>
          <w:lang w:val="zh-CN" w:eastAsia="zh-CN" w:bidi="ar-SA"/>
        </w:rPr>
        <w:t>：075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w:t>
      </w:r>
      <w:r>
        <w:rPr>
          <w:rFonts w:hint="eastAsia" w:ascii="仿宋_GB2312" w:hAnsi="Times New Roman" w:eastAsia="仿宋_GB2312" w:cstheme="minorBidi"/>
          <w:color w:val="auto"/>
          <w:sz w:val="32"/>
          <w:szCs w:val="32"/>
          <w:highlight w:val="none"/>
          <w:lang w:val="en-US" w:eastAsia="zh-CN" w:bidi="ar-SA"/>
        </w:rPr>
        <w:t>6390003</w:t>
      </w:r>
      <w:r>
        <w:rPr>
          <w:rFonts w:hint="eastAsia" w:ascii="仿宋_GB2312" w:hAnsi="Times New Roman" w:eastAsia="仿宋_GB2312" w:cstheme="minorBidi"/>
          <w:color w:val="auto"/>
          <w:sz w:val="32"/>
          <w:szCs w:val="32"/>
          <w:highlight w:val="none"/>
          <w:lang w:val="zh-CN" w:eastAsia="zh-CN" w:bidi="ar-SA"/>
        </w:rPr>
        <w:t>；</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始兴县</w:t>
      </w:r>
      <w:r>
        <w:rPr>
          <w:rFonts w:hint="eastAsia" w:ascii="仿宋_GB2312" w:hAnsi="Times New Roman" w:eastAsia="仿宋_GB2312" w:cs="Times New Roman"/>
          <w:color w:val="auto"/>
          <w:kern w:val="2"/>
          <w:sz w:val="32"/>
          <w:szCs w:val="32"/>
          <w:highlight w:val="none"/>
          <w:u w:val="none"/>
          <w:shd w:val="clear" w:color="auto" w:fill="auto"/>
          <w:lang w:val="en-US" w:eastAsia="zh-CN" w:bidi="ar-SA"/>
        </w:rPr>
        <w:t>职业技能鉴定中心</w:t>
      </w:r>
      <w:r>
        <w:rPr>
          <w:rFonts w:hint="eastAsia" w:ascii="仿宋_GB2312" w:hAnsi="Times New Roman" w:eastAsia="仿宋_GB2312" w:cstheme="minorBidi"/>
          <w:color w:val="auto"/>
          <w:sz w:val="32"/>
          <w:szCs w:val="32"/>
          <w:highlight w:val="none"/>
          <w:lang w:val="zh-CN" w:eastAsia="zh-CN" w:bidi="ar-SA"/>
        </w:rPr>
        <w:t>：075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-3327116；</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翁源县</w:t>
      </w:r>
      <w:r>
        <w:rPr>
          <w:rFonts w:hint="eastAsia" w:ascii="仿宋_GB2312" w:hAnsi="Times New Roman" w:eastAsia="仿宋_GB2312" w:cs="Times New Roman"/>
          <w:color w:val="auto"/>
          <w:kern w:val="2"/>
          <w:sz w:val="32"/>
          <w:szCs w:val="32"/>
          <w:highlight w:val="none"/>
          <w:u w:val="none"/>
          <w:shd w:val="clear" w:color="auto" w:fill="auto"/>
          <w:lang w:val="en-US" w:eastAsia="zh-CN" w:bidi="ar-SA"/>
        </w:rPr>
        <w:t>职业技能鉴定指导中心</w:t>
      </w:r>
      <w:r>
        <w:rPr>
          <w:rFonts w:hint="eastAsia" w:ascii="仿宋_GB2312" w:hAnsi="Times New Roman" w:eastAsia="仿宋_GB2312" w:cstheme="minorBidi"/>
          <w:color w:val="auto"/>
          <w:sz w:val="32"/>
          <w:szCs w:val="32"/>
          <w:highlight w:val="none"/>
          <w:lang w:val="zh-CN" w:eastAsia="zh-CN" w:bidi="ar-SA"/>
        </w:rPr>
        <w:t>：075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-2873657；</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新丰县就业服务管理局职业技能服务指导股：075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-2284875；</w:t>
      </w:r>
    </w:p>
    <w:p>
      <w:pPr>
        <w:pStyle w:val="14"/>
        <w:keepNext w:val="0"/>
        <w:keepLines w:val="0"/>
        <w:widowControl w:val="0"/>
        <w:shd w:val="clear" w:color="auto" w:fill="auto"/>
        <w:bidi w:val="0"/>
        <w:spacing w:before="0" w:after="0" w:line="605" w:lineRule="exact"/>
        <w:ind w:left="0" w:leftChars="0" w:right="0" w:firstLine="0" w:firstLineChars="0"/>
        <w:jc w:val="both"/>
        <w:rPr>
          <w:rFonts w:hint="eastAsia" w:ascii="仿宋_GB2312" w:hAnsi="Times New Roman" w:eastAsia="仿宋_GB2312" w:cstheme="minorBidi"/>
          <w:color w:val="auto"/>
          <w:sz w:val="32"/>
          <w:szCs w:val="32"/>
          <w:highlight w:val="none"/>
          <w:lang w:val="zh-CN" w:eastAsia="zh-CN" w:bidi="ar-SA"/>
        </w:rPr>
      </w:pPr>
      <w:r>
        <w:rPr>
          <w:rFonts w:hint="eastAsia" w:ascii="仿宋_GB2312" w:hAnsi="Times New Roman" w:eastAsia="仿宋_GB2312" w:cstheme="minorBidi"/>
          <w:color w:val="auto"/>
          <w:sz w:val="32"/>
          <w:szCs w:val="32"/>
          <w:highlight w:val="none"/>
          <w:lang w:val="zh-CN" w:eastAsia="zh-CN" w:bidi="ar-SA"/>
        </w:rPr>
        <w:t>乳源瑶族自治县职业</w:t>
      </w:r>
      <w:r>
        <w:rPr>
          <w:rFonts w:hint="eastAsia" w:ascii="仿宋_GB2312" w:hAnsi="Times New Roman" w:eastAsia="仿宋_GB2312" w:cs="Times New Roman"/>
          <w:color w:val="auto"/>
          <w:kern w:val="2"/>
          <w:sz w:val="32"/>
          <w:szCs w:val="32"/>
          <w:highlight w:val="none"/>
          <w:u w:val="none"/>
          <w:shd w:val="clear" w:color="auto" w:fill="auto"/>
          <w:lang w:val="en-US" w:eastAsia="zh-CN" w:bidi="ar-SA"/>
        </w:rPr>
        <w:t>技能服务中心</w:t>
      </w:r>
      <w:r>
        <w:rPr>
          <w:rFonts w:hint="eastAsia" w:ascii="仿宋_GB2312" w:hAnsi="Times New Roman" w:eastAsia="仿宋_GB2312" w:cstheme="minorBidi"/>
          <w:color w:val="auto"/>
          <w:sz w:val="32"/>
          <w:szCs w:val="32"/>
          <w:highlight w:val="none"/>
          <w:lang w:val="zh-CN" w:eastAsia="zh-CN" w:bidi="ar-SA"/>
        </w:rPr>
        <w:t>：075</w:t>
      </w:r>
      <w:r>
        <w:rPr>
          <w:rFonts w:hint="eastAsia" w:ascii="仿宋_GB2312" w:hAnsi="Times New Roman" w:eastAsia="仿宋_GB2312" w:cstheme="minorBidi"/>
          <w:color w:val="auto"/>
          <w:sz w:val="32"/>
          <w:szCs w:val="32"/>
          <w:highlight w:val="none"/>
          <w:lang w:val="en-US" w:eastAsia="zh-CN" w:bidi="ar-SA"/>
        </w:rPr>
        <w:t>1</w:t>
      </w:r>
      <w:r>
        <w:rPr>
          <w:rFonts w:hint="eastAsia" w:ascii="仿宋_GB2312" w:hAnsi="Times New Roman" w:eastAsia="仿宋_GB2312" w:cstheme="minorBidi"/>
          <w:color w:val="auto"/>
          <w:sz w:val="32"/>
          <w:szCs w:val="32"/>
          <w:highlight w:val="none"/>
          <w:lang w:val="zh-CN" w:eastAsia="zh-CN" w:bidi="ar-SA"/>
        </w:rPr>
        <w:t>-5361326</w:t>
      </w:r>
      <w:r>
        <w:rPr>
          <w:rFonts w:hint="eastAsia" w:ascii="仿宋_GB2312" w:hAnsi="Times New Roman" w:eastAsia="仿宋_GB2312" w:cstheme="minorBidi"/>
          <w:color w:val="auto"/>
          <w:sz w:val="32"/>
          <w:szCs w:val="32"/>
          <w:highlight w:val="none"/>
          <w:lang w:val="en-US" w:eastAsia="zh-CN" w:bidi="ar-SA"/>
        </w:rPr>
        <w:t>。</w:t>
      </w:r>
    </w:p>
    <w:p>
      <w:pPr>
        <w:pStyle w:val="14"/>
        <w:keepNext w:val="0"/>
        <w:keepLines w:val="0"/>
        <w:widowControl w:val="0"/>
        <w:shd w:val="clear" w:color="auto" w:fill="auto"/>
        <w:bidi w:val="0"/>
        <w:spacing w:before="0" w:after="0" w:line="605" w:lineRule="exact"/>
        <w:ind w:left="1598" w:leftChars="304" w:right="0" w:hanging="960" w:hangingChars="300"/>
        <w:jc w:val="both"/>
        <w:rPr>
          <w:rFonts w:hint="eastAsia" w:ascii="仿宋_GB2312" w:hAnsi="Times New Roman" w:eastAsia="仿宋_GB2312" w:cstheme="minorBidi"/>
          <w:color w:val="auto"/>
          <w:sz w:val="32"/>
          <w:szCs w:val="32"/>
          <w:highlight w:val="none"/>
          <w:lang w:val="en-US" w:eastAsia="zh-CN" w:bidi="ar-SA"/>
        </w:rPr>
      </w:pPr>
    </w:p>
    <w:p>
      <w:pPr>
        <w:pStyle w:val="14"/>
        <w:keepNext w:val="0"/>
        <w:keepLines w:val="0"/>
        <w:widowControl w:val="0"/>
        <w:shd w:val="clear" w:color="auto" w:fill="auto"/>
        <w:bidi w:val="0"/>
        <w:spacing w:before="0" w:after="0" w:line="605" w:lineRule="exact"/>
        <w:ind w:left="1558" w:leftChars="285" w:right="0" w:hanging="960" w:hangingChars="300"/>
        <w:jc w:val="both"/>
        <w:rPr>
          <w:rFonts w:hint="eastAsia" w:ascii="仿宋_GB2312" w:hAnsi="Times New Roman" w:eastAsia="仿宋_GB2312" w:cstheme="minorBidi"/>
          <w:sz w:val="32"/>
          <w:szCs w:val="32"/>
          <w:highlight w:val="none"/>
          <w:lang w:val="zh-CN" w:eastAsia="zh-CN" w:bidi="ar-SA"/>
        </w:rPr>
      </w:pPr>
      <w:r>
        <w:rPr>
          <w:rFonts w:hint="eastAsia" w:ascii="仿宋_GB2312" w:hAnsi="Times New Roman" w:eastAsia="仿宋_GB2312" w:cstheme="minorBidi"/>
          <w:sz w:val="32"/>
          <w:szCs w:val="32"/>
          <w:highlight w:val="none"/>
          <w:lang w:val="zh-CN" w:eastAsia="zh-CN" w:bidi="ar-SA"/>
        </w:rPr>
        <w:t>附件：1.《统计上大中小微型企业划分标准》（国统字 〔2017〕213号）</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605" w:lineRule="exact"/>
        <w:ind w:left="0" w:leftChars="0" w:right="0" w:firstLine="1600" w:firstLineChars="500"/>
        <w:jc w:val="both"/>
        <w:textAlignment w:val="auto"/>
        <w:rPr>
          <w:rFonts w:hint="eastAsia" w:ascii="仿宋_GB2312" w:hAnsi="Times New Roman" w:eastAsia="仿宋_GB2312" w:cstheme="minorBidi"/>
          <w:sz w:val="32"/>
          <w:szCs w:val="32"/>
          <w:highlight w:val="none"/>
          <w:lang w:val="zh-CN" w:eastAsia="zh-CN" w:bidi="ar-SA"/>
        </w:rPr>
      </w:pPr>
      <w:r>
        <w:rPr>
          <w:rFonts w:hint="eastAsia" w:ascii="仿宋_GB2312" w:hAnsi="Times New Roman" w:eastAsia="仿宋_GB2312" w:cstheme="minorBidi"/>
          <w:sz w:val="32"/>
          <w:szCs w:val="32"/>
          <w:highlight w:val="none"/>
          <w:lang w:val="zh-CN" w:eastAsia="zh-CN" w:bidi="ar-SA"/>
        </w:rPr>
        <w:t>2.《中华人民共和国职业分类大典（2022年版）》</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605" w:lineRule="exact"/>
        <w:ind w:right="0" w:firstLine="1568" w:firstLineChars="490"/>
        <w:jc w:val="both"/>
        <w:textAlignment w:val="auto"/>
        <w:rPr>
          <w:rFonts w:hint="eastAsia" w:ascii="仿宋_GB2312" w:hAnsi="Times New Roman" w:eastAsia="仿宋_GB2312" w:cstheme="minorBidi"/>
          <w:sz w:val="32"/>
          <w:szCs w:val="32"/>
          <w:highlight w:val="none"/>
          <w:lang w:val="zh-CN" w:eastAsia="zh-CN" w:bidi="ar-SA"/>
        </w:rPr>
      </w:pPr>
      <w:r>
        <w:rPr>
          <w:rFonts w:hint="eastAsia" w:ascii="仿宋_GB2312" w:hAnsi="Times New Roman" w:eastAsia="仿宋_GB2312" w:cstheme="minorBidi"/>
          <w:sz w:val="32"/>
          <w:szCs w:val="32"/>
          <w:highlight w:val="none"/>
          <w:lang w:val="en-US" w:eastAsia="zh-CN" w:bidi="ar-SA"/>
        </w:rPr>
        <w:t>3.</w:t>
      </w:r>
      <w:r>
        <w:rPr>
          <w:rFonts w:hint="eastAsia" w:ascii="仿宋_GB2312" w:hAnsi="Times New Roman" w:eastAsia="仿宋_GB2312" w:cstheme="minorBidi"/>
          <w:sz w:val="32"/>
          <w:szCs w:val="32"/>
          <w:highlight w:val="none"/>
          <w:lang w:val="zh-CN" w:eastAsia="zh-CN" w:bidi="ar-SA"/>
        </w:rPr>
        <w:t>首次备案企业申请材料清单</w:t>
      </w:r>
    </w:p>
    <w:p>
      <w:pPr>
        <w:pStyle w:val="14"/>
        <w:keepNext w:val="0"/>
        <w:keepLines w:val="0"/>
        <w:pageBreakBefore w:val="0"/>
        <w:widowControl w:val="0"/>
        <w:shd w:val="clear" w:color="auto" w:fill="auto"/>
        <w:kinsoku/>
        <w:wordWrap/>
        <w:overflowPunct/>
        <w:topLinePunct w:val="0"/>
        <w:autoSpaceDE/>
        <w:autoSpaceDN/>
        <w:bidi w:val="0"/>
        <w:adjustRightInd w:val="0"/>
        <w:snapToGrid/>
        <w:spacing w:before="0" w:after="0" w:line="605" w:lineRule="exact"/>
        <w:ind w:left="1478" w:leftChars="704" w:right="0" w:firstLine="96" w:firstLineChars="30"/>
        <w:jc w:val="both"/>
        <w:textAlignment w:val="auto"/>
        <w:rPr>
          <w:rFonts w:hint="eastAsia" w:ascii="仿宋_GB2312" w:hAnsi="Times New Roman" w:eastAsia="仿宋_GB2312" w:cstheme="minorBidi"/>
          <w:sz w:val="32"/>
          <w:szCs w:val="32"/>
          <w:highlight w:val="none"/>
          <w:lang w:val="zh-CN" w:eastAsia="zh-CN" w:bidi="ar-SA"/>
        </w:rPr>
      </w:pPr>
      <w:r>
        <w:rPr>
          <w:rFonts w:hint="eastAsia" w:ascii="仿宋_GB2312" w:hAnsi="Times New Roman" w:eastAsia="仿宋_GB2312" w:cstheme="minorBidi"/>
          <w:sz w:val="32"/>
          <w:szCs w:val="32"/>
          <w:highlight w:val="none"/>
          <w:lang w:val="en-US" w:eastAsia="zh-CN" w:bidi="ar-SA"/>
        </w:rPr>
        <w:t>4</w:t>
      </w:r>
      <w:r>
        <w:rPr>
          <w:rFonts w:hint="eastAsia" w:ascii="仿宋_GB2312" w:hAnsi="Times New Roman" w:eastAsia="仿宋_GB2312" w:cstheme="minorBidi"/>
          <w:sz w:val="32"/>
          <w:szCs w:val="32"/>
          <w:highlight w:val="none"/>
          <w:lang w:val="zh-CN" w:eastAsia="zh-CN" w:bidi="ar-SA"/>
        </w:rPr>
        <w:t>.</w:t>
      </w:r>
      <w:r>
        <w:rPr>
          <w:rFonts w:hint="eastAsia" w:ascii="仿宋_GB2312" w:hAnsi="Times New Roman" w:eastAsia="仿宋_GB2312" w:cstheme="minorBidi"/>
          <w:w w:val="95"/>
          <w:sz w:val="32"/>
          <w:szCs w:val="32"/>
          <w:highlight w:val="none"/>
          <w:lang w:val="zh-CN" w:eastAsia="zh-CN" w:bidi="ar-SA"/>
        </w:rPr>
        <w:t>职业技能等级认定场地、设施设备清单（模板）</w:t>
      </w:r>
    </w:p>
    <w:p>
      <w:pPr>
        <w:pStyle w:val="14"/>
        <w:keepNext w:val="0"/>
        <w:keepLines w:val="0"/>
        <w:pageBreakBefore w:val="0"/>
        <w:widowControl w:val="0"/>
        <w:shd w:val="clear" w:color="auto" w:fill="auto"/>
        <w:kinsoku/>
        <w:wordWrap/>
        <w:overflowPunct/>
        <w:topLinePunct w:val="0"/>
        <w:autoSpaceDE/>
        <w:autoSpaceDN/>
        <w:bidi w:val="0"/>
        <w:adjustRightInd/>
        <w:snapToGrid/>
        <w:spacing w:before="0" w:after="0" w:line="605" w:lineRule="exact"/>
        <w:ind w:left="0" w:leftChars="0" w:right="0" w:firstLine="1561" w:firstLineChars="488"/>
        <w:jc w:val="both"/>
        <w:textAlignment w:val="auto"/>
        <w:rPr>
          <w:rFonts w:hint="eastAsia" w:ascii="仿宋_GB2312" w:hAnsi="Times New Roman" w:eastAsia="仿宋_GB2312" w:cstheme="minorBidi"/>
          <w:sz w:val="32"/>
          <w:szCs w:val="32"/>
          <w:highlight w:val="none"/>
          <w:lang w:val="zh-CN" w:eastAsia="zh-CN" w:bidi="ar-SA"/>
        </w:rPr>
      </w:pPr>
      <w:r>
        <w:rPr>
          <w:rFonts w:hint="eastAsia" w:ascii="仿宋_GB2312" w:hAnsi="Times New Roman" w:eastAsia="仿宋_GB2312" w:cstheme="minorBidi"/>
          <w:sz w:val="32"/>
          <w:szCs w:val="32"/>
          <w:highlight w:val="none"/>
          <w:lang w:val="en-US" w:eastAsia="zh-CN" w:bidi="ar-SA"/>
        </w:rPr>
        <w:t>5</w:t>
      </w:r>
      <w:r>
        <w:rPr>
          <w:rFonts w:hint="eastAsia" w:ascii="仿宋_GB2312" w:hAnsi="Times New Roman" w:eastAsia="仿宋_GB2312" w:cstheme="minorBidi"/>
          <w:sz w:val="32"/>
          <w:szCs w:val="32"/>
          <w:highlight w:val="none"/>
          <w:lang w:val="zh-CN" w:eastAsia="zh-CN" w:bidi="ar-SA"/>
        </w:rPr>
        <w:t>.企业职业技能等级认定工作方案（模板）</w:t>
      </w:r>
    </w:p>
    <w:p>
      <w:pPr>
        <w:pStyle w:val="14"/>
        <w:keepNext w:val="0"/>
        <w:keepLines w:val="0"/>
        <w:widowControl w:val="0"/>
        <w:shd w:val="clear" w:color="auto" w:fill="auto"/>
        <w:bidi w:val="0"/>
        <w:spacing w:before="0" w:after="0" w:line="605" w:lineRule="exact"/>
        <w:ind w:right="0" w:firstLine="1568" w:firstLineChars="490"/>
        <w:jc w:val="both"/>
        <w:rPr>
          <w:rFonts w:hint="eastAsia" w:ascii="仿宋_GB2312" w:hAnsi="Times New Roman" w:eastAsia="仿宋_GB2312" w:cstheme="minorBidi"/>
          <w:sz w:val="32"/>
          <w:szCs w:val="32"/>
          <w:highlight w:val="none"/>
          <w:lang w:val="zh-CN" w:eastAsia="zh-CN" w:bidi="ar-SA"/>
        </w:rPr>
      </w:pPr>
      <w:r>
        <w:rPr>
          <w:rFonts w:hint="eastAsia" w:ascii="仿宋_GB2312" w:hAnsi="Times New Roman" w:eastAsia="仿宋_GB2312" w:cstheme="minorBidi"/>
          <w:sz w:val="32"/>
          <w:szCs w:val="32"/>
          <w:highlight w:val="none"/>
          <w:lang w:val="en-US" w:eastAsia="zh-CN" w:bidi="ar-SA"/>
        </w:rPr>
        <w:t>6</w:t>
      </w:r>
      <w:r>
        <w:rPr>
          <w:rFonts w:hint="eastAsia" w:ascii="仿宋_GB2312" w:hAnsi="Times New Roman" w:eastAsia="仿宋_GB2312" w:cstheme="minorBidi"/>
          <w:sz w:val="32"/>
          <w:szCs w:val="32"/>
          <w:highlight w:val="none"/>
          <w:lang w:val="zh-CN" w:eastAsia="zh-CN" w:bidi="ar-SA"/>
        </w:rPr>
        <w:t>.已备案企业变更职业（工种）申请材料</w:t>
      </w:r>
    </w:p>
    <w:p>
      <w:pPr>
        <w:pStyle w:val="14"/>
        <w:keepNext w:val="0"/>
        <w:keepLines w:val="0"/>
        <w:widowControl w:val="0"/>
        <w:shd w:val="clear" w:color="auto" w:fill="auto"/>
        <w:bidi w:val="0"/>
        <w:spacing w:before="0" w:after="0" w:line="605" w:lineRule="exact"/>
        <w:ind w:right="0" w:firstLine="1568" w:firstLineChars="490"/>
        <w:jc w:val="both"/>
        <w:rPr>
          <w:rFonts w:hint="eastAsia" w:ascii="仿宋_GB2312" w:hAnsi="Times New Roman" w:eastAsia="仿宋_GB2312" w:cstheme="minorBidi"/>
          <w:sz w:val="32"/>
          <w:szCs w:val="32"/>
          <w:highlight w:val="none"/>
          <w:lang w:val="zh-CN" w:eastAsia="zh-CN" w:bidi="ar-SA"/>
        </w:rPr>
      </w:pPr>
      <w:r>
        <w:rPr>
          <w:rFonts w:hint="eastAsia" w:ascii="仿宋_GB2312" w:hAnsi="Times New Roman" w:eastAsia="仿宋_GB2312" w:cstheme="minorBidi"/>
          <w:sz w:val="32"/>
          <w:szCs w:val="32"/>
          <w:highlight w:val="none"/>
          <w:lang w:val="en-US" w:eastAsia="zh-CN" w:bidi="ar-SA"/>
        </w:rPr>
        <w:t>7</w:t>
      </w:r>
      <w:r>
        <w:rPr>
          <w:rFonts w:hint="eastAsia" w:ascii="仿宋_GB2312" w:hAnsi="Times New Roman" w:eastAsia="仿宋_GB2312" w:cstheme="minorBidi"/>
          <w:sz w:val="32"/>
          <w:szCs w:val="32"/>
          <w:highlight w:val="none"/>
          <w:lang w:val="zh-CN" w:eastAsia="zh-CN" w:bidi="ar-SA"/>
        </w:rPr>
        <w:t>.关于调整企业自主评价方式的说明</w:t>
      </w:r>
    </w:p>
    <w:p>
      <w:pPr>
        <w:pStyle w:val="14"/>
        <w:keepNext w:val="0"/>
        <w:keepLines w:val="0"/>
        <w:widowControl w:val="0"/>
        <w:shd w:val="clear" w:color="auto" w:fill="auto"/>
        <w:bidi w:val="0"/>
        <w:spacing w:before="0" w:after="0" w:line="605" w:lineRule="exact"/>
        <w:ind w:right="0" w:firstLine="1568" w:firstLineChars="490"/>
        <w:jc w:val="both"/>
        <w:rPr>
          <w:rFonts w:hint="eastAsia" w:ascii="仿宋_GB2312" w:hAnsi="Times New Roman" w:eastAsia="仿宋_GB2312" w:cstheme="minorBidi"/>
          <w:sz w:val="32"/>
          <w:szCs w:val="32"/>
          <w:highlight w:val="none"/>
          <w:lang w:val="en-US" w:eastAsia="zh-CN" w:bidi="ar-SA"/>
        </w:rPr>
      </w:pPr>
      <w:r>
        <w:rPr>
          <w:rFonts w:hint="eastAsia" w:ascii="仿宋_GB2312" w:hAnsi="Times New Roman" w:eastAsia="仿宋_GB2312" w:cstheme="minorBidi"/>
          <w:sz w:val="32"/>
          <w:szCs w:val="32"/>
          <w:highlight w:val="none"/>
          <w:lang w:val="en-US" w:eastAsia="zh-CN" w:bidi="ar-SA"/>
        </w:rPr>
        <w:t>8.职业技能等级证书样式</w:t>
      </w:r>
      <w:bookmarkStart w:id="11" w:name="_GoBack"/>
      <w:bookmarkEnd w:id="11"/>
    </w:p>
    <w:p>
      <w:pPr>
        <w:pStyle w:val="14"/>
        <w:keepNext w:val="0"/>
        <w:keepLines w:val="0"/>
        <w:widowControl w:val="0"/>
        <w:shd w:val="clear" w:color="auto" w:fill="auto"/>
        <w:bidi w:val="0"/>
        <w:spacing w:before="0" w:after="0" w:line="605" w:lineRule="exact"/>
        <w:ind w:right="0" w:firstLine="1568" w:firstLineChars="490"/>
        <w:jc w:val="both"/>
        <w:rPr>
          <w:rFonts w:hint="default" w:ascii="仿宋_GB2312" w:hAnsi="Times New Roman" w:eastAsia="仿宋_GB2312" w:cstheme="minorBidi"/>
          <w:sz w:val="32"/>
          <w:szCs w:val="32"/>
          <w:highlight w:val="none"/>
          <w:lang w:val="en-US" w:eastAsia="zh-CN" w:bidi="ar-SA"/>
        </w:rPr>
      </w:pPr>
      <w:r>
        <w:rPr>
          <w:rFonts w:hint="eastAsia" w:ascii="仿宋_GB2312" w:hAnsi="Times New Roman" w:eastAsia="仿宋_GB2312" w:cstheme="minorBidi"/>
          <w:sz w:val="32"/>
          <w:szCs w:val="32"/>
          <w:highlight w:val="none"/>
          <w:lang w:val="en-US" w:eastAsia="zh-CN" w:bidi="ar-SA"/>
        </w:rPr>
        <w:t>9.韶关市企业职业技能等级认定机构备案初审表</w:t>
      </w:r>
    </w:p>
    <w:sectPr>
      <w:footerReference r:id="rId4" w:type="default"/>
      <w:footnotePr>
        <w:numFmt w:val="decimal"/>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3646805</wp:posOffset>
              </wp:positionH>
              <wp:positionV relativeFrom="page">
                <wp:posOffset>9936480</wp:posOffset>
              </wp:positionV>
              <wp:extent cx="438785" cy="114300"/>
              <wp:effectExtent l="0" t="0" r="0" b="0"/>
              <wp:wrapNone/>
              <wp:docPr id="1" name="Shape 1"/>
              <wp:cNvGraphicFramePr/>
              <a:graphic xmlns:a="http://schemas.openxmlformats.org/drawingml/2006/main">
                <a:graphicData uri="http://schemas.microsoft.com/office/word/2010/wordprocessingShape">
                  <wps:wsp>
                    <wps:cNvSpPr txBox="1"/>
                    <wps:spPr>
                      <a:xfrm>
                        <a:off x="0" y="0"/>
                        <a:ext cx="438785" cy="114300"/>
                      </a:xfrm>
                      <a:prstGeom prst="rect">
                        <a:avLst/>
                      </a:prstGeom>
                      <a:noFill/>
                    </wps:spPr>
                    <wps:txbx>
                      <w:txbxContent>
                        <w:p>
                          <w:pPr>
                            <w:pStyle w:val="15"/>
                            <w:keepNext w:val="0"/>
                            <w:keepLines w:val="0"/>
                            <w:widowControl w:val="0"/>
                            <w:shd w:val="clear" w:color="auto" w:fill="auto"/>
                            <w:bidi w:val="0"/>
                            <w:spacing w:before="0" w:after="0" w:line="240" w:lineRule="auto"/>
                            <w:ind w:left="0" w:right="0" w:firstLine="0"/>
                            <w:jc w:val="left"/>
                            <w:rPr>
                              <w:sz w:val="26"/>
                              <w:szCs w:val="26"/>
                            </w:rPr>
                          </w:pPr>
                          <w:r>
                            <w:rPr>
                              <w:rFonts w:ascii="Times New Roman" w:hAnsi="Times New Roman" w:eastAsia="Times New Roman" w:cs="Times New Roman"/>
                              <w:color w:val="000000"/>
                              <w:spacing w:val="0"/>
                              <w:w w:val="100"/>
                              <w:position w:val="0"/>
                              <w:sz w:val="26"/>
                              <w:szCs w:val="26"/>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6"/>
                              <w:szCs w:val="26"/>
                              <w:lang w:val="en-US" w:eastAsia="en-US" w:bidi="en-US"/>
                            </w:rPr>
                            <w:t>#</w:t>
                          </w:r>
                          <w:r>
                            <w:rPr>
                              <w:rFonts w:ascii="Times New Roman" w:hAnsi="Times New Roman" w:eastAsia="Times New Roman" w:cs="Times New Roman"/>
                              <w:color w:val="000000"/>
                              <w:spacing w:val="0"/>
                              <w:w w:val="100"/>
                              <w:position w:val="0"/>
                              <w:sz w:val="26"/>
                              <w:szCs w:val="26"/>
                              <w:lang w:val="en-US" w:eastAsia="en-US" w:bidi="en-US"/>
                            </w:rPr>
                            <w:fldChar w:fldCharType="end"/>
                          </w:r>
                          <w:r>
                            <w:rPr>
                              <w:rFonts w:ascii="Times New Roman" w:hAnsi="Times New Roman" w:eastAsia="Times New Roman" w:cs="Times New Roman"/>
                              <w:color w:val="000000"/>
                              <w:spacing w:val="0"/>
                              <w:w w:val="100"/>
                              <w:position w:val="0"/>
                              <w:sz w:val="26"/>
                              <w:szCs w:val="26"/>
                              <w:lang w:val="en-US" w:eastAsia="en-US" w:bidi="en-US"/>
                            </w:rPr>
                            <w:t>—</w:t>
                          </w:r>
                        </w:p>
                      </w:txbxContent>
                    </wps:txbx>
                    <wps:bodyPr wrap="none" lIns="0" tIns="0" rIns="0" bIns="0">
                      <a:spAutoFit/>
                    </wps:bodyPr>
                  </wps:wsp>
                </a:graphicData>
              </a:graphic>
            </wp:anchor>
          </w:drawing>
        </mc:Choice>
        <mc:Fallback>
          <w:pict>
            <v:shape id="Shape 1" o:spid="_x0000_s1026" o:spt="202" type="#_x0000_t202" style="position:absolute;left:0pt;margin-left:287.15pt;margin-top:782.4pt;height:9pt;width:34.55pt;mso-position-horizontal-relative:page;mso-position-vertical-relative:page;mso-wrap-style:none;z-index:-251657216;mso-width-relative:page;mso-height-relative:page;" filled="f" stroked="f" coordsize="21600,21600" o:gfxdata="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fk07qNgA&#10;AAANAQAADwAAAAAAAAABACAAAAAiAAAAZHJzL2Rvd25yZXYueG1sUEsBAhQAFAAAAAgAh07iQKvG&#10;Vt6tAQAAbwMAAA4AAAAAAAAAAQAgAAAAJwEAAGRycy9lMm9Eb2MueG1sUEsFBgAAAAAGAAYAWQEA&#10;AEYFAAAAAA==&#10;">
              <v:fill on="f" focussize="0,0"/>
              <v:stroke on="f"/>
              <v:imagedata o:title=""/>
              <o:lock v:ext="edit" aspectratio="f"/>
              <v:textbox inset="0mm,0mm,0mm,0mm" style="mso-fit-shape-to-text:t;">
                <w:txbxContent>
                  <w:p>
                    <w:pPr>
                      <w:pStyle w:val="15"/>
                      <w:keepNext w:val="0"/>
                      <w:keepLines w:val="0"/>
                      <w:widowControl w:val="0"/>
                      <w:shd w:val="clear" w:color="auto" w:fill="auto"/>
                      <w:bidi w:val="0"/>
                      <w:spacing w:before="0" w:after="0" w:line="240" w:lineRule="auto"/>
                      <w:ind w:left="0" w:right="0" w:firstLine="0"/>
                      <w:jc w:val="left"/>
                      <w:rPr>
                        <w:sz w:val="26"/>
                        <w:szCs w:val="26"/>
                      </w:rPr>
                    </w:pPr>
                    <w:r>
                      <w:rPr>
                        <w:rFonts w:ascii="Times New Roman" w:hAnsi="Times New Roman" w:eastAsia="Times New Roman" w:cs="Times New Roman"/>
                        <w:color w:val="000000"/>
                        <w:spacing w:val="0"/>
                        <w:w w:val="100"/>
                        <w:position w:val="0"/>
                        <w:sz w:val="26"/>
                        <w:szCs w:val="26"/>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6"/>
                        <w:szCs w:val="26"/>
                        <w:lang w:val="en-US" w:eastAsia="en-US" w:bidi="en-US"/>
                      </w:rPr>
                      <w:t>#</w:t>
                    </w:r>
                    <w:r>
                      <w:rPr>
                        <w:rFonts w:ascii="Times New Roman" w:hAnsi="Times New Roman" w:eastAsia="Times New Roman" w:cs="Times New Roman"/>
                        <w:color w:val="000000"/>
                        <w:spacing w:val="0"/>
                        <w:w w:val="100"/>
                        <w:position w:val="0"/>
                        <w:sz w:val="26"/>
                        <w:szCs w:val="26"/>
                        <w:lang w:val="en-US" w:eastAsia="en-US" w:bidi="en-US"/>
                      </w:rPr>
                      <w:fldChar w:fldCharType="end"/>
                    </w:r>
                    <w:r>
                      <w:rPr>
                        <w:rFonts w:ascii="Times New Roman" w:hAnsi="Times New Roman" w:eastAsia="Times New Roman" w:cs="Times New Roman"/>
                        <w:color w:val="000000"/>
                        <w:spacing w:val="0"/>
                        <w:w w:val="100"/>
                        <w:position w:val="0"/>
                        <w:sz w:val="26"/>
                        <w:szCs w:val="26"/>
                        <w:lang w:val="en-US" w:eastAsia="en-US" w:bidi="en-US"/>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7"/>
        <w:snapToGrid w:val="0"/>
      </w:pPr>
      <w:r>
        <w:rPr>
          <w:rStyle w:val="11"/>
        </w:rPr>
        <w:t>*</w:t>
      </w:r>
      <w:r>
        <w:t xml:space="preserve"> </w:t>
      </w:r>
      <w:r>
        <w:rPr>
          <w:rFonts w:hint="eastAsia" w:ascii="仿宋_GB2312" w:hAnsi="仿宋_GB2312" w:eastAsia="仿宋_GB2312" w:cs="仿宋_GB2312"/>
          <w:sz w:val="24"/>
          <w:szCs w:val="24"/>
          <w:highlight w:val="none"/>
          <w:lang w:val="en-US" w:eastAsia="zh-CN"/>
        </w:rPr>
        <w:t>表中特级技师、首席技师岗位要求按照《广东省“新八级工”职业技能等级制度企业备案工作指引(试行)》(粤技服〔2023〕20号)文件填写，企业</w:t>
      </w:r>
      <w:r>
        <w:rPr>
          <w:rFonts w:hint="eastAsia" w:ascii="仿宋_GB2312" w:hAnsi="仿宋_GB2312" w:eastAsia="仿宋_GB2312" w:cs="仿宋_GB2312"/>
          <w:color w:val="000000"/>
          <w:spacing w:val="0"/>
          <w:w w:val="100"/>
          <w:position w:val="0"/>
          <w:sz w:val="24"/>
          <w:szCs w:val="24"/>
          <w:lang w:eastAsia="zh-CN"/>
        </w:rPr>
        <w:t>届时</w:t>
      </w:r>
      <w:r>
        <w:rPr>
          <w:rFonts w:hint="eastAsia" w:ascii="仿宋_GB2312" w:hAnsi="仿宋_GB2312" w:eastAsia="仿宋_GB2312" w:cs="仿宋_GB2312"/>
          <w:color w:val="000000"/>
          <w:spacing w:val="0"/>
          <w:w w:val="100"/>
          <w:position w:val="0"/>
          <w:sz w:val="24"/>
          <w:szCs w:val="24"/>
        </w:rPr>
        <w:t>以省厅</w:t>
      </w:r>
      <w:r>
        <w:rPr>
          <w:rFonts w:hint="eastAsia" w:ascii="仿宋_GB2312" w:hAnsi="仿宋_GB2312" w:eastAsia="仿宋_GB2312" w:cs="仿宋_GB2312"/>
          <w:color w:val="000000"/>
          <w:spacing w:val="0"/>
          <w:w w:val="100"/>
          <w:position w:val="0"/>
          <w:sz w:val="24"/>
          <w:szCs w:val="24"/>
          <w:lang w:eastAsia="zh-CN"/>
        </w:rPr>
        <w:t>下发最新</w:t>
      </w:r>
      <w:r>
        <w:rPr>
          <w:rFonts w:hint="eastAsia" w:ascii="仿宋_GB2312" w:hAnsi="仿宋_GB2312" w:eastAsia="仿宋_GB2312" w:cs="仿宋_GB2312"/>
          <w:color w:val="000000"/>
          <w:spacing w:val="0"/>
          <w:w w:val="100"/>
          <w:position w:val="0"/>
          <w:sz w:val="24"/>
          <w:szCs w:val="24"/>
        </w:rPr>
        <w:t>文件</w:t>
      </w:r>
      <w:r>
        <w:rPr>
          <w:rFonts w:hint="eastAsia" w:ascii="仿宋_GB2312" w:hAnsi="仿宋_GB2312" w:eastAsia="仿宋_GB2312" w:cs="仿宋_GB2312"/>
          <w:color w:val="000000"/>
          <w:spacing w:val="0"/>
          <w:w w:val="100"/>
          <w:position w:val="0"/>
          <w:sz w:val="24"/>
          <w:szCs w:val="24"/>
          <w:lang w:eastAsia="zh-CN"/>
        </w:rPr>
        <w:t>要求进行动态更新。</w:t>
      </w:r>
    </w:p>
  </w:footnote>
  <w:footnote w:id="1">
    <w:p>
      <w:pPr>
        <w:pStyle w:val="7"/>
        <w:snapToGrid w:val="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4"/>
    <w:footnote w:id="5"/>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NTkzZjhkZGNmZGFiMTI1ZGRjMzc4Njk1YmM1MjMifQ=="/>
  </w:docVars>
  <w:rsids>
    <w:rsidRoot w:val="2E7B60E7"/>
    <w:rsid w:val="00D03026"/>
    <w:rsid w:val="041C4A3E"/>
    <w:rsid w:val="06DE4C24"/>
    <w:rsid w:val="07B76CEE"/>
    <w:rsid w:val="0BC15E97"/>
    <w:rsid w:val="0C7732B2"/>
    <w:rsid w:val="0CF601E7"/>
    <w:rsid w:val="0DA658E0"/>
    <w:rsid w:val="0DD57D62"/>
    <w:rsid w:val="0E1A618D"/>
    <w:rsid w:val="0FB549A2"/>
    <w:rsid w:val="10E20166"/>
    <w:rsid w:val="1DFA48CB"/>
    <w:rsid w:val="1DFE19F2"/>
    <w:rsid w:val="1F0B6610"/>
    <w:rsid w:val="202C6073"/>
    <w:rsid w:val="2166687B"/>
    <w:rsid w:val="26A30DED"/>
    <w:rsid w:val="27B4530E"/>
    <w:rsid w:val="2E7B60E7"/>
    <w:rsid w:val="2F7E2A5E"/>
    <w:rsid w:val="2FC63916"/>
    <w:rsid w:val="303C0D8F"/>
    <w:rsid w:val="349E70AB"/>
    <w:rsid w:val="39643D30"/>
    <w:rsid w:val="3AC36844"/>
    <w:rsid w:val="3B7F08F2"/>
    <w:rsid w:val="3BA97F96"/>
    <w:rsid w:val="3FC72DAE"/>
    <w:rsid w:val="400F5303"/>
    <w:rsid w:val="43BE3CB3"/>
    <w:rsid w:val="443F7874"/>
    <w:rsid w:val="498934DE"/>
    <w:rsid w:val="4A9B4115"/>
    <w:rsid w:val="54880DC3"/>
    <w:rsid w:val="5700250F"/>
    <w:rsid w:val="58962346"/>
    <w:rsid w:val="5A56504A"/>
    <w:rsid w:val="5BA54F69"/>
    <w:rsid w:val="5C14521D"/>
    <w:rsid w:val="5C6C5F97"/>
    <w:rsid w:val="5FCE3848"/>
    <w:rsid w:val="62D02D4E"/>
    <w:rsid w:val="63FD50EE"/>
    <w:rsid w:val="65427623"/>
    <w:rsid w:val="6A6D616D"/>
    <w:rsid w:val="6CDA7306"/>
    <w:rsid w:val="6D1307B8"/>
    <w:rsid w:val="74FE4EB6"/>
    <w:rsid w:val="77726509"/>
    <w:rsid w:val="7C187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2"/>
    <w:pPr>
      <w:ind w:left="1680"/>
    </w:pPr>
  </w:style>
  <w:style w:type="paragraph" w:styleId="3">
    <w:name w:val="annotation text"/>
    <w:basedOn w:val="1"/>
    <w:qFormat/>
    <w:uiPriority w:val="0"/>
    <w:pPr>
      <w:jc w:val="left"/>
    </w:pPr>
  </w:style>
  <w:style w:type="paragraph" w:styleId="4">
    <w:name w:val="Body Text"/>
    <w:basedOn w:val="1"/>
    <w:next w:val="5"/>
    <w:qFormat/>
    <w:uiPriority w:val="0"/>
    <w:pPr>
      <w:spacing w:after="120"/>
    </w:pPr>
    <w:rPr>
      <w:rFonts w:asciiTheme="minorHAnsi" w:hAnsiTheme="minorHAnsi" w:eastAsiaTheme="minorEastAsia" w:cstheme="minorBidi"/>
    </w:rPr>
  </w:style>
  <w:style w:type="paragraph" w:styleId="5">
    <w:name w:val="footer"/>
    <w:basedOn w:val="1"/>
    <w:next w:val="2"/>
    <w:qFormat/>
    <w:uiPriority w:val="0"/>
    <w:pPr>
      <w:tabs>
        <w:tab w:val="center" w:pos="4153"/>
        <w:tab w:val="right" w:pos="8306"/>
      </w:tabs>
      <w:snapToGrid w:val="0"/>
      <w:jc w:val="left"/>
    </w:pPr>
    <w:rPr>
      <w:sz w:val="18"/>
    </w:rPr>
  </w:style>
  <w:style w:type="paragraph" w:styleId="6">
    <w:name w:val="toc 5"/>
    <w:basedOn w:val="1"/>
    <w:next w:val="1"/>
    <w:qFormat/>
    <w:uiPriority w:val="0"/>
    <w:pPr>
      <w:ind w:left="1680" w:leftChars="800"/>
    </w:pPr>
  </w:style>
  <w:style w:type="paragraph" w:styleId="7">
    <w:name w:val="footnote text"/>
    <w:basedOn w:val="1"/>
    <w:qFormat/>
    <w:uiPriority w:val="0"/>
    <w:pPr>
      <w:snapToGrid w:val="0"/>
      <w:jc w:val="left"/>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 w:type="paragraph" w:customStyle="1" w:styleId="12">
    <w:name w:val="正文 New New New New New New New New"/>
    <w:qFormat/>
    <w:uiPriority w:val="0"/>
    <w:pPr>
      <w:widowControl w:val="0"/>
      <w:jc w:val="both"/>
    </w:pPr>
    <w:rPr>
      <w:rFonts w:ascii="Times New Roman" w:hAnsi="Times New Roman" w:eastAsia="宋体" w:cstheme="minorBidi"/>
      <w:kern w:val="2"/>
      <w:sz w:val="21"/>
      <w:szCs w:val="22"/>
      <w:lang w:val="en-US" w:eastAsia="zh-CN" w:bidi="ar-SA"/>
    </w:rPr>
  </w:style>
  <w:style w:type="paragraph" w:customStyle="1" w:styleId="13">
    <w:name w:val="Other|1"/>
    <w:basedOn w:val="1"/>
    <w:qFormat/>
    <w:uiPriority w:val="0"/>
    <w:pPr>
      <w:widowControl w:val="0"/>
      <w:shd w:val="clear" w:color="auto" w:fill="auto"/>
      <w:spacing w:line="326" w:lineRule="auto"/>
      <w:ind w:firstLine="400"/>
    </w:pPr>
    <w:rPr>
      <w:rFonts w:ascii="宋体" w:hAnsi="宋体" w:eastAsia="宋体" w:cs="宋体"/>
      <w:sz w:val="26"/>
      <w:szCs w:val="26"/>
      <w:u w:val="none"/>
      <w:shd w:val="clear" w:color="auto" w:fill="auto"/>
      <w:lang w:val="zh-TW" w:eastAsia="zh-TW" w:bidi="zh-TW"/>
    </w:rPr>
  </w:style>
  <w:style w:type="paragraph" w:customStyle="1" w:styleId="14">
    <w:name w:val="Body text|1"/>
    <w:basedOn w:val="1"/>
    <w:qFormat/>
    <w:uiPriority w:val="0"/>
    <w:pPr>
      <w:widowControl w:val="0"/>
      <w:shd w:val="clear" w:color="auto" w:fill="auto"/>
      <w:spacing w:line="451" w:lineRule="auto"/>
      <w:ind w:firstLine="400"/>
    </w:pPr>
    <w:rPr>
      <w:rFonts w:ascii="宋体" w:hAnsi="宋体" w:eastAsia="宋体" w:cs="宋体"/>
      <w:sz w:val="28"/>
      <w:szCs w:val="28"/>
      <w:u w:val="none"/>
      <w:shd w:val="clear" w:color="auto" w:fill="auto"/>
      <w:lang w:val="zh-TW" w:eastAsia="zh-TW" w:bidi="zh-TW"/>
    </w:rPr>
  </w:style>
  <w:style w:type="paragraph" w:customStyle="1" w:styleId="15">
    <w:name w:val="Header or footer|2"/>
    <w:basedOn w:val="1"/>
    <w:qFormat/>
    <w:uiPriority w:val="0"/>
    <w:pPr>
      <w:widowControl w:val="0"/>
      <w:shd w:val="clear" w:color="auto" w:fill="auto"/>
    </w:pPr>
    <w:rPr>
      <w:sz w:val="20"/>
      <w:szCs w:val="20"/>
      <w:u w:val="none"/>
      <w:shd w:val="clear" w:color="auto" w:fil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市人力资源和社会保障局</Company>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2023-08-28T16:22:00Z</dcterms:created>
  <dc:creator>陈洪</dc:creator>
  <cp:lastModifiedBy>哇咔咔咔咔</cp:lastModifiedBy>
  <cp:lastPrinted>2023-12-06T07:21:00Z</cp:lastPrinted>
  <dcterms:modified xsi:type="dcterms:W3CDTF">2023-12-12T08:20:31Z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42341776D4A04DE981C3DF481840EB68_13</vt:lpwstr>
  </property>
</Properties>
</file>