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240" w:lineRule="auto"/>
        <w:ind w:firstLine="0" w:firstLineChars="0"/>
        <w:jc w:val="center"/>
        <w:rPr>
          <w:b/>
          <w:sz w:val="40"/>
          <w:szCs w:val="36"/>
        </w:rPr>
      </w:pPr>
    </w:p>
    <w:p>
      <w:pPr>
        <w:spacing w:line="240" w:lineRule="auto"/>
        <w:ind w:firstLine="0" w:firstLineChars="0"/>
        <w:jc w:val="center"/>
        <w:rPr>
          <w:b/>
          <w:sz w:val="40"/>
          <w:szCs w:val="36"/>
        </w:rPr>
      </w:pPr>
    </w:p>
    <w:p>
      <w:pPr>
        <w:spacing w:line="240" w:lineRule="auto"/>
        <w:ind w:firstLine="0" w:firstLineChars="0"/>
        <w:jc w:val="center"/>
        <w:rPr>
          <w:b/>
          <w:sz w:val="40"/>
          <w:szCs w:val="36"/>
        </w:rPr>
      </w:pPr>
    </w:p>
    <w:p>
      <w:pPr>
        <w:spacing w:line="240" w:lineRule="auto"/>
        <w:ind w:firstLine="0" w:firstLineChars="0"/>
        <w:jc w:val="center"/>
        <w:rPr>
          <w:b/>
          <w:sz w:val="40"/>
          <w:szCs w:val="36"/>
        </w:rPr>
      </w:pPr>
    </w:p>
    <w:p>
      <w:pPr>
        <w:spacing w:line="240" w:lineRule="auto"/>
        <w:ind w:firstLine="0" w:firstLineChars="0"/>
        <w:jc w:val="center"/>
        <w:rPr>
          <w:b/>
          <w:sz w:val="40"/>
          <w:szCs w:val="36"/>
        </w:rPr>
      </w:pPr>
    </w:p>
    <w:p>
      <w:pPr>
        <w:widowControl w:val="0"/>
        <w:spacing w:line="900" w:lineRule="exact"/>
        <w:ind w:firstLine="0" w:firstLineChars="0"/>
        <w:jc w:val="center"/>
        <w:rPr>
          <w:rFonts w:eastAsia="方正小标宋简体"/>
          <w:color w:val="000000"/>
          <w:sz w:val="44"/>
          <w:szCs w:val="44"/>
        </w:rPr>
      </w:pPr>
      <w:bookmarkStart w:id="0" w:name="_Hlk105664017"/>
      <w:r>
        <w:rPr>
          <w:rFonts w:hint="eastAsia" w:eastAsia="方正小标宋简体"/>
          <w:color w:val="000000"/>
          <w:sz w:val="44"/>
          <w:szCs w:val="44"/>
        </w:rPr>
        <w:t>韶关市综合立体交通网规划</w:t>
      </w:r>
    </w:p>
    <w:p>
      <w:pPr>
        <w:widowControl w:val="0"/>
        <w:spacing w:line="900" w:lineRule="exact"/>
        <w:ind w:firstLine="0" w:firstLineChars="0"/>
        <w:jc w:val="center"/>
        <w:rPr>
          <w:rFonts w:eastAsia="方正小标宋简体"/>
          <w:color w:val="000000"/>
          <w:sz w:val="44"/>
          <w:szCs w:val="44"/>
        </w:rPr>
      </w:pPr>
      <w:r>
        <w:rPr>
          <w:rFonts w:hint="eastAsia" w:eastAsia="方正小标宋简体"/>
          <w:color w:val="000000"/>
          <w:sz w:val="44"/>
          <w:szCs w:val="44"/>
        </w:rPr>
        <w:t>（2</w:t>
      </w:r>
      <w:r>
        <w:rPr>
          <w:rFonts w:eastAsia="方正小标宋简体"/>
          <w:color w:val="000000"/>
          <w:sz w:val="44"/>
          <w:szCs w:val="44"/>
        </w:rPr>
        <w:t>021-2035</w:t>
      </w:r>
      <w:r>
        <w:rPr>
          <w:rFonts w:hint="eastAsia" w:eastAsia="方正小标宋简体"/>
          <w:color w:val="000000"/>
          <w:sz w:val="44"/>
          <w:szCs w:val="44"/>
        </w:rPr>
        <w:t>年）</w:t>
      </w:r>
    </w:p>
    <w:bookmarkEnd w:id="0"/>
    <w:p>
      <w:pPr>
        <w:ind w:firstLine="0" w:firstLineChars="0"/>
        <w:jc w:val="center"/>
        <w:rPr>
          <w:rFonts w:eastAsia="方正小标宋简体"/>
          <w:color w:val="000000"/>
          <w:sz w:val="44"/>
          <w:szCs w:val="44"/>
        </w:rPr>
      </w:pPr>
    </w:p>
    <w:p>
      <w:pPr>
        <w:spacing w:line="240" w:lineRule="auto"/>
        <w:ind w:firstLine="0" w:firstLineChars="0"/>
        <w:jc w:val="center"/>
        <w:rPr>
          <w:b/>
          <w:sz w:val="52"/>
          <w:szCs w:val="48"/>
        </w:rPr>
      </w:pPr>
    </w:p>
    <w:p>
      <w:pPr>
        <w:spacing w:line="240" w:lineRule="auto"/>
        <w:ind w:firstLine="0" w:firstLineChars="0"/>
        <w:jc w:val="center"/>
        <w:rPr>
          <w:b/>
          <w:sz w:val="52"/>
          <w:szCs w:val="48"/>
        </w:rPr>
      </w:pPr>
    </w:p>
    <w:p>
      <w:pPr>
        <w:spacing w:line="240" w:lineRule="auto"/>
        <w:ind w:firstLine="0" w:firstLineChars="0"/>
        <w:jc w:val="center"/>
        <w:rPr>
          <w:b/>
          <w:sz w:val="52"/>
          <w:szCs w:val="48"/>
        </w:rPr>
      </w:pPr>
    </w:p>
    <w:p>
      <w:pPr>
        <w:spacing w:line="240" w:lineRule="auto"/>
        <w:ind w:firstLine="0" w:firstLineChars="0"/>
        <w:jc w:val="center"/>
        <w:rPr>
          <w:b/>
          <w:sz w:val="52"/>
          <w:szCs w:val="48"/>
        </w:rPr>
      </w:pPr>
    </w:p>
    <w:p>
      <w:pPr>
        <w:spacing w:line="240" w:lineRule="auto"/>
        <w:ind w:firstLine="0" w:firstLineChars="0"/>
        <w:jc w:val="center"/>
        <w:rPr>
          <w:b/>
          <w:sz w:val="52"/>
          <w:szCs w:val="48"/>
        </w:rPr>
      </w:pPr>
    </w:p>
    <w:p>
      <w:pPr>
        <w:widowControl w:val="0"/>
        <w:spacing w:line="240" w:lineRule="auto"/>
        <w:ind w:firstLine="0" w:firstLineChars="0"/>
        <w:jc w:val="center"/>
        <w:rPr>
          <w:rFonts w:ascii="华文中宋" w:hAnsi="华文中宋" w:eastAsia="华文中宋"/>
          <w:b/>
          <w:sz w:val="36"/>
          <w:szCs w:val="36"/>
        </w:rPr>
      </w:pPr>
    </w:p>
    <w:p>
      <w:pPr>
        <w:widowControl w:val="0"/>
        <w:spacing w:line="240" w:lineRule="auto"/>
        <w:ind w:firstLine="0" w:firstLineChars="0"/>
        <w:jc w:val="center"/>
        <w:rPr>
          <w:rFonts w:ascii="华文中宋" w:hAnsi="华文中宋" w:eastAsia="华文中宋"/>
          <w:b/>
          <w:sz w:val="36"/>
          <w:szCs w:val="36"/>
        </w:rPr>
      </w:pPr>
    </w:p>
    <w:p>
      <w:pPr>
        <w:widowControl w:val="0"/>
        <w:spacing w:line="560" w:lineRule="exact"/>
        <w:ind w:firstLine="0" w:firstLineChars="0"/>
        <w:jc w:val="center"/>
        <w:rPr>
          <w:rFonts w:ascii="华文中宋" w:hAnsi="华文中宋" w:eastAsia="华文中宋"/>
          <w:sz w:val="44"/>
          <w:szCs w:val="44"/>
          <w:lang w:bidi="ar"/>
        </w:rPr>
      </w:pPr>
    </w:p>
    <w:p>
      <w:pPr>
        <w:widowControl w:val="0"/>
        <w:spacing w:line="560" w:lineRule="exact"/>
        <w:ind w:firstLine="0" w:firstLineChars="0"/>
        <w:jc w:val="center"/>
        <w:rPr>
          <w:rFonts w:ascii="仿宋" w:hAnsi="仿宋"/>
          <w:sz w:val="32"/>
          <w:szCs w:val="32"/>
          <w:lang w:bidi="ar"/>
        </w:rPr>
      </w:pPr>
      <w:r>
        <w:rPr>
          <w:rFonts w:hint="eastAsia" w:ascii="仿宋" w:hAnsi="仿宋"/>
          <w:sz w:val="32"/>
          <w:szCs w:val="32"/>
          <w:lang w:bidi="ar"/>
        </w:rPr>
        <w:t>2023年</w:t>
      </w:r>
      <w:r>
        <w:rPr>
          <w:rFonts w:hint="eastAsia" w:ascii="仿宋" w:hAnsi="仿宋"/>
          <w:sz w:val="32"/>
          <w:szCs w:val="32"/>
          <w:lang w:val="en-US" w:eastAsia="zh-CN" w:bidi="ar"/>
        </w:rPr>
        <w:t>8</w:t>
      </w:r>
      <w:r>
        <w:rPr>
          <w:rFonts w:hint="eastAsia" w:ascii="仿宋" w:hAnsi="仿宋"/>
          <w:sz w:val="32"/>
          <w:szCs w:val="32"/>
          <w:lang w:bidi="ar"/>
        </w:rPr>
        <w:t>月</w:t>
      </w:r>
    </w:p>
    <w:p>
      <w:pPr>
        <w:widowControl w:val="0"/>
        <w:spacing w:line="560" w:lineRule="exact"/>
        <w:ind w:firstLine="0" w:firstLineChars="0"/>
        <w:jc w:val="center"/>
        <w:rPr>
          <w:rFonts w:ascii="华文中宋" w:hAnsi="华文中宋" w:eastAsia="华文中宋"/>
          <w:sz w:val="44"/>
          <w:szCs w:val="44"/>
          <w:lang w:bidi="ar"/>
        </w:rPr>
        <w:sectPr>
          <w:headerReference r:id="rId7" w:type="first"/>
          <w:footerReference r:id="rId10" w:type="first"/>
          <w:headerReference r:id="rId5" w:type="default"/>
          <w:footerReference r:id="rId8" w:type="default"/>
          <w:headerReference r:id="rId6" w:type="even"/>
          <w:footerReference r:id="rId9" w:type="even"/>
          <w:pgSz w:w="11906" w:h="16838"/>
          <w:pgMar w:top="1701" w:right="1418" w:bottom="1701" w:left="1418" w:header="0" w:footer="0" w:gutter="567"/>
          <w:cols w:space="720" w:num="1"/>
          <w:titlePg/>
          <w:docGrid w:type="lines" w:linePitch="381" w:charSpace="0"/>
        </w:sectPr>
      </w:pPr>
      <w:bookmarkStart w:id="167" w:name="_GoBack"/>
      <w:bookmarkEnd w:id="167"/>
    </w:p>
    <w:p>
      <w:pPr>
        <w:widowControl w:val="0"/>
        <w:snapToGrid w:val="0"/>
        <w:spacing w:line="324" w:lineRule="auto"/>
        <w:ind w:firstLine="0" w:firstLineChars="0"/>
        <w:jc w:val="center"/>
        <w:rPr>
          <w:rFonts w:ascii="隶书" w:hAnsi="黑体" w:eastAsia="隶书"/>
        </w:rPr>
      </w:pPr>
      <w:bookmarkStart w:id="1" w:name="_Toc46486222"/>
      <w:bookmarkStart w:id="2" w:name="_Toc75793276"/>
      <w:bookmarkStart w:id="3" w:name="_Toc67474642"/>
      <w:bookmarkStart w:id="4" w:name="_Toc12619"/>
      <w:bookmarkStart w:id="5" w:name="_Toc75528722"/>
      <w:bookmarkStart w:id="6" w:name="_Toc76648561"/>
      <w:bookmarkStart w:id="7" w:name="_Toc67664668"/>
      <w:bookmarkStart w:id="8" w:name="_Toc62033289"/>
      <w:r>
        <w:rPr>
          <w:rFonts w:hint="eastAsia" w:eastAsia="方正小标宋简体"/>
          <w:color w:val="000000"/>
          <w:sz w:val="44"/>
          <w:szCs w:val="44"/>
        </w:rPr>
        <w:t>目  录</w:t>
      </w:r>
      <w:bookmarkEnd w:id="1"/>
      <w:bookmarkEnd w:id="2"/>
      <w:bookmarkEnd w:id="3"/>
      <w:bookmarkEnd w:id="4"/>
      <w:bookmarkEnd w:id="5"/>
      <w:bookmarkEnd w:id="6"/>
      <w:bookmarkEnd w:id="7"/>
      <w:bookmarkEnd w:id="8"/>
      <w:r>
        <w:rPr>
          <w:rFonts w:eastAsia="方正小标宋简体"/>
          <w:color w:val="000000"/>
          <w:sz w:val="44"/>
          <w:szCs w:val="44"/>
        </w:rPr>
        <w:fldChar w:fldCharType="begin"/>
      </w:r>
      <w:r>
        <w:rPr>
          <w:rFonts w:eastAsia="方正小标宋简体"/>
          <w:color w:val="000000"/>
          <w:sz w:val="44"/>
          <w:szCs w:val="44"/>
        </w:rPr>
        <w:instrText xml:space="preserve"> TOC \o "1-2" \h \z \u </w:instrText>
      </w:r>
      <w:r>
        <w:rPr>
          <w:rFonts w:eastAsia="方正小标宋简体"/>
          <w:color w:val="000000"/>
          <w:sz w:val="44"/>
          <w:szCs w:val="44"/>
        </w:rPr>
        <w:fldChar w:fldCharType="separate"/>
      </w:r>
    </w:p>
    <w:p>
      <w:pPr>
        <w:pStyle w:val="19"/>
        <w:tabs>
          <w:tab w:val="right" w:leader="dot" w:pos="8503"/>
        </w:tabs>
      </w:pPr>
      <w:r>
        <w:fldChar w:fldCharType="begin"/>
      </w:r>
      <w:r>
        <w:instrText xml:space="preserve"> HYPERLINK \l "_Toc1579" </w:instrText>
      </w:r>
      <w:r>
        <w:fldChar w:fldCharType="separate"/>
      </w:r>
      <w:r>
        <w:rPr>
          <w:rFonts w:hint="eastAsia" w:ascii="黑体" w:hAnsi="黑体" w:cs="方正小标宋简体"/>
          <w:bCs/>
          <w:szCs w:val="32"/>
        </w:rPr>
        <w:t xml:space="preserve">前 </w:t>
      </w:r>
      <w:r>
        <w:rPr>
          <w:rFonts w:ascii="黑体" w:hAnsi="黑体" w:cs="方正小标宋简体"/>
          <w:bCs/>
          <w:szCs w:val="32"/>
        </w:rPr>
        <w:t xml:space="preserve"> </w:t>
      </w:r>
      <w:r>
        <w:rPr>
          <w:rFonts w:hint="eastAsia" w:ascii="黑体" w:hAnsi="黑体" w:cs="方正小标宋简体"/>
          <w:bCs/>
          <w:szCs w:val="32"/>
        </w:rPr>
        <w:t>言</w:t>
      </w:r>
      <w:r>
        <w:tab/>
      </w:r>
      <w:r>
        <w:fldChar w:fldCharType="begin"/>
      </w:r>
      <w:r>
        <w:instrText xml:space="preserve"> PAGEREF _Toc1579 \h </w:instrText>
      </w:r>
      <w:r>
        <w:fldChar w:fldCharType="separate"/>
      </w:r>
      <w:r>
        <w:t>- 1 -</w:t>
      </w:r>
      <w:r>
        <w:fldChar w:fldCharType="end"/>
      </w:r>
      <w:r>
        <w:fldChar w:fldCharType="end"/>
      </w:r>
    </w:p>
    <w:p>
      <w:pPr>
        <w:pStyle w:val="19"/>
        <w:tabs>
          <w:tab w:val="right" w:leader="dot" w:pos="8503"/>
        </w:tabs>
      </w:pPr>
      <w:r>
        <w:fldChar w:fldCharType="begin"/>
      </w:r>
      <w:r>
        <w:instrText xml:space="preserve"> HYPERLINK \l "_Toc30937" </w:instrText>
      </w:r>
      <w:r>
        <w:fldChar w:fldCharType="separate"/>
      </w:r>
      <w:r>
        <w:rPr>
          <w:rFonts w:hint="eastAsia"/>
        </w:rPr>
        <w:t>第1章 规划基础</w:t>
      </w:r>
      <w:r>
        <w:tab/>
      </w:r>
      <w:r>
        <w:fldChar w:fldCharType="begin"/>
      </w:r>
      <w:r>
        <w:instrText xml:space="preserve"> PAGEREF _Toc30937 \h </w:instrText>
      </w:r>
      <w:r>
        <w:fldChar w:fldCharType="separate"/>
      </w:r>
      <w:r>
        <w:t>- 1 -</w:t>
      </w:r>
      <w:r>
        <w:fldChar w:fldCharType="end"/>
      </w:r>
      <w:r>
        <w:fldChar w:fldCharType="end"/>
      </w:r>
    </w:p>
    <w:p>
      <w:pPr>
        <w:pStyle w:val="24"/>
        <w:tabs>
          <w:tab w:val="right" w:leader="dot" w:pos="8503"/>
        </w:tabs>
        <w:ind w:firstLine="320"/>
      </w:pPr>
      <w:r>
        <w:fldChar w:fldCharType="begin"/>
      </w:r>
      <w:r>
        <w:instrText xml:space="preserve"> HYPERLINK \l "_Toc30548" </w:instrText>
      </w:r>
      <w:r>
        <w:fldChar w:fldCharType="separate"/>
      </w:r>
      <w:r>
        <w:rPr>
          <w:rFonts w:hint="eastAsia"/>
        </w:rPr>
        <w:t>1.1 发展现状</w:t>
      </w:r>
      <w:r>
        <w:tab/>
      </w:r>
      <w:r>
        <w:fldChar w:fldCharType="begin"/>
      </w:r>
      <w:r>
        <w:instrText xml:space="preserve"> PAGEREF _Toc30548 \h </w:instrText>
      </w:r>
      <w:r>
        <w:fldChar w:fldCharType="separate"/>
      </w:r>
      <w:r>
        <w:t>- 1 -</w:t>
      </w:r>
      <w:r>
        <w:fldChar w:fldCharType="end"/>
      </w:r>
      <w:r>
        <w:fldChar w:fldCharType="end"/>
      </w:r>
    </w:p>
    <w:p>
      <w:pPr>
        <w:pStyle w:val="24"/>
        <w:tabs>
          <w:tab w:val="right" w:leader="dot" w:pos="8503"/>
        </w:tabs>
        <w:ind w:firstLine="320"/>
      </w:pPr>
      <w:r>
        <w:fldChar w:fldCharType="begin"/>
      </w:r>
      <w:r>
        <w:instrText xml:space="preserve"> HYPERLINK \l "_Toc20224" </w:instrText>
      </w:r>
      <w:r>
        <w:fldChar w:fldCharType="separate"/>
      </w:r>
      <w:r>
        <w:rPr>
          <w:rFonts w:hint="eastAsia"/>
        </w:rPr>
        <w:t>1.2 形势要求</w:t>
      </w:r>
      <w:r>
        <w:tab/>
      </w:r>
      <w:r>
        <w:fldChar w:fldCharType="begin"/>
      </w:r>
      <w:r>
        <w:instrText xml:space="preserve"> PAGEREF _Toc20224 \h </w:instrText>
      </w:r>
      <w:r>
        <w:fldChar w:fldCharType="separate"/>
      </w:r>
      <w:r>
        <w:t>- 6 -</w:t>
      </w:r>
      <w:r>
        <w:fldChar w:fldCharType="end"/>
      </w:r>
      <w:r>
        <w:fldChar w:fldCharType="end"/>
      </w:r>
    </w:p>
    <w:p>
      <w:pPr>
        <w:pStyle w:val="24"/>
        <w:tabs>
          <w:tab w:val="right" w:leader="dot" w:pos="8503"/>
        </w:tabs>
        <w:ind w:firstLine="320"/>
      </w:pPr>
      <w:r>
        <w:fldChar w:fldCharType="begin"/>
      </w:r>
      <w:r>
        <w:instrText xml:space="preserve"> HYPERLINK \l "_Toc2705" </w:instrText>
      </w:r>
      <w:r>
        <w:fldChar w:fldCharType="separate"/>
      </w:r>
      <w:r>
        <w:rPr>
          <w:rFonts w:hint="eastAsia"/>
        </w:rPr>
        <w:t>1.3 运输需求</w:t>
      </w:r>
      <w:r>
        <w:tab/>
      </w:r>
      <w:r>
        <w:fldChar w:fldCharType="begin"/>
      </w:r>
      <w:r>
        <w:instrText xml:space="preserve"> PAGEREF _Toc2705 \h </w:instrText>
      </w:r>
      <w:r>
        <w:fldChar w:fldCharType="separate"/>
      </w:r>
      <w:r>
        <w:t>- 8 -</w:t>
      </w:r>
      <w:r>
        <w:fldChar w:fldCharType="end"/>
      </w:r>
      <w:r>
        <w:fldChar w:fldCharType="end"/>
      </w:r>
    </w:p>
    <w:p>
      <w:pPr>
        <w:pStyle w:val="19"/>
        <w:tabs>
          <w:tab w:val="right" w:leader="dot" w:pos="8503"/>
        </w:tabs>
      </w:pPr>
      <w:r>
        <w:fldChar w:fldCharType="begin"/>
      </w:r>
      <w:r>
        <w:instrText xml:space="preserve"> HYPERLINK \l "_Toc7247" </w:instrText>
      </w:r>
      <w:r>
        <w:fldChar w:fldCharType="separate"/>
      </w:r>
      <w:r>
        <w:rPr>
          <w:rFonts w:hint="eastAsia"/>
          <w:lang w:val="zh-CN"/>
        </w:rPr>
        <w:t>第2章 总体要求</w:t>
      </w:r>
      <w:r>
        <w:tab/>
      </w:r>
      <w:r>
        <w:fldChar w:fldCharType="begin"/>
      </w:r>
      <w:r>
        <w:instrText xml:space="preserve"> PAGEREF _Toc7247 \h </w:instrText>
      </w:r>
      <w:r>
        <w:fldChar w:fldCharType="separate"/>
      </w:r>
      <w:r>
        <w:t>- 10 -</w:t>
      </w:r>
      <w:r>
        <w:fldChar w:fldCharType="end"/>
      </w:r>
      <w:r>
        <w:fldChar w:fldCharType="end"/>
      </w:r>
    </w:p>
    <w:p>
      <w:pPr>
        <w:pStyle w:val="24"/>
        <w:tabs>
          <w:tab w:val="right" w:leader="dot" w:pos="8503"/>
        </w:tabs>
        <w:ind w:firstLine="320"/>
      </w:pPr>
      <w:r>
        <w:fldChar w:fldCharType="begin"/>
      </w:r>
      <w:r>
        <w:instrText xml:space="preserve"> HYPERLINK \l "_Toc13621" </w:instrText>
      </w:r>
      <w:r>
        <w:fldChar w:fldCharType="separate"/>
      </w:r>
      <w:r>
        <w:rPr>
          <w:rFonts w:hint="eastAsia"/>
        </w:rPr>
        <w:t>2.1 指导思想</w:t>
      </w:r>
      <w:r>
        <w:tab/>
      </w:r>
      <w:r>
        <w:fldChar w:fldCharType="begin"/>
      </w:r>
      <w:r>
        <w:instrText xml:space="preserve"> PAGEREF _Toc13621 \h </w:instrText>
      </w:r>
      <w:r>
        <w:fldChar w:fldCharType="separate"/>
      </w:r>
      <w:r>
        <w:t>- 10 -</w:t>
      </w:r>
      <w:r>
        <w:fldChar w:fldCharType="end"/>
      </w:r>
      <w:r>
        <w:fldChar w:fldCharType="end"/>
      </w:r>
    </w:p>
    <w:p>
      <w:pPr>
        <w:pStyle w:val="24"/>
        <w:tabs>
          <w:tab w:val="right" w:leader="dot" w:pos="8503"/>
        </w:tabs>
        <w:ind w:firstLine="320"/>
      </w:pPr>
      <w:r>
        <w:fldChar w:fldCharType="begin"/>
      </w:r>
      <w:r>
        <w:instrText xml:space="preserve"> HYPERLINK \l "_Toc28115" </w:instrText>
      </w:r>
      <w:r>
        <w:fldChar w:fldCharType="separate"/>
      </w:r>
      <w:r>
        <w:rPr>
          <w:rFonts w:hint="eastAsia"/>
        </w:rPr>
        <w:t>2.2 基本原则</w:t>
      </w:r>
      <w:r>
        <w:tab/>
      </w:r>
      <w:r>
        <w:fldChar w:fldCharType="begin"/>
      </w:r>
      <w:r>
        <w:instrText xml:space="preserve"> PAGEREF _Toc28115 \h </w:instrText>
      </w:r>
      <w:r>
        <w:fldChar w:fldCharType="separate"/>
      </w:r>
      <w:r>
        <w:t>- 10 -</w:t>
      </w:r>
      <w:r>
        <w:fldChar w:fldCharType="end"/>
      </w:r>
      <w:r>
        <w:fldChar w:fldCharType="end"/>
      </w:r>
    </w:p>
    <w:p>
      <w:pPr>
        <w:pStyle w:val="24"/>
        <w:tabs>
          <w:tab w:val="right" w:leader="dot" w:pos="8503"/>
        </w:tabs>
        <w:ind w:firstLine="320"/>
      </w:pPr>
      <w:r>
        <w:fldChar w:fldCharType="begin"/>
      </w:r>
      <w:r>
        <w:instrText xml:space="preserve"> HYPERLINK \l "_Toc12534" </w:instrText>
      </w:r>
      <w:r>
        <w:fldChar w:fldCharType="separate"/>
      </w:r>
      <w:r>
        <w:rPr>
          <w:rFonts w:hint="eastAsia"/>
        </w:rPr>
        <w:t>2.3 发展目标</w:t>
      </w:r>
      <w:r>
        <w:tab/>
      </w:r>
      <w:r>
        <w:fldChar w:fldCharType="begin"/>
      </w:r>
      <w:r>
        <w:instrText xml:space="preserve"> PAGEREF _Toc12534 \h </w:instrText>
      </w:r>
      <w:r>
        <w:fldChar w:fldCharType="separate"/>
      </w:r>
      <w:r>
        <w:t>- 12 -</w:t>
      </w:r>
      <w:r>
        <w:fldChar w:fldCharType="end"/>
      </w:r>
      <w:r>
        <w:fldChar w:fldCharType="end"/>
      </w:r>
    </w:p>
    <w:p>
      <w:pPr>
        <w:pStyle w:val="19"/>
        <w:tabs>
          <w:tab w:val="right" w:leader="dot" w:pos="8503"/>
        </w:tabs>
      </w:pPr>
      <w:r>
        <w:fldChar w:fldCharType="begin"/>
      </w:r>
      <w:r>
        <w:instrText xml:space="preserve"> HYPERLINK \l "_Toc31687" </w:instrText>
      </w:r>
      <w:r>
        <w:fldChar w:fldCharType="separate"/>
      </w:r>
      <w:r>
        <w:rPr>
          <w:rFonts w:hint="eastAsia"/>
          <w:lang w:val="zh-CN"/>
        </w:rPr>
        <w:t>第3章 综合立体的交通发展格局</w:t>
      </w:r>
      <w:r>
        <w:tab/>
      </w:r>
      <w:r>
        <w:fldChar w:fldCharType="begin"/>
      </w:r>
      <w:r>
        <w:instrText xml:space="preserve"> PAGEREF _Toc31687 \h </w:instrText>
      </w:r>
      <w:r>
        <w:fldChar w:fldCharType="separate"/>
      </w:r>
      <w:r>
        <w:t>- 13 -</w:t>
      </w:r>
      <w:r>
        <w:fldChar w:fldCharType="end"/>
      </w:r>
      <w:r>
        <w:fldChar w:fldCharType="end"/>
      </w:r>
    </w:p>
    <w:p>
      <w:pPr>
        <w:pStyle w:val="24"/>
        <w:tabs>
          <w:tab w:val="right" w:leader="dot" w:pos="8503"/>
        </w:tabs>
        <w:ind w:firstLine="320"/>
      </w:pPr>
      <w:r>
        <w:fldChar w:fldCharType="begin"/>
      </w:r>
      <w:r>
        <w:instrText xml:space="preserve"> HYPERLINK \l "_Toc3353" </w:instrText>
      </w:r>
      <w:r>
        <w:fldChar w:fldCharType="separate"/>
      </w:r>
      <w:r>
        <w:rPr>
          <w:rFonts w:hint="eastAsia"/>
        </w:rPr>
        <w:t>3.1 结构合理的规模总</w:t>
      </w:r>
      <w:r>
        <w:t>量</w:t>
      </w:r>
      <w:r>
        <w:tab/>
      </w:r>
      <w:r>
        <w:fldChar w:fldCharType="begin"/>
      </w:r>
      <w:r>
        <w:instrText xml:space="preserve"> PAGEREF _Toc3353 \h </w:instrText>
      </w:r>
      <w:r>
        <w:fldChar w:fldCharType="separate"/>
      </w:r>
      <w:r>
        <w:t>- 13 -</w:t>
      </w:r>
      <w:r>
        <w:fldChar w:fldCharType="end"/>
      </w:r>
      <w:r>
        <w:fldChar w:fldCharType="end"/>
      </w:r>
    </w:p>
    <w:p>
      <w:pPr>
        <w:pStyle w:val="24"/>
        <w:tabs>
          <w:tab w:val="right" w:leader="dot" w:pos="8503"/>
        </w:tabs>
        <w:ind w:firstLine="320"/>
      </w:pPr>
      <w:r>
        <w:fldChar w:fldCharType="begin"/>
      </w:r>
      <w:r>
        <w:instrText xml:space="preserve"> HYPERLINK \l "_Toc14466" </w:instrText>
      </w:r>
      <w:r>
        <w:fldChar w:fldCharType="separate"/>
      </w:r>
      <w:r>
        <w:rPr>
          <w:rFonts w:hint="eastAsia"/>
        </w:rPr>
        <w:t>3.2 切</w:t>
      </w:r>
      <w:r>
        <w:t>合</w:t>
      </w:r>
      <w:r>
        <w:rPr>
          <w:rFonts w:hint="eastAsia"/>
        </w:rPr>
        <w:t>时代</w:t>
      </w:r>
      <w:r>
        <w:t>的</w:t>
      </w:r>
      <w:r>
        <w:rPr>
          <w:rFonts w:hint="eastAsia"/>
        </w:rPr>
        <w:t>发展路径</w:t>
      </w:r>
      <w:r>
        <w:tab/>
      </w:r>
      <w:r>
        <w:fldChar w:fldCharType="begin"/>
      </w:r>
      <w:r>
        <w:instrText xml:space="preserve"> PAGEREF _Toc14466 \h </w:instrText>
      </w:r>
      <w:r>
        <w:fldChar w:fldCharType="separate"/>
      </w:r>
      <w:r>
        <w:t>- 14 -</w:t>
      </w:r>
      <w:r>
        <w:fldChar w:fldCharType="end"/>
      </w:r>
      <w:r>
        <w:fldChar w:fldCharType="end"/>
      </w:r>
    </w:p>
    <w:p>
      <w:pPr>
        <w:pStyle w:val="24"/>
        <w:tabs>
          <w:tab w:val="right" w:leader="dot" w:pos="8503"/>
        </w:tabs>
        <w:ind w:firstLine="320"/>
      </w:pPr>
      <w:r>
        <w:fldChar w:fldCharType="begin"/>
      </w:r>
      <w:r>
        <w:instrText xml:space="preserve"> HYPERLINK \l "_Toc14874" </w:instrText>
      </w:r>
      <w:r>
        <w:fldChar w:fldCharType="separate"/>
      </w:r>
      <w:r>
        <w:rPr>
          <w:rFonts w:hint="eastAsia"/>
        </w:rPr>
        <w:t xml:space="preserve">3.3 </w:t>
      </w:r>
      <w:r>
        <w:t>全面拓展</w:t>
      </w:r>
      <w:r>
        <w:rPr>
          <w:rFonts w:hint="eastAsia"/>
        </w:rPr>
        <w:t>的运输通道</w:t>
      </w:r>
      <w:r>
        <w:tab/>
      </w:r>
      <w:r>
        <w:fldChar w:fldCharType="begin"/>
      </w:r>
      <w:r>
        <w:instrText xml:space="preserve"> PAGEREF _Toc14874 \h </w:instrText>
      </w:r>
      <w:r>
        <w:fldChar w:fldCharType="separate"/>
      </w:r>
      <w:r>
        <w:t>- 15 -</w:t>
      </w:r>
      <w:r>
        <w:fldChar w:fldCharType="end"/>
      </w:r>
      <w:r>
        <w:fldChar w:fldCharType="end"/>
      </w:r>
    </w:p>
    <w:p>
      <w:pPr>
        <w:pStyle w:val="19"/>
        <w:tabs>
          <w:tab w:val="right" w:leader="dot" w:pos="8503"/>
        </w:tabs>
      </w:pPr>
      <w:r>
        <w:fldChar w:fldCharType="begin"/>
      </w:r>
      <w:r>
        <w:instrText xml:space="preserve"> HYPERLINK \l "_Toc1039" </w:instrText>
      </w:r>
      <w:r>
        <w:fldChar w:fldCharType="separate"/>
      </w:r>
      <w:r>
        <w:rPr>
          <w:rFonts w:hint="eastAsia"/>
          <w:lang w:val="zh-CN"/>
        </w:rPr>
        <w:t>第4章 外联内通的综合交通网络</w:t>
      </w:r>
      <w:r>
        <w:tab/>
      </w:r>
      <w:r>
        <w:fldChar w:fldCharType="begin"/>
      </w:r>
      <w:r>
        <w:instrText xml:space="preserve"> PAGEREF _Toc1039 \h </w:instrText>
      </w:r>
      <w:r>
        <w:fldChar w:fldCharType="separate"/>
      </w:r>
      <w:r>
        <w:t>- 16 -</w:t>
      </w:r>
      <w:r>
        <w:fldChar w:fldCharType="end"/>
      </w:r>
      <w:r>
        <w:fldChar w:fldCharType="end"/>
      </w:r>
    </w:p>
    <w:p>
      <w:pPr>
        <w:pStyle w:val="24"/>
        <w:tabs>
          <w:tab w:val="right" w:leader="dot" w:pos="8503"/>
        </w:tabs>
        <w:ind w:firstLine="320"/>
      </w:pPr>
      <w:r>
        <w:fldChar w:fldCharType="begin"/>
      </w:r>
      <w:r>
        <w:instrText xml:space="preserve"> HYPERLINK \l "_Toc27493" </w:instrText>
      </w:r>
      <w:r>
        <w:fldChar w:fldCharType="separate"/>
      </w:r>
      <w:r>
        <w:rPr>
          <w:rFonts w:hint="eastAsia"/>
        </w:rPr>
        <w:t>4.1 “外联”畅通的骨架网</w:t>
      </w:r>
      <w:r>
        <w:tab/>
      </w:r>
      <w:r>
        <w:fldChar w:fldCharType="begin"/>
      </w:r>
      <w:r>
        <w:instrText xml:space="preserve"> PAGEREF _Toc27493 \h </w:instrText>
      </w:r>
      <w:r>
        <w:fldChar w:fldCharType="separate"/>
      </w:r>
      <w:r>
        <w:t>- 16 -</w:t>
      </w:r>
      <w:r>
        <w:fldChar w:fldCharType="end"/>
      </w:r>
      <w:r>
        <w:fldChar w:fldCharType="end"/>
      </w:r>
    </w:p>
    <w:p>
      <w:pPr>
        <w:pStyle w:val="24"/>
        <w:tabs>
          <w:tab w:val="right" w:leader="dot" w:pos="8503"/>
        </w:tabs>
        <w:ind w:firstLine="320"/>
      </w:pPr>
      <w:r>
        <w:fldChar w:fldCharType="begin"/>
      </w:r>
      <w:r>
        <w:instrText xml:space="preserve"> HYPERLINK \l "_Toc4461" </w:instrText>
      </w:r>
      <w:r>
        <w:fldChar w:fldCharType="separate"/>
      </w:r>
      <w:r>
        <w:rPr>
          <w:rFonts w:hint="eastAsia"/>
        </w:rPr>
        <w:t>4.2 “内通”畅顺的干线网</w:t>
      </w:r>
      <w:r>
        <w:tab/>
      </w:r>
      <w:r>
        <w:fldChar w:fldCharType="begin"/>
      </w:r>
      <w:r>
        <w:instrText xml:space="preserve"> PAGEREF _Toc4461 \h </w:instrText>
      </w:r>
      <w:r>
        <w:fldChar w:fldCharType="separate"/>
      </w:r>
      <w:r>
        <w:t>- 18 -</w:t>
      </w:r>
      <w:r>
        <w:fldChar w:fldCharType="end"/>
      </w:r>
      <w:r>
        <w:fldChar w:fldCharType="end"/>
      </w:r>
    </w:p>
    <w:p>
      <w:pPr>
        <w:pStyle w:val="24"/>
        <w:tabs>
          <w:tab w:val="right" w:leader="dot" w:pos="8503"/>
        </w:tabs>
        <w:ind w:firstLine="320"/>
      </w:pPr>
      <w:r>
        <w:fldChar w:fldCharType="begin"/>
      </w:r>
      <w:r>
        <w:instrText xml:space="preserve"> HYPERLINK \l "_Toc18470" </w:instrText>
      </w:r>
      <w:r>
        <w:fldChar w:fldCharType="separate"/>
      </w:r>
      <w:r>
        <w:rPr>
          <w:rFonts w:hint="eastAsia"/>
        </w:rPr>
        <w:t>4.3 “广泛”畅达的基础网</w:t>
      </w:r>
      <w:r>
        <w:tab/>
      </w:r>
      <w:r>
        <w:fldChar w:fldCharType="begin"/>
      </w:r>
      <w:r>
        <w:instrText xml:space="preserve"> PAGEREF _Toc18470 \h </w:instrText>
      </w:r>
      <w:r>
        <w:fldChar w:fldCharType="separate"/>
      </w:r>
      <w:r>
        <w:t>- 19 -</w:t>
      </w:r>
      <w:r>
        <w:fldChar w:fldCharType="end"/>
      </w:r>
      <w:r>
        <w:fldChar w:fldCharType="end"/>
      </w:r>
    </w:p>
    <w:p>
      <w:pPr>
        <w:pStyle w:val="24"/>
        <w:tabs>
          <w:tab w:val="right" w:leader="dot" w:pos="8503"/>
        </w:tabs>
        <w:ind w:firstLine="320"/>
      </w:pPr>
      <w:r>
        <w:fldChar w:fldCharType="begin"/>
      </w:r>
      <w:r>
        <w:instrText xml:space="preserve"> HYPERLINK \l "_Toc12987" </w:instrText>
      </w:r>
      <w:r>
        <w:fldChar w:fldCharType="separate"/>
      </w:r>
      <w:r>
        <w:rPr>
          <w:rFonts w:hint="eastAsia"/>
        </w:rPr>
        <w:t>4.4 “特色”畅享的交旅网</w:t>
      </w:r>
      <w:r>
        <w:tab/>
      </w:r>
      <w:r>
        <w:fldChar w:fldCharType="begin"/>
      </w:r>
      <w:r>
        <w:instrText xml:space="preserve"> PAGEREF _Toc12987 \h </w:instrText>
      </w:r>
      <w:r>
        <w:fldChar w:fldCharType="separate"/>
      </w:r>
      <w:r>
        <w:t>- 22 -</w:t>
      </w:r>
      <w:r>
        <w:fldChar w:fldCharType="end"/>
      </w:r>
      <w:r>
        <w:fldChar w:fldCharType="end"/>
      </w:r>
    </w:p>
    <w:p>
      <w:pPr>
        <w:pStyle w:val="19"/>
        <w:tabs>
          <w:tab w:val="right" w:leader="dot" w:pos="8503"/>
        </w:tabs>
      </w:pPr>
      <w:r>
        <w:fldChar w:fldCharType="begin"/>
      </w:r>
      <w:r>
        <w:instrText xml:space="preserve"> HYPERLINK \l "_Toc27441" </w:instrText>
      </w:r>
      <w:r>
        <w:fldChar w:fldCharType="separate"/>
      </w:r>
      <w:r>
        <w:rPr>
          <w:rFonts w:hint="eastAsia"/>
          <w:lang w:val="zh-CN"/>
        </w:rPr>
        <w:t>第5章 高效便捷的综合交通枢纽</w:t>
      </w:r>
      <w:r>
        <w:tab/>
      </w:r>
      <w:r>
        <w:fldChar w:fldCharType="begin"/>
      </w:r>
      <w:r>
        <w:instrText xml:space="preserve"> PAGEREF _Toc27441 \h </w:instrText>
      </w:r>
      <w:r>
        <w:fldChar w:fldCharType="separate"/>
      </w:r>
      <w:r>
        <w:t>- 24 -</w:t>
      </w:r>
      <w:r>
        <w:fldChar w:fldCharType="end"/>
      </w:r>
      <w:r>
        <w:fldChar w:fldCharType="end"/>
      </w:r>
    </w:p>
    <w:p>
      <w:pPr>
        <w:pStyle w:val="24"/>
        <w:tabs>
          <w:tab w:val="right" w:leader="dot" w:pos="8503"/>
        </w:tabs>
        <w:ind w:firstLine="320"/>
      </w:pPr>
      <w:r>
        <w:fldChar w:fldCharType="begin"/>
      </w:r>
      <w:r>
        <w:instrText xml:space="preserve"> HYPERLINK \l "_Toc11231" </w:instrText>
      </w:r>
      <w:r>
        <w:fldChar w:fldCharType="separate"/>
      </w:r>
      <w:r>
        <w:rPr>
          <w:rFonts w:hint="eastAsia"/>
        </w:rPr>
        <w:t>5.1 功能</w:t>
      </w:r>
      <w:r>
        <w:t>明确的</w:t>
      </w:r>
      <w:r>
        <w:rPr>
          <w:rFonts w:hint="eastAsia"/>
        </w:rPr>
        <w:t>内</w:t>
      </w:r>
      <w:r>
        <w:t>河</w:t>
      </w:r>
      <w:r>
        <w:rPr>
          <w:rFonts w:hint="eastAsia"/>
        </w:rPr>
        <w:t>港口枢纽</w:t>
      </w:r>
      <w:r>
        <w:tab/>
      </w:r>
      <w:r>
        <w:fldChar w:fldCharType="begin"/>
      </w:r>
      <w:r>
        <w:instrText xml:space="preserve"> PAGEREF _Toc11231 \h </w:instrText>
      </w:r>
      <w:r>
        <w:fldChar w:fldCharType="separate"/>
      </w:r>
      <w:r>
        <w:t>- 24 -</w:t>
      </w:r>
      <w:r>
        <w:fldChar w:fldCharType="end"/>
      </w:r>
      <w:r>
        <w:fldChar w:fldCharType="end"/>
      </w:r>
    </w:p>
    <w:p>
      <w:pPr>
        <w:pStyle w:val="24"/>
        <w:tabs>
          <w:tab w:val="right" w:leader="dot" w:pos="8503"/>
        </w:tabs>
        <w:ind w:firstLine="320"/>
      </w:pPr>
      <w:r>
        <w:fldChar w:fldCharType="begin"/>
      </w:r>
      <w:r>
        <w:instrText xml:space="preserve"> HYPERLINK \l "_Toc29586" </w:instrText>
      </w:r>
      <w:r>
        <w:fldChar w:fldCharType="separate"/>
      </w:r>
      <w:r>
        <w:rPr>
          <w:rFonts w:hint="eastAsia"/>
        </w:rPr>
        <w:t>5.2 布</w:t>
      </w:r>
      <w:r>
        <w:t>局合理的</w:t>
      </w:r>
      <w:r>
        <w:rPr>
          <w:rFonts w:hint="eastAsia"/>
        </w:rPr>
        <w:t>民航运输枢纽</w:t>
      </w:r>
      <w:r>
        <w:tab/>
      </w:r>
      <w:r>
        <w:fldChar w:fldCharType="begin"/>
      </w:r>
      <w:r>
        <w:instrText xml:space="preserve"> PAGEREF _Toc29586 \h </w:instrText>
      </w:r>
      <w:r>
        <w:fldChar w:fldCharType="separate"/>
      </w:r>
      <w:r>
        <w:t>- 25 -</w:t>
      </w:r>
      <w:r>
        <w:fldChar w:fldCharType="end"/>
      </w:r>
      <w:r>
        <w:fldChar w:fldCharType="end"/>
      </w:r>
    </w:p>
    <w:p>
      <w:pPr>
        <w:pStyle w:val="24"/>
        <w:tabs>
          <w:tab w:val="right" w:leader="dot" w:pos="8503"/>
        </w:tabs>
        <w:ind w:firstLine="320"/>
      </w:pPr>
      <w:r>
        <w:fldChar w:fldCharType="begin"/>
      </w:r>
      <w:r>
        <w:instrText xml:space="preserve"> HYPERLINK \l "_Toc26484" </w:instrText>
      </w:r>
      <w:r>
        <w:fldChar w:fldCharType="separate"/>
      </w:r>
      <w:r>
        <w:rPr>
          <w:rFonts w:hint="eastAsia"/>
        </w:rPr>
        <w:t>5.3 层</w:t>
      </w:r>
      <w:r>
        <w:t>级</w:t>
      </w:r>
      <w:r>
        <w:rPr>
          <w:rFonts w:hint="eastAsia"/>
        </w:rPr>
        <w:t>有</w:t>
      </w:r>
      <w:r>
        <w:t>序的</w:t>
      </w:r>
      <w:r>
        <w:rPr>
          <w:rFonts w:hint="eastAsia"/>
        </w:rPr>
        <w:t>综合客运枢纽</w:t>
      </w:r>
      <w:r>
        <w:tab/>
      </w:r>
      <w:r>
        <w:fldChar w:fldCharType="begin"/>
      </w:r>
      <w:r>
        <w:instrText xml:space="preserve"> PAGEREF _Toc26484 \h </w:instrText>
      </w:r>
      <w:r>
        <w:fldChar w:fldCharType="separate"/>
      </w:r>
      <w:r>
        <w:t>- 26 -</w:t>
      </w:r>
      <w:r>
        <w:fldChar w:fldCharType="end"/>
      </w:r>
      <w:r>
        <w:fldChar w:fldCharType="end"/>
      </w:r>
    </w:p>
    <w:p>
      <w:pPr>
        <w:pStyle w:val="24"/>
        <w:tabs>
          <w:tab w:val="right" w:leader="dot" w:pos="8503"/>
        </w:tabs>
        <w:ind w:firstLine="320"/>
      </w:pPr>
      <w:r>
        <w:fldChar w:fldCharType="begin"/>
      </w:r>
      <w:r>
        <w:instrText xml:space="preserve"> HYPERLINK \l "_Toc12876" </w:instrText>
      </w:r>
      <w:r>
        <w:fldChar w:fldCharType="separate"/>
      </w:r>
      <w:r>
        <w:rPr>
          <w:rFonts w:hint="eastAsia"/>
        </w:rPr>
        <w:t>5.4 保</w:t>
      </w:r>
      <w:r>
        <w:t>障有力的</w:t>
      </w:r>
      <w:r>
        <w:rPr>
          <w:rFonts w:hint="eastAsia"/>
        </w:rPr>
        <w:t>综合货运枢纽</w:t>
      </w:r>
      <w:r>
        <w:tab/>
      </w:r>
      <w:r>
        <w:fldChar w:fldCharType="begin"/>
      </w:r>
      <w:r>
        <w:instrText xml:space="preserve"> PAGEREF _Toc12876 \h </w:instrText>
      </w:r>
      <w:r>
        <w:fldChar w:fldCharType="separate"/>
      </w:r>
      <w:r>
        <w:t>- 27 -</w:t>
      </w:r>
      <w:r>
        <w:fldChar w:fldCharType="end"/>
      </w:r>
      <w:r>
        <w:fldChar w:fldCharType="end"/>
      </w:r>
    </w:p>
    <w:p>
      <w:pPr>
        <w:pStyle w:val="24"/>
        <w:tabs>
          <w:tab w:val="right" w:leader="dot" w:pos="8503"/>
        </w:tabs>
        <w:ind w:firstLine="320"/>
      </w:pPr>
      <w:r>
        <w:fldChar w:fldCharType="begin"/>
      </w:r>
      <w:r>
        <w:instrText xml:space="preserve"> HYPERLINK \l "_Toc2041" </w:instrText>
      </w:r>
      <w:r>
        <w:fldChar w:fldCharType="separate"/>
      </w:r>
      <w:r>
        <w:rPr>
          <w:rFonts w:hint="eastAsia"/>
        </w:rPr>
        <w:t>5.5 服务有</w:t>
      </w:r>
      <w:r>
        <w:t>质的</w:t>
      </w:r>
      <w:r>
        <w:rPr>
          <w:rFonts w:hint="eastAsia"/>
        </w:rPr>
        <w:t>旅游集散中心</w:t>
      </w:r>
      <w:r>
        <w:tab/>
      </w:r>
      <w:r>
        <w:fldChar w:fldCharType="begin"/>
      </w:r>
      <w:r>
        <w:instrText xml:space="preserve"> PAGEREF _Toc2041 \h </w:instrText>
      </w:r>
      <w:r>
        <w:fldChar w:fldCharType="separate"/>
      </w:r>
      <w:r>
        <w:t>- 27 -</w:t>
      </w:r>
      <w:r>
        <w:fldChar w:fldCharType="end"/>
      </w:r>
      <w:r>
        <w:fldChar w:fldCharType="end"/>
      </w:r>
    </w:p>
    <w:p>
      <w:pPr>
        <w:pStyle w:val="19"/>
        <w:tabs>
          <w:tab w:val="right" w:leader="dot" w:pos="8503"/>
        </w:tabs>
      </w:pPr>
      <w:r>
        <w:fldChar w:fldCharType="begin"/>
      </w:r>
      <w:r>
        <w:instrText xml:space="preserve"> HYPERLINK \l "_Toc10054" </w:instrText>
      </w:r>
      <w:r>
        <w:fldChar w:fldCharType="separate"/>
      </w:r>
      <w:r>
        <w:rPr>
          <w:rFonts w:hint="eastAsia"/>
          <w:lang w:val="zh-CN"/>
        </w:rPr>
        <w:t>第6章 统筹融合的综合交通体系</w:t>
      </w:r>
      <w:r>
        <w:tab/>
      </w:r>
      <w:r>
        <w:fldChar w:fldCharType="begin"/>
      </w:r>
      <w:r>
        <w:instrText xml:space="preserve"> PAGEREF _Toc10054 \h </w:instrText>
      </w:r>
      <w:r>
        <w:fldChar w:fldCharType="separate"/>
      </w:r>
      <w:r>
        <w:t>- 29 -</w:t>
      </w:r>
      <w:r>
        <w:fldChar w:fldCharType="end"/>
      </w:r>
      <w:r>
        <w:fldChar w:fldCharType="end"/>
      </w:r>
    </w:p>
    <w:p>
      <w:pPr>
        <w:pStyle w:val="24"/>
        <w:tabs>
          <w:tab w:val="right" w:leader="dot" w:pos="8503"/>
        </w:tabs>
        <w:ind w:firstLine="320"/>
      </w:pPr>
      <w:r>
        <w:fldChar w:fldCharType="begin"/>
      </w:r>
      <w:r>
        <w:instrText xml:space="preserve"> HYPERLINK \l "_Toc24467" </w:instrText>
      </w:r>
      <w:r>
        <w:fldChar w:fldCharType="separate"/>
      </w:r>
      <w:r>
        <w:rPr>
          <w:rFonts w:hint="eastAsia" w:cs="楷体"/>
        </w:rPr>
        <w:t>6.1 运输方式间融合发展</w:t>
      </w:r>
      <w:r>
        <w:tab/>
      </w:r>
      <w:r>
        <w:fldChar w:fldCharType="begin"/>
      </w:r>
      <w:r>
        <w:instrText xml:space="preserve"> PAGEREF _Toc24467 \h </w:instrText>
      </w:r>
      <w:r>
        <w:fldChar w:fldCharType="separate"/>
      </w:r>
      <w:r>
        <w:t>- 29 -</w:t>
      </w:r>
      <w:r>
        <w:fldChar w:fldCharType="end"/>
      </w:r>
      <w:r>
        <w:fldChar w:fldCharType="end"/>
      </w:r>
    </w:p>
    <w:p>
      <w:pPr>
        <w:pStyle w:val="24"/>
        <w:tabs>
          <w:tab w:val="right" w:leader="dot" w:pos="8503"/>
        </w:tabs>
        <w:ind w:firstLine="320"/>
      </w:pPr>
      <w:r>
        <w:fldChar w:fldCharType="begin"/>
      </w:r>
      <w:r>
        <w:instrText xml:space="preserve"> HYPERLINK \l "_Toc20096" </w:instrText>
      </w:r>
      <w:r>
        <w:fldChar w:fldCharType="separate"/>
      </w:r>
      <w:r>
        <w:rPr>
          <w:rFonts w:hint="eastAsia"/>
        </w:rPr>
        <w:t>6.2 区域一体化融合发</w:t>
      </w:r>
      <w:r>
        <w:t>展</w:t>
      </w:r>
      <w:r>
        <w:tab/>
      </w:r>
      <w:r>
        <w:fldChar w:fldCharType="begin"/>
      </w:r>
      <w:r>
        <w:instrText xml:space="preserve"> PAGEREF _Toc20096 \h </w:instrText>
      </w:r>
      <w:r>
        <w:fldChar w:fldCharType="separate"/>
      </w:r>
      <w:r>
        <w:t>- 31 -</w:t>
      </w:r>
      <w:r>
        <w:fldChar w:fldCharType="end"/>
      </w:r>
      <w:r>
        <w:fldChar w:fldCharType="end"/>
      </w:r>
    </w:p>
    <w:p>
      <w:pPr>
        <w:pStyle w:val="24"/>
        <w:tabs>
          <w:tab w:val="right" w:leader="dot" w:pos="8503"/>
        </w:tabs>
        <w:ind w:firstLine="320"/>
      </w:pPr>
      <w:r>
        <w:fldChar w:fldCharType="begin"/>
      </w:r>
      <w:r>
        <w:instrText xml:space="preserve"> HYPERLINK \l "_Toc27372" </w:instrText>
      </w:r>
      <w:r>
        <w:fldChar w:fldCharType="separate"/>
      </w:r>
      <w:r>
        <w:rPr>
          <w:rFonts w:hint="eastAsia"/>
        </w:rPr>
        <w:t xml:space="preserve">6.3 </w:t>
      </w:r>
      <w:r>
        <w:t>“</w:t>
      </w:r>
      <w:r>
        <w:rPr>
          <w:rFonts w:hint="eastAsia"/>
        </w:rPr>
        <w:t>交通+</w:t>
      </w:r>
      <w:r>
        <w:t>”</w:t>
      </w:r>
      <w:r>
        <w:rPr>
          <w:rFonts w:hint="eastAsia"/>
        </w:rPr>
        <w:t>产业融合发展</w:t>
      </w:r>
      <w:r>
        <w:tab/>
      </w:r>
      <w:r>
        <w:fldChar w:fldCharType="begin"/>
      </w:r>
      <w:r>
        <w:instrText xml:space="preserve"> PAGEREF _Toc27372 \h </w:instrText>
      </w:r>
      <w:r>
        <w:fldChar w:fldCharType="separate"/>
      </w:r>
      <w:r>
        <w:t>- 32 -</w:t>
      </w:r>
      <w:r>
        <w:fldChar w:fldCharType="end"/>
      </w:r>
      <w:r>
        <w:fldChar w:fldCharType="end"/>
      </w:r>
    </w:p>
    <w:p>
      <w:pPr>
        <w:pStyle w:val="19"/>
        <w:tabs>
          <w:tab w:val="right" w:leader="dot" w:pos="8503"/>
        </w:tabs>
      </w:pPr>
      <w:r>
        <w:fldChar w:fldCharType="begin"/>
      </w:r>
      <w:r>
        <w:instrText xml:space="preserve"> HYPERLINK \l "_Toc2047" </w:instrText>
      </w:r>
      <w:r>
        <w:fldChar w:fldCharType="separate"/>
      </w:r>
      <w:r>
        <w:rPr>
          <w:rFonts w:hint="eastAsia"/>
          <w:lang w:val="zh-CN"/>
        </w:rPr>
        <w:t>第7章 高质量发展的综合交通体系</w:t>
      </w:r>
      <w:r>
        <w:tab/>
      </w:r>
      <w:r>
        <w:fldChar w:fldCharType="begin"/>
      </w:r>
      <w:r>
        <w:instrText xml:space="preserve"> PAGEREF _Toc2047 \h </w:instrText>
      </w:r>
      <w:r>
        <w:fldChar w:fldCharType="separate"/>
      </w:r>
      <w:r>
        <w:t>- 35 -</w:t>
      </w:r>
      <w:r>
        <w:fldChar w:fldCharType="end"/>
      </w:r>
      <w:r>
        <w:fldChar w:fldCharType="end"/>
      </w:r>
    </w:p>
    <w:p>
      <w:pPr>
        <w:pStyle w:val="24"/>
        <w:tabs>
          <w:tab w:val="right" w:leader="dot" w:pos="8503"/>
        </w:tabs>
        <w:ind w:firstLine="320"/>
      </w:pPr>
      <w:r>
        <w:fldChar w:fldCharType="begin"/>
      </w:r>
      <w:r>
        <w:instrText xml:space="preserve"> HYPERLINK \l "_Toc4079" </w:instrText>
      </w:r>
      <w:r>
        <w:fldChar w:fldCharType="separate"/>
      </w:r>
      <w:r>
        <w:rPr>
          <w:rFonts w:hint="eastAsia"/>
        </w:rPr>
        <w:t>7.1 交通安全应急保障</w:t>
      </w:r>
      <w:r>
        <w:tab/>
      </w:r>
      <w:r>
        <w:fldChar w:fldCharType="begin"/>
      </w:r>
      <w:r>
        <w:instrText xml:space="preserve"> PAGEREF _Toc4079 \h </w:instrText>
      </w:r>
      <w:r>
        <w:fldChar w:fldCharType="separate"/>
      </w:r>
      <w:r>
        <w:t>- 35 -</w:t>
      </w:r>
      <w:r>
        <w:fldChar w:fldCharType="end"/>
      </w:r>
      <w:r>
        <w:fldChar w:fldCharType="end"/>
      </w:r>
    </w:p>
    <w:p>
      <w:pPr>
        <w:pStyle w:val="24"/>
        <w:tabs>
          <w:tab w:val="right" w:leader="dot" w:pos="8503"/>
        </w:tabs>
        <w:ind w:firstLine="320"/>
      </w:pPr>
      <w:r>
        <w:fldChar w:fldCharType="begin"/>
      </w:r>
      <w:r>
        <w:instrText xml:space="preserve"> HYPERLINK \l "_Toc30743" </w:instrText>
      </w:r>
      <w:r>
        <w:fldChar w:fldCharType="separate"/>
      </w:r>
      <w:r>
        <w:rPr>
          <w:rFonts w:hint="eastAsia"/>
        </w:rPr>
        <w:t>7.2 智慧交通运输体系</w:t>
      </w:r>
      <w:r>
        <w:tab/>
      </w:r>
      <w:r>
        <w:fldChar w:fldCharType="begin"/>
      </w:r>
      <w:r>
        <w:instrText xml:space="preserve"> PAGEREF _Toc30743 \h </w:instrText>
      </w:r>
      <w:r>
        <w:fldChar w:fldCharType="separate"/>
      </w:r>
      <w:r>
        <w:t>- 36 -</w:t>
      </w:r>
      <w:r>
        <w:fldChar w:fldCharType="end"/>
      </w:r>
      <w:r>
        <w:fldChar w:fldCharType="end"/>
      </w:r>
    </w:p>
    <w:p>
      <w:pPr>
        <w:pStyle w:val="24"/>
        <w:tabs>
          <w:tab w:val="right" w:leader="dot" w:pos="8503"/>
        </w:tabs>
        <w:ind w:firstLine="320"/>
      </w:pPr>
      <w:r>
        <w:fldChar w:fldCharType="begin"/>
      </w:r>
      <w:r>
        <w:instrText xml:space="preserve"> HYPERLINK \l "_Toc10092" </w:instrText>
      </w:r>
      <w:r>
        <w:fldChar w:fldCharType="separate"/>
      </w:r>
      <w:r>
        <w:rPr>
          <w:rFonts w:hint="eastAsia"/>
        </w:rPr>
        <w:t>7.3 绿色交通发</w:t>
      </w:r>
      <w:r>
        <w:t>展</w:t>
      </w:r>
      <w:r>
        <w:rPr>
          <w:rFonts w:hint="eastAsia"/>
        </w:rPr>
        <w:t>体系</w:t>
      </w:r>
      <w:r>
        <w:tab/>
      </w:r>
      <w:r>
        <w:fldChar w:fldCharType="begin"/>
      </w:r>
      <w:r>
        <w:instrText xml:space="preserve"> PAGEREF _Toc10092 \h </w:instrText>
      </w:r>
      <w:r>
        <w:fldChar w:fldCharType="separate"/>
      </w:r>
      <w:r>
        <w:t>- 37 -</w:t>
      </w:r>
      <w:r>
        <w:fldChar w:fldCharType="end"/>
      </w:r>
      <w:r>
        <w:fldChar w:fldCharType="end"/>
      </w:r>
    </w:p>
    <w:p>
      <w:pPr>
        <w:pStyle w:val="24"/>
        <w:tabs>
          <w:tab w:val="right" w:leader="dot" w:pos="8503"/>
        </w:tabs>
        <w:ind w:firstLine="320"/>
      </w:pPr>
      <w:r>
        <w:fldChar w:fldCharType="begin"/>
      </w:r>
      <w:r>
        <w:instrText xml:space="preserve"> HYPERLINK \l "_Toc27381" </w:instrText>
      </w:r>
      <w:r>
        <w:fldChar w:fldCharType="separate"/>
      </w:r>
      <w:r>
        <w:rPr>
          <w:rFonts w:hint="eastAsia"/>
        </w:rPr>
        <w:t>7.4 交通行业治理能力</w:t>
      </w:r>
      <w:r>
        <w:tab/>
      </w:r>
      <w:r>
        <w:fldChar w:fldCharType="begin"/>
      </w:r>
      <w:r>
        <w:instrText xml:space="preserve"> PAGEREF _Toc27381 \h </w:instrText>
      </w:r>
      <w:r>
        <w:fldChar w:fldCharType="separate"/>
      </w:r>
      <w:r>
        <w:t>- 38 -</w:t>
      </w:r>
      <w:r>
        <w:fldChar w:fldCharType="end"/>
      </w:r>
      <w:r>
        <w:fldChar w:fldCharType="end"/>
      </w:r>
    </w:p>
    <w:p>
      <w:pPr>
        <w:pStyle w:val="19"/>
        <w:tabs>
          <w:tab w:val="right" w:leader="dot" w:pos="8503"/>
        </w:tabs>
      </w:pPr>
      <w:r>
        <w:fldChar w:fldCharType="begin"/>
      </w:r>
      <w:r>
        <w:instrText xml:space="preserve"> HYPERLINK \l "_Toc20722" </w:instrText>
      </w:r>
      <w:r>
        <w:fldChar w:fldCharType="separate"/>
      </w:r>
      <w:r>
        <w:rPr>
          <w:rFonts w:hint="eastAsia"/>
          <w:lang w:val="zh-CN"/>
        </w:rPr>
        <w:t>第8章 协</w:t>
      </w:r>
      <w:r>
        <w:rPr>
          <w:lang w:val="zh-CN"/>
        </w:rPr>
        <w:t>同</w:t>
      </w:r>
      <w:r>
        <w:rPr>
          <w:rFonts w:hint="eastAsia"/>
          <w:lang w:val="zh-CN"/>
        </w:rPr>
        <w:t>国土空间的综合</w:t>
      </w:r>
      <w:r>
        <w:rPr>
          <w:lang w:val="zh-CN"/>
        </w:rPr>
        <w:t>交通体系</w:t>
      </w:r>
      <w:r>
        <w:tab/>
      </w:r>
      <w:r>
        <w:fldChar w:fldCharType="begin"/>
      </w:r>
      <w:r>
        <w:instrText xml:space="preserve"> PAGEREF _Toc20722 \h </w:instrText>
      </w:r>
      <w:r>
        <w:fldChar w:fldCharType="separate"/>
      </w:r>
      <w:r>
        <w:t>- 40 -</w:t>
      </w:r>
      <w:r>
        <w:fldChar w:fldCharType="end"/>
      </w:r>
      <w:r>
        <w:fldChar w:fldCharType="end"/>
      </w:r>
    </w:p>
    <w:p>
      <w:pPr>
        <w:pStyle w:val="24"/>
        <w:tabs>
          <w:tab w:val="right" w:leader="dot" w:pos="8503"/>
        </w:tabs>
        <w:ind w:firstLine="320"/>
      </w:pPr>
      <w:r>
        <w:fldChar w:fldCharType="begin"/>
      </w:r>
      <w:r>
        <w:instrText xml:space="preserve"> HYPERLINK \l "_Toc23965" </w:instrText>
      </w:r>
      <w:r>
        <w:fldChar w:fldCharType="separate"/>
      </w:r>
      <w:r>
        <w:rPr>
          <w:rFonts w:hint="eastAsia"/>
        </w:rPr>
        <w:t>8.1 实现存量与增量的有机统一</w:t>
      </w:r>
      <w:r>
        <w:tab/>
      </w:r>
      <w:r>
        <w:fldChar w:fldCharType="begin"/>
      </w:r>
      <w:r>
        <w:instrText xml:space="preserve"> PAGEREF _Toc23965 \h </w:instrText>
      </w:r>
      <w:r>
        <w:fldChar w:fldCharType="separate"/>
      </w:r>
      <w:r>
        <w:t>- 40 -</w:t>
      </w:r>
      <w:r>
        <w:fldChar w:fldCharType="end"/>
      </w:r>
      <w:r>
        <w:fldChar w:fldCharType="end"/>
      </w:r>
    </w:p>
    <w:p>
      <w:pPr>
        <w:pStyle w:val="24"/>
        <w:tabs>
          <w:tab w:val="right" w:leader="dot" w:pos="8503"/>
        </w:tabs>
        <w:ind w:firstLine="320"/>
      </w:pPr>
      <w:r>
        <w:fldChar w:fldCharType="begin"/>
      </w:r>
      <w:r>
        <w:instrText xml:space="preserve"> HYPERLINK \l "_Toc19041" </w:instrText>
      </w:r>
      <w:r>
        <w:fldChar w:fldCharType="separate"/>
      </w:r>
      <w:r>
        <w:rPr>
          <w:rFonts w:hint="eastAsia"/>
        </w:rPr>
        <w:t>8.2 共建规划“一张图”动态协调机制</w:t>
      </w:r>
      <w:r>
        <w:tab/>
      </w:r>
      <w:r>
        <w:fldChar w:fldCharType="begin"/>
      </w:r>
      <w:r>
        <w:instrText xml:space="preserve"> PAGEREF _Toc19041 \h </w:instrText>
      </w:r>
      <w:r>
        <w:fldChar w:fldCharType="separate"/>
      </w:r>
      <w:r>
        <w:t>- 40 -</w:t>
      </w:r>
      <w:r>
        <w:fldChar w:fldCharType="end"/>
      </w:r>
      <w:r>
        <w:fldChar w:fldCharType="end"/>
      </w:r>
    </w:p>
    <w:p>
      <w:pPr>
        <w:pStyle w:val="24"/>
        <w:tabs>
          <w:tab w:val="right" w:leader="dot" w:pos="8503"/>
        </w:tabs>
        <w:ind w:firstLine="320"/>
      </w:pPr>
      <w:r>
        <w:fldChar w:fldCharType="begin"/>
      </w:r>
      <w:r>
        <w:instrText xml:space="preserve"> HYPERLINK \l "_Toc8123" </w:instrText>
      </w:r>
      <w:r>
        <w:fldChar w:fldCharType="separate"/>
      </w:r>
      <w:r>
        <w:rPr>
          <w:rFonts w:hint="eastAsia"/>
        </w:rPr>
        <w:t>8.3 合理预控用地需求规模</w:t>
      </w:r>
      <w:r>
        <w:tab/>
      </w:r>
      <w:r>
        <w:fldChar w:fldCharType="begin"/>
      </w:r>
      <w:r>
        <w:instrText xml:space="preserve"> PAGEREF _Toc8123 \h </w:instrText>
      </w:r>
      <w:r>
        <w:fldChar w:fldCharType="separate"/>
      </w:r>
      <w:r>
        <w:t>- 40 -</w:t>
      </w:r>
      <w:r>
        <w:fldChar w:fldCharType="end"/>
      </w:r>
      <w:r>
        <w:fldChar w:fldCharType="end"/>
      </w:r>
    </w:p>
    <w:p>
      <w:pPr>
        <w:pStyle w:val="19"/>
        <w:tabs>
          <w:tab w:val="right" w:leader="dot" w:pos="8503"/>
        </w:tabs>
      </w:pPr>
      <w:r>
        <w:fldChar w:fldCharType="begin"/>
      </w:r>
      <w:r>
        <w:instrText xml:space="preserve"> HYPERLINK \l "_Toc4339" </w:instrText>
      </w:r>
      <w:r>
        <w:fldChar w:fldCharType="separate"/>
      </w:r>
      <w:r>
        <w:rPr>
          <w:rFonts w:hint="eastAsia"/>
        </w:rPr>
        <w:t xml:space="preserve">第9章 </w:t>
      </w:r>
      <w:r>
        <w:rPr>
          <w:rFonts w:hint="eastAsia"/>
          <w:lang w:val="zh-CN"/>
        </w:rPr>
        <w:t>强化保障措施</w:t>
      </w:r>
      <w:r>
        <w:tab/>
      </w:r>
      <w:r>
        <w:fldChar w:fldCharType="begin"/>
      </w:r>
      <w:r>
        <w:instrText xml:space="preserve"> PAGEREF _Toc4339 \h </w:instrText>
      </w:r>
      <w:r>
        <w:fldChar w:fldCharType="separate"/>
      </w:r>
      <w:r>
        <w:t>- 42 -</w:t>
      </w:r>
      <w:r>
        <w:fldChar w:fldCharType="end"/>
      </w:r>
      <w:r>
        <w:fldChar w:fldCharType="end"/>
      </w:r>
    </w:p>
    <w:p>
      <w:pPr>
        <w:pStyle w:val="24"/>
        <w:tabs>
          <w:tab w:val="right" w:leader="dot" w:pos="8503"/>
        </w:tabs>
        <w:ind w:firstLine="320"/>
      </w:pPr>
      <w:r>
        <w:fldChar w:fldCharType="begin"/>
      </w:r>
      <w:r>
        <w:instrText xml:space="preserve"> HYPERLINK \l "_Toc23784" </w:instrText>
      </w:r>
      <w:r>
        <w:fldChar w:fldCharType="separate"/>
      </w:r>
      <w:r>
        <w:rPr>
          <w:rFonts w:hint="eastAsia"/>
        </w:rPr>
        <w:t>9.1 加强组织保障</w:t>
      </w:r>
      <w:r>
        <w:tab/>
      </w:r>
      <w:r>
        <w:fldChar w:fldCharType="begin"/>
      </w:r>
      <w:r>
        <w:instrText xml:space="preserve"> PAGEREF _Toc23784 \h </w:instrText>
      </w:r>
      <w:r>
        <w:fldChar w:fldCharType="separate"/>
      </w:r>
      <w:r>
        <w:t>- 42 -</w:t>
      </w:r>
      <w:r>
        <w:fldChar w:fldCharType="end"/>
      </w:r>
      <w:r>
        <w:fldChar w:fldCharType="end"/>
      </w:r>
    </w:p>
    <w:p>
      <w:pPr>
        <w:pStyle w:val="24"/>
        <w:tabs>
          <w:tab w:val="right" w:leader="dot" w:pos="8503"/>
        </w:tabs>
        <w:ind w:firstLine="320"/>
      </w:pPr>
      <w:r>
        <w:fldChar w:fldCharType="begin"/>
      </w:r>
      <w:r>
        <w:instrText xml:space="preserve"> HYPERLINK \l "_Toc32735" </w:instrText>
      </w:r>
      <w:r>
        <w:fldChar w:fldCharType="separate"/>
      </w:r>
      <w:r>
        <w:rPr>
          <w:rFonts w:hint="eastAsia"/>
        </w:rPr>
        <w:t>9.2 强化资金保障</w:t>
      </w:r>
      <w:r>
        <w:tab/>
      </w:r>
      <w:r>
        <w:fldChar w:fldCharType="begin"/>
      </w:r>
      <w:r>
        <w:instrText xml:space="preserve"> PAGEREF _Toc32735 \h </w:instrText>
      </w:r>
      <w:r>
        <w:fldChar w:fldCharType="separate"/>
      </w:r>
      <w:r>
        <w:t>- 42 -</w:t>
      </w:r>
      <w:r>
        <w:fldChar w:fldCharType="end"/>
      </w:r>
      <w:r>
        <w:fldChar w:fldCharType="end"/>
      </w:r>
    </w:p>
    <w:p>
      <w:pPr>
        <w:pStyle w:val="24"/>
        <w:tabs>
          <w:tab w:val="right" w:leader="dot" w:pos="8503"/>
        </w:tabs>
        <w:ind w:firstLine="320"/>
      </w:pPr>
      <w:r>
        <w:fldChar w:fldCharType="begin"/>
      </w:r>
      <w:r>
        <w:instrText xml:space="preserve"> HYPERLINK \l "_Toc4454" </w:instrText>
      </w:r>
      <w:r>
        <w:fldChar w:fldCharType="separate"/>
      </w:r>
      <w:r>
        <w:rPr>
          <w:rFonts w:hint="eastAsia"/>
        </w:rPr>
        <w:t>9.3 强化用地保障</w:t>
      </w:r>
      <w:r>
        <w:tab/>
      </w:r>
      <w:r>
        <w:fldChar w:fldCharType="begin"/>
      </w:r>
      <w:r>
        <w:instrText xml:space="preserve"> PAGEREF _Toc4454 \h </w:instrText>
      </w:r>
      <w:r>
        <w:fldChar w:fldCharType="separate"/>
      </w:r>
      <w:r>
        <w:t>- 43 -</w:t>
      </w:r>
      <w:r>
        <w:fldChar w:fldCharType="end"/>
      </w:r>
      <w:r>
        <w:fldChar w:fldCharType="end"/>
      </w:r>
    </w:p>
    <w:p>
      <w:pPr>
        <w:pStyle w:val="24"/>
        <w:tabs>
          <w:tab w:val="right" w:leader="dot" w:pos="8503"/>
        </w:tabs>
        <w:ind w:firstLine="320"/>
      </w:pPr>
      <w:r>
        <w:fldChar w:fldCharType="begin"/>
      </w:r>
      <w:r>
        <w:instrText xml:space="preserve"> HYPERLINK \l "_Toc191" </w:instrText>
      </w:r>
      <w:r>
        <w:fldChar w:fldCharType="separate"/>
      </w:r>
      <w:r>
        <w:rPr>
          <w:rFonts w:hint="eastAsia"/>
        </w:rPr>
        <w:t>9.4 加强实施管理</w:t>
      </w:r>
      <w:r>
        <w:tab/>
      </w:r>
      <w:r>
        <w:fldChar w:fldCharType="begin"/>
      </w:r>
      <w:r>
        <w:instrText xml:space="preserve"> PAGEREF _Toc191 \h </w:instrText>
      </w:r>
      <w:r>
        <w:fldChar w:fldCharType="separate"/>
      </w:r>
      <w:r>
        <w:t>- 43 -</w:t>
      </w:r>
      <w:r>
        <w:fldChar w:fldCharType="end"/>
      </w:r>
      <w:r>
        <w:fldChar w:fldCharType="end"/>
      </w:r>
    </w:p>
    <w:p>
      <w:pPr>
        <w:pStyle w:val="19"/>
        <w:tabs>
          <w:tab w:val="right" w:leader="dot" w:pos="8503"/>
        </w:tabs>
      </w:pPr>
      <w:r>
        <w:fldChar w:fldCharType="begin"/>
      </w:r>
      <w:r>
        <w:instrText xml:space="preserve"> HYPERLINK \l "_Toc19798" </w:instrText>
      </w:r>
      <w:r>
        <w:fldChar w:fldCharType="separate"/>
      </w:r>
      <w:r>
        <w:rPr>
          <w:rFonts w:hint="eastAsia" w:ascii="黑体" w:hAnsi="黑体" w:cs="黑体"/>
          <w:bCs/>
          <w:szCs w:val="32"/>
          <w:lang w:val="zh-CN"/>
        </w:rPr>
        <w:t>附表1韶关市综合立体交通网重点项目计划表（2021-2035年）</w:t>
      </w:r>
      <w:r>
        <w:tab/>
      </w:r>
      <w:r>
        <w:fldChar w:fldCharType="begin"/>
      </w:r>
      <w:r>
        <w:instrText xml:space="preserve"> PAGEREF _Toc19798 \h </w:instrText>
      </w:r>
      <w:r>
        <w:fldChar w:fldCharType="separate"/>
      </w:r>
      <w:r>
        <w:t>- 45 -</w:t>
      </w:r>
      <w:r>
        <w:fldChar w:fldCharType="end"/>
      </w:r>
      <w:r>
        <w:fldChar w:fldCharType="end"/>
      </w:r>
    </w:p>
    <w:p>
      <w:pPr>
        <w:pStyle w:val="19"/>
        <w:tabs>
          <w:tab w:val="right" w:leader="dot" w:pos="8503"/>
        </w:tabs>
      </w:pPr>
      <w:r>
        <w:fldChar w:fldCharType="begin"/>
      </w:r>
      <w:r>
        <w:instrText xml:space="preserve"> HYPERLINK \l "_Toc17496" </w:instrText>
      </w:r>
      <w:r>
        <w:fldChar w:fldCharType="separate"/>
      </w:r>
      <w:r>
        <w:rPr>
          <w:rFonts w:hint="eastAsia" w:ascii="黑体" w:hAnsi="黑体" w:cs="黑体"/>
          <w:bCs/>
          <w:szCs w:val="32"/>
        </w:rPr>
        <w:t>附表2韶关市综合立体交通网重点项目计划表（展望至2050年）</w:t>
      </w:r>
      <w:r>
        <w:tab/>
      </w:r>
      <w:r>
        <w:fldChar w:fldCharType="begin"/>
      </w:r>
      <w:r>
        <w:instrText xml:space="preserve"> PAGEREF _Toc17496 \h </w:instrText>
      </w:r>
      <w:r>
        <w:fldChar w:fldCharType="separate"/>
      </w:r>
      <w:r>
        <w:t>- 46 -</w:t>
      </w:r>
      <w:r>
        <w:fldChar w:fldCharType="end"/>
      </w:r>
      <w:r>
        <w:fldChar w:fldCharType="end"/>
      </w:r>
    </w:p>
    <w:p>
      <w:pPr>
        <w:pStyle w:val="19"/>
        <w:tabs>
          <w:tab w:val="right" w:leader="dot" w:pos="8503"/>
        </w:tabs>
      </w:pPr>
      <w:r>
        <w:fldChar w:fldCharType="begin"/>
      </w:r>
      <w:r>
        <w:instrText xml:space="preserve"> HYPERLINK \l "_Toc753" </w:instrText>
      </w:r>
      <w:r>
        <w:fldChar w:fldCharType="separate"/>
      </w:r>
      <w:r>
        <w:rPr>
          <w:rFonts w:hint="eastAsia" w:ascii="黑体" w:hAnsi="黑体" w:cs="黑体"/>
          <w:bCs/>
          <w:szCs w:val="32"/>
        </w:rPr>
        <w:t>附图1韶关市对外运输通道分布图</w:t>
      </w:r>
      <w:r>
        <w:tab/>
      </w:r>
      <w:r>
        <w:fldChar w:fldCharType="begin"/>
      </w:r>
      <w:r>
        <w:instrText xml:space="preserve"> PAGEREF _Toc753 \h </w:instrText>
      </w:r>
      <w:r>
        <w:fldChar w:fldCharType="separate"/>
      </w:r>
      <w:r>
        <w:t>- 48 -</w:t>
      </w:r>
      <w:r>
        <w:fldChar w:fldCharType="end"/>
      </w:r>
      <w:r>
        <w:fldChar w:fldCharType="end"/>
      </w:r>
    </w:p>
    <w:p>
      <w:pPr>
        <w:pStyle w:val="19"/>
        <w:tabs>
          <w:tab w:val="right" w:leader="dot" w:pos="8503"/>
        </w:tabs>
      </w:pPr>
      <w:r>
        <w:fldChar w:fldCharType="begin"/>
      </w:r>
      <w:r>
        <w:instrText xml:space="preserve"> HYPERLINK \l "_Toc28281" </w:instrText>
      </w:r>
      <w:r>
        <w:fldChar w:fldCharType="separate"/>
      </w:r>
      <w:r>
        <w:rPr>
          <w:rFonts w:hint="eastAsia" w:ascii="黑体" w:hAnsi="黑体" w:cs="黑体"/>
          <w:bCs/>
          <w:szCs w:val="32"/>
        </w:rPr>
        <w:t>附图2韶关市综合立体交通网布局总图</w:t>
      </w:r>
      <w:r>
        <w:tab/>
      </w:r>
      <w:r>
        <w:fldChar w:fldCharType="begin"/>
      </w:r>
      <w:r>
        <w:instrText xml:space="preserve"> PAGEREF _Toc28281 \h </w:instrText>
      </w:r>
      <w:r>
        <w:fldChar w:fldCharType="separate"/>
      </w:r>
      <w:r>
        <w:t>- 49 -</w:t>
      </w:r>
      <w:r>
        <w:fldChar w:fldCharType="end"/>
      </w:r>
      <w:r>
        <w:fldChar w:fldCharType="end"/>
      </w:r>
    </w:p>
    <w:p>
      <w:pPr>
        <w:pStyle w:val="19"/>
        <w:tabs>
          <w:tab w:val="right" w:leader="dot" w:pos="8503"/>
        </w:tabs>
      </w:pPr>
      <w:r>
        <w:fldChar w:fldCharType="begin"/>
      </w:r>
      <w:r>
        <w:instrText xml:space="preserve"> HYPERLINK \l "_Toc13840" </w:instrText>
      </w:r>
      <w:r>
        <w:fldChar w:fldCharType="separate"/>
      </w:r>
      <w:r>
        <w:rPr>
          <w:rFonts w:hint="eastAsia" w:ascii="黑体" w:hAnsi="黑体" w:cs="黑体"/>
          <w:bCs/>
          <w:szCs w:val="32"/>
        </w:rPr>
        <w:t>附图3韶关市轨道交通网布局示意图</w:t>
      </w:r>
      <w:r>
        <w:tab/>
      </w:r>
      <w:r>
        <w:fldChar w:fldCharType="begin"/>
      </w:r>
      <w:r>
        <w:instrText xml:space="preserve"> PAGEREF _Toc13840 \h </w:instrText>
      </w:r>
      <w:r>
        <w:fldChar w:fldCharType="separate"/>
      </w:r>
      <w:r>
        <w:t>- 50 -</w:t>
      </w:r>
      <w:r>
        <w:fldChar w:fldCharType="end"/>
      </w:r>
      <w:r>
        <w:fldChar w:fldCharType="end"/>
      </w:r>
    </w:p>
    <w:p>
      <w:pPr>
        <w:pStyle w:val="19"/>
        <w:tabs>
          <w:tab w:val="right" w:leader="dot" w:pos="8503"/>
        </w:tabs>
      </w:pPr>
      <w:r>
        <w:fldChar w:fldCharType="begin"/>
      </w:r>
      <w:r>
        <w:instrText xml:space="preserve"> HYPERLINK \l "_Toc27360" </w:instrText>
      </w:r>
      <w:r>
        <w:fldChar w:fldCharType="separate"/>
      </w:r>
      <w:r>
        <w:rPr>
          <w:rFonts w:hint="eastAsia" w:ascii="黑体" w:hAnsi="黑体" w:cs="黑体"/>
          <w:bCs/>
          <w:szCs w:val="32"/>
        </w:rPr>
        <w:t>附图4韶关市高速公路网布局示意图</w:t>
      </w:r>
      <w:r>
        <w:tab/>
      </w:r>
      <w:r>
        <w:fldChar w:fldCharType="begin"/>
      </w:r>
      <w:r>
        <w:instrText xml:space="preserve"> PAGEREF _Toc27360 \h </w:instrText>
      </w:r>
      <w:r>
        <w:fldChar w:fldCharType="separate"/>
      </w:r>
      <w:r>
        <w:t>- 51 -</w:t>
      </w:r>
      <w:r>
        <w:fldChar w:fldCharType="end"/>
      </w:r>
      <w:r>
        <w:fldChar w:fldCharType="end"/>
      </w:r>
    </w:p>
    <w:p>
      <w:pPr>
        <w:pStyle w:val="19"/>
        <w:tabs>
          <w:tab w:val="right" w:leader="dot" w:pos="8503"/>
        </w:tabs>
      </w:pPr>
      <w:r>
        <w:fldChar w:fldCharType="begin"/>
      </w:r>
      <w:r>
        <w:instrText xml:space="preserve"> HYPERLINK \l "_Toc17061" </w:instrText>
      </w:r>
      <w:r>
        <w:fldChar w:fldCharType="separate"/>
      </w:r>
      <w:r>
        <w:rPr>
          <w:rFonts w:hint="eastAsia" w:ascii="黑体" w:hAnsi="黑体" w:cs="黑体"/>
          <w:bCs/>
          <w:szCs w:val="32"/>
        </w:rPr>
        <w:t>附图5韶关市城市快速路及主干路网布局示意图</w:t>
      </w:r>
      <w:r>
        <w:tab/>
      </w:r>
      <w:r>
        <w:fldChar w:fldCharType="begin"/>
      </w:r>
      <w:r>
        <w:instrText xml:space="preserve"> PAGEREF _Toc17061 \h </w:instrText>
      </w:r>
      <w:r>
        <w:fldChar w:fldCharType="separate"/>
      </w:r>
      <w:r>
        <w:t>- 52 -</w:t>
      </w:r>
      <w:r>
        <w:fldChar w:fldCharType="end"/>
      </w:r>
      <w:r>
        <w:fldChar w:fldCharType="end"/>
      </w:r>
    </w:p>
    <w:p>
      <w:pPr>
        <w:pStyle w:val="19"/>
        <w:tabs>
          <w:tab w:val="right" w:leader="dot" w:pos="8503"/>
        </w:tabs>
      </w:pPr>
      <w:r>
        <w:fldChar w:fldCharType="begin"/>
      </w:r>
      <w:r>
        <w:instrText xml:space="preserve"> HYPERLINK \l "_Toc21802" </w:instrText>
      </w:r>
      <w:r>
        <w:fldChar w:fldCharType="separate"/>
      </w:r>
      <w:r>
        <w:rPr>
          <w:rFonts w:hint="eastAsia" w:ascii="黑体" w:hAnsi="黑体" w:cs="黑体"/>
          <w:bCs/>
          <w:szCs w:val="32"/>
        </w:rPr>
        <w:t>附图6韶关市普通国省干线主骨架布局示意图</w:t>
      </w:r>
      <w:r>
        <w:tab/>
      </w:r>
      <w:r>
        <w:fldChar w:fldCharType="begin"/>
      </w:r>
      <w:r>
        <w:instrText xml:space="preserve"> PAGEREF _Toc21802 \h </w:instrText>
      </w:r>
      <w:r>
        <w:fldChar w:fldCharType="separate"/>
      </w:r>
      <w:r>
        <w:t>- 53 -</w:t>
      </w:r>
      <w:r>
        <w:fldChar w:fldCharType="end"/>
      </w:r>
      <w:r>
        <w:fldChar w:fldCharType="end"/>
      </w:r>
    </w:p>
    <w:p>
      <w:pPr>
        <w:pStyle w:val="19"/>
        <w:tabs>
          <w:tab w:val="right" w:leader="dot" w:pos="8503"/>
        </w:tabs>
      </w:pPr>
      <w:r>
        <w:fldChar w:fldCharType="begin"/>
      </w:r>
      <w:r>
        <w:instrText xml:space="preserve"> HYPERLINK \l "_Toc6866" </w:instrText>
      </w:r>
      <w:r>
        <w:fldChar w:fldCharType="separate"/>
      </w:r>
      <w:r>
        <w:rPr>
          <w:rFonts w:hint="eastAsia" w:ascii="黑体" w:hAnsi="黑体" w:cs="黑体"/>
          <w:bCs/>
          <w:szCs w:val="32"/>
        </w:rPr>
        <w:t>附图7韶关市特色旅游公路布局示意图</w:t>
      </w:r>
      <w:r>
        <w:tab/>
      </w:r>
      <w:r>
        <w:fldChar w:fldCharType="begin"/>
      </w:r>
      <w:r>
        <w:instrText xml:space="preserve"> PAGEREF _Toc6866 \h </w:instrText>
      </w:r>
      <w:r>
        <w:fldChar w:fldCharType="separate"/>
      </w:r>
      <w:r>
        <w:t>- 54 -</w:t>
      </w:r>
      <w:r>
        <w:fldChar w:fldCharType="end"/>
      </w:r>
      <w:r>
        <w:fldChar w:fldCharType="end"/>
      </w:r>
    </w:p>
    <w:p>
      <w:pPr>
        <w:pStyle w:val="19"/>
        <w:tabs>
          <w:tab w:val="right" w:leader="dot" w:pos="8503"/>
        </w:tabs>
      </w:pPr>
      <w:r>
        <w:fldChar w:fldCharType="begin"/>
      </w:r>
      <w:r>
        <w:instrText xml:space="preserve"> HYPERLINK \l "_Toc12836" </w:instrText>
      </w:r>
      <w:r>
        <w:fldChar w:fldCharType="separate"/>
      </w:r>
      <w:r>
        <w:rPr>
          <w:rFonts w:hint="eastAsia" w:ascii="黑体" w:hAnsi="黑体" w:cs="黑体"/>
          <w:bCs/>
          <w:szCs w:val="32"/>
        </w:rPr>
        <w:t>附图8韶关市民用机场布局示意图</w:t>
      </w:r>
      <w:r>
        <w:tab/>
      </w:r>
      <w:r>
        <w:fldChar w:fldCharType="begin"/>
      </w:r>
      <w:r>
        <w:instrText xml:space="preserve"> PAGEREF _Toc12836 \h </w:instrText>
      </w:r>
      <w:r>
        <w:fldChar w:fldCharType="separate"/>
      </w:r>
      <w:r>
        <w:t>- 55 -</w:t>
      </w:r>
      <w:r>
        <w:fldChar w:fldCharType="end"/>
      </w:r>
      <w:r>
        <w:fldChar w:fldCharType="end"/>
      </w:r>
    </w:p>
    <w:p>
      <w:pPr>
        <w:pStyle w:val="19"/>
        <w:tabs>
          <w:tab w:val="right" w:leader="dot" w:pos="8503"/>
        </w:tabs>
      </w:pPr>
      <w:r>
        <w:fldChar w:fldCharType="begin"/>
      </w:r>
      <w:r>
        <w:instrText xml:space="preserve"> HYPERLINK \l "_Toc21375" </w:instrText>
      </w:r>
      <w:r>
        <w:fldChar w:fldCharType="separate"/>
      </w:r>
      <w:r>
        <w:rPr>
          <w:rFonts w:hint="eastAsia" w:ascii="黑体" w:hAnsi="黑体" w:cs="黑体"/>
          <w:bCs/>
          <w:szCs w:val="32"/>
        </w:rPr>
        <w:t>附图9韶关市港口及内河航道布局示意图</w:t>
      </w:r>
      <w:r>
        <w:tab/>
      </w:r>
      <w:r>
        <w:fldChar w:fldCharType="begin"/>
      </w:r>
      <w:r>
        <w:instrText xml:space="preserve"> PAGEREF _Toc21375 \h </w:instrText>
      </w:r>
      <w:r>
        <w:fldChar w:fldCharType="separate"/>
      </w:r>
      <w:r>
        <w:t>- 56 -</w:t>
      </w:r>
      <w:r>
        <w:fldChar w:fldCharType="end"/>
      </w:r>
      <w:r>
        <w:fldChar w:fldCharType="end"/>
      </w:r>
    </w:p>
    <w:p>
      <w:pPr>
        <w:pStyle w:val="19"/>
        <w:tabs>
          <w:tab w:val="right" w:leader="dot" w:pos="8503"/>
        </w:tabs>
      </w:pPr>
      <w:r>
        <w:fldChar w:fldCharType="begin"/>
      </w:r>
      <w:r>
        <w:instrText xml:space="preserve"> HYPERLINK \l "_Toc6379" </w:instrText>
      </w:r>
      <w:r>
        <w:fldChar w:fldCharType="separate"/>
      </w:r>
      <w:r>
        <w:rPr>
          <w:rFonts w:hint="eastAsia" w:ascii="黑体" w:hAnsi="黑体" w:cs="黑体"/>
          <w:bCs/>
          <w:szCs w:val="32"/>
        </w:rPr>
        <w:t>附图10韶关市油气管道布局示意图</w:t>
      </w:r>
      <w:r>
        <w:tab/>
      </w:r>
      <w:r>
        <w:fldChar w:fldCharType="begin"/>
      </w:r>
      <w:r>
        <w:instrText xml:space="preserve"> PAGEREF _Toc6379 \h </w:instrText>
      </w:r>
      <w:r>
        <w:fldChar w:fldCharType="separate"/>
      </w:r>
      <w:r>
        <w:t>- 57 -</w:t>
      </w:r>
      <w:r>
        <w:fldChar w:fldCharType="end"/>
      </w:r>
      <w:r>
        <w:fldChar w:fldCharType="end"/>
      </w:r>
    </w:p>
    <w:p>
      <w:pPr>
        <w:pStyle w:val="19"/>
        <w:tabs>
          <w:tab w:val="right" w:leader="dot" w:pos="8503"/>
        </w:tabs>
      </w:pPr>
      <w:r>
        <w:fldChar w:fldCharType="begin"/>
      </w:r>
      <w:r>
        <w:instrText xml:space="preserve"> HYPERLINK \l "_Toc28130" </w:instrText>
      </w:r>
      <w:r>
        <w:fldChar w:fldCharType="separate"/>
      </w:r>
      <w:r>
        <w:rPr>
          <w:rFonts w:hint="eastAsia" w:ascii="黑体" w:hAnsi="黑体" w:cs="黑体"/>
          <w:bCs/>
          <w:szCs w:val="32"/>
        </w:rPr>
        <w:t>附图11韶关市综合客运枢纽布局示意图</w:t>
      </w:r>
      <w:r>
        <w:tab/>
      </w:r>
      <w:r>
        <w:fldChar w:fldCharType="begin"/>
      </w:r>
      <w:r>
        <w:instrText xml:space="preserve"> PAGEREF _Toc28130 \h </w:instrText>
      </w:r>
      <w:r>
        <w:fldChar w:fldCharType="separate"/>
      </w:r>
      <w:r>
        <w:t>- 58 -</w:t>
      </w:r>
      <w:r>
        <w:fldChar w:fldCharType="end"/>
      </w:r>
      <w:r>
        <w:fldChar w:fldCharType="end"/>
      </w:r>
    </w:p>
    <w:p>
      <w:pPr>
        <w:pStyle w:val="19"/>
        <w:tabs>
          <w:tab w:val="right" w:leader="dot" w:pos="8503"/>
        </w:tabs>
      </w:pPr>
      <w:r>
        <w:fldChar w:fldCharType="begin"/>
      </w:r>
      <w:r>
        <w:instrText xml:space="preserve"> HYPERLINK \l "_Toc23103" </w:instrText>
      </w:r>
      <w:r>
        <w:fldChar w:fldCharType="separate"/>
      </w:r>
      <w:r>
        <w:rPr>
          <w:rFonts w:hint="eastAsia" w:ascii="黑体" w:hAnsi="黑体" w:cs="黑体"/>
          <w:bCs/>
          <w:szCs w:val="32"/>
        </w:rPr>
        <w:t>附图12韶关市综合货运枢纽布局示意图</w:t>
      </w:r>
      <w:r>
        <w:tab/>
      </w:r>
      <w:r>
        <w:fldChar w:fldCharType="begin"/>
      </w:r>
      <w:r>
        <w:instrText xml:space="preserve"> PAGEREF _Toc23103 \h </w:instrText>
      </w:r>
      <w:r>
        <w:fldChar w:fldCharType="separate"/>
      </w:r>
      <w:r>
        <w:t>- 59 -</w:t>
      </w:r>
      <w:r>
        <w:fldChar w:fldCharType="end"/>
      </w:r>
      <w:r>
        <w:fldChar w:fldCharType="end"/>
      </w:r>
    </w:p>
    <w:p>
      <w:pPr>
        <w:pStyle w:val="19"/>
        <w:tabs>
          <w:tab w:val="right" w:leader="dot" w:pos="8503"/>
        </w:tabs>
      </w:pPr>
      <w:r>
        <w:fldChar w:fldCharType="begin"/>
      </w:r>
      <w:r>
        <w:instrText xml:space="preserve"> HYPERLINK \l "_Toc657" </w:instrText>
      </w:r>
      <w:r>
        <w:fldChar w:fldCharType="separate"/>
      </w:r>
      <w:r>
        <w:rPr>
          <w:rFonts w:hint="eastAsia" w:ascii="黑体" w:hAnsi="黑体" w:cs="黑体"/>
          <w:bCs/>
          <w:szCs w:val="32"/>
        </w:rPr>
        <w:t>附图13韶关市综合立体交通布局与产业衔接示意图</w:t>
      </w:r>
      <w:r>
        <w:tab/>
      </w:r>
      <w:r>
        <w:fldChar w:fldCharType="begin"/>
      </w:r>
      <w:r>
        <w:instrText xml:space="preserve"> PAGEREF _Toc657 \h </w:instrText>
      </w:r>
      <w:r>
        <w:fldChar w:fldCharType="separate"/>
      </w:r>
      <w:r>
        <w:t>- 60 -</w:t>
      </w:r>
      <w:r>
        <w:fldChar w:fldCharType="end"/>
      </w:r>
      <w:r>
        <w:fldChar w:fldCharType="end"/>
      </w:r>
    </w:p>
    <w:p>
      <w:pPr>
        <w:pStyle w:val="19"/>
        <w:tabs>
          <w:tab w:val="right" w:leader="dot" w:pos="8503"/>
        </w:tabs>
      </w:pPr>
      <w:r>
        <w:fldChar w:fldCharType="begin"/>
      </w:r>
      <w:r>
        <w:instrText xml:space="preserve"> HYPERLINK \l "_Toc29645" </w:instrText>
      </w:r>
      <w:r>
        <w:fldChar w:fldCharType="separate"/>
      </w:r>
      <w:r>
        <w:rPr>
          <w:rFonts w:hint="eastAsia" w:ascii="黑体" w:hAnsi="黑体" w:cs="黑体"/>
          <w:bCs/>
          <w:szCs w:val="32"/>
        </w:rPr>
        <w:t>附图14韶关市与粤港澳大湾区轨道交通衔接示意图</w:t>
      </w:r>
      <w:r>
        <w:tab/>
      </w:r>
      <w:r>
        <w:fldChar w:fldCharType="begin"/>
      </w:r>
      <w:r>
        <w:instrText xml:space="preserve"> PAGEREF _Toc29645 \h </w:instrText>
      </w:r>
      <w:r>
        <w:fldChar w:fldCharType="separate"/>
      </w:r>
      <w:r>
        <w:t>- 61 -</w:t>
      </w:r>
      <w:r>
        <w:fldChar w:fldCharType="end"/>
      </w:r>
      <w:r>
        <w:fldChar w:fldCharType="end"/>
      </w:r>
    </w:p>
    <w:p>
      <w:pPr>
        <w:pStyle w:val="19"/>
        <w:tabs>
          <w:tab w:val="right" w:leader="dot" w:pos="8503"/>
        </w:tabs>
      </w:pPr>
      <w:r>
        <w:fldChar w:fldCharType="begin"/>
      </w:r>
      <w:r>
        <w:instrText xml:space="preserve"> HYPERLINK \l "_Toc2610" </w:instrText>
      </w:r>
      <w:r>
        <w:fldChar w:fldCharType="separate"/>
      </w:r>
      <w:r>
        <w:rPr>
          <w:rFonts w:hint="eastAsia" w:ascii="黑体" w:hAnsi="黑体" w:cs="黑体"/>
          <w:bCs/>
          <w:szCs w:val="32"/>
        </w:rPr>
        <w:t>附图15韶关市与粤港澳大湾区高速公路衔接示意图</w:t>
      </w:r>
      <w:r>
        <w:tab/>
      </w:r>
      <w:r>
        <w:fldChar w:fldCharType="begin"/>
      </w:r>
      <w:r>
        <w:instrText xml:space="preserve"> PAGEREF _Toc2610 \h </w:instrText>
      </w:r>
      <w:r>
        <w:fldChar w:fldCharType="separate"/>
      </w:r>
      <w:r>
        <w:t>- 62 -</w:t>
      </w:r>
      <w:r>
        <w:fldChar w:fldCharType="end"/>
      </w:r>
      <w:r>
        <w:fldChar w:fldCharType="end"/>
      </w:r>
    </w:p>
    <w:p>
      <w:pPr>
        <w:widowControl w:val="0"/>
        <w:snapToGrid w:val="0"/>
        <w:spacing w:line="324" w:lineRule="auto"/>
        <w:ind w:firstLine="0" w:firstLineChars="0"/>
        <w:jc w:val="center"/>
        <w:rPr>
          <w:rFonts w:ascii="隶书" w:hAnsi="黑体" w:eastAsia="隶书"/>
        </w:rPr>
      </w:pPr>
      <w:r>
        <w:rPr>
          <w:rFonts w:ascii="隶书" w:hAnsi="黑体" w:eastAsia="隶书"/>
        </w:rPr>
        <w:fldChar w:fldCharType="end"/>
      </w:r>
    </w:p>
    <w:p>
      <w:pPr>
        <w:widowControl w:val="0"/>
        <w:snapToGrid w:val="0"/>
        <w:spacing w:line="324" w:lineRule="auto"/>
        <w:ind w:firstLine="0" w:firstLineChars="0"/>
        <w:jc w:val="center"/>
        <w:rPr>
          <w:rFonts w:eastAsia="方正黑体_GBK"/>
          <w:sz w:val="30"/>
          <w:szCs w:val="30"/>
        </w:rPr>
      </w:pPr>
      <w:r>
        <w:rPr>
          <w:rFonts w:eastAsia="方正黑体_GBK"/>
          <w:sz w:val="30"/>
          <w:szCs w:val="30"/>
        </w:rPr>
        <w:t xml:space="preserve"> </w:t>
      </w:r>
    </w:p>
    <w:p>
      <w:pPr>
        <w:pStyle w:val="19"/>
        <w:tabs>
          <w:tab w:val="right" w:leader="dot" w:pos="8493"/>
        </w:tabs>
        <w:sectPr>
          <w:headerReference r:id="rId11" w:type="default"/>
          <w:footerReference r:id="rId12" w:type="default"/>
          <w:footerReference r:id="rId13" w:type="even"/>
          <w:pgSz w:w="11906" w:h="16838"/>
          <w:pgMar w:top="1701" w:right="1418" w:bottom="1701" w:left="1418" w:header="0" w:footer="0" w:gutter="567"/>
          <w:pgNumType w:fmt="upperRoman" w:start="1"/>
          <w:cols w:space="720" w:num="1"/>
          <w:docGrid w:type="lines" w:linePitch="381" w:charSpace="0"/>
        </w:sectPr>
      </w:pPr>
    </w:p>
    <w:p>
      <w:pPr>
        <w:pStyle w:val="2"/>
        <w:keepNext w:val="0"/>
        <w:keepLines w:val="0"/>
        <w:widowControl w:val="0"/>
        <w:numPr>
          <w:ilvl w:val="0"/>
          <w:numId w:val="0"/>
        </w:numPr>
        <w:spacing w:before="381" w:beforeLines="100" w:after="381" w:line="360" w:lineRule="auto"/>
        <w:rPr>
          <w:rFonts w:ascii="黑体" w:hAnsi="黑体" w:cs="方正小标宋简体"/>
          <w:bCs/>
          <w:szCs w:val="32"/>
        </w:rPr>
      </w:pPr>
      <w:bookmarkStart w:id="9" w:name="_Toc89093757"/>
      <w:bookmarkStart w:id="10" w:name="_Toc118385032"/>
      <w:bookmarkStart w:id="11" w:name="_Toc77779533"/>
      <w:bookmarkStart w:id="12" w:name="_Toc67664669"/>
      <w:bookmarkStart w:id="13" w:name="_Toc75528723"/>
      <w:bookmarkStart w:id="14" w:name="_Toc27305"/>
      <w:bookmarkStart w:id="15" w:name="_Toc57713180"/>
      <w:bookmarkStart w:id="16" w:name="_Toc75793277"/>
      <w:bookmarkStart w:id="17" w:name="_Toc138604362"/>
      <w:bookmarkStart w:id="18" w:name="_Toc138604590"/>
      <w:bookmarkStart w:id="19" w:name="_Toc1579"/>
      <w:r>
        <w:rPr>
          <w:rFonts w:hint="eastAsia" w:ascii="黑体" w:hAnsi="黑体" w:cs="方正小标宋简体"/>
          <w:bCs/>
          <w:szCs w:val="32"/>
        </w:rPr>
        <w:t xml:space="preserve">前 </w:t>
      </w:r>
      <w:r>
        <w:rPr>
          <w:rFonts w:ascii="黑体" w:hAnsi="黑体" w:cs="方正小标宋简体"/>
          <w:bCs/>
          <w:szCs w:val="32"/>
        </w:rPr>
        <w:t xml:space="preserve"> </w:t>
      </w:r>
      <w:r>
        <w:rPr>
          <w:rFonts w:hint="eastAsia" w:ascii="黑体" w:hAnsi="黑体" w:cs="方正小标宋简体"/>
          <w:bCs/>
          <w:szCs w:val="32"/>
        </w:rPr>
        <w:t>言</w:t>
      </w:r>
      <w:bookmarkEnd w:id="9"/>
      <w:bookmarkEnd w:id="10"/>
      <w:bookmarkEnd w:id="11"/>
      <w:bookmarkEnd w:id="12"/>
      <w:bookmarkEnd w:id="13"/>
      <w:bookmarkEnd w:id="14"/>
      <w:bookmarkEnd w:id="15"/>
      <w:bookmarkEnd w:id="16"/>
      <w:bookmarkEnd w:id="17"/>
      <w:bookmarkEnd w:id="18"/>
      <w:bookmarkEnd w:id="19"/>
    </w:p>
    <w:p>
      <w:pPr>
        <w:widowControl w:val="0"/>
        <w:snapToGrid w:val="0"/>
        <w:spacing w:line="560" w:lineRule="exact"/>
        <w:ind w:firstLine="640"/>
        <w:jc w:val="both"/>
        <w:rPr>
          <w:rFonts w:ascii="仿宋" w:hAnsi="仿宋"/>
          <w:sz w:val="32"/>
          <w:szCs w:val="32"/>
          <w:lang w:bidi="ar"/>
        </w:rPr>
      </w:pPr>
      <w:r>
        <w:rPr>
          <w:rFonts w:hint="eastAsia" w:ascii="仿宋" w:hAnsi="仿宋"/>
          <w:sz w:val="32"/>
          <w:szCs w:val="32"/>
          <w:lang w:bidi="ar"/>
        </w:rPr>
        <w:t>建设交通强国是党中央立足国情、着眼全局、面向未来作出的重大战略决策，是建设现代化经济体系的先行领域，是全面建成社会主义现代化强国的重要支撑，是新时代做好交通工作的总抓手；为统筹推进交通强国建设，国</w:t>
      </w:r>
      <w:r>
        <w:rPr>
          <w:rFonts w:ascii="仿宋" w:hAnsi="仿宋"/>
          <w:sz w:val="32"/>
          <w:szCs w:val="32"/>
          <w:lang w:bidi="ar"/>
        </w:rPr>
        <w:t>家层面</w:t>
      </w:r>
      <w:r>
        <w:rPr>
          <w:rFonts w:hint="eastAsia" w:ascii="仿宋" w:hAnsi="仿宋"/>
          <w:sz w:val="32"/>
          <w:szCs w:val="32"/>
          <w:lang w:bidi="ar"/>
        </w:rPr>
        <w:t>制定了《交通强国建设纲要》，</w:t>
      </w:r>
      <w:r>
        <w:rPr>
          <w:rFonts w:ascii="仿宋" w:hAnsi="仿宋"/>
          <w:sz w:val="32"/>
          <w:szCs w:val="32"/>
          <w:lang w:bidi="ar"/>
        </w:rPr>
        <w:t>随之</w:t>
      </w:r>
      <w:r>
        <w:rPr>
          <w:rFonts w:hint="eastAsia" w:ascii="仿宋" w:hAnsi="仿宋"/>
          <w:sz w:val="32"/>
          <w:szCs w:val="32"/>
          <w:lang w:bidi="ar"/>
        </w:rPr>
        <w:t>编制</w:t>
      </w:r>
      <w:r>
        <w:rPr>
          <w:rFonts w:ascii="仿宋" w:hAnsi="仿宋"/>
          <w:sz w:val="32"/>
          <w:szCs w:val="32"/>
          <w:lang w:bidi="ar"/>
        </w:rPr>
        <w:t>了</w:t>
      </w:r>
      <w:r>
        <w:rPr>
          <w:rFonts w:hint="eastAsia" w:ascii="仿宋" w:hAnsi="仿宋"/>
          <w:sz w:val="32"/>
          <w:szCs w:val="32"/>
          <w:lang w:bidi="ar"/>
        </w:rPr>
        <w:t>《国家综合立体交通网规划纲要》，</w:t>
      </w:r>
      <w:r>
        <w:rPr>
          <w:rFonts w:ascii="仿宋" w:hAnsi="仿宋"/>
          <w:sz w:val="32"/>
          <w:szCs w:val="32"/>
          <w:lang w:bidi="ar"/>
        </w:rPr>
        <w:t>支撑现代化经济体系和社会主义现代化强国建设。</w:t>
      </w:r>
    </w:p>
    <w:p>
      <w:pPr>
        <w:widowControl w:val="0"/>
        <w:snapToGrid w:val="0"/>
        <w:spacing w:line="560" w:lineRule="exact"/>
        <w:ind w:firstLine="640"/>
        <w:jc w:val="both"/>
        <w:rPr>
          <w:rFonts w:ascii="仿宋" w:hAnsi="仿宋"/>
          <w:sz w:val="32"/>
          <w:szCs w:val="32"/>
          <w:lang w:bidi="ar"/>
        </w:rPr>
      </w:pPr>
      <w:r>
        <w:rPr>
          <w:rFonts w:hint="eastAsia" w:ascii="仿宋" w:hAnsi="仿宋"/>
          <w:sz w:val="32"/>
          <w:szCs w:val="32"/>
          <w:lang w:bidi="ar"/>
        </w:rPr>
        <w:t>交通</w:t>
      </w:r>
      <w:r>
        <w:rPr>
          <w:rFonts w:ascii="仿宋" w:hAnsi="仿宋"/>
          <w:sz w:val="32"/>
          <w:szCs w:val="32"/>
          <w:lang w:bidi="ar"/>
        </w:rPr>
        <w:t>强国作为</w:t>
      </w:r>
      <w:r>
        <w:rPr>
          <w:rFonts w:hint="eastAsia" w:ascii="仿宋" w:hAnsi="仿宋"/>
          <w:sz w:val="32"/>
          <w:szCs w:val="32"/>
          <w:lang w:bidi="ar"/>
        </w:rPr>
        <w:t>宏观</w:t>
      </w:r>
      <w:r>
        <w:rPr>
          <w:rFonts w:ascii="仿宋" w:hAnsi="仿宋"/>
          <w:sz w:val="32"/>
          <w:szCs w:val="32"/>
          <w:lang w:bidi="ar"/>
        </w:rPr>
        <w:t>战略，综合立体交通网</w:t>
      </w:r>
      <w:r>
        <w:rPr>
          <w:rFonts w:hint="eastAsia" w:ascii="仿宋" w:hAnsi="仿宋"/>
          <w:sz w:val="32"/>
          <w:szCs w:val="32"/>
          <w:lang w:bidi="ar"/>
        </w:rPr>
        <w:t>作</w:t>
      </w:r>
      <w:r>
        <w:rPr>
          <w:rFonts w:ascii="仿宋" w:hAnsi="仿宋"/>
          <w:sz w:val="32"/>
          <w:szCs w:val="32"/>
          <w:lang w:bidi="ar"/>
        </w:rPr>
        <w:t>为空间规划，</w:t>
      </w:r>
      <w:r>
        <w:rPr>
          <w:rFonts w:hint="eastAsia" w:ascii="仿宋" w:hAnsi="仿宋"/>
          <w:sz w:val="32"/>
          <w:szCs w:val="32"/>
          <w:lang w:bidi="ar"/>
        </w:rPr>
        <w:t>从</w:t>
      </w:r>
      <w:r>
        <w:rPr>
          <w:rFonts w:ascii="仿宋" w:hAnsi="仿宋"/>
          <w:sz w:val="32"/>
          <w:szCs w:val="32"/>
          <w:lang w:bidi="ar"/>
        </w:rPr>
        <w:t>国家至地市自上而下</w:t>
      </w:r>
      <w:r>
        <w:rPr>
          <w:rFonts w:hint="eastAsia" w:ascii="仿宋" w:hAnsi="仿宋"/>
          <w:sz w:val="32"/>
          <w:szCs w:val="32"/>
          <w:lang w:bidi="ar"/>
        </w:rPr>
        <w:t>传导</w:t>
      </w:r>
      <w:r>
        <w:rPr>
          <w:rFonts w:ascii="仿宋" w:hAnsi="仿宋"/>
          <w:sz w:val="32"/>
          <w:szCs w:val="32"/>
          <w:lang w:bidi="ar"/>
        </w:rPr>
        <w:t>，自下而上深化</w:t>
      </w:r>
      <w:r>
        <w:rPr>
          <w:rFonts w:hint="eastAsia" w:ascii="仿宋" w:hAnsi="仿宋"/>
          <w:sz w:val="32"/>
          <w:szCs w:val="32"/>
          <w:lang w:bidi="ar"/>
        </w:rPr>
        <w:t>，</w:t>
      </w:r>
      <w:r>
        <w:rPr>
          <w:rFonts w:ascii="仿宋" w:hAnsi="仿宋"/>
          <w:sz w:val="32"/>
          <w:szCs w:val="32"/>
          <w:lang w:bidi="ar"/>
        </w:rPr>
        <w:t>形成</w:t>
      </w:r>
      <w:r>
        <w:rPr>
          <w:rFonts w:hint="eastAsia" w:ascii="仿宋" w:hAnsi="仿宋"/>
          <w:sz w:val="32"/>
          <w:szCs w:val="32"/>
          <w:lang w:bidi="ar"/>
        </w:rPr>
        <w:t>深度</w:t>
      </w:r>
      <w:r>
        <w:rPr>
          <w:rFonts w:ascii="仿宋" w:hAnsi="仿宋"/>
          <w:sz w:val="32"/>
          <w:szCs w:val="32"/>
          <w:lang w:bidi="ar"/>
        </w:rPr>
        <w:t>和广度</w:t>
      </w:r>
      <w:r>
        <w:rPr>
          <w:rFonts w:hint="eastAsia" w:ascii="仿宋" w:hAnsi="仿宋"/>
          <w:sz w:val="32"/>
          <w:szCs w:val="32"/>
          <w:lang w:bidi="ar"/>
        </w:rPr>
        <w:t>融</w:t>
      </w:r>
      <w:r>
        <w:rPr>
          <w:rFonts w:ascii="仿宋" w:hAnsi="仿宋"/>
          <w:sz w:val="32"/>
          <w:szCs w:val="32"/>
          <w:lang w:bidi="ar"/>
        </w:rPr>
        <w:t>合的有机整体</w:t>
      </w:r>
      <w:r>
        <w:rPr>
          <w:rFonts w:hint="eastAsia" w:ascii="仿宋" w:hAnsi="仿宋"/>
          <w:sz w:val="32"/>
          <w:szCs w:val="32"/>
          <w:lang w:bidi="ar"/>
        </w:rPr>
        <w:t>，</w:t>
      </w:r>
      <w:r>
        <w:rPr>
          <w:rFonts w:ascii="仿宋" w:hAnsi="仿宋"/>
          <w:sz w:val="32"/>
          <w:szCs w:val="32"/>
          <w:lang w:bidi="ar"/>
        </w:rPr>
        <w:t>基于此</w:t>
      </w:r>
      <w:r>
        <w:rPr>
          <w:rFonts w:hint="eastAsia" w:ascii="仿宋" w:hAnsi="仿宋"/>
          <w:sz w:val="32"/>
          <w:szCs w:val="32"/>
          <w:lang w:bidi="ar"/>
        </w:rPr>
        <w:t>广东省交通运输厅印发了《关于各地市开展综合立体交通网规划编制工作的指导意见》。</w:t>
      </w:r>
      <w:r>
        <w:rPr>
          <w:rFonts w:ascii="仿宋" w:hAnsi="仿宋"/>
          <w:sz w:val="32"/>
          <w:szCs w:val="32"/>
          <w:lang w:bidi="ar"/>
        </w:rPr>
        <w:t>与</w:t>
      </w:r>
      <w:r>
        <w:rPr>
          <w:rFonts w:hint="eastAsia" w:ascii="仿宋" w:hAnsi="仿宋"/>
          <w:sz w:val="32"/>
          <w:szCs w:val="32"/>
          <w:lang w:bidi="ar"/>
        </w:rPr>
        <w:t>此</w:t>
      </w:r>
      <w:r>
        <w:rPr>
          <w:rFonts w:ascii="仿宋" w:hAnsi="仿宋"/>
          <w:sz w:val="32"/>
          <w:szCs w:val="32"/>
          <w:lang w:bidi="ar"/>
        </w:rPr>
        <w:t>同时，</w:t>
      </w:r>
      <w:r>
        <w:rPr>
          <w:rFonts w:hint="eastAsia" w:ascii="仿宋" w:hAnsi="仿宋"/>
          <w:sz w:val="32"/>
          <w:szCs w:val="32"/>
          <w:lang w:bidi="ar"/>
        </w:rPr>
        <w:t>韶</w:t>
      </w:r>
      <w:r>
        <w:rPr>
          <w:rFonts w:ascii="仿宋" w:hAnsi="仿宋"/>
          <w:sz w:val="32"/>
          <w:szCs w:val="32"/>
          <w:lang w:bidi="ar"/>
        </w:rPr>
        <w:t>关市</w:t>
      </w:r>
      <w:r>
        <w:rPr>
          <w:rFonts w:hint="eastAsia" w:ascii="仿宋" w:hAnsi="仿宋"/>
          <w:sz w:val="32"/>
          <w:szCs w:val="32"/>
          <w:lang w:bidi="ar"/>
        </w:rPr>
        <w:t>经</w:t>
      </w:r>
      <w:r>
        <w:rPr>
          <w:rFonts w:ascii="仿宋" w:hAnsi="仿宋"/>
          <w:sz w:val="32"/>
          <w:szCs w:val="32"/>
          <w:lang w:bidi="ar"/>
        </w:rPr>
        <w:t>济社会</w:t>
      </w:r>
      <w:r>
        <w:rPr>
          <w:rFonts w:hint="eastAsia" w:ascii="仿宋" w:hAnsi="仿宋"/>
          <w:sz w:val="32"/>
          <w:szCs w:val="32"/>
          <w:lang w:bidi="ar"/>
        </w:rPr>
        <w:t>正迈</w:t>
      </w:r>
      <w:r>
        <w:rPr>
          <w:rFonts w:ascii="仿宋" w:hAnsi="仿宋"/>
          <w:sz w:val="32"/>
          <w:szCs w:val="32"/>
          <w:lang w:bidi="ar"/>
        </w:rPr>
        <w:t>入</w:t>
      </w:r>
      <w:r>
        <w:rPr>
          <w:rFonts w:hint="eastAsia" w:ascii="仿宋" w:hAnsi="仿宋"/>
          <w:sz w:val="32"/>
          <w:szCs w:val="32"/>
          <w:lang w:bidi="ar"/>
        </w:rPr>
        <w:t>新发</w:t>
      </w:r>
      <w:r>
        <w:rPr>
          <w:rFonts w:ascii="仿宋" w:hAnsi="仿宋"/>
          <w:sz w:val="32"/>
          <w:szCs w:val="32"/>
          <w:lang w:bidi="ar"/>
        </w:rPr>
        <w:t>展格</w:t>
      </w:r>
      <w:r>
        <w:rPr>
          <w:rFonts w:hint="eastAsia" w:ascii="仿宋" w:hAnsi="仿宋"/>
          <w:sz w:val="32"/>
          <w:szCs w:val="32"/>
          <w:lang w:bidi="ar"/>
        </w:rPr>
        <w:t>局</w:t>
      </w:r>
      <w:r>
        <w:rPr>
          <w:rFonts w:ascii="仿宋" w:hAnsi="仿宋"/>
          <w:sz w:val="32"/>
          <w:szCs w:val="32"/>
          <w:lang w:bidi="ar"/>
        </w:rPr>
        <w:t>的关键期，</w:t>
      </w:r>
      <w:r>
        <w:rPr>
          <w:rFonts w:hint="eastAsia" w:ascii="仿宋" w:hAnsi="仿宋"/>
          <w:sz w:val="32"/>
          <w:szCs w:val="32"/>
          <w:lang w:bidi="ar"/>
        </w:rPr>
        <w:t>交通</w:t>
      </w:r>
      <w:r>
        <w:rPr>
          <w:rFonts w:ascii="仿宋" w:hAnsi="仿宋"/>
          <w:sz w:val="32"/>
          <w:szCs w:val="32"/>
          <w:lang w:bidi="ar"/>
        </w:rPr>
        <w:t>运输也进入</w:t>
      </w:r>
      <w:r>
        <w:rPr>
          <w:rFonts w:hint="eastAsia" w:ascii="仿宋" w:hAnsi="仿宋"/>
          <w:sz w:val="32"/>
          <w:szCs w:val="32"/>
          <w:lang w:bidi="ar"/>
        </w:rPr>
        <w:t>高</w:t>
      </w:r>
      <w:r>
        <w:rPr>
          <w:rFonts w:ascii="仿宋" w:hAnsi="仿宋"/>
          <w:sz w:val="32"/>
          <w:szCs w:val="32"/>
          <w:lang w:bidi="ar"/>
        </w:rPr>
        <w:t>质量发展的转型期，</w:t>
      </w:r>
      <w:r>
        <w:rPr>
          <w:rFonts w:hint="eastAsia" w:ascii="仿宋" w:hAnsi="仿宋"/>
          <w:sz w:val="32"/>
          <w:szCs w:val="32"/>
          <w:lang w:bidi="ar"/>
        </w:rPr>
        <w:t>编制《韶关市综合立体交通网规划》，对积极</w:t>
      </w:r>
      <w:r>
        <w:rPr>
          <w:rFonts w:ascii="仿宋" w:hAnsi="仿宋"/>
          <w:sz w:val="32"/>
          <w:szCs w:val="32"/>
          <w:lang w:bidi="ar"/>
        </w:rPr>
        <w:t>推</w:t>
      </w:r>
      <w:r>
        <w:rPr>
          <w:rFonts w:hint="eastAsia" w:ascii="仿宋" w:hAnsi="仿宋"/>
          <w:sz w:val="32"/>
          <w:szCs w:val="32"/>
          <w:lang w:bidi="ar"/>
        </w:rPr>
        <w:t>进区</w:t>
      </w:r>
      <w:r>
        <w:rPr>
          <w:rFonts w:ascii="仿宋" w:hAnsi="仿宋"/>
          <w:sz w:val="32"/>
          <w:szCs w:val="32"/>
          <w:lang w:bidi="ar"/>
        </w:rPr>
        <w:t>域性</w:t>
      </w:r>
      <w:r>
        <w:rPr>
          <w:rFonts w:hint="eastAsia" w:ascii="仿宋" w:hAnsi="仿宋"/>
          <w:sz w:val="32"/>
          <w:szCs w:val="32"/>
          <w:lang w:bidi="ar"/>
        </w:rPr>
        <w:t>交通</w:t>
      </w:r>
      <w:r>
        <w:rPr>
          <w:rFonts w:ascii="仿宋" w:hAnsi="仿宋"/>
          <w:sz w:val="32"/>
          <w:szCs w:val="32"/>
          <w:lang w:bidi="ar"/>
        </w:rPr>
        <w:t>枢纽</w:t>
      </w:r>
      <w:r>
        <w:rPr>
          <w:rFonts w:hint="eastAsia" w:ascii="仿宋" w:hAnsi="仿宋"/>
          <w:sz w:val="32"/>
          <w:szCs w:val="32"/>
          <w:lang w:bidi="ar"/>
        </w:rPr>
        <w:t>建设具</w:t>
      </w:r>
      <w:r>
        <w:rPr>
          <w:rFonts w:ascii="仿宋" w:hAnsi="仿宋"/>
          <w:sz w:val="32"/>
          <w:szCs w:val="32"/>
          <w:lang w:bidi="ar"/>
        </w:rPr>
        <w:t>有重要意义。</w:t>
      </w:r>
    </w:p>
    <w:p>
      <w:pPr>
        <w:widowControl w:val="0"/>
        <w:snapToGrid w:val="0"/>
        <w:spacing w:line="560" w:lineRule="exact"/>
        <w:ind w:firstLine="640"/>
        <w:jc w:val="both"/>
        <w:rPr>
          <w:rFonts w:ascii="仿宋" w:hAnsi="仿宋"/>
          <w:sz w:val="32"/>
          <w:szCs w:val="32"/>
          <w:lang w:bidi="ar"/>
        </w:rPr>
      </w:pPr>
      <w:r>
        <w:rPr>
          <w:rFonts w:hint="eastAsia" w:ascii="仿宋" w:hAnsi="仿宋"/>
          <w:sz w:val="32"/>
          <w:szCs w:val="32"/>
          <w:lang w:bidi="ar"/>
        </w:rPr>
        <w:t>“善谋者胜，远谋者兴”。韶</w:t>
      </w:r>
      <w:r>
        <w:rPr>
          <w:rFonts w:ascii="仿宋" w:hAnsi="仿宋"/>
          <w:sz w:val="32"/>
          <w:szCs w:val="32"/>
          <w:lang w:bidi="ar"/>
        </w:rPr>
        <w:t>关特有的人文精神</w:t>
      </w:r>
      <w:r>
        <w:rPr>
          <w:rFonts w:hint="eastAsia" w:ascii="仿宋" w:hAnsi="仿宋"/>
          <w:sz w:val="32"/>
          <w:szCs w:val="32"/>
          <w:lang w:bidi="ar"/>
        </w:rPr>
        <w:t>为实</w:t>
      </w:r>
      <w:r>
        <w:rPr>
          <w:rFonts w:ascii="仿宋" w:hAnsi="仿宋"/>
          <w:sz w:val="32"/>
          <w:szCs w:val="32"/>
          <w:lang w:bidi="ar"/>
        </w:rPr>
        <w:t>现其历史上枢纽地位的伟大复兴提供了</w:t>
      </w:r>
      <w:r>
        <w:rPr>
          <w:rFonts w:hint="eastAsia" w:ascii="仿宋" w:hAnsi="仿宋"/>
          <w:sz w:val="32"/>
          <w:szCs w:val="32"/>
          <w:lang w:bidi="ar"/>
        </w:rPr>
        <w:t>绵绵不绝</w:t>
      </w:r>
      <w:r>
        <w:rPr>
          <w:rFonts w:ascii="仿宋" w:hAnsi="仿宋"/>
          <w:sz w:val="32"/>
          <w:szCs w:val="32"/>
          <w:lang w:bidi="ar"/>
        </w:rPr>
        <w:t>的动力</w:t>
      </w:r>
      <w:r>
        <w:rPr>
          <w:rFonts w:hint="eastAsia" w:ascii="仿宋" w:hAnsi="仿宋"/>
          <w:sz w:val="32"/>
          <w:szCs w:val="32"/>
          <w:lang w:bidi="ar"/>
        </w:rPr>
        <w:t>，交通</w:t>
      </w:r>
      <w:r>
        <w:rPr>
          <w:rFonts w:ascii="仿宋" w:hAnsi="仿宋"/>
          <w:sz w:val="32"/>
          <w:szCs w:val="32"/>
          <w:lang w:bidi="ar"/>
        </w:rPr>
        <w:t>强国、交通强省战略</w:t>
      </w:r>
      <w:r>
        <w:rPr>
          <w:rFonts w:hint="eastAsia" w:ascii="仿宋" w:hAnsi="仿宋"/>
          <w:sz w:val="32"/>
          <w:szCs w:val="32"/>
          <w:lang w:bidi="ar"/>
        </w:rPr>
        <w:t>又</w:t>
      </w:r>
      <w:r>
        <w:rPr>
          <w:rFonts w:ascii="仿宋" w:hAnsi="仿宋"/>
          <w:sz w:val="32"/>
          <w:szCs w:val="32"/>
          <w:lang w:bidi="ar"/>
        </w:rPr>
        <w:t>为其</w:t>
      </w:r>
      <w:r>
        <w:rPr>
          <w:rFonts w:hint="eastAsia" w:ascii="仿宋" w:hAnsi="仿宋"/>
          <w:sz w:val="32"/>
          <w:szCs w:val="32"/>
          <w:lang w:bidi="ar"/>
        </w:rPr>
        <w:t>提</w:t>
      </w:r>
      <w:r>
        <w:rPr>
          <w:rFonts w:ascii="仿宋" w:hAnsi="仿宋"/>
          <w:sz w:val="32"/>
          <w:szCs w:val="32"/>
          <w:lang w:bidi="ar"/>
        </w:rPr>
        <w:t>供</w:t>
      </w:r>
      <w:r>
        <w:rPr>
          <w:rFonts w:hint="eastAsia" w:ascii="仿宋" w:hAnsi="仿宋"/>
          <w:sz w:val="32"/>
          <w:szCs w:val="32"/>
          <w:lang w:bidi="ar"/>
        </w:rPr>
        <w:t>了千载难逢的</w:t>
      </w:r>
      <w:r>
        <w:rPr>
          <w:rFonts w:ascii="仿宋" w:hAnsi="仿宋"/>
          <w:sz w:val="32"/>
          <w:szCs w:val="32"/>
          <w:lang w:bidi="ar"/>
        </w:rPr>
        <w:t>机遇</w:t>
      </w:r>
      <w:r>
        <w:rPr>
          <w:rFonts w:hint="eastAsia" w:ascii="仿宋" w:hAnsi="仿宋"/>
          <w:sz w:val="32"/>
          <w:szCs w:val="32"/>
          <w:lang w:bidi="ar"/>
        </w:rPr>
        <w:t>。经济发展新常态多重背景下，韶</w:t>
      </w:r>
      <w:r>
        <w:rPr>
          <w:rFonts w:ascii="仿宋" w:hAnsi="仿宋"/>
          <w:sz w:val="32"/>
          <w:szCs w:val="32"/>
          <w:lang w:bidi="ar"/>
        </w:rPr>
        <w:t>关交通枢纽地位的“</w:t>
      </w:r>
      <w:r>
        <w:rPr>
          <w:rFonts w:hint="eastAsia" w:ascii="仿宋" w:hAnsi="仿宋"/>
          <w:sz w:val="32"/>
          <w:szCs w:val="32"/>
          <w:lang w:bidi="ar"/>
        </w:rPr>
        <w:t>复</w:t>
      </w:r>
      <w:r>
        <w:rPr>
          <w:rFonts w:ascii="仿宋" w:hAnsi="仿宋"/>
          <w:sz w:val="32"/>
          <w:szCs w:val="32"/>
          <w:lang w:bidi="ar"/>
        </w:rPr>
        <w:t>兴”</w:t>
      </w:r>
      <w:r>
        <w:rPr>
          <w:rFonts w:hint="eastAsia" w:ascii="仿宋" w:hAnsi="仿宋"/>
          <w:sz w:val="32"/>
          <w:szCs w:val="32"/>
          <w:lang w:bidi="ar"/>
        </w:rPr>
        <w:t>，需立定</w:t>
      </w:r>
      <w:r>
        <w:rPr>
          <w:rFonts w:ascii="仿宋" w:hAnsi="仿宋"/>
          <w:sz w:val="32"/>
          <w:szCs w:val="32"/>
          <w:lang w:bidi="ar"/>
        </w:rPr>
        <w:t>大视</w:t>
      </w:r>
      <w:r>
        <w:rPr>
          <w:rFonts w:hint="eastAsia" w:ascii="仿宋" w:hAnsi="仿宋"/>
          <w:sz w:val="32"/>
          <w:szCs w:val="32"/>
          <w:lang w:bidi="ar"/>
        </w:rPr>
        <w:t>角谋</w:t>
      </w:r>
      <w:r>
        <w:rPr>
          <w:rFonts w:ascii="仿宋" w:hAnsi="仿宋"/>
          <w:sz w:val="32"/>
          <w:szCs w:val="32"/>
          <w:lang w:bidi="ar"/>
        </w:rPr>
        <w:t>划大网络</w:t>
      </w:r>
      <w:r>
        <w:rPr>
          <w:rFonts w:hint="eastAsia" w:ascii="仿宋" w:hAnsi="仿宋"/>
          <w:sz w:val="32"/>
          <w:szCs w:val="32"/>
          <w:lang w:bidi="ar"/>
        </w:rPr>
        <w:t>，从</w:t>
      </w:r>
      <w:r>
        <w:rPr>
          <w:rFonts w:ascii="仿宋" w:hAnsi="仿宋"/>
          <w:sz w:val="32"/>
          <w:szCs w:val="32"/>
          <w:lang w:bidi="ar"/>
        </w:rPr>
        <w:t>单一通道</w:t>
      </w:r>
      <w:r>
        <w:rPr>
          <w:rFonts w:hint="eastAsia" w:ascii="仿宋" w:hAnsi="仿宋"/>
          <w:sz w:val="32"/>
          <w:szCs w:val="32"/>
          <w:lang w:bidi="ar"/>
        </w:rPr>
        <w:t>主要</w:t>
      </w:r>
      <w:r>
        <w:rPr>
          <w:rFonts w:ascii="仿宋" w:hAnsi="仿宋"/>
          <w:sz w:val="32"/>
          <w:szCs w:val="32"/>
          <w:lang w:bidi="ar"/>
        </w:rPr>
        <w:t>节点向</w:t>
      </w:r>
      <w:r>
        <w:rPr>
          <w:rFonts w:hint="eastAsia" w:ascii="仿宋" w:hAnsi="仿宋"/>
          <w:sz w:val="32"/>
          <w:szCs w:val="32"/>
          <w:lang w:bidi="ar"/>
        </w:rPr>
        <w:t>复</w:t>
      </w:r>
      <w:r>
        <w:rPr>
          <w:rFonts w:ascii="仿宋" w:hAnsi="仿宋"/>
          <w:sz w:val="32"/>
          <w:szCs w:val="32"/>
          <w:lang w:bidi="ar"/>
        </w:rPr>
        <w:t>合通道</w:t>
      </w:r>
      <w:r>
        <w:rPr>
          <w:rFonts w:hint="eastAsia" w:ascii="仿宋" w:hAnsi="仿宋"/>
          <w:sz w:val="32"/>
          <w:szCs w:val="32"/>
          <w:lang w:bidi="ar"/>
        </w:rPr>
        <w:t>重要</w:t>
      </w:r>
      <w:r>
        <w:rPr>
          <w:rFonts w:ascii="仿宋" w:hAnsi="仿宋"/>
          <w:sz w:val="32"/>
          <w:szCs w:val="32"/>
          <w:lang w:bidi="ar"/>
        </w:rPr>
        <w:t>交</w:t>
      </w:r>
      <w:r>
        <w:rPr>
          <w:rFonts w:hint="eastAsia" w:ascii="仿宋" w:hAnsi="仿宋"/>
          <w:sz w:val="32"/>
          <w:szCs w:val="32"/>
          <w:lang w:bidi="ar"/>
        </w:rPr>
        <w:t>点</w:t>
      </w:r>
      <w:r>
        <w:rPr>
          <w:rFonts w:ascii="仿宋" w:hAnsi="仿宋"/>
          <w:sz w:val="32"/>
          <w:szCs w:val="32"/>
          <w:lang w:bidi="ar"/>
        </w:rPr>
        <w:t>转变</w:t>
      </w:r>
      <w:r>
        <w:rPr>
          <w:rFonts w:hint="eastAsia" w:ascii="仿宋" w:hAnsi="仿宋"/>
          <w:sz w:val="32"/>
          <w:szCs w:val="32"/>
          <w:lang w:bidi="ar"/>
        </w:rPr>
        <w:t>，更</w:t>
      </w:r>
      <w:r>
        <w:rPr>
          <w:rFonts w:ascii="仿宋" w:hAnsi="仿宋"/>
          <w:sz w:val="32"/>
          <w:szCs w:val="32"/>
          <w:lang w:bidi="ar"/>
        </w:rPr>
        <w:t>应着眼</w:t>
      </w:r>
      <w:r>
        <w:rPr>
          <w:rFonts w:hint="eastAsia" w:ascii="仿宋" w:hAnsi="仿宋"/>
          <w:sz w:val="32"/>
          <w:szCs w:val="32"/>
          <w:lang w:bidi="ar"/>
        </w:rPr>
        <w:t>大</w:t>
      </w:r>
      <w:r>
        <w:rPr>
          <w:rFonts w:ascii="仿宋" w:hAnsi="仿宋"/>
          <w:sz w:val="32"/>
          <w:szCs w:val="32"/>
          <w:lang w:bidi="ar"/>
        </w:rPr>
        <w:t>交通</w:t>
      </w:r>
      <w:r>
        <w:rPr>
          <w:rFonts w:hint="eastAsia" w:ascii="仿宋" w:hAnsi="仿宋"/>
          <w:sz w:val="32"/>
          <w:szCs w:val="32"/>
          <w:lang w:bidi="ar"/>
        </w:rPr>
        <w:t>聚</w:t>
      </w:r>
      <w:r>
        <w:rPr>
          <w:rFonts w:ascii="仿宋" w:hAnsi="仿宋"/>
          <w:sz w:val="32"/>
          <w:szCs w:val="32"/>
          <w:lang w:bidi="ar"/>
        </w:rPr>
        <w:t>焦高质量，</w:t>
      </w:r>
      <w:r>
        <w:rPr>
          <w:rFonts w:hint="eastAsia" w:ascii="仿宋" w:hAnsi="仿宋"/>
          <w:sz w:val="32"/>
          <w:szCs w:val="32"/>
          <w:lang w:bidi="ar"/>
        </w:rPr>
        <w:t>从单一</w:t>
      </w:r>
      <w:r>
        <w:rPr>
          <w:rFonts w:ascii="仿宋" w:hAnsi="仿宋"/>
          <w:sz w:val="32"/>
          <w:szCs w:val="32"/>
          <w:lang w:bidi="ar"/>
        </w:rPr>
        <w:t>的</w:t>
      </w:r>
      <w:r>
        <w:rPr>
          <w:rFonts w:hint="eastAsia" w:ascii="仿宋" w:hAnsi="仿宋"/>
          <w:sz w:val="32"/>
          <w:szCs w:val="32"/>
          <w:lang w:bidi="ar"/>
        </w:rPr>
        <w:t>网络</w:t>
      </w:r>
      <w:r>
        <w:rPr>
          <w:rFonts w:ascii="仿宋" w:hAnsi="仿宋"/>
          <w:sz w:val="32"/>
          <w:szCs w:val="32"/>
          <w:lang w:bidi="ar"/>
        </w:rPr>
        <w:t>供给侧能力提</w:t>
      </w:r>
      <w:r>
        <w:rPr>
          <w:rFonts w:hint="eastAsia" w:ascii="仿宋" w:hAnsi="仿宋"/>
          <w:sz w:val="32"/>
          <w:szCs w:val="32"/>
          <w:lang w:bidi="ar"/>
        </w:rPr>
        <w:t>升</w:t>
      </w:r>
      <w:r>
        <w:rPr>
          <w:rFonts w:ascii="仿宋" w:hAnsi="仿宋"/>
          <w:sz w:val="32"/>
          <w:szCs w:val="32"/>
          <w:lang w:bidi="ar"/>
        </w:rPr>
        <w:t>向</w:t>
      </w:r>
      <w:r>
        <w:rPr>
          <w:rFonts w:hint="eastAsia" w:ascii="仿宋" w:hAnsi="仿宋"/>
          <w:sz w:val="32"/>
          <w:szCs w:val="32"/>
          <w:lang w:bidi="ar"/>
        </w:rPr>
        <w:t>枢</w:t>
      </w:r>
      <w:r>
        <w:rPr>
          <w:rFonts w:ascii="仿宋" w:hAnsi="仿宋"/>
          <w:sz w:val="32"/>
          <w:szCs w:val="32"/>
          <w:lang w:bidi="ar"/>
        </w:rPr>
        <w:t>纽能级提升、</w:t>
      </w:r>
      <w:r>
        <w:rPr>
          <w:rFonts w:hint="eastAsia" w:ascii="仿宋" w:hAnsi="仿宋"/>
          <w:sz w:val="32"/>
          <w:szCs w:val="32"/>
          <w:lang w:bidi="ar"/>
        </w:rPr>
        <w:t>“交通+</w:t>
      </w:r>
      <w:r>
        <w:rPr>
          <w:rFonts w:ascii="仿宋" w:hAnsi="仿宋"/>
          <w:sz w:val="32"/>
          <w:szCs w:val="32"/>
          <w:lang w:bidi="ar"/>
        </w:rPr>
        <w:t>”</w:t>
      </w:r>
      <w:r>
        <w:rPr>
          <w:rFonts w:hint="eastAsia" w:ascii="仿宋" w:hAnsi="仿宋"/>
          <w:sz w:val="32"/>
          <w:szCs w:val="32"/>
          <w:lang w:bidi="ar"/>
        </w:rPr>
        <w:t>等转</w:t>
      </w:r>
      <w:r>
        <w:rPr>
          <w:rFonts w:ascii="仿宋" w:hAnsi="仿宋"/>
          <w:sz w:val="32"/>
          <w:szCs w:val="32"/>
          <w:lang w:bidi="ar"/>
        </w:rPr>
        <w:t>变，</w:t>
      </w:r>
      <w:r>
        <w:rPr>
          <w:rFonts w:hint="eastAsia" w:ascii="仿宋" w:hAnsi="仿宋"/>
          <w:sz w:val="32"/>
          <w:szCs w:val="32"/>
          <w:lang w:bidi="ar"/>
        </w:rPr>
        <w:t>延展“枢</w:t>
      </w:r>
      <w:r>
        <w:rPr>
          <w:rFonts w:ascii="仿宋" w:hAnsi="仿宋"/>
          <w:sz w:val="32"/>
          <w:szCs w:val="32"/>
          <w:lang w:bidi="ar"/>
        </w:rPr>
        <w:t>纽”</w:t>
      </w:r>
      <w:r>
        <w:rPr>
          <w:rFonts w:hint="eastAsia" w:ascii="仿宋" w:hAnsi="仿宋"/>
          <w:sz w:val="32"/>
          <w:szCs w:val="32"/>
          <w:lang w:bidi="ar"/>
        </w:rPr>
        <w:t>新</w:t>
      </w:r>
      <w:r>
        <w:rPr>
          <w:rFonts w:ascii="仿宋" w:hAnsi="仿宋"/>
          <w:sz w:val="32"/>
          <w:szCs w:val="32"/>
          <w:lang w:bidi="ar"/>
        </w:rPr>
        <w:t>内涵</w:t>
      </w:r>
      <w:r>
        <w:rPr>
          <w:rFonts w:hint="eastAsia" w:ascii="仿宋" w:hAnsi="仿宋"/>
          <w:sz w:val="32"/>
          <w:szCs w:val="32"/>
          <w:lang w:bidi="ar"/>
        </w:rPr>
        <w:t>，</w:t>
      </w:r>
      <w:r>
        <w:rPr>
          <w:rFonts w:ascii="仿宋" w:hAnsi="仿宋"/>
          <w:sz w:val="32"/>
          <w:szCs w:val="32"/>
          <w:lang w:bidi="ar"/>
        </w:rPr>
        <w:t>赋予</w:t>
      </w:r>
      <w:r>
        <w:rPr>
          <w:rFonts w:hint="eastAsia" w:ascii="仿宋" w:hAnsi="仿宋"/>
          <w:sz w:val="32"/>
          <w:szCs w:val="32"/>
          <w:lang w:bidi="ar"/>
        </w:rPr>
        <w:t>发</w:t>
      </w:r>
      <w:r>
        <w:rPr>
          <w:rFonts w:ascii="仿宋" w:hAnsi="仿宋"/>
          <w:sz w:val="32"/>
          <w:szCs w:val="32"/>
          <w:lang w:bidi="ar"/>
        </w:rPr>
        <w:t>展新动能</w:t>
      </w:r>
      <w:r>
        <w:rPr>
          <w:rFonts w:hint="eastAsia" w:ascii="仿宋" w:hAnsi="仿宋"/>
          <w:sz w:val="32"/>
          <w:szCs w:val="32"/>
          <w:lang w:bidi="ar"/>
        </w:rPr>
        <w:t>。</w:t>
      </w:r>
    </w:p>
    <w:p>
      <w:pPr>
        <w:widowControl w:val="0"/>
        <w:snapToGrid w:val="0"/>
        <w:spacing w:line="560" w:lineRule="exact"/>
        <w:ind w:firstLine="640"/>
        <w:jc w:val="both"/>
        <w:rPr>
          <w:rFonts w:ascii="仿宋" w:hAnsi="仿宋"/>
          <w:sz w:val="32"/>
          <w:szCs w:val="32"/>
          <w:lang w:bidi="ar"/>
        </w:rPr>
      </w:pPr>
      <w:bookmarkStart w:id="20" w:name="_Hlk118206866"/>
      <w:r>
        <w:rPr>
          <w:rFonts w:hint="eastAsia" w:ascii="仿宋" w:hAnsi="仿宋"/>
          <w:sz w:val="32"/>
          <w:szCs w:val="32"/>
          <w:lang w:bidi="ar"/>
        </w:rPr>
        <w:t>本次规划范围为韶关市全域，涵盖铁路、公路、水运、民航、管道和邮政，以及未来可能出现的新型交通运输方式，研究内容以区域交通为重点，协调衔接城市内部交通。规划期限为2</w:t>
      </w:r>
      <w:r>
        <w:rPr>
          <w:rFonts w:ascii="仿宋" w:hAnsi="仿宋"/>
          <w:sz w:val="32"/>
          <w:szCs w:val="32"/>
          <w:lang w:bidi="ar"/>
        </w:rPr>
        <w:t>021</w:t>
      </w:r>
      <w:r>
        <w:rPr>
          <w:rFonts w:hint="eastAsia" w:ascii="仿宋" w:hAnsi="仿宋"/>
          <w:sz w:val="32"/>
          <w:szCs w:val="32"/>
          <w:lang w:bidi="ar"/>
        </w:rPr>
        <w:t>年至2</w:t>
      </w:r>
      <w:r>
        <w:rPr>
          <w:rFonts w:ascii="仿宋" w:hAnsi="仿宋"/>
          <w:sz w:val="32"/>
          <w:szCs w:val="32"/>
          <w:lang w:bidi="ar"/>
        </w:rPr>
        <w:t>035</w:t>
      </w:r>
      <w:r>
        <w:rPr>
          <w:rFonts w:hint="eastAsia" w:ascii="仿宋" w:hAnsi="仿宋"/>
          <w:sz w:val="32"/>
          <w:szCs w:val="32"/>
          <w:lang w:bidi="ar"/>
        </w:rPr>
        <w:t>年，远景展望到本世纪中叶。</w:t>
      </w:r>
    </w:p>
    <w:bookmarkEnd w:id="20"/>
    <w:p>
      <w:pPr>
        <w:widowControl w:val="0"/>
        <w:snapToGrid w:val="0"/>
        <w:spacing w:line="560" w:lineRule="exact"/>
        <w:ind w:firstLine="640"/>
        <w:jc w:val="both"/>
        <w:rPr>
          <w:rFonts w:ascii="仿宋" w:hAnsi="仿宋"/>
          <w:sz w:val="32"/>
          <w:szCs w:val="32"/>
          <w:lang w:bidi="ar"/>
        </w:rPr>
      </w:pPr>
    </w:p>
    <w:p>
      <w:pPr>
        <w:widowControl w:val="0"/>
        <w:snapToGrid w:val="0"/>
        <w:spacing w:line="560" w:lineRule="exact"/>
        <w:ind w:firstLine="640"/>
        <w:jc w:val="both"/>
        <w:rPr>
          <w:rFonts w:ascii="仿宋" w:hAnsi="仿宋"/>
          <w:sz w:val="32"/>
          <w:szCs w:val="32"/>
          <w:lang w:bidi="ar"/>
        </w:rPr>
        <w:sectPr>
          <w:footerReference r:id="rId14" w:type="default"/>
          <w:footerReference r:id="rId15" w:type="even"/>
          <w:pgSz w:w="11906" w:h="16838"/>
          <w:pgMar w:top="1440" w:right="1797" w:bottom="1440" w:left="1797" w:header="851" w:footer="851" w:gutter="0"/>
          <w:pgNumType w:fmt="numberInDash" w:start="1"/>
          <w:cols w:space="720" w:num="1"/>
          <w:docGrid w:type="lines" w:linePitch="381" w:charSpace="0"/>
        </w:sectPr>
      </w:pPr>
    </w:p>
    <w:p>
      <w:pPr>
        <w:pStyle w:val="2"/>
        <w:spacing w:after="381"/>
      </w:pPr>
      <w:bookmarkStart w:id="21" w:name="_Toc30937"/>
      <w:bookmarkStart w:id="22" w:name="_Toc77779534"/>
      <w:bookmarkStart w:id="23" w:name="_Toc62033295"/>
      <w:r>
        <w:rPr>
          <w:rFonts w:hint="eastAsia"/>
        </w:rPr>
        <w:t>规划基础</w:t>
      </w:r>
      <w:bookmarkEnd w:id="21"/>
      <w:bookmarkEnd w:id="22"/>
      <w:bookmarkEnd w:id="23"/>
    </w:p>
    <w:p>
      <w:pPr>
        <w:pStyle w:val="143"/>
        <w:ind w:firstLine="640"/>
      </w:pPr>
      <w:bookmarkStart w:id="24" w:name="_Toc77779535"/>
      <w:bookmarkStart w:id="25" w:name="_Toc62033296"/>
      <w:bookmarkStart w:id="26" w:name="_Toc30548"/>
      <w:r>
        <w:rPr>
          <w:rFonts w:hint="eastAsia"/>
        </w:rPr>
        <w:t>发展</w:t>
      </w:r>
      <w:bookmarkEnd w:id="24"/>
      <w:bookmarkEnd w:id="25"/>
      <w:r>
        <w:rPr>
          <w:rFonts w:hint="eastAsia"/>
        </w:rPr>
        <w:t>现状</w:t>
      </w:r>
      <w:bookmarkEnd w:id="26"/>
    </w:p>
    <w:p>
      <w:pPr>
        <w:widowControl w:val="0"/>
        <w:snapToGrid w:val="0"/>
        <w:spacing w:line="560" w:lineRule="exact"/>
        <w:ind w:firstLine="640"/>
        <w:jc w:val="both"/>
        <w:rPr>
          <w:rFonts w:ascii="仿宋_GB2312" w:hAnsi="仿宋_GB2312" w:eastAsia="仿宋_GB2312" w:cs="仿宋_GB2312"/>
          <w:sz w:val="32"/>
          <w:szCs w:val="32"/>
          <w:lang w:bidi="ar"/>
        </w:rPr>
      </w:pPr>
      <w:bookmarkStart w:id="27" w:name="_Hlk118199463"/>
      <w:r>
        <w:rPr>
          <w:rFonts w:hint="eastAsia" w:ascii="仿宋_GB2312" w:hAnsi="仿宋_GB2312" w:eastAsia="仿宋_GB2312" w:cs="仿宋_GB2312"/>
          <w:sz w:val="32"/>
          <w:szCs w:val="32"/>
          <w:lang w:bidi="ar"/>
        </w:rPr>
        <w:t>迈入新世纪以来，韶关依托广东北大门、南方交通要冲的区位优势，交通发展快马加鞭、乘势而为，基本形成运输方式齐全、一体化发展特征凸显、组合效率蓄势而发的综合立体交通网，尤其2021年底丹霞机场正式通航，进一步巩固和放大了韶关区域性枢纽城市地位。</w:t>
      </w:r>
    </w:p>
    <w:bookmarkEnd w:id="27"/>
    <w:p>
      <w:pPr>
        <w:widowControl w:val="0"/>
        <w:snapToGrid w:val="0"/>
        <w:spacing w:line="560" w:lineRule="exact"/>
        <w:ind w:firstLine="643"/>
        <w:jc w:val="both"/>
        <w:rPr>
          <w:rFonts w:ascii="仿宋_GB2312" w:hAnsi="仿宋_GB2312" w:eastAsia="仿宋_GB2312" w:cs="仿宋_GB2312"/>
          <w:sz w:val="32"/>
          <w:szCs w:val="32"/>
          <w:lang w:bidi="ar"/>
        </w:rPr>
      </w:pPr>
      <w:r>
        <w:rPr>
          <w:rFonts w:hint="eastAsia" w:ascii="仿宋_GB2312" w:hAnsi="仿宋_GB2312" w:eastAsia="仿宋_GB2312" w:cs="仿宋_GB2312"/>
          <w:b/>
          <w:bCs/>
          <w:sz w:val="32"/>
          <w:szCs w:val="32"/>
          <w:lang w:bidi="ar"/>
        </w:rPr>
        <w:t>1.</w:t>
      </w:r>
      <w:bookmarkStart w:id="28" w:name="_Hlk118199502"/>
      <w:r>
        <w:rPr>
          <w:rFonts w:hint="eastAsia" w:ascii="仿宋_GB2312" w:hAnsi="仿宋_GB2312" w:eastAsia="仿宋_GB2312" w:cs="仿宋_GB2312"/>
          <w:b/>
          <w:bCs/>
          <w:sz w:val="32"/>
          <w:szCs w:val="32"/>
          <w:lang w:bidi="ar"/>
        </w:rPr>
        <w:t>多层次公路网络体系基本成型。</w:t>
      </w:r>
      <w:bookmarkEnd w:id="28"/>
      <w:r>
        <w:rPr>
          <w:rFonts w:hint="eastAsia" w:ascii="仿宋_GB2312" w:hAnsi="仿宋_GB2312" w:eastAsia="仿宋_GB2312" w:cs="仿宋_GB2312"/>
          <w:sz w:val="32"/>
          <w:szCs w:val="32"/>
          <w:lang w:bidi="ar"/>
        </w:rPr>
        <w:t>截至2020年底，全市公路总里程为17076公里，排名居全省第6位，公路网密度为92.37公里/百平方公里，排名居全省第19位。高速公路通车总里程为688.9公里，排名居全省第7、粤东西北第4，初步形成了以京港澳高速、乐广高速、武深高速、南韶高速、韶关北环高速、汕昆高速、韶新高速、大广高速为主骨架的“三横四纵一环”高速公路网现状格局。普通国省道通车总里程2472公里，初步形成了由8条国道（</w:t>
      </w:r>
      <w:bookmarkStart w:id="29" w:name="_Hlk110522464"/>
      <w:r>
        <w:rPr>
          <w:rFonts w:hint="eastAsia" w:ascii="仿宋_GB2312" w:hAnsi="仿宋_GB2312" w:eastAsia="仿宋_GB2312" w:cs="仿宋_GB2312"/>
          <w:sz w:val="32"/>
          <w:szCs w:val="32"/>
          <w:lang w:bidi="ar"/>
        </w:rPr>
        <w:t>G105、G106、G107、G220、G240、G323、G358、G535</w:t>
      </w:r>
      <w:bookmarkEnd w:id="29"/>
      <w:r>
        <w:rPr>
          <w:rFonts w:hint="eastAsia" w:ascii="仿宋_GB2312" w:hAnsi="仿宋_GB2312" w:eastAsia="仿宋_GB2312" w:cs="仿宋_GB2312"/>
          <w:sz w:val="32"/>
          <w:szCs w:val="32"/>
          <w:lang w:bidi="ar"/>
        </w:rPr>
        <w:t>）和23条省道（</w:t>
      </w:r>
      <w:bookmarkStart w:id="30" w:name="_Hlk110522484"/>
      <w:r>
        <w:rPr>
          <w:rFonts w:hint="eastAsia" w:ascii="仿宋_GB2312" w:hAnsi="仿宋_GB2312" w:eastAsia="仿宋_GB2312" w:cs="仿宋_GB2312"/>
          <w:sz w:val="32"/>
          <w:szCs w:val="32"/>
          <w:lang w:bidi="ar"/>
        </w:rPr>
        <w:t>S244、S245、S246、S247、S248、S249、S250、S251等</w:t>
      </w:r>
      <w:bookmarkEnd w:id="30"/>
      <w:r>
        <w:rPr>
          <w:rFonts w:hint="eastAsia" w:ascii="仿宋_GB2312" w:hAnsi="仿宋_GB2312" w:eastAsia="仿宋_GB2312" w:cs="仿宋_GB2312"/>
          <w:sz w:val="32"/>
          <w:szCs w:val="32"/>
          <w:lang w:bidi="ar"/>
        </w:rPr>
        <w:t>）为骨干的干线路网格局。农村公路通车总里程1.4万公里，通100人以上自然村、278个省定贫困村、通20户以上自然村公路路面全面实现硬底化，乐昌市成功创建国家级“四好农村路”示范县，南雄市、仁化县、始兴县成功创建省级“四好农村路”示范县。</w:t>
      </w:r>
    </w:p>
    <w:p>
      <w:pPr>
        <w:widowControl w:val="0"/>
        <w:snapToGrid w:val="0"/>
        <w:spacing w:line="560" w:lineRule="exact"/>
        <w:ind w:firstLine="643"/>
        <w:jc w:val="both"/>
        <w:rPr>
          <w:rFonts w:ascii="仿宋_GB2312" w:hAnsi="仿宋_GB2312" w:eastAsia="仿宋_GB2312" w:cs="仿宋_GB2312"/>
          <w:sz w:val="32"/>
          <w:szCs w:val="32"/>
          <w:lang w:bidi="ar"/>
        </w:rPr>
      </w:pPr>
      <w:r>
        <w:rPr>
          <w:rFonts w:hint="eastAsia" w:ascii="仿宋_GB2312" w:hAnsi="仿宋_GB2312" w:eastAsia="仿宋_GB2312" w:cs="仿宋_GB2312"/>
          <w:b/>
          <w:bCs/>
          <w:sz w:val="32"/>
          <w:szCs w:val="32"/>
          <w:lang w:bidi="ar"/>
        </w:rPr>
        <w:t>2.</w:t>
      </w:r>
      <w:bookmarkStart w:id="31" w:name="_Hlk118199543"/>
      <w:r>
        <w:rPr>
          <w:rFonts w:hint="eastAsia" w:ascii="仿宋_GB2312" w:hAnsi="仿宋_GB2312" w:eastAsia="仿宋_GB2312" w:cs="仿宋_GB2312"/>
          <w:b/>
          <w:bCs/>
          <w:sz w:val="32"/>
          <w:szCs w:val="32"/>
          <w:lang w:bidi="ar"/>
        </w:rPr>
        <w:t>“两纵一横”铁路网格局已建立</w:t>
      </w:r>
      <w:bookmarkEnd w:id="31"/>
      <w:r>
        <w:rPr>
          <w:rFonts w:hint="eastAsia" w:ascii="仿宋_GB2312" w:hAnsi="仿宋_GB2312" w:eastAsia="仿宋_GB2312" w:cs="仿宋_GB2312"/>
          <w:b/>
          <w:bCs/>
          <w:sz w:val="32"/>
          <w:szCs w:val="32"/>
          <w:lang w:bidi="ar"/>
        </w:rPr>
        <w:t>。</w:t>
      </w:r>
      <w:r>
        <w:rPr>
          <w:rFonts w:hint="eastAsia" w:ascii="仿宋_GB2312" w:hAnsi="仿宋_GB2312" w:eastAsia="仿宋_GB2312" w:cs="仿宋_GB2312"/>
          <w:sz w:val="32"/>
          <w:szCs w:val="32"/>
          <w:lang w:bidi="ar"/>
        </w:rPr>
        <w:t>截至2020年底，全市铁路运营总里程为651公里，初步形成“两纵一横”国有铁路大干线和省属地方铁路及大厂矿铁路专用线的区域内铁路网格局。其中京广铁路是历史较长的国铁纵向大干线，为I级客货共线铁路，列车最高运营速度160公里/小时，韶关段总里程为138公里，目前通过能力已经饱和；京广高铁是我国客运量最大、运输最为繁忙的高铁线路，列车最高运营时速350公里/小时，韶关段总里程为118公里，目前通过能力也趋于饱和；赣韶铁路是连接江西赣州与韶关的国铁I级单线客货共线铁路，列车最高运营速度160公里/小时，韶关段总里程117公里，目前通过能力尚有较大富余。韶关市域内省属地方铁路共有两条，坪石至湖南宜章梅田铁路和浈江区黄岗至仁化县格顶铁路，总里程约61公里。韶关市域内共有32条各大厂矿铁路专用线，均与京广线相连，总里程约217公里。</w:t>
      </w:r>
    </w:p>
    <w:p>
      <w:pPr>
        <w:widowControl w:val="0"/>
        <w:snapToGrid w:val="0"/>
        <w:spacing w:line="560" w:lineRule="exact"/>
        <w:ind w:firstLine="643"/>
        <w:jc w:val="both"/>
        <w:rPr>
          <w:rFonts w:ascii="仿宋_GB2312" w:hAnsi="仿宋_GB2312" w:eastAsia="仿宋_GB2312" w:cs="仿宋_GB2312"/>
          <w:sz w:val="32"/>
          <w:szCs w:val="32"/>
          <w:lang w:bidi="ar"/>
        </w:rPr>
      </w:pPr>
      <w:r>
        <w:rPr>
          <w:rFonts w:hint="eastAsia" w:ascii="仿宋_GB2312" w:hAnsi="仿宋_GB2312" w:eastAsia="仿宋_GB2312" w:cs="仿宋_GB2312"/>
          <w:b/>
          <w:bCs/>
          <w:sz w:val="32"/>
          <w:szCs w:val="32"/>
          <w:lang w:bidi="ar"/>
        </w:rPr>
        <w:t>3.</w:t>
      </w:r>
      <w:bookmarkStart w:id="32" w:name="_Hlk118199609"/>
      <w:r>
        <w:rPr>
          <w:rFonts w:hint="eastAsia" w:ascii="仿宋_GB2312" w:hAnsi="仿宋_GB2312" w:eastAsia="仿宋_GB2312" w:cs="仿宋_GB2312"/>
          <w:b/>
          <w:bCs/>
          <w:sz w:val="32"/>
          <w:szCs w:val="32"/>
          <w:lang w:bidi="ar"/>
        </w:rPr>
        <w:t>港航水运体系实现新突破</w:t>
      </w:r>
      <w:bookmarkEnd w:id="32"/>
      <w:r>
        <w:rPr>
          <w:rFonts w:hint="eastAsia" w:ascii="仿宋_GB2312" w:hAnsi="仿宋_GB2312" w:eastAsia="仿宋_GB2312" w:cs="仿宋_GB2312"/>
          <w:b/>
          <w:bCs/>
          <w:sz w:val="32"/>
          <w:szCs w:val="32"/>
          <w:lang w:bidi="ar"/>
        </w:rPr>
        <w:t>。</w:t>
      </w:r>
      <w:r>
        <w:rPr>
          <w:rFonts w:hint="eastAsia" w:ascii="仿宋_GB2312" w:hAnsi="仿宋_GB2312" w:eastAsia="仿宋_GB2312" w:cs="仿宋_GB2312"/>
          <w:sz w:val="32"/>
          <w:szCs w:val="32"/>
          <w:lang w:bidi="ar"/>
        </w:rPr>
        <w:t>韶关主要有北江、浈江、武江、龙归河、新丰江、墨江等5条通航河流，截至2020年底，韶关市航道里程合计698公里，其中Ⅶ级以上航道里程为256公里。随着北江航道扩能升级项目建成，航道通航能力显著提升，千吨级船舶可通过北江航道从韶关市区通往珠三角，直达港澳，通航时间大大缩短，对引导沿江产业布局、支撑临港工业开发和外向型经济发展、促进区域物资对外交流等提供了有力支撑。韶关港地处珠江水系的北江中上游，码头主要分布在北江、浈江和锦江沿岸，分为北江、浈江和武江3个港区，现有300吨级泊位9个、1000吨级泊位5个，港口主要运输货种有煤炭、金属矿石、水泥、矿建材料、木材、非金属矿石、粮食、钢铁、重大件、其他件杂货及集装箱等。</w:t>
      </w:r>
    </w:p>
    <w:p>
      <w:pPr>
        <w:widowControl w:val="0"/>
        <w:snapToGrid w:val="0"/>
        <w:spacing w:line="560" w:lineRule="exact"/>
        <w:ind w:firstLine="643"/>
        <w:jc w:val="both"/>
        <w:rPr>
          <w:rFonts w:ascii="仿宋_GB2312" w:hAnsi="仿宋_GB2312" w:eastAsia="仿宋_GB2312" w:cs="仿宋_GB2312"/>
          <w:sz w:val="32"/>
          <w:szCs w:val="32"/>
          <w:lang w:bidi="ar"/>
        </w:rPr>
      </w:pPr>
      <w:r>
        <w:rPr>
          <w:rFonts w:hint="eastAsia" w:ascii="仿宋_GB2312" w:hAnsi="仿宋_GB2312" w:eastAsia="仿宋_GB2312" w:cs="仿宋_GB2312"/>
          <w:b/>
          <w:bCs/>
          <w:sz w:val="32"/>
          <w:szCs w:val="32"/>
          <w:lang w:bidi="ar"/>
        </w:rPr>
        <w:t>4.民用航空机场</w:t>
      </w:r>
      <w:bookmarkStart w:id="33" w:name="_Hlk107825961"/>
      <w:r>
        <w:rPr>
          <w:rFonts w:hint="eastAsia" w:ascii="仿宋_GB2312" w:hAnsi="仿宋_GB2312" w:eastAsia="仿宋_GB2312" w:cs="仿宋_GB2312"/>
          <w:b/>
          <w:bCs/>
          <w:sz w:val="32"/>
          <w:szCs w:val="32"/>
          <w:lang w:bidi="ar"/>
        </w:rPr>
        <w:t>正式投入运营</w:t>
      </w:r>
      <w:bookmarkEnd w:id="33"/>
      <w:r>
        <w:rPr>
          <w:rFonts w:hint="eastAsia" w:ascii="仿宋_GB2312" w:hAnsi="仿宋_GB2312" w:eastAsia="仿宋_GB2312" w:cs="仿宋_GB2312"/>
          <w:b/>
          <w:bCs/>
          <w:sz w:val="32"/>
          <w:szCs w:val="32"/>
          <w:lang w:bidi="ar"/>
        </w:rPr>
        <w:t>。</w:t>
      </w:r>
      <w:r>
        <w:rPr>
          <w:rFonts w:hint="eastAsia" w:ascii="仿宋_GB2312" w:hAnsi="仿宋_GB2312" w:eastAsia="仿宋_GB2312" w:cs="仿宋_GB2312"/>
          <w:sz w:val="32"/>
          <w:szCs w:val="32"/>
          <w:lang w:bidi="ar"/>
        </w:rPr>
        <w:t>韶关丹霞机场位于乳源瑶族自治区桂头镇，是广东省第9个民用机场，距离韶关市区30公里。飞行区等级为4C级标准，航站楼1.27万平方米，跑道长度为2800米，设计年旅客吞吐量100万人次、货邮吞吐量4000吨、飞机起降9500架次，于2021年11月底建成通航，首条航线为中国南方航空执飞的北京大兴国际机场航线，通航一个月旅客吞吐量为1万人次。机场投运后初期计划开通北京、上海、杭州、昆明、南宁航点，后续将陆续开通成都、西安、沈阳、福州、海口、揭阳、湛江等航点，通达至国内重点旅游城市，逐步打造连通全国热门旅游城市的环飞航线。</w:t>
      </w:r>
    </w:p>
    <w:p>
      <w:pPr>
        <w:widowControl w:val="0"/>
        <w:snapToGrid w:val="0"/>
        <w:spacing w:line="560" w:lineRule="exact"/>
        <w:ind w:firstLine="643"/>
        <w:jc w:val="both"/>
        <w:rPr>
          <w:rFonts w:ascii="仿宋_GB2312" w:hAnsi="仿宋_GB2312" w:eastAsia="仿宋_GB2312" w:cs="仿宋_GB2312"/>
          <w:sz w:val="32"/>
          <w:szCs w:val="32"/>
          <w:lang w:bidi="ar"/>
        </w:rPr>
      </w:pPr>
      <w:r>
        <w:rPr>
          <w:rFonts w:hint="eastAsia" w:ascii="仿宋_GB2312" w:hAnsi="仿宋_GB2312" w:eastAsia="仿宋_GB2312" w:cs="仿宋_GB2312"/>
          <w:b/>
          <w:bCs/>
          <w:sz w:val="32"/>
          <w:szCs w:val="32"/>
          <w:lang w:bidi="ar"/>
        </w:rPr>
        <w:t>5.</w:t>
      </w:r>
      <w:bookmarkStart w:id="34" w:name="_Hlk118199641"/>
      <w:r>
        <w:rPr>
          <w:rFonts w:hint="eastAsia" w:ascii="仿宋_GB2312" w:hAnsi="仿宋_GB2312" w:eastAsia="仿宋_GB2312" w:cs="仿宋_GB2312"/>
          <w:b/>
          <w:bCs/>
          <w:sz w:val="32"/>
          <w:szCs w:val="32"/>
          <w:lang w:bidi="ar"/>
        </w:rPr>
        <w:t>客货运枢纽逐步向综合运输转变</w:t>
      </w:r>
      <w:bookmarkEnd w:id="34"/>
      <w:r>
        <w:rPr>
          <w:rFonts w:hint="eastAsia" w:ascii="仿宋_GB2312" w:hAnsi="仿宋_GB2312" w:eastAsia="仿宋_GB2312" w:cs="仿宋_GB2312"/>
          <w:b/>
          <w:bCs/>
          <w:sz w:val="32"/>
          <w:szCs w:val="32"/>
          <w:lang w:bidi="ar"/>
        </w:rPr>
        <w:t>。</w:t>
      </w:r>
      <w:r>
        <w:rPr>
          <w:rFonts w:hint="eastAsia" w:ascii="仿宋_GB2312" w:hAnsi="仿宋_GB2312" w:eastAsia="仿宋_GB2312" w:cs="仿宋_GB2312"/>
          <w:sz w:val="32"/>
          <w:szCs w:val="32"/>
          <w:lang w:bidi="ar"/>
        </w:rPr>
        <w:t>截至2020年底，全市等级道路客运站共21个，一级客运站1个（韶关综合客运枢纽），二级客运站7个。其中韶关综合客运枢纽是公路、铁路及公交“三位一体”的综合型换乘枢纽，实现高速铁路、长途客运、城市公交、出租汽车、社会车辆等多种交通工具的无障碍、快速换乘。货运站场以铁路站场为主，在营铁路货运站场7个。积极发展多式联运，“十三五”期已启动建设北江港区乌石枢纽项目，规划布置1000吨级通用泊位27个，形成码头岸线长2081米，规划泊位预计年货物通过能力为1800万吨，该项目建成后将充分发挥北江航运的优势，实现“铁水联运”，大幅降低大宗商品进出物流成本。</w:t>
      </w:r>
    </w:p>
    <w:p>
      <w:pPr>
        <w:widowControl w:val="0"/>
        <w:snapToGrid w:val="0"/>
        <w:spacing w:line="560" w:lineRule="exact"/>
        <w:ind w:firstLine="643"/>
        <w:jc w:val="both"/>
        <w:rPr>
          <w:rFonts w:ascii="仿宋_GB2312" w:hAnsi="仿宋_GB2312" w:eastAsia="仿宋_GB2312" w:cs="仿宋_GB2312"/>
          <w:sz w:val="32"/>
          <w:szCs w:val="32"/>
          <w:lang w:bidi="ar"/>
        </w:rPr>
      </w:pPr>
      <w:r>
        <w:rPr>
          <w:rFonts w:hint="eastAsia" w:ascii="仿宋_GB2312" w:hAnsi="仿宋_GB2312" w:eastAsia="仿宋_GB2312" w:cs="仿宋_GB2312"/>
          <w:b/>
          <w:bCs/>
          <w:sz w:val="32"/>
          <w:szCs w:val="32"/>
          <w:lang w:bidi="ar"/>
        </w:rPr>
        <w:t>6.</w:t>
      </w:r>
      <w:bookmarkStart w:id="35" w:name="_Hlk118199657"/>
      <w:r>
        <w:rPr>
          <w:rFonts w:hint="eastAsia" w:ascii="仿宋_GB2312" w:hAnsi="仿宋_GB2312" w:eastAsia="仿宋_GB2312" w:cs="仿宋_GB2312"/>
          <w:b/>
          <w:bCs/>
          <w:sz w:val="32"/>
          <w:szCs w:val="32"/>
          <w:lang w:bidi="ar"/>
        </w:rPr>
        <w:t>综合运输服务能力大幅提升</w:t>
      </w:r>
      <w:bookmarkEnd w:id="35"/>
      <w:r>
        <w:rPr>
          <w:rFonts w:hint="eastAsia" w:ascii="仿宋_GB2312" w:hAnsi="仿宋_GB2312" w:eastAsia="仿宋_GB2312" w:cs="仿宋_GB2312"/>
          <w:b/>
          <w:bCs/>
          <w:sz w:val="32"/>
          <w:szCs w:val="32"/>
          <w:lang w:bidi="ar"/>
        </w:rPr>
        <w:t>。</w:t>
      </w:r>
      <w:r>
        <w:rPr>
          <w:rFonts w:hint="eastAsia" w:ascii="仿宋_GB2312" w:hAnsi="仿宋_GB2312" w:eastAsia="仿宋_GB2312" w:cs="仿宋_GB2312"/>
          <w:sz w:val="32"/>
          <w:szCs w:val="32"/>
          <w:lang w:bidi="ar"/>
        </w:rPr>
        <w:t>随着综合交通运输网络的完善，韶关市运输能力和效率得到双提升，有力保障了人民群众的日常出行和货物流通。2019年（疫情前）韶关境内营运性客运量为7118万人次，其中公路客运发送量为5638万人次，铁路客运发送量为1480万人次；2019年韶关境内货运量为24467万吨，其中公路货运发送量为16998万吨，铁路货运到发量1897万吨，内河航运水运发送量为5572万吨。各县（市、区）公交覆盖率和服务水平不断提升，全市共有公交车辆781辆，其中市辖三区580辆，城市公交线路运营已形成“快线+普线”多层次网络，有效满足城市居民公共交通出行需求。农村客运服务水平稳步提升，实现全市1205个行政村通客车，行政村通客车率达100%。运营农村客运班线236条，农村客运车辆500辆，为脱贫致富奔小康和乡村振兴注入了强大的动力。</w:t>
      </w:r>
    </w:p>
    <w:p>
      <w:pPr>
        <w:widowControl w:val="0"/>
        <w:snapToGrid w:val="0"/>
        <w:spacing w:line="560" w:lineRule="exact"/>
        <w:ind w:firstLine="640"/>
        <w:jc w:val="both"/>
        <w:rPr>
          <w:rFonts w:ascii="仿宋_GB2312" w:hAnsi="仿宋_GB2312" w:eastAsia="仿宋_GB2312" w:cs="仿宋_GB2312"/>
          <w:sz w:val="32"/>
          <w:szCs w:val="32"/>
          <w:lang w:bidi="ar"/>
        </w:rPr>
      </w:pPr>
      <w:r>
        <w:rPr>
          <w:rFonts w:hint="eastAsia" w:ascii="仿宋_GB2312" w:hAnsi="仿宋_GB2312" w:eastAsia="仿宋_GB2312" w:cs="仿宋_GB2312"/>
          <w:sz w:val="32"/>
          <w:szCs w:val="32"/>
          <w:lang w:bidi="ar"/>
        </w:rPr>
        <w:t>尽管韶关交通运输发展取得了较大成就，但整体水平仍然较低，与争当北部生态发展区高质量发展排头兵的要求相比，仍存在一定差距，交通运输发展“瓶颈”仍未完全消除，结构性矛盾仍较突出。</w:t>
      </w:r>
    </w:p>
    <w:p>
      <w:pPr>
        <w:widowControl w:val="0"/>
        <w:snapToGrid w:val="0"/>
        <w:spacing w:line="560" w:lineRule="exact"/>
        <w:ind w:firstLine="643"/>
        <w:jc w:val="both"/>
        <w:rPr>
          <w:rFonts w:ascii="仿宋_GB2312" w:hAnsi="仿宋_GB2312" w:eastAsia="仿宋_GB2312" w:cs="仿宋_GB2312"/>
          <w:sz w:val="32"/>
          <w:szCs w:val="32"/>
          <w:lang w:bidi="ar"/>
        </w:rPr>
      </w:pPr>
      <w:bookmarkStart w:id="36" w:name="_Hlk118204447"/>
      <w:r>
        <w:rPr>
          <w:rFonts w:hint="eastAsia" w:ascii="仿宋_GB2312" w:hAnsi="仿宋_GB2312" w:eastAsia="仿宋_GB2312" w:cs="仿宋_GB2312"/>
          <w:b/>
          <w:bCs/>
          <w:sz w:val="32"/>
          <w:szCs w:val="32"/>
          <w:lang w:bidi="ar"/>
        </w:rPr>
        <w:t>一是区域综合交通枢纽地位和能级有待提升。</w:t>
      </w:r>
      <w:bookmarkEnd w:id="36"/>
      <w:r>
        <w:rPr>
          <w:rFonts w:hint="eastAsia" w:ascii="仿宋_GB2312" w:hAnsi="仿宋_GB2312" w:eastAsia="仿宋_GB2312" w:cs="仿宋_GB2312"/>
          <w:sz w:val="32"/>
          <w:szCs w:val="32"/>
          <w:lang w:bidi="ar"/>
        </w:rPr>
        <w:t>韶关对外通道主要包括广州都市圈、深圳都市圈、江西、湖南和广西五个方向，目前南北向交通大廊道基本形成，但京港澳铁路通道趋于饱和，缺乏通往广西北部湾城市群方向、粤东及海峡西岸地区的东西横向通道，与深圳都市圈尚未构建复合型通道。综合交通枢纽建设相对滞后，目前仅有韶关高铁站综合客运枢纽；韶关港港口规模小、专业化服务水平差，集疏运体系不完善，航道等级低，航运发展仍处于较低水平；以丹霞机场为核心的“公铁水空”无缝衔接、多式联运的集疏运体系亟待构建；其他铁路、公路运输站场各自规划、分别建设，缺乏统筹整合。</w:t>
      </w:r>
    </w:p>
    <w:p>
      <w:pPr>
        <w:widowControl w:val="0"/>
        <w:snapToGrid w:val="0"/>
        <w:spacing w:line="560" w:lineRule="exact"/>
        <w:ind w:firstLine="643"/>
        <w:jc w:val="both"/>
        <w:rPr>
          <w:rFonts w:ascii="仿宋_GB2312" w:hAnsi="仿宋_GB2312" w:eastAsia="仿宋_GB2312" w:cs="仿宋_GB2312"/>
          <w:sz w:val="32"/>
          <w:szCs w:val="32"/>
          <w:lang w:bidi="ar"/>
        </w:rPr>
      </w:pPr>
      <w:bookmarkStart w:id="37" w:name="_Hlk118204462"/>
      <w:r>
        <w:rPr>
          <w:rFonts w:hint="eastAsia" w:ascii="仿宋_GB2312" w:hAnsi="仿宋_GB2312" w:eastAsia="仿宋_GB2312" w:cs="仿宋_GB2312"/>
          <w:b/>
          <w:bCs/>
          <w:sz w:val="32"/>
          <w:szCs w:val="32"/>
          <w:lang w:bidi="ar"/>
        </w:rPr>
        <w:t>二是市域综合交通网络有待完善</w:t>
      </w:r>
      <w:bookmarkEnd w:id="37"/>
      <w:r>
        <w:rPr>
          <w:rFonts w:hint="eastAsia" w:ascii="仿宋_GB2312" w:hAnsi="仿宋_GB2312" w:eastAsia="仿宋_GB2312" w:cs="仿宋_GB2312"/>
          <w:b/>
          <w:bCs/>
          <w:sz w:val="32"/>
          <w:szCs w:val="32"/>
          <w:lang w:bidi="ar"/>
        </w:rPr>
        <w:t>。</w:t>
      </w:r>
      <w:r>
        <w:rPr>
          <w:rFonts w:hint="eastAsia" w:ascii="仿宋_GB2312" w:hAnsi="仿宋_GB2312" w:eastAsia="仿宋_GB2312" w:cs="仿宋_GB2312"/>
          <w:sz w:val="32"/>
          <w:szCs w:val="32"/>
          <w:lang w:bidi="ar"/>
        </w:rPr>
        <w:t>普通干线公路网密度和结构不合理，全市公路网密度为92.7公里/百平方公里，排名居全省19，远低于全省平均水平124.7公里/百平方公里；全路网二级及以上公路占比、普通国道二级及以上公路占比、普通省道三级及以上公路占比距离全省平均水平还有一定差距。城区快速干线公路尚未成网，穿城干线如国道G323主要承担了较多的城市内部交通功能，中心城区与外部组团之间、城区各核心组团之间联系效率较低。山区干线路网布局不合理、通达深度不足、覆盖水平较低，特别是乐昌、仁化、南雄之间，缺乏高效便捷的直连快速干线。</w:t>
      </w:r>
    </w:p>
    <w:p>
      <w:pPr>
        <w:widowControl w:val="0"/>
        <w:snapToGrid w:val="0"/>
        <w:spacing w:line="560" w:lineRule="exact"/>
        <w:ind w:firstLine="643"/>
        <w:jc w:val="both"/>
        <w:rPr>
          <w:rFonts w:ascii="仿宋_GB2312" w:hAnsi="仿宋_GB2312" w:eastAsia="仿宋_GB2312" w:cs="仿宋_GB2312"/>
          <w:sz w:val="32"/>
          <w:szCs w:val="32"/>
          <w:lang w:bidi="ar"/>
        </w:rPr>
      </w:pPr>
      <w:bookmarkStart w:id="38" w:name="_Hlk118204474"/>
      <w:r>
        <w:rPr>
          <w:rFonts w:hint="eastAsia" w:ascii="仿宋_GB2312" w:hAnsi="仿宋_GB2312" w:eastAsia="仿宋_GB2312" w:cs="仿宋_GB2312"/>
          <w:b/>
          <w:bCs/>
          <w:sz w:val="32"/>
          <w:szCs w:val="32"/>
          <w:lang w:bidi="ar"/>
        </w:rPr>
        <w:t>三是综合运输服务高质量发展亟待推进</w:t>
      </w:r>
      <w:bookmarkEnd w:id="38"/>
      <w:r>
        <w:rPr>
          <w:rFonts w:hint="eastAsia" w:ascii="仿宋_GB2312" w:hAnsi="仿宋_GB2312" w:eastAsia="仿宋_GB2312" w:cs="仿宋_GB2312"/>
          <w:b/>
          <w:bCs/>
          <w:sz w:val="32"/>
          <w:szCs w:val="32"/>
          <w:lang w:bidi="ar"/>
        </w:rPr>
        <w:t>。</w:t>
      </w:r>
      <w:r>
        <w:rPr>
          <w:rFonts w:hint="eastAsia" w:ascii="仿宋_GB2312" w:hAnsi="仿宋_GB2312" w:eastAsia="仿宋_GB2312" w:cs="仿宋_GB2312"/>
          <w:sz w:val="32"/>
          <w:szCs w:val="32"/>
          <w:lang w:bidi="ar"/>
        </w:rPr>
        <w:t>受高铁、城际铁路、网约车的冲击，公路营运性客运量下滑严重，亟待转型升级。农村客运站利用率不高，城市公交与农村客运缺乏统筹规划，城乡交通运输一体化发展水平不高。交通与旅游亟待深度融合，尚未形成旅游公路发展资金长效机制，难以保障广东南岭生态旅游公路等项目建设进度和质量；旅游客运市场缺乏有力的市场主体进行规范化经营，市场集中度较低，难以满足快速增长的旅游需求。</w:t>
      </w:r>
    </w:p>
    <w:p>
      <w:pPr>
        <w:pStyle w:val="143"/>
        <w:ind w:firstLine="640"/>
      </w:pPr>
      <w:bookmarkStart w:id="39" w:name="_Toc20224"/>
      <w:r>
        <w:rPr>
          <w:rFonts w:hint="eastAsia"/>
        </w:rPr>
        <w:t>形势要求</w:t>
      </w:r>
      <w:bookmarkEnd w:id="39"/>
    </w:p>
    <w:p>
      <w:pPr>
        <w:widowControl w:val="0"/>
        <w:snapToGrid w:val="0"/>
        <w:spacing w:line="560" w:lineRule="exact"/>
        <w:ind w:firstLine="640"/>
        <w:jc w:val="both"/>
        <w:rPr>
          <w:rFonts w:ascii="仿宋_GB2312" w:hAnsi="仿宋_GB2312" w:eastAsia="仿宋_GB2312" w:cs="仿宋_GB2312"/>
          <w:sz w:val="32"/>
          <w:szCs w:val="32"/>
          <w:lang w:bidi="ar"/>
        </w:rPr>
      </w:pPr>
      <w:bookmarkStart w:id="40" w:name="_Toc62033302"/>
      <w:r>
        <w:rPr>
          <w:rFonts w:hint="eastAsia" w:ascii="仿宋_GB2312" w:hAnsi="仿宋_GB2312" w:eastAsia="仿宋_GB2312" w:cs="仿宋_GB2312"/>
          <w:sz w:val="32"/>
          <w:szCs w:val="32"/>
          <w:lang w:bidi="ar"/>
        </w:rPr>
        <w:t>国际形势发生复杂而深刻的变化，当今世界正经历百年未有之大变局，我国经济已由高速增长阶段转向高质量发展阶段，开启全面建设社会主义现代化强国新征程，人民对美好生活的要求不断提高，经济长期向好，市场空间广阔，发展韧性强大，正在形成以国内大循环为主体、国内国际双循环相互促进的新发展格局。为适应国际国内新形势，交通运输作为国民经济的重要组成部分和动脉系统，是双循环的重要纽带和支撑，韶关要抢抓历史机遇，充分发挥交通的先导性支撑作用。</w:t>
      </w:r>
    </w:p>
    <w:p>
      <w:pPr>
        <w:widowControl w:val="0"/>
        <w:snapToGrid w:val="0"/>
        <w:spacing w:line="560" w:lineRule="exact"/>
        <w:ind w:firstLine="643"/>
        <w:jc w:val="both"/>
        <w:rPr>
          <w:rFonts w:ascii="仿宋_GB2312" w:hAnsi="仿宋_GB2312" w:eastAsia="仿宋_GB2312" w:cs="仿宋_GB2312"/>
          <w:sz w:val="32"/>
          <w:szCs w:val="32"/>
          <w:lang w:bidi="ar"/>
        </w:rPr>
      </w:pPr>
      <w:bookmarkStart w:id="41" w:name="_Hlk118206259"/>
      <w:r>
        <w:rPr>
          <w:rFonts w:hint="eastAsia" w:ascii="仿宋_GB2312" w:hAnsi="仿宋_GB2312" w:eastAsia="仿宋_GB2312" w:cs="仿宋_GB2312"/>
          <w:b/>
          <w:bCs/>
          <w:sz w:val="32"/>
          <w:szCs w:val="32"/>
          <w:lang w:bidi="ar"/>
        </w:rPr>
        <w:t>1.交通强国建设，要求韶关交通运输加快实现高质量发展。</w:t>
      </w:r>
      <w:bookmarkEnd w:id="41"/>
      <w:r>
        <w:rPr>
          <w:rFonts w:hint="eastAsia" w:ascii="仿宋_GB2312" w:hAnsi="仿宋_GB2312" w:eastAsia="仿宋_GB2312" w:cs="仿宋_GB2312"/>
          <w:sz w:val="32"/>
          <w:szCs w:val="32"/>
          <w:lang w:bidi="ar"/>
        </w:rPr>
        <w:t>建设交通强国是党中央立足国情、着眼全局、面向未来作出的重大战略决策，是全面建成社会主义现代化强国的重要支撑，是新时代做好交通工作的总抓手。2021年9月，广东省召开交通强省建设大会，广东省将紧紧围绕交通强国热点、难点，大胆探索，勇于创新，科学把握“先行官”的定位、综合交通的方向、效益评估的标准和安全发展的底线，围绕打造新发展格局战略支点系统谋划推进，奋力推动交通基础设施高质量发展、交通与旅游产业融合发展、智慧交通建设、枢纽服务效率提升、综合交通运输管理体制机制改革等，为韶关交通运输实现高质量发展提供了重大机遇，韶关应积极参与省交通强国试点建设，加快构建内联外通、高效优质立体综合交通体系。</w:t>
      </w:r>
    </w:p>
    <w:p>
      <w:pPr>
        <w:widowControl w:val="0"/>
        <w:snapToGrid w:val="0"/>
        <w:spacing w:line="560" w:lineRule="exact"/>
        <w:ind w:firstLine="643"/>
        <w:jc w:val="both"/>
        <w:rPr>
          <w:rFonts w:ascii="仿宋_GB2312" w:hAnsi="仿宋_GB2312" w:eastAsia="仿宋_GB2312" w:cs="仿宋_GB2312"/>
          <w:sz w:val="32"/>
          <w:szCs w:val="32"/>
          <w:lang w:bidi="ar"/>
        </w:rPr>
      </w:pPr>
      <w:r>
        <w:rPr>
          <w:rFonts w:hint="eastAsia" w:ascii="仿宋_GB2312" w:hAnsi="仿宋_GB2312" w:eastAsia="仿宋_GB2312" w:cs="仿宋_GB2312"/>
          <w:b/>
          <w:bCs/>
          <w:sz w:val="32"/>
          <w:szCs w:val="32"/>
          <w:lang w:bidi="ar"/>
        </w:rPr>
        <w:t>2.</w:t>
      </w:r>
      <w:bookmarkStart w:id="42" w:name="_Hlk118206277"/>
      <w:r>
        <w:rPr>
          <w:rFonts w:hint="eastAsia" w:ascii="仿宋_GB2312" w:hAnsi="仿宋_GB2312" w:eastAsia="仿宋_GB2312" w:cs="仿宋_GB2312"/>
          <w:b/>
          <w:bCs/>
          <w:sz w:val="32"/>
          <w:szCs w:val="32"/>
          <w:lang w:bidi="ar"/>
        </w:rPr>
        <w:t>“双区”和横琴、前海、南沙三个大平台建设，要求韶关加快构建互联互通、高效便捷的综合交通运输体系。</w:t>
      </w:r>
      <w:bookmarkEnd w:id="42"/>
      <w:r>
        <w:rPr>
          <w:rFonts w:hint="eastAsia" w:ascii="仿宋_GB2312" w:hAnsi="仿宋_GB2312" w:eastAsia="仿宋_GB2312" w:cs="仿宋_GB2312"/>
          <w:sz w:val="32"/>
          <w:szCs w:val="32"/>
          <w:lang w:bidi="ar"/>
        </w:rPr>
        <w:t>韶关要加快构建与粤港澳大湾区“水陆空” 全面对接的大通道，推动高铁、城轨、高速公路、赣粤运河和丹霞机场等水陆空联运综合交通网络取得跨越式发展，持续提升韶关至“双区”、“三大平台”的时空可达性，努力把韶关打造成为对接“双区”和支持“三大平台”建设的先行响应地、大湾区辐射带动内陆发展的枢纽节点。</w:t>
      </w:r>
    </w:p>
    <w:p>
      <w:pPr>
        <w:widowControl w:val="0"/>
        <w:snapToGrid w:val="0"/>
        <w:spacing w:line="560" w:lineRule="exact"/>
        <w:ind w:firstLine="643"/>
        <w:jc w:val="both"/>
        <w:rPr>
          <w:rFonts w:ascii="仿宋_GB2312" w:hAnsi="仿宋_GB2312" w:eastAsia="仿宋_GB2312" w:cs="仿宋_GB2312"/>
          <w:sz w:val="32"/>
          <w:szCs w:val="32"/>
          <w:lang w:bidi="ar"/>
        </w:rPr>
      </w:pPr>
      <w:r>
        <w:rPr>
          <w:rFonts w:hint="eastAsia" w:ascii="仿宋_GB2312" w:hAnsi="仿宋_GB2312" w:eastAsia="仿宋_GB2312" w:cs="仿宋_GB2312"/>
          <w:b/>
          <w:bCs/>
          <w:sz w:val="32"/>
          <w:szCs w:val="32"/>
          <w:lang w:bidi="ar"/>
        </w:rPr>
        <w:t>3.</w:t>
      </w:r>
      <w:bookmarkStart w:id="43" w:name="_Hlk118206290"/>
      <w:r>
        <w:rPr>
          <w:rFonts w:hint="eastAsia" w:ascii="仿宋_GB2312" w:hAnsi="仿宋_GB2312" w:eastAsia="仿宋_GB2312" w:cs="仿宋_GB2312"/>
          <w:b/>
          <w:bCs/>
          <w:sz w:val="32"/>
          <w:szCs w:val="32"/>
          <w:lang w:bidi="ar"/>
        </w:rPr>
        <w:t>构建区域协调发展新格局，要求韶关交通转型升级</w:t>
      </w:r>
      <w:bookmarkEnd w:id="43"/>
      <w:r>
        <w:rPr>
          <w:rFonts w:hint="eastAsia" w:ascii="仿宋_GB2312" w:hAnsi="仿宋_GB2312" w:eastAsia="仿宋_GB2312" w:cs="仿宋_GB2312"/>
          <w:b/>
          <w:bCs/>
          <w:sz w:val="32"/>
          <w:szCs w:val="32"/>
          <w:lang w:bidi="ar"/>
        </w:rPr>
        <w:t>。</w:t>
      </w:r>
      <w:r>
        <w:rPr>
          <w:rFonts w:hint="eastAsia" w:ascii="仿宋_GB2312" w:hAnsi="仿宋_GB2312" w:eastAsia="仿宋_GB2312" w:cs="仿宋_GB2312"/>
          <w:sz w:val="32"/>
          <w:szCs w:val="32"/>
          <w:lang w:bidi="ar"/>
        </w:rPr>
        <w:t>2022年12月8日中国共产党广东省第十三届委员会第二次全体会议通过了《中共广东省委关于实施“百县千镇万村高质量发展工程”促进城乡区域协调发展的决定》，提出要在新起点上更好解决城乡区域发展不平衡不充分问题。韶关作为北部生态区中的核心城市，在全省区域协调发展和带动北部山区振兴中具有重要使命，良好的生态环境是最大的优势，应化生态优势为发展优势，基于优越的生态环境和丰富的旅游文化资源，加快谋划具有韶关特色的“快进慢游”旅游交通网络，高质量推动北江干流段碧道建设，完善省域道路绿网生态廊道、广东红军长征路以及区域性交通干道沿线生态景观林带建设，奋力争当北部生态发展区高质量发展排头兵。</w:t>
      </w:r>
    </w:p>
    <w:p>
      <w:pPr>
        <w:widowControl w:val="0"/>
        <w:snapToGrid w:val="0"/>
        <w:spacing w:line="560" w:lineRule="exact"/>
        <w:ind w:firstLine="643"/>
        <w:jc w:val="both"/>
        <w:rPr>
          <w:rFonts w:ascii="仿宋_GB2312" w:hAnsi="仿宋_GB2312" w:eastAsia="仿宋_GB2312" w:cs="仿宋_GB2312"/>
          <w:sz w:val="32"/>
          <w:szCs w:val="32"/>
          <w:lang w:bidi="ar"/>
        </w:rPr>
      </w:pPr>
      <w:r>
        <w:rPr>
          <w:rFonts w:hint="eastAsia" w:ascii="仿宋_GB2312" w:hAnsi="仿宋_GB2312" w:eastAsia="仿宋_GB2312" w:cs="仿宋_GB2312"/>
          <w:b/>
          <w:bCs/>
          <w:sz w:val="32"/>
          <w:szCs w:val="32"/>
          <w:lang w:bidi="ar"/>
        </w:rPr>
        <w:t>4.</w:t>
      </w:r>
      <w:bookmarkStart w:id="44" w:name="_Hlk118206309"/>
      <w:r>
        <w:rPr>
          <w:rFonts w:hint="eastAsia" w:ascii="仿宋_GB2312" w:hAnsi="仿宋_GB2312" w:eastAsia="仿宋_GB2312" w:cs="仿宋_GB2312"/>
          <w:b/>
          <w:bCs/>
          <w:sz w:val="32"/>
          <w:szCs w:val="32"/>
          <w:lang w:bidi="ar"/>
        </w:rPr>
        <w:t>构建韶关市域国土空间总体格局，要求打造集约高效的综合立体交通网</w:t>
      </w:r>
      <w:bookmarkEnd w:id="44"/>
      <w:r>
        <w:rPr>
          <w:rFonts w:hint="eastAsia" w:ascii="仿宋_GB2312" w:hAnsi="仿宋_GB2312" w:eastAsia="仿宋_GB2312" w:cs="仿宋_GB2312"/>
          <w:b/>
          <w:bCs/>
          <w:sz w:val="32"/>
          <w:szCs w:val="32"/>
          <w:lang w:bidi="ar"/>
        </w:rPr>
        <w:t>。</w:t>
      </w:r>
      <w:r>
        <w:rPr>
          <w:rFonts w:hint="eastAsia" w:ascii="仿宋_GB2312" w:hAnsi="仿宋_GB2312" w:eastAsia="仿宋_GB2312" w:cs="仿宋_GB2312"/>
          <w:sz w:val="32"/>
          <w:szCs w:val="32"/>
          <w:lang w:bidi="ar"/>
        </w:rPr>
        <w:t>韶关市以“湾区后苑、粤北中心、岭南名郡、善美韶关”为发展愿景。市域发展新格局要求韶关交通强化与国土空间规划衔接，充分发挥交通网络对城市发展格局及要素流动的引导作用，实现各类发展要素在国土空间上协调有序发展。改革重塑新韶关，要求加快打造专业化的客货运输服务体系，构建配套标准化、专业化的货运物流网络，推进交通与新型工业化、新型城镇化、农业现代化、旅游产业化发展深度融合，支撑韶关从改革开放的“边沿”变成扩大内需的“前沿”，从生产原材料的“供应地”变成产业综合开发利用的“主战场”。</w:t>
      </w:r>
    </w:p>
    <w:p>
      <w:pPr>
        <w:pStyle w:val="143"/>
        <w:ind w:firstLine="640"/>
      </w:pPr>
      <w:bookmarkStart w:id="45" w:name="_Toc2705"/>
      <w:r>
        <w:rPr>
          <w:rFonts w:hint="eastAsia"/>
        </w:rPr>
        <w:t>运输需求</w:t>
      </w:r>
      <w:bookmarkEnd w:id="45"/>
    </w:p>
    <w:p>
      <w:pPr>
        <w:widowControl w:val="0"/>
        <w:snapToGrid w:val="0"/>
        <w:spacing w:line="560" w:lineRule="exact"/>
        <w:ind w:firstLine="640"/>
        <w:jc w:val="both"/>
        <w:rPr>
          <w:rFonts w:ascii="仿宋_GB2312" w:hAnsi="仿宋_GB2312" w:eastAsia="仿宋_GB2312" w:cs="仿宋_GB2312"/>
          <w:sz w:val="32"/>
          <w:szCs w:val="32"/>
          <w:lang w:bidi="ar"/>
        </w:rPr>
      </w:pPr>
      <w:r>
        <w:rPr>
          <w:rFonts w:hint="eastAsia" w:ascii="仿宋_GB2312" w:hAnsi="仿宋_GB2312" w:eastAsia="仿宋_GB2312" w:cs="仿宋_GB2312"/>
          <w:sz w:val="32"/>
          <w:szCs w:val="32"/>
          <w:lang w:bidi="ar"/>
        </w:rPr>
        <w:t>随着经济高质量发展基础不断夯实，韶关市人口规模、空间分布、城镇和产业发展格局以及运输需求也将发生明显变化。随着经济总量稳步增长、产业结构转型升级、城市功能逐步完善，韶关人口净流出情况将得到遏制，总量呈缓慢增长态势，预计2035年增长至310万人左右，城镇化也稳步推进，预计2035年达到72%。随着人们生活水平的提高，人均出行次数也将显著提升，运输需求总体仍呈现增长趋势。</w:t>
      </w:r>
    </w:p>
    <w:p>
      <w:pPr>
        <w:widowControl w:val="0"/>
        <w:snapToGrid w:val="0"/>
        <w:spacing w:line="560" w:lineRule="exact"/>
        <w:ind w:firstLine="640"/>
        <w:jc w:val="both"/>
        <w:rPr>
          <w:rFonts w:ascii="仿宋_GB2312" w:hAnsi="仿宋_GB2312" w:eastAsia="仿宋_GB2312" w:cs="仿宋_GB2312"/>
          <w:sz w:val="32"/>
          <w:szCs w:val="32"/>
          <w:lang w:bidi="ar"/>
        </w:rPr>
      </w:pPr>
      <w:r>
        <w:rPr>
          <w:rFonts w:hint="eastAsia" w:ascii="仿宋_GB2312" w:hAnsi="仿宋_GB2312" w:eastAsia="仿宋_GB2312" w:cs="仿宋_GB2312"/>
          <w:sz w:val="32"/>
          <w:szCs w:val="32"/>
          <w:lang w:bidi="ar"/>
        </w:rPr>
        <w:t>客运方面，随着韶关高快速铁路、高快速公路、航道等综合立体交通网络的逐渐完善，以及人均汽车保有量的不断提升，居民人均出行频率将进一步提高，预计2019-2035年旅客出行量年均增速为2.2%，2035年客运需求达14969万人次，为2019年的2.3倍。客运结构发生显著变化，高品质、多样化、个性化的出行需求快速增长，全市营业性客运总量中高铁、民航、水运出行占比不断提升，客运结构从公路主导、铁路为辅向水陆空铁并存的多元化方向转变。高铁建设助推铁路客运量显著提升，</w:t>
      </w:r>
      <w:bookmarkStart w:id="46" w:name="_Hlk107825837"/>
      <w:r>
        <w:rPr>
          <w:rFonts w:hint="eastAsia" w:ascii="仿宋_GB2312" w:hAnsi="仿宋_GB2312" w:eastAsia="仿宋_GB2312" w:cs="仿宋_GB2312"/>
          <w:sz w:val="32"/>
          <w:szCs w:val="32"/>
          <w:lang w:bidi="ar"/>
        </w:rPr>
        <w:t>铁路客运占比从2019年的11.4%提升至2035年的23.2%</w:t>
      </w:r>
      <w:bookmarkEnd w:id="46"/>
      <w:r>
        <w:rPr>
          <w:rFonts w:hint="eastAsia" w:ascii="仿宋_GB2312" w:hAnsi="仿宋_GB2312" w:eastAsia="仿宋_GB2312" w:cs="仿宋_GB2312"/>
          <w:sz w:val="32"/>
          <w:szCs w:val="32"/>
          <w:lang w:bidi="ar"/>
        </w:rPr>
        <w:t>。随着绿色航道规划建设和水上旅游客运的发展，水运客运量占比稳步增长，</w:t>
      </w:r>
      <w:bookmarkStart w:id="47" w:name="_Hlk107826984"/>
      <w:r>
        <w:rPr>
          <w:rFonts w:hint="eastAsia" w:ascii="仿宋_GB2312" w:hAnsi="仿宋_GB2312" w:eastAsia="仿宋_GB2312" w:cs="仿宋_GB2312"/>
          <w:sz w:val="32"/>
          <w:szCs w:val="32"/>
          <w:lang w:bidi="ar"/>
        </w:rPr>
        <w:t>从2019年的0.5%提升至</w:t>
      </w:r>
      <w:bookmarkEnd w:id="47"/>
      <w:r>
        <w:rPr>
          <w:rFonts w:hint="eastAsia" w:ascii="仿宋_GB2312" w:hAnsi="仿宋_GB2312" w:eastAsia="仿宋_GB2312" w:cs="仿宋_GB2312"/>
          <w:sz w:val="32"/>
          <w:szCs w:val="32"/>
          <w:lang w:bidi="ar"/>
        </w:rPr>
        <w:t>2035年的2.1%。随着韶关丹霞机场的正式运营以及进一步建设完善，预计2035年民航客运占比2.4%。公路营运性客运量逐步回落，占比从2019年的88.1%下降至2035年的72.3%。</w:t>
      </w:r>
    </w:p>
    <w:p>
      <w:pPr>
        <w:widowControl w:val="0"/>
        <w:snapToGrid w:val="0"/>
        <w:spacing w:line="560" w:lineRule="exact"/>
        <w:ind w:firstLine="640"/>
        <w:jc w:val="both"/>
        <w:rPr>
          <w:rFonts w:ascii="仿宋" w:hAnsi="仿宋"/>
          <w:sz w:val="32"/>
          <w:szCs w:val="32"/>
          <w:lang w:bidi="ar"/>
        </w:rPr>
      </w:pPr>
      <w:r>
        <w:rPr>
          <w:rFonts w:hint="eastAsia" w:ascii="仿宋_GB2312" w:hAnsi="仿宋_GB2312" w:eastAsia="仿宋_GB2312" w:cs="仿宋_GB2312"/>
          <w:sz w:val="32"/>
          <w:szCs w:val="32"/>
          <w:lang w:bidi="ar"/>
        </w:rPr>
        <w:t>货运方面，预计2019-2035年货运需求年均增速为3.5%左右，2035年货运需求达42717.6万吨，为2019年的1.7倍。货运结构持续调整，北江、浈江、武江等扩能升级促使内河航运快速发展,水运占比从2019年的22.6%提升至2035年的24.4%；铁路线网、货运场站升级完善将推动铁路货运量增加，铁路货运占比从2019年的8.4%提升至2035年的13.7%；公路货运有一定下降但仍占据主导地位,占比从2019年的69%下降至2035年61.9%。</w:t>
      </w:r>
      <w:r>
        <w:rPr>
          <w:rFonts w:hint="eastAsia" w:ascii="仿宋_GB2312" w:hAnsi="仿宋_GB2312" w:eastAsia="仿宋_GB2312" w:cs="仿宋_GB2312"/>
          <w:sz w:val="32"/>
          <w:szCs w:val="32"/>
          <w:lang w:bidi="ar"/>
        </w:rPr>
        <w:br w:type="page"/>
      </w:r>
    </w:p>
    <w:bookmarkEnd w:id="40"/>
    <w:p>
      <w:pPr>
        <w:pStyle w:val="2"/>
        <w:spacing w:after="381"/>
        <w:rPr>
          <w:lang w:val="zh-CN"/>
        </w:rPr>
      </w:pPr>
      <w:bookmarkStart w:id="48" w:name="_Toc62033310"/>
      <w:bookmarkStart w:id="49" w:name="_Toc7247"/>
      <w:bookmarkStart w:id="50" w:name="_Toc77779538"/>
      <w:r>
        <w:rPr>
          <w:rFonts w:hint="eastAsia"/>
          <w:lang w:val="zh-CN"/>
        </w:rPr>
        <w:t>总体要求</w:t>
      </w:r>
      <w:bookmarkEnd w:id="48"/>
      <w:bookmarkEnd w:id="49"/>
      <w:bookmarkEnd w:id="50"/>
    </w:p>
    <w:p>
      <w:pPr>
        <w:pStyle w:val="143"/>
        <w:ind w:firstLine="640"/>
      </w:pPr>
      <w:bookmarkStart w:id="51" w:name="_Toc13621"/>
      <w:bookmarkStart w:id="52" w:name="_Toc77779539"/>
      <w:bookmarkStart w:id="53" w:name="_Toc62033311"/>
      <w:r>
        <w:rPr>
          <w:rFonts w:hint="eastAsia"/>
        </w:rPr>
        <w:t>指导思想</w:t>
      </w:r>
      <w:bookmarkEnd w:id="51"/>
      <w:bookmarkEnd w:id="52"/>
      <w:bookmarkEnd w:id="53"/>
    </w:p>
    <w:p>
      <w:pPr>
        <w:widowControl w:val="0"/>
        <w:spacing w:line="560" w:lineRule="exact"/>
        <w:ind w:firstLine="640"/>
        <w:jc w:val="both"/>
        <w:rPr>
          <w:rFonts w:ascii="仿宋_GB2312" w:hAnsi="仿宋_GB2312" w:eastAsia="仿宋_GB2312" w:cs="仿宋_GB2312"/>
          <w:sz w:val="32"/>
          <w:szCs w:val="32"/>
          <w:lang w:bidi="ar"/>
        </w:rPr>
      </w:pPr>
      <w:r>
        <w:rPr>
          <w:rFonts w:hint="eastAsia" w:ascii="仿宋_GB2312" w:hAnsi="仿宋_GB2312" w:eastAsia="仿宋_GB2312" w:cs="仿宋_GB2312"/>
          <w:sz w:val="32"/>
          <w:szCs w:val="32"/>
          <w:lang w:bidi="ar"/>
        </w:rPr>
        <w:t>以习近平新时代中国特色社会主义思想为指导，全面贯彻党的二十大精神，深入贯彻习近平总书记对广东系列重要讲话和重要指示批示精神，立足新发展阶段，完整、准确、全面贯彻新发展理念，服务和融入新发展格局，以交通强国建设等上位规划为指引，以推动交通运输行业高质量发展为主题，以深化供给侧结构性改革为主线，以改革创新为根本动力，以满足人民群众日益增长的美好生活需要为根本目的，抢抓“双区”和横琴、前海、南沙三大平台建设重大机遇，围绕韶关以非凡之举推进新型工业化、新型城镇化、农业农村现代化、资源资产价值化、改革攻坚系统化、治理体系和治理能力现代化，加快统筹公路、铁路、航空、水运等各种运输方式的协调发展，打造外联内通“水陆空”综合立体交通体系，</w:t>
      </w:r>
      <w:bookmarkStart w:id="54" w:name="_Toc62033312"/>
      <w:r>
        <w:rPr>
          <w:rFonts w:hint="eastAsia" w:ascii="仿宋_GB2312" w:hAnsi="仿宋_GB2312" w:eastAsia="仿宋_GB2312" w:cs="仿宋_GB2312"/>
          <w:sz w:val="32"/>
          <w:szCs w:val="32"/>
          <w:lang w:bidi="ar"/>
        </w:rPr>
        <w:t>为韶关建成</w:t>
      </w:r>
      <w:bookmarkStart w:id="55" w:name="_Hlk103085945"/>
      <w:r>
        <w:rPr>
          <w:rFonts w:hint="eastAsia" w:ascii="仿宋_GB2312" w:hAnsi="仿宋_GB2312" w:eastAsia="仿宋_GB2312" w:cs="仿宋_GB2312"/>
          <w:sz w:val="32"/>
          <w:szCs w:val="32"/>
          <w:lang w:bidi="ar"/>
        </w:rPr>
        <w:t>北部生态发展区高质量发展排头兵、粤港澳大湾区向北辐射的门户枢纽</w:t>
      </w:r>
      <w:bookmarkEnd w:id="55"/>
      <w:r>
        <w:rPr>
          <w:rFonts w:hint="eastAsia" w:ascii="仿宋_GB2312" w:hAnsi="仿宋_GB2312" w:eastAsia="仿宋_GB2312" w:cs="仿宋_GB2312"/>
          <w:sz w:val="32"/>
          <w:szCs w:val="32"/>
          <w:lang w:bidi="ar"/>
        </w:rPr>
        <w:t>，形成山水生态特色鲜明、宜居宜业的历史文化和旅游名城提供有力支撑。</w:t>
      </w:r>
    </w:p>
    <w:p>
      <w:pPr>
        <w:pStyle w:val="143"/>
        <w:ind w:firstLine="640"/>
      </w:pPr>
      <w:bookmarkStart w:id="56" w:name="_Toc77779540"/>
      <w:bookmarkStart w:id="57" w:name="_Toc28115"/>
      <w:r>
        <w:rPr>
          <w:rFonts w:hint="eastAsia"/>
        </w:rPr>
        <w:t>基本原则</w:t>
      </w:r>
      <w:bookmarkEnd w:id="54"/>
      <w:bookmarkEnd w:id="56"/>
      <w:bookmarkEnd w:id="57"/>
    </w:p>
    <w:p>
      <w:pPr>
        <w:widowControl w:val="0"/>
        <w:snapToGrid w:val="0"/>
        <w:spacing w:line="560" w:lineRule="exact"/>
        <w:ind w:firstLine="643"/>
        <w:jc w:val="both"/>
        <w:rPr>
          <w:rFonts w:ascii="仿宋_GB2312" w:hAnsi="仿宋_GB2312" w:eastAsia="仿宋_GB2312" w:cs="仿宋_GB2312"/>
          <w:sz w:val="32"/>
          <w:szCs w:val="32"/>
          <w:lang w:bidi="ar"/>
        </w:rPr>
      </w:pPr>
      <w:r>
        <w:rPr>
          <w:rFonts w:hint="eastAsia" w:ascii="仿宋_GB2312" w:hAnsi="仿宋_GB2312" w:eastAsia="仿宋_GB2312" w:cs="仿宋_GB2312"/>
          <w:b/>
          <w:bCs/>
          <w:sz w:val="32"/>
          <w:szCs w:val="32"/>
          <w:lang w:bidi="ar"/>
        </w:rPr>
        <w:t>长远谋划，服务大局。</w:t>
      </w:r>
      <w:r>
        <w:rPr>
          <w:rFonts w:hint="eastAsia" w:ascii="仿宋_GB2312" w:hAnsi="仿宋_GB2312" w:eastAsia="仿宋_GB2312" w:cs="仿宋_GB2312"/>
          <w:sz w:val="32"/>
          <w:szCs w:val="32"/>
          <w:lang w:bidi="ar"/>
        </w:rPr>
        <w:t>“跳出韶关看韶关”，规划要把韶关放在全球、全国、全省等多维视野下进行考量，审视新时期韶关发展面临的机遇与挑战，提出发展要求。规划既要对标先进、高起点、高标准，也要切合实际、可操作、可实施；既要立足当前不平衡不充分突出问题，也要着眼长远发展定位，在服务“一带一路”、双区建设、三大平台建设、省“百县千镇万村高质量发展工程”等重大战略上，充分体现韶关担当。</w:t>
      </w:r>
    </w:p>
    <w:p>
      <w:pPr>
        <w:widowControl w:val="0"/>
        <w:snapToGrid w:val="0"/>
        <w:spacing w:line="560" w:lineRule="exact"/>
        <w:ind w:firstLine="643"/>
        <w:jc w:val="both"/>
        <w:rPr>
          <w:rFonts w:ascii="仿宋_GB2312" w:hAnsi="仿宋_GB2312" w:eastAsia="仿宋_GB2312" w:cs="仿宋_GB2312"/>
          <w:sz w:val="32"/>
          <w:szCs w:val="32"/>
          <w:lang w:bidi="ar"/>
        </w:rPr>
      </w:pPr>
      <w:r>
        <w:rPr>
          <w:rFonts w:hint="eastAsia" w:ascii="仿宋_GB2312" w:hAnsi="仿宋_GB2312" w:eastAsia="仿宋_GB2312" w:cs="仿宋_GB2312"/>
          <w:b/>
          <w:bCs/>
          <w:sz w:val="32"/>
          <w:szCs w:val="32"/>
          <w:lang w:bidi="ar"/>
        </w:rPr>
        <w:t>分区引领，特色发展。</w:t>
      </w:r>
      <w:r>
        <w:rPr>
          <w:rFonts w:hint="eastAsia" w:ascii="仿宋_GB2312" w:hAnsi="仿宋_GB2312" w:eastAsia="仿宋_GB2312" w:cs="仿宋_GB2312"/>
          <w:sz w:val="32"/>
          <w:szCs w:val="32"/>
          <w:lang w:bidi="ar"/>
        </w:rPr>
        <w:t>立足韶关市域“一主三副两轴三区”的国土空间总体格局，完善交通核心走廊广清韶协作发展轴和韶莞深协作发展轴，支撑“两轴融湾”。统筹谋划三区交通发展定位，实现各片区特色发展，中部核心发展区重点推进老城区、高新区、曲江城区等组团之间的高效互联互通，南部融湾平台发展区重点构建支撑产业发展的干线交通体系，北部生态融合发展区突出生态优先、绿色发展。</w:t>
      </w:r>
    </w:p>
    <w:p>
      <w:pPr>
        <w:widowControl w:val="0"/>
        <w:snapToGrid w:val="0"/>
        <w:spacing w:line="560" w:lineRule="exact"/>
        <w:ind w:firstLine="643"/>
        <w:jc w:val="both"/>
        <w:rPr>
          <w:rFonts w:ascii="仿宋_GB2312" w:hAnsi="仿宋_GB2312" w:eastAsia="仿宋_GB2312" w:cs="仿宋_GB2312"/>
          <w:sz w:val="32"/>
          <w:szCs w:val="32"/>
          <w:lang w:bidi="ar"/>
        </w:rPr>
      </w:pPr>
      <w:r>
        <w:rPr>
          <w:rFonts w:hint="eastAsia" w:ascii="仿宋_GB2312" w:hAnsi="仿宋_GB2312" w:eastAsia="仿宋_GB2312" w:cs="仿宋_GB2312"/>
          <w:b/>
          <w:bCs/>
          <w:sz w:val="32"/>
          <w:szCs w:val="32"/>
          <w:lang w:bidi="ar"/>
        </w:rPr>
        <w:t>综合立体，统筹融合。</w:t>
      </w:r>
      <w:r>
        <w:rPr>
          <w:rFonts w:hint="eastAsia" w:ascii="仿宋_GB2312" w:hAnsi="仿宋_GB2312" w:eastAsia="仿宋_GB2312" w:cs="仿宋_GB2312"/>
          <w:sz w:val="32"/>
          <w:szCs w:val="32"/>
          <w:lang w:bidi="ar"/>
        </w:rPr>
        <w:t>统筹谋划区域交通一体化，提升韶关与清远、河源、惠州、赣州、郴州等周边地区交通运输互联互通水平，共建粤北、赣湘地区一体化交通网络。充分发挥各种运输方式的比较优势和组合效率，推进运输结构优化调整,统筹推进各种交通运输方式网络布局发展，构建综合立体、衔接紧密、功能完善、高效经济的综合交通运输网络。强化交通与相关产业、交通与运输服务网、信息网及能源网的融合发展。</w:t>
      </w:r>
    </w:p>
    <w:p>
      <w:pPr>
        <w:widowControl w:val="0"/>
        <w:snapToGrid w:val="0"/>
        <w:spacing w:line="560" w:lineRule="exact"/>
        <w:ind w:firstLine="643"/>
        <w:jc w:val="both"/>
        <w:rPr>
          <w:rFonts w:ascii="仿宋_GB2312" w:hAnsi="仿宋_GB2312" w:eastAsia="仿宋_GB2312" w:cs="仿宋_GB2312"/>
          <w:sz w:val="32"/>
          <w:szCs w:val="32"/>
          <w:lang w:bidi="ar"/>
        </w:rPr>
      </w:pPr>
      <w:r>
        <w:rPr>
          <w:rFonts w:hint="eastAsia" w:ascii="仿宋_GB2312" w:hAnsi="仿宋_GB2312" w:eastAsia="仿宋_GB2312" w:cs="仿宋_GB2312"/>
          <w:b/>
          <w:bCs/>
          <w:sz w:val="32"/>
          <w:szCs w:val="32"/>
          <w:lang w:bidi="ar"/>
        </w:rPr>
        <w:t>绿色智慧，品质发展。</w:t>
      </w:r>
      <w:r>
        <w:rPr>
          <w:rFonts w:hint="eastAsia" w:ascii="仿宋_GB2312" w:hAnsi="仿宋_GB2312" w:eastAsia="仿宋_GB2312" w:cs="仿宋_GB2312"/>
          <w:sz w:val="32"/>
          <w:szCs w:val="32"/>
          <w:lang w:bidi="ar"/>
        </w:rPr>
        <w:t>以高质量发展为主题，以生态绿色为底色，以碳达峰、碳中和推动绿色转型发展，加强生态选线选址与红线管控，以集约复合的绿色运输通道建设推进绿色基础设施发展。以创新和改革为引擎，积极吸纳和集聚创新要素资源，推进交通科技创新，打造智能化交通基础设施。扎实推进交通运输供给侧结构性改革，优化存量、创新增量、提升质量，为韶关实现高质量发展注入强劲动力。</w:t>
      </w:r>
    </w:p>
    <w:p>
      <w:pPr>
        <w:pStyle w:val="143"/>
        <w:ind w:firstLine="640"/>
      </w:pPr>
      <w:bookmarkStart w:id="58" w:name="_Toc77779541"/>
      <w:bookmarkStart w:id="59" w:name="_Toc12534"/>
      <w:bookmarkStart w:id="60" w:name="_Toc62033314"/>
      <w:r>
        <w:rPr>
          <w:rFonts w:hint="eastAsia"/>
        </w:rPr>
        <w:t>发展目标</w:t>
      </w:r>
      <w:bookmarkEnd w:id="58"/>
      <w:bookmarkEnd w:id="59"/>
      <w:bookmarkEnd w:id="60"/>
    </w:p>
    <w:p>
      <w:pPr>
        <w:widowControl w:val="0"/>
        <w:snapToGrid w:val="0"/>
        <w:spacing w:line="560" w:lineRule="exact"/>
        <w:ind w:firstLine="640"/>
        <w:jc w:val="both"/>
        <w:rPr>
          <w:rFonts w:ascii="仿宋_GB2312" w:hAnsi="仿宋_GB2312" w:eastAsia="仿宋_GB2312" w:cs="仿宋_GB2312"/>
          <w:sz w:val="32"/>
          <w:szCs w:val="32"/>
          <w:lang w:bidi="ar"/>
        </w:rPr>
      </w:pPr>
      <w:bookmarkStart w:id="61" w:name="_Hlk118206914"/>
      <w:r>
        <w:rPr>
          <w:rFonts w:hint="eastAsia" w:ascii="仿宋_GB2312" w:hAnsi="仿宋_GB2312" w:eastAsia="仿宋_GB2312" w:cs="仿宋_GB2312"/>
          <w:sz w:val="32"/>
          <w:szCs w:val="32"/>
          <w:lang w:bidi="ar"/>
        </w:rPr>
        <w:t>到2035年，围绕构建交通发展走在粤东西北前列、水陆空一体化的区域性枢纽城市，打造高质量出行圈、高效率物流圈的客货运双体系，形成融入广佛、对接深港澳、辐射内陆腹地的通道大格局，建成以韶关丹霞机场、韶关高铁站、韶关港锚固的内联外通综合立体交通网络，实现公路网、铁路网、民航网、水运网、邮政网“五网融合”，凸显区域中心城市引擎作用，有力支撑韶关建成</w:t>
      </w:r>
      <w:bookmarkStart w:id="62" w:name="_Hlk103352025"/>
      <w:bookmarkStart w:id="63" w:name="_Hlk103161478"/>
      <w:r>
        <w:rPr>
          <w:rFonts w:hint="eastAsia" w:ascii="仿宋_GB2312" w:hAnsi="仿宋_GB2312" w:eastAsia="仿宋_GB2312" w:cs="仿宋_GB2312"/>
          <w:sz w:val="32"/>
          <w:szCs w:val="32"/>
          <w:lang w:bidi="ar"/>
        </w:rPr>
        <w:t>粤港澳大湾区向北辐射的门户枢纽</w:t>
      </w:r>
      <w:bookmarkEnd w:id="62"/>
      <w:r>
        <w:rPr>
          <w:rFonts w:hint="eastAsia" w:ascii="仿宋_GB2312" w:hAnsi="仿宋_GB2312" w:eastAsia="仿宋_GB2312" w:cs="仿宋_GB2312"/>
          <w:sz w:val="32"/>
          <w:szCs w:val="32"/>
          <w:lang w:bidi="ar"/>
        </w:rPr>
        <w:t>、山水生态特色鲜明的历史文化和旅游名城</w:t>
      </w:r>
      <w:bookmarkEnd w:id="63"/>
      <w:r>
        <w:rPr>
          <w:rFonts w:hint="eastAsia" w:ascii="仿宋_GB2312" w:hAnsi="仿宋_GB2312" w:eastAsia="仿宋_GB2312" w:cs="仿宋_GB2312"/>
          <w:sz w:val="32"/>
          <w:szCs w:val="32"/>
          <w:lang w:bidi="ar"/>
        </w:rPr>
        <w:t>。</w:t>
      </w:r>
    </w:p>
    <w:p>
      <w:pPr>
        <w:widowControl w:val="0"/>
        <w:snapToGrid w:val="0"/>
        <w:spacing w:line="560" w:lineRule="exact"/>
        <w:ind w:firstLine="640"/>
        <w:jc w:val="both"/>
        <w:rPr>
          <w:rFonts w:ascii="仿宋_GB2312" w:hAnsi="仿宋_GB2312" w:eastAsia="仿宋_GB2312" w:cs="仿宋_GB2312"/>
          <w:sz w:val="32"/>
          <w:szCs w:val="32"/>
          <w:lang w:bidi="ar"/>
        </w:rPr>
      </w:pPr>
      <w:r>
        <w:rPr>
          <w:rFonts w:hint="eastAsia" w:ascii="仿宋_GB2312" w:hAnsi="仿宋_GB2312" w:eastAsia="仿宋_GB2312" w:cs="仿宋_GB2312"/>
          <w:sz w:val="32"/>
          <w:szCs w:val="32"/>
          <w:lang w:bidi="ar"/>
        </w:rPr>
        <w:t>人便其行高质量出行圈：市域内1小时公路交通圈，广清韶1小时高铁交通圈，韶关与深圳都市圈以及省内其他主要城市2小时高铁交通圈，与周边省会城市3小时高铁及航空交通圈。</w:t>
      </w:r>
    </w:p>
    <w:p>
      <w:pPr>
        <w:widowControl w:val="0"/>
        <w:snapToGrid w:val="0"/>
        <w:spacing w:line="560" w:lineRule="exact"/>
        <w:ind w:firstLine="640"/>
        <w:jc w:val="both"/>
        <w:rPr>
          <w:rFonts w:ascii="仿宋_GB2312" w:hAnsi="仿宋_GB2312" w:eastAsia="仿宋_GB2312" w:cs="仿宋_GB2312"/>
          <w:sz w:val="32"/>
          <w:szCs w:val="32"/>
          <w:lang w:bidi="ar"/>
        </w:rPr>
      </w:pPr>
      <w:r>
        <w:rPr>
          <w:rFonts w:hint="eastAsia" w:ascii="仿宋_GB2312" w:hAnsi="仿宋_GB2312" w:eastAsia="仿宋_GB2312" w:cs="仿宋_GB2312"/>
          <w:sz w:val="32"/>
          <w:szCs w:val="32"/>
          <w:lang w:bidi="ar"/>
        </w:rPr>
        <w:t>货畅其流高效率物流圈：市域内半日送达、省内1日送达、国内2日送达。</w:t>
      </w:r>
    </w:p>
    <w:p>
      <w:pPr>
        <w:widowControl w:val="0"/>
        <w:snapToGrid w:val="0"/>
        <w:spacing w:line="560" w:lineRule="exact"/>
        <w:ind w:firstLine="640"/>
        <w:jc w:val="both"/>
        <w:rPr>
          <w:rFonts w:ascii="仿宋_GB2312" w:hAnsi="仿宋_GB2312" w:eastAsia="仿宋_GB2312" w:cs="仿宋_GB2312"/>
          <w:sz w:val="32"/>
          <w:szCs w:val="32"/>
          <w:lang w:bidi="ar"/>
        </w:rPr>
        <w:sectPr>
          <w:pgSz w:w="11906" w:h="16838"/>
          <w:pgMar w:top="1440" w:right="1797" w:bottom="1440" w:left="1797" w:header="851" w:footer="851" w:gutter="0"/>
          <w:pgNumType w:fmt="numberInDash" w:start="1"/>
          <w:cols w:space="720" w:num="1"/>
          <w:docGrid w:type="lines" w:linePitch="381" w:charSpace="0"/>
        </w:sectPr>
      </w:pPr>
      <w:r>
        <w:rPr>
          <w:rFonts w:hint="eastAsia" w:ascii="仿宋_GB2312" w:hAnsi="仿宋_GB2312" w:eastAsia="仿宋_GB2312" w:cs="仿宋_GB2312"/>
          <w:sz w:val="32"/>
          <w:szCs w:val="32"/>
          <w:lang w:bidi="ar"/>
        </w:rPr>
        <w:t>展望至2050年，全面建成高质量、高效率、高品质的现代化“水陆空”综合立体交通网以及人享其行、物优其流的现代综合交通运输体系，新技术广泛应用，交通治理高效智慧，综合交通发展水平稳居粤东西北前列。</w:t>
      </w:r>
    </w:p>
    <w:bookmarkEnd w:id="61"/>
    <w:p>
      <w:pPr>
        <w:pStyle w:val="2"/>
        <w:spacing w:after="381"/>
        <w:rPr>
          <w:lang w:val="zh-CN"/>
        </w:rPr>
      </w:pPr>
      <w:bookmarkStart w:id="64" w:name="_Toc77779542"/>
      <w:bookmarkStart w:id="65" w:name="_Toc31687"/>
      <w:bookmarkStart w:id="66" w:name="_Toc452555954"/>
      <w:r>
        <w:rPr>
          <w:rFonts w:hint="eastAsia"/>
          <w:lang w:val="zh-CN"/>
        </w:rPr>
        <w:t>综合立体的交通发展</w:t>
      </w:r>
      <w:bookmarkEnd w:id="64"/>
      <w:r>
        <w:rPr>
          <w:rFonts w:hint="eastAsia"/>
          <w:lang w:val="zh-CN"/>
        </w:rPr>
        <w:t>格局</w:t>
      </w:r>
      <w:bookmarkEnd w:id="65"/>
    </w:p>
    <w:p>
      <w:pPr>
        <w:pStyle w:val="143"/>
        <w:ind w:firstLine="640"/>
      </w:pPr>
      <w:bookmarkStart w:id="67" w:name="_Toc77779075"/>
      <w:bookmarkEnd w:id="67"/>
      <w:bookmarkStart w:id="68" w:name="_Toc77779543"/>
      <w:bookmarkEnd w:id="68"/>
      <w:bookmarkStart w:id="69" w:name="_Toc3353"/>
      <w:r>
        <w:rPr>
          <w:rFonts w:hint="eastAsia"/>
        </w:rPr>
        <w:t>结构合理的规模总</w:t>
      </w:r>
      <w:r>
        <w:t>量</w:t>
      </w:r>
      <w:bookmarkEnd w:id="69"/>
    </w:p>
    <w:p>
      <w:pPr>
        <w:widowControl w:val="0"/>
        <w:snapToGrid w:val="0"/>
        <w:spacing w:line="560" w:lineRule="exact"/>
        <w:ind w:firstLine="640"/>
        <w:jc w:val="both"/>
        <w:rPr>
          <w:rFonts w:ascii="仿宋_GB2312" w:hAnsi="仿宋_GB2312" w:eastAsia="仿宋_GB2312" w:cs="仿宋_GB2312"/>
          <w:sz w:val="32"/>
          <w:szCs w:val="32"/>
          <w:lang w:bidi="ar"/>
        </w:rPr>
      </w:pPr>
      <w:r>
        <w:rPr>
          <w:rFonts w:hint="eastAsia" w:ascii="仿宋_GB2312" w:hAnsi="仿宋_GB2312" w:eastAsia="仿宋_GB2312" w:cs="仿宋_GB2312"/>
          <w:sz w:val="32"/>
          <w:szCs w:val="32"/>
          <w:lang w:bidi="ar"/>
        </w:rPr>
        <w:t>以打造交通发展走在粤东西北前列、水陆空一体化的区域性枢纽城市为导向，着力补短板、重衔接、优网络、提效能，注重存量资源优化利用和增量供给质量提升,完善铁路网、公路网、航道网、天然气管网、邮政快递网，构建以高等级公路、铁路、赣粤运河为主干，民航、管道比较优势充分发挥的综合立体交通网。</w:t>
      </w:r>
    </w:p>
    <w:p>
      <w:pPr>
        <w:widowControl w:val="0"/>
        <w:snapToGrid w:val="0"/>
        <w:spacing w:line="560" w:lineRule="exact"/>
        <w:ind w:firstLine="640"/>
        <w:jc w:val="both"/>
        <w:rPr>
          <w:rFonts w:ascii="仿宋_GB2312" w:hAnsi="仿宋_GB2312" w:eastAsia="仿宋_GB2312" w:cs="仿宋_GB2312"/>
          <w:sz w:val="32"/>
          <w:szCs w:val="32"/>
          <w:lang w:bidi="ar"/>
        </w:rPr>
      </w:pPr>
      <w:r>
        <w:rPr>
          <w:rFonts w:hint="eastAsia" w:ascii="仿宋_GB2312" w:hAnsi="仿宋_GB2312" w:eastAsia="仿宋_GB2312" w:cs="仿宋_GB2312"/>
          <w:sz w:val="32"/>
          <w:szCs w:val="32"/>
          <w:lang w:bidi="ar"/>
        </w:rPr>
        <w:t>至2025年，韶关市综合立体交通网实体网总体规模合计19483公里，其中铁路网约491.1公里（高速铁路118公里，普速铁路315公里，</w:t>
      </w:r>
      <w:bookmarkStart w:id="70" w:name="_Hlk103154699"/>
      <w:r>
        <w:rPr>
          <w:rFonts w:hint="eastAsia" w:ascii="仿宋_GB2312" w:hAnsi="仿宋_GB2312" w:eastAsia="仿宋_GB2312" w:cs="仿宋_GB2312"/>
          <w:sz w:val="32"/>
          <w:szCs w:val="32"/>
          <w:lang w:bidi="ar"/>
        </w:rPr>
        <w:t>铁路专用线58.1公里</w:t>
      </w:r>
      <w:bookmarkEnd w:id="70"/>
      <w:r>
        <w:rPr>
          <w:rFonts w:hint="eastAsia" w:ascii="仿宋_GB2312" w:hAnsi="仿宋_GB2312" w:eastAsia="仿宋_GB2312" w:cs="仿宋_GB2312"/>
          <w:sz w:val="32"/>
          <w:szCs w:val="32"/>
          <w:lang w:bidi="ar"/>
        </w:rPr>
        <w:t>）；公路网总里程约18000公里（其中高速公路800公里，一二级公路1650公里）；内河航道约698公里（其中等级航道293公里）；天然气管网294公里。</w:t>
      </w:r>
    </w:p>
    <w:p>
      <w:pPr>
        <w:widowControl w:val="0"/>
        <w:snapToGrid w:val="0"/>
        <w:spacing w:line="560" w:lineRule="exact"/>
        <w:ind w:firstLine="640"/>
        <w:jc w:val="both"/>
        <w:rPr>
          <w:rFonts w:ascii="仿宋_GB2312" w:hAnsi="仿宋_GB2312" w:eastAsia="仿宋_GB2312" w:cs="仿宋_GB2312"/>
          <w:sz w:val="32"/>
          <w:szCs w:val="32"/>
          <w:lang w:bidi="ar"/>
        </w:rPr>
        <w:sectPr>
          <w:pgSz w:w="11906" w:h="16838"/>
          <w:pgMar w:top="1440" w:right="1797" w:bottom="1440" w:left="1797" w:header="851" w:footer="851" w:gutter="0"/>
          <w:pgNumType w:fmt="numberInDash"/>
          <w:cols w:space="720" w:num="1"/>
          <w:docGrid w:type="lines" w:linePitch="381" w:charSpace="0"/>
        </w:sectPr>
      </w:pPr>
      <w:r>
        <w:rPr>
          <w:rFonts w:hint="eastAsia" w:ascii="仿宋_GB2312" w:hAnsi="仿宋_GB2312" w:eastAsia="仿宋_GB2312" w:cs="仿宋_GB2312"/>
          <w:sz w:val="32"/>
          <w:szCs w:val="32"/>
          <w:lang w:bidi="ar"/>
        </w:rPr>
        <w:t>至2035年，韶关市综合立体交通网实体网总体规模合计21568公里，其中铁路网约687.1公里（高速铁路118公里，普速铁路494公里，铁路专用线75.1公里）；公路网总里程约19800公里（其中高速公路1034公里，一二级公路1810公里）；内河航道约822公里。</w:t>
      </w:r>
    </w:p>
    <w:p>
      <w:pPr>
        <w:pStyle w:val="143"/>
        <w:ind w:firstLine="640"/>
      </w:pPr>
      <w:bookmarkStart w:id="71" w:name="_Toc14466"/>
      <w:r>
        <w:rPr>
          <w:rFonts w:hint="eastAsia"/>
        </w:rPr>
        <w:t>切</w:t>
      </w:r>
      <w:r>
        <w:t>合</w:t>
      </w:r>
      <w:r>
        <w:rPr>
          <w:rFonts w:hint="eastAsia"/>
        </w:rPr>
        <w:t>时代</w:t>
      </w:r>
      <w:r>
        <w:t>的</w:t>
      </w:r>
      <w:r>
        <w:rPr>
          <w:rFonts w:hint="eastAsia"/>
        </w:rPr>
        <w:t>发展路径</w:t>
      </w:r>
      <w:bookmarkEnd w:id="71"/>
    </w:p>
    <w:p>
      <w:pPr>
        <w:pStyle w:val="144"/>
        <w:ind w:firstLine="640"/>
        <w:rPr>
          <w:rFonts w:ascii="仿宋_GB2312" w:hAnsi="仿宋_GB2312" w:eastAsia="仿宋_GB2312" w:cs="仿宋_GB2312"/>
        </w:rPr>
      </w:pPr>
      <w:r>
        <w:rPr>
          <w:rFonts w:hint="eastAsia" w:ascii="仿宋_GB2312" w:hAnsi="仿宋_GB2312" w:eastAsia="仿宋_GB2312" w:cs="仿宋_GB2312"/>
        </w:rPr>
        <w:t>韶关融湾入珠的交通支撑</w:t>
      </w:r>
    </w:p>
    <w:p>
      <w:pPr>
        <w:widowControl w:val="0"/>
        <w:snapToGrid w:val="0"/>
        <w:spacing w:line="560" w:lineRule="exact"/>
        <w:ind w:firstLine="640"/>
        <w:jc w:val="both"/>
        <w:rPr>
          <w:rFonts w:ascii="仿宋_GB2312" w:hAnsi="仿宋_GB2312" w:eastAsia="仿宋_GB2312" w:cs="仿宋_GB2312"/>
          <w:sz w:val="32"/>
          <w:szCs w:val="32"/>
          <w:lang w:bidi="ar"/>
        </w:rPr>
      </w:pPr>
      <w:r>
        <w:rPr>
          <w:rFonts w:hint="eastAsia" w:ascii="仿宋_GB2312" w:hAnsi="仿宋_GB2312" w:eastAsia="仿宋_GB2312" w:cs="仿宋_GB2312"/>
          <w:sz w:val="32"/>
          <w:szCs w:val="32"/>
          <w:lang w:bidi="ar"/>
        </w:rPr>
        <w:t>省域层面的一体化发展对具体地区提出了更高的要求,对于韶关而言综合立体交通网尚在往成熟发展的过程中,难以满足跨越发展的迫切需求,也不能支撑韶关与粤港澳大湾区的高效交通联系。韶关作为京港澳黄金通道上的节点,需要以“枢纽”的形式承担交通方式转换的功能,积极衔接上位交通规划,提高对外辐射能力,在更广阔的区域范围与其他城市进行交通功能的分工与协作,提升其在省域一体化中的地位,并带动市域其他县区组团发展。</w:t>
      </w:r>
    </w:p>
    <w:p>
      <w:pPr>
        <w:pStyle w:val="144"/>
        <w:ind w:firstLine="640"/>
        <w:rPr>
          <w:rFonts w:ascii="仿宋_GB2312" w:hAnsi="仿宋_GB2312" w:eastAsia="仿宋_GB2312" w:cs="仿宋_GB2312"/>
        </w:rPr>
      </w:pPr>
      <w:r>
        <w:rPr>
          <w:rFonts w:hint="eastAsia" w:ascii="仿宋_GB2312" w:hAnsi="仿宋_GB2312" w:eastAsia="仿宋_GB2312" w:cs="仿宋_GB2312"/>
        </w:rPr>
        <w:t>内外交通体系的一体布局</w:t>
      </w:r>
    </w:p>
    <w:p>
      <w:pPr>
        <w:widowControl w:val="0"/>
        <w:snapToGrid w:val="0"/>
        <w:spacing w:line="560" w:lineRule="exact"/>
        <w:ind w:firstLine="640"/>
        <w:jc w:val="both"/>
        <w:rPr>
          <w:rFonts w:ascii="仿宋_GB2312" w:hAnsi="仿宋_GB2312" w:eastAsia="仿宋_GB2312" w:cs="仿宋_GB2312"/>
          <w:sz w:val="32"/>
          <w:szCs w:val="32"/>
          <w:lang w:bidi="ar"/>
        </w:rPr>
      </w:pPr>
      <w:r>
        <w:rPr>
          <w:rFonts w:hint="eastAsia" w:ascii="仿宋_GB2312" w:hAnsi="仿宋_GB2312" w:eastAsia="仿宋_GB2312" w:cs="仿宋_GB2312"/>
          <w:sz w:val="32"/>
          <w:szCs w:val="32"/>
          <w:lang w:bidi="ar"/>
        </w:rPr>
        <w:t>加强韶关内外交通体系联通实现一体布局，一是要加强综合立体交通网中的对外交通系统与市域内的交通系统的联通,解决韶关对外交通廊道中的综合立体交通骨干线网与市域内支撑城镇发展的低等级交通线网联系不够紧密的问题,二是加强传统的区域交通系统与城市道路交通系统的联通，解决传统城市对外交通系统与城市道路交通系统存在冲突的问题,从而使不同级别的交通网络真正实现整合。</w:t>
      </w:r>
    </w:p>
    <w:p>
      <w:pPr>
        <w:pStyle w:val="144"/>
        <w:ind w:firstLine="640"/>
        <w:rPr>
          <w:rFonts w:ascii="仿宋_GB2312" w:hAnsi="仿宋_GB2312" w:eastAsia="仿宋_GB2312" w:cs="仿宋_GB2312"/>
        </w:rPr>
      </w:pPr>
      <w:r>
        <w:rPr>
          <w:rFonts w:hint="eastAsia" w:ascii="仿宋_GB2312" w:hAnsi="仿宋_GB2312" w:eastAsia="仿宋_GB2312" w:cs="仿宋_GB2312"/>
        </w:rPr>
        <w:t>协同国土空间的融合发展</w:t>
      </w:r>
    </w:p>
    <w:p>
      <w:pPr>
        <w:widowControl w:val="0"/>
        <w:snapToGrid w:val="0"/>
        <w:spacing w:line="560" w:lineRule="exact"/>
        <w:ind w:firstLine="640"/>
        <w:jc w:val="both"/>
        <w:rPr>
          <w:rFonts w:ascii="仿宋_GB2312" w:hAnsi="仿宋_GB2312" w:eastAsia="仿宋_GB2312" w:cs="仿宋_GB2312"/>
          <w:sz w:val="32"/>
          <w:szCs w:val="32"/>
          <w:lang w:bidi="ar"/>
        </w:rPr>
      </w:pPr>
      <w:r>
        <w:rPr>
          <w:rFonts w:hint="eastAsia" w:ascii="仿宋_GB2312" w:hAnsi="仿宋_GB2312" w:eastAsia="仿宋_GB2312" w:cs="仿宋_GB2312"/>
          <w:sz w:val="32"/>
          <w:szCs w:val="32"/>
          <w:lang w:bidi="ar"/>
        </w:rPr>
        <w:t>国土空间规划强化了“多规合一”的原则,在全局上对城市空间资源使用以及各系统对空间使用方案之间相互关系进行统筹安排,实质上形成了综合立体交通规划体系与其他中长期规划协调的政策窗口。充分利用这个政策窗口,韶关需在国土空间规划平台上对综合立体交通网规划进行必要的调整与优化,争取支撑城市发展的重大交通基础设施的空间资源配置,合理构建综合立体交通网和客货运体系,以综合立体交通骨架网络引导城乡空间发展,以多级和多式交通联运体系适应及引领区域和城乡的产业发展。</w:t>
      </w:r>
    </w:p>
    <w:p>
      <w:pPr>
        <w:pStyle w:val="143"/>
        <w:ind w:firstLine="640"/>
      </w:pPr>
      <w:r>
        <w:t xml:space="preserve"> </w:t>
      </w:r>
      <w:bookmarkStart w:id="72" w:name="_Toc14874"/>
      <w:r>
        <w:t>全面拓展</w:t>
      </w:r>
      <w:r>
        <w:rPr>
          <w:rFonts w:hint="eastAsia"/>
        </w:rPr>
        <w:t>的运输通道</w:t>
      </w:r>
      <w:bookmarkEnd w:id="72"/>
    </w:p>
    <w:p>
      <w:pPr>
        <w:widowControl w:val="0"/>
        <w:snapToGrid w:val="0"/>
        <w:spacing w:line="560" w:lineRule="exact"/>
        <w:ind w:firstLine="640"/>
        <w:jc w:val="both"/>
        <w:rPr>
          <w:rFonts w:ascii="仿宋_GB2312" w:hAnsi="仿宋_GB2312" w:eastAsia="仿宋_GB2312" w:cs="仿宋_GB2312"/>
          <w:sz w:val="32"/>
          <w:szCs w:val="32"/>
          <w:lang w:bidi="ar"/>
        </w:rPr>
      </w:pPr>
      <w:r>
        <w:rPr>
          <w:rFonts w:hint="eastAsia" w:ascii="仿宋_GB2312" w:hAnsi="仿宋_GB2312" w:eastAsia="仿宋_GB2312" w:cs="仿宋_GB2312"/>
          <w:sz w:val="32"/>
          <w:szCs w:val="32"/>
          <w:lang w:bidi="ar"/>
        </w:rPr>
        <w:t>综合运输大通道是区域之间、城市之间跨区域运输的主动脉，是支撑国土空间开发的主轴线。基于国家“六轴七廊八通道”和广东省“三横六纵两联”综合交通网主骨架，根据韶关地理区位和主要经济活动特征，结合国土空间发展格局、未来区域城镇发展定位、产业布局和交通需求空间特征，总体上形成“两纵三横”的运输通道形态结构，构建韶关快速联通广佛极核、深港极核、海西经济区、湖南、赣州和广西“六向”发展格局。</w:t>
      </w:r>
    </w:p>
    <w:p>
      <w:pPr>
        <w:widowControl w:val="0"/>
        <w:snapToGrid w:val="0"/>
        <w:spacing w:line="560" w:lineRule="exact"/>
        <w:ind w:firstLine="640"/>
        <w:jc w:val="both"/>
        <w:rPr>
          <w:rFonts w:ascii="仿宋_GB2312" w:hAnsi="仿宋_GB2312" w:eastAsia="仿宋_GB2312" w:cs="仿宋_GB2312"/>
          <w:sz w:val="32"/>
          <w:szCs w:val="32"/>
          <w:lang w:bidi="ar"/>
        </w:rPr>
      </w:pPr>
      <w:r>
        <w:rPr>
          <w:rFonts w:hint="eastAsia" w:ascii="仿宋_GB2312" w:hAnsi="仿宋_GB2312" w:eastAsia="仿宋_GB2312" w:cs="仿宋_GB2312"/>
          <w:sz w:val="32"/>
          <w:szCs w:val="32"/>
          <w:lang w:bidi="ar"/>
        </w:rPr>
        <w:t>“两纵”指京港澳通道和赣韶深通道，总体上对应国家层面“京津冀-粤港澳主轴”，落实在韶关市域予以拆分，拟强化韶关与深圳、香港的联系，实现由“联通”向“直通”转变，提升韶关融入粤港澳大湾区的力度和广度。</w:t>
      </w:r>
    </w:p>
    <w:p>
      <w:pPr>
        <w:widowControl w:val="0"/>
        <w:snapToGrid w:val="0"/>
        <w:spacing w:line="560" w:lineRule="exact"/>
        <w:ind w:firstLine="640"/>
        <w:jc w:val="both"/>
        <w:rPr>
          <w:rFonts w:ascii="仿宋_GB2312" w:hAnsi="仿宋_GB2312" w:eastAsia="仿宋_GB2312" w:cs="仿宋_GB2312"/>
          <w:sz w:val="32"/>
          <w:szCs w:val="32"/>
          <w:lang w:bidi="ar"/>
        </w:rPr>
      </w:pPr>
      <w:r>
        <w:rPr>
          <w:rFonts w:hint="eastAsia" w:ascii="仿宋_GB2312" w:hAnsi="仿宋_GB2312" w:eastAsia="仿宋_GB2312" w:cs="仿宋_GB2312"/>
          <w:sz w:val="32"/>
          <w:szCs w:val="32"/>
          <w:lang w:bidi="ar"/>
        </w:rPr>
        <w:t>“一横”指东起海西经济区，经汕潮揭地区和河源，西达广西及大西南地区的汕昆通道，通过该通道，可补齐韶关“纵强横缺”通道布局短板，实现从单一通道主要节点向复合通道重要交点转变，有效提升韶关枢纽城市能级。</w:t>
      </w:r>
    </w:p>
    <w:p>
      <w:pPr>
        <w:widowControl w:val="0"/>
        <w:snapToGrid w:val="0"/>
        <w:spacing w:line="560" w:lineRule="exact"/>
        <w:ind w:firstLine="640"/>
        <w:jc w:val="both"/>
        <w:rPr>
          <w:rFonts w:ascii="仿宋_GB2312" w:hAnsi="仿宋_GB2312" w:eastAsia="仿宋_GB2312" w:cs="仿宋_GB2312"/>
          <w:sz w:val="32"/>
          <w:szCs w:val="32"/>
          <w:lang w:bidi="ar"/>
        </w:rPr>
      </w:pPr>
      <w:r>
        <w:rPr>
          <w:rFonts w:hint="eastAsia" w:ascii="仿宋_GB2312" w:hAnsi="仿宋_GB2312" w:eastAsia="仿宋_GB2312" w:cs="仿宋_GB2312"/>
          <w:sz w:val="32"/>
          <w:szCs w:val="32"/>
          <w:lang w:bidi="ar"/>
        </w:rPr>
        <w:t>另外“两横”指两条区域性综合运输通道赣韶湘通道和环珠三角通道。加强区域通道之间的衔接，增强通道的韧性和可靠性。</w:t>
      </w:r>
    </w:p>
    <w:p>
      <w:pPr>
        <w:keepNext/>
        <w:spacing w:line="360" w:lineRule="auto"/>
        <w:ind w:firstLine="0" w:firstLineChars="0"/>
        <w:jc w:val="center"/>
      </w:pPr>
    </w:p>
    <w:p>
      <w:pPr>
        <w:widowControl w:val="0"/>
        <w:adjustRightInd w:val="0"/>
        <w:snapToGrid w:val="0"/>
        <w:spacing w:before="381" w:beforeLines="100" w:line="360" w:lineRule="auto"/>
        <w:ind w:firstLine="0" w:firstLineChars="0"/>
        <w:jc w:val="both"/>
        <w:outlineLvl w:val="0"/>
        <w:rPr>
          <w:rFonts w:ascii="黑体" w:hAnsi="黑体" w:eastAsia="黑体" w:cs="华文中宋"/>
          <w:bCs/>
          <w:sz w:val="36"/>
          <w:szCs w:val="30"/>
          <w:lang w:val="zh-CN"/>
        </w:rPr>
        <w:sectPr>
          <w:pgSz w:w="11906" w:h="16838"/>
          <w:pgMar w:top="1440" w:right="1797" w:bottom="1440" w:left="1797" w:header="851" w:footer="851" w:gutter="0"/>
          <w:pgNumType w:fmt="numberInDash"/>
          <w:cols w:space="720" w:num="1"/>
          <w:docGrid w:type="lines" w:linePitch="381" w:charSpace="0"/>
        </w:sectPr>
      </w:pPr>
    </w:p>
    <w:p>
      <w:pPr>
        <w:pStyle w:val="2"/>
        <w:spacing w:after="381"/>
        <w:rPr>
          <w:lang w:val="zh-CN"/>
        </w:rPr>
      </w:pPr>
      <w:bookmarkStart w:id="73" w:name="_Toc1039"/>
      <w:bookmarkStart w:id="74" w:name="_Hlk118208397"/>
      <w:r>
        <w:rPr>
          <w:rFonts w:hint="eastAsia"/>
          <w:lang w:val="zh-CN"/>
        </w:rPr>
        <w:t>外联内通的综合交通网络</w:t>
      </w:r>
      <w:bookmarkEnd w:id="73"/>
      <w:bookmarkEnd w:id="74"/>
    </w:p>
    <w:p>
      <w:pPr>
        <w:pStyle w:val="143"/>
        <w:ind w:firstLine="640"/>
      </w:pPr>
      <w:bookmarkStart w:id="75" w:name="_Toc27493"/>
      <w:bookmarkStart w:id="76" w:name="_Hlk118208436"/>
      <w:r>
        <w:rPr>
          <w:rFonts w:hint="eastAsia"/>
        </w:rPr>
        <w:t>“外联”畅通的骨架网</w:t>
      </w:r>
      <w:bookmarkEnd w:id="75"/>
      <w:bookmarkEnd w:id="76"/>
    </w:p>
    <w:p>
      <w:pPr>
        <w:pStyle w:val="144"/>
        <w:ind w:firstLine="640"/>
        <w:rPr>
          <w:rFonts w:ascii="仿宋_GB2312" w:hAnsi="仿宋_GB2312" w:eastAsia="仿宋_GB2312" w:cs="仿宋_GB2312"/>
        </w:rPr>
      </w:pPr>
      <w:bookmarkStart w:id="77" w:name="_Hlk118208570"/>
      <w:r>
        <w:rPr>
          <w:rFonts w:hint="eastAsia" w:ascii="仿宋_GB2312" w:hAnsi="仿宋_GB2312" w:eastAsia="仿宋_GB2312" w:cs="仿宋_GB2312"/>
        </w:rPr>
        <w:t>四通八达的高速铁路网</w:t>
      </w:r>
    </w:p>
    <w:bookmarkEnd w:id="77"/>
    <w:p>
      <w:pPr>
        <w:widowControl w:val="0"/>
        <w:snapToGrid w:val="0"/>
        <w:spacing w:line="550" w:lineRule="exact"/>
        <w:ind w:firstLine="640"/>
        <w:jc w:val="both"/>
        <w:rPr>
          <w:rFonts w:ascii="仿宋_GB2312" w:hAnsi="仿宋_GB2312" w:eastAsia="仿宋_GB2312" w:cs="仿宋_GB2312"/>
          <w:sz w:val="32"/>
          <w:szCs w:val="32"/>
          <w:lang w:bidi="ar"/>
        </w:rPr>
      </w:pPr>
      <w:bookmarkStart w:id="78" w:name="_Hlk118208596"/>
      <w:r>
        <w:rPr>
          <w:rFonts w:hint="eastAsia" w:ascii="仿宋_GB2312" w:hAnsi="仿宋_GB2312" w:eastAsia="仿宋_GB2312" w:cs="仿宋_GB2312"/>
          <w:sz w:val="32"/>
          <w:szCs w:val="32"/>
          <w:lang w:bidi="ar"/>
        </w:rPr>
        <w:t>加快建设“两横一纵”南融北联东西贯通的高速铁路网。积极推进厦昆高铁韶关段前期研究工作，争取先行开工建设厦昆高铁韶关至龙川段，填补粤北地区东西向高速铁路通道空白，构建粤东潮汕揭地区经梅州、河源龙川、韶关等粤北山区快速进入中西部地区的出省通道，支撑闽粤桂经济带建设。积极争取沪穗高铁韶关段列入国家和省相关规划，打通赣州经韶关与广州的直接联系通道，带动沿线旅游开发和经济发展，助力赣闽粤原中央苏区振兴发展。适时推动省联合相关省份，共同争取国家支持开展京港高铁第二通道前期研究工作，缓解京广高铁、广深港高铁客运交通压力，强化粤港澳大湾区与长株潭都市圈、武汉都市圈之间的高效联通，支撑韶关深度“融湾”“融深”。</w:t>
      </w:r>
    </w:p>
    <w:p>
      <w:pPr>
        <w:widowControl w:val="0"/>
        <w:snapToGrid w:val="0"/>
        <w:spacing w:line="550" w:lineRule="exact"/>
        <w:ind w:firstLine="640"/>
        <w:jc w:val="both"/>
        <w:rPr>
          <w:rFonts w:ascii="仿宋_GB2312" w:hAnsi="仿宋_GB2312" w:eastAsia="仿宋_GB2312" w:cs="仿宋_GB2312"/>
          <w:sz w:val="32"/>
          <w:szCs w:val="32"/>
          <w:lang w:bidi="ar"/>
        </w:rPr>
      </w:pPr>
      <w:r>
        <w:rPr>
          <w:rFonts w:hint="eastAsia" w:ascii="仿宋_GB2312" w:hAnsi="仿宋_GB2312" w:eastAsia="仿宋_GB2312" w:cs="仿宋_GB2312"/>
          <w:sz w:val="32"/>
          <w:szCs w:val="32"/>
          <w:lang w:bidi="ar"/>
        </w:rPr>
        <w:t>积极谋划城际轨道，融入“轨道上的大湾区”。加快推动广从轨道快线延伸至韶关新丰开展前期研究，实现韶关新丰与广州直连直通，带动沿线旅游开发和经济发展，夯实新丰作为韶关南部融入“双区”的先行区功能。适时谋划韶清（韶关至清远）城际轨道，加强沿线城市服务功能，有效缓解京广铁路通道运能紧张状况，支撑韶关城区快速连通广佛、全面融入轨道上大湾区。</w:t>
      </w:r>
    </w:p>
    <w:p>
      <w:pPr>
        <w:widowControl w:val="0"/>
        <w:snapToGrid w:val="0"/>
        <w:spacing w:line="550" w:lineRule="exact"/>
        <w:ind w:firstLine="640"/>
        <w:jc w:val="both"/>
        <w:rPr>
          <w:rFonts w:ascii="仿宋_GB2312" w:hAnsi="仿宋_GB2312" w:eastAsia="仿宋_GB2312" w:cs="仿宋_GB2312"/>
          <w:sz w:val="32"/>
          <w:szCs w:val="32"/>
          <w:lang w:bidi="ar"/>
        </w:rPr>
      </w:pPr>
    </w:p>
    <w:p>
      <w:pPr>
        <w:widowControl w:val="0"/>
        <w:snapToGrid w:val="0"/>
        <w:spacing w:line="550" w:lineRule="exact"/>
        <w:ind w:firstLine="640"/>
        <w:jc w:val="both"/>
        <w:rPr>
          <w:rFonts w:ascii="仿宋_GB2312" w:hAnsi="仿宋_GB2312" w:eastAsia="仿宋_GB2312" w:cs="仿宋_GB2312"/>
          <w:sz w:val="32"/>
          <w:szCs w:val="32"/>
          <w:lang w:bidi="ar"/>
        </w:rPr>
      </w:pPr>
    </w:p>
    <w:bookmarkEnd w:id="78"/>
    <w:p>
      <w:pPr>
        <w:pStyle w:val="144"/>
        <w:ind w:firstLine="640"/>
        <w:rPr>
          <w:rFonts w:ascii="仿宋_GB2312" w:hAnsi="仿宋_GB2312" w:eastAsia="仿宋_GB2312" w:cs="仿宋_GB2312"/>
        </w:rPr>
      </w:pPr>
      <w:bookmarkStart w:id="79" w:name="_Hlk118208840"/>
      <w:r>
        <w:rPr>
          <w:rFonts w:hint="eastAsia" w:ascii="仿宋_GB2312" w:hAnsi="仿宋_GB2312" w:eastAsia="仿宋_GB2312" w:cs="仿宋_GB2312"/>
        </w:rPr>
        <w:t>复合多廊的高速公路网</w:t>
      </w:r>
    </w:p>
    <w:bookmarkEnd w:id="79"/>
    <w:p>
      <w:pPr>
        <w:widowControl w:val="0"/>
        <w:spacing w:line="560" w:lineRule="exact"/>
        <w:ind w:firstLine="640"/>
        <w:jc w:val="both"/>
        <w:rPr>
          <w:rFonts w:ascii="仿宋_GB2312" w:hAnsi="仿宋_GB2312" w:eastAsia="仿宋_GB2312" w:cs="仿宋_GB2312"/>
          <w:sz w:val="32"/>
          <w:szCs w:val="32"/>
          <w:lang w:bidi="ar"/>
        </w:rPr>
      </w:pPr>
      <w:bookmarkStart w:id="80" w:name="_Hlk118208887"/>
      <w:r>
        <w:rPr>
          <w:rFonts w:hint="eastAsia" w:ascii="仿宋_GB2312" w:hAnsi="仿宋_GB2312" w:eastAsia="仿宋_GB2312" w:cs="仿宋_GB2312"/>
          <w:sz w:val="32"/>
          <w:szCs w:val="32"/>
          <w:lang w:bidi="ar"/>
        </w:rPr>
        <w:t>加快打造“五纵五横一环二联”高速公路网，规划总里程约1210公里，推动韶关未来构建5条高速公路大通道高效融入粤港澳大湾区，4条高速公路大通道辐射湖南，以及5条高速公路大通道辐射江西的新格局。</w:t>
      </w:r>
    </w:p>
    <w:p>
      <w:pPr>
        <w:widowControl w:val="0"/>
        <w:spacing w:line="560" w:lineRule="exact"/>
        <w:ind w:firstLine="640"/>
        <w:jc w:val="both"/>
        <w:rPr>
          <w:rFonts w:ascii="仿宋_GB2312" w:hAnsi="仿宋_GB2312" w:eastAsia="仿宋_GB2312" w:cs="仿宋_GB2312"/>
          <w:sz w:val="32"/>
          <w:szCs w:val="32"/>
          <w:lang w:bidi="ar"/>
        </w:rPr>
      </w:pPr>
      <w:r>
        <w:rPr>
          <w:rFonts w:hint="eastAsia" w:ascii="仿宋_GB2312" w:hAnsi="仿宋_GB2312" w:eastAsia="仿宋_GB2312" w:cs="仿宋_GB2312"/>
          <w:sz w:val="32"/>
          <w:szCs w:val="32"/>
          <w:lang w:bidi="ar"/>
        </w:rPr>
        <w:t>积极推动韶关至连州高速建设，打通粵、桂、赣三省间的省际通道，填补粤北地区横向高速公路的空缺。加快建成信丰（省界）至南雄高速，适时开展韶关至江西（全南）高速、井雄全高速、里乐高速等远景展望高速公路前期研究工作，推进韶赣湘区域高速公路进一步加密成网，加快赣闽粤原中央苏区融入粤港澳大湾区发展的步伐，助力“湘赣+湾区”联动发展。积极推动南雄至乐昌高速开工建设，打通韶关北部三县南雄、仁化、乐昌之间快速联系通道，促进沿线旅游资源开发，支撑长征国家文化公园建设。积极推动韶关丹霞机场高速开展前期研究，建设韶关丹霞机场集疏运高速通道，拓展机场对外辐射范围，强化空港物流园区等沿线产业组团的联系。</w:t>
      </w:r>
    </w:p>
    <w:bookmarkEnd w:id="80"/>
    <w:p>
      <w:pPr>
        <w:pStyle w:val="144"/>
        <w:ind w:firstLine="640"/>
        <w:rPr>
          <w:rFonts w:ascii="仿宋_GB2312" w:hAnsi="仿宋_GB2312" w:eastAsia="仿宋_GB2312" w:cs="仿宋_GB2312"/>
        </w:rPr>
      </w:pPr>
      <w:bookmarkStart w:id="81" w:name="_Hlk118209149"/>
      <w:r>
        <w:rPr>
          <w:rFonts w:hint="eastAsia" w:ascii="仿宋_GB2312" w:hAnsi="仿宋_GB2312" w:eastAsia="仿宋_GB2312" w:cs="仿宋_GB2312"/>
        </w:rPr>
        <w:t>干支联动的干线航道网</w:t>
      </w:r>
    </w:p>
    <w:bookmarkEnd w:id="81"/>
    <w:p>
      <w:pPr>
        <w:widowControl w:val="0"/>
        <w:spacing w:line="560" w:lineRule="exact"/>
        <w:ind w:firstLine="640"/>
        <w:jc w:val="both"/>
        <w:rPr>
          <w:rFonts w:ascii="仿宋_GB2312" w:hAnsi="仿宋_GB2312" w:eastAsia="仿宋_GB2312" w:cs="仿宋_GB2312"/>
          <w:sz w:val="32"/>
          <w:szCs w:val="32"/>
          <w:lang w:bidi="ar"/>
        </w:rPr>
      </w:pPr>
      <w:bookmarkStart w:id="82" w:name="_Hlk118209185"/>
      <w:r>
        <w:rPr>
          <w:rFonts w:hint="eastAsia" w:ascii="仿宋_GB2312" w:hAnsi="仿宋_GB2312" w:eastAsia="仿宋_GB2312" w:cs="仿宋_GB2312"/>
          <w:sz w:val="32"/>
          <w:szCs w:val="32"/>
          <w:lang w:bidi="ar"/>
        </w:rPr>
        <w:t>以《广东省航道发展规划（2020-2035）年）》为指引，以保护航道资源、建设现代化航道、服务区域经济为宗旨，牢牢把握水上南北大通道赣粤运河战略机遇，切实做好韶关地区航道的规划、建设和养护管理工作，实现航道的合理有序开发，打造韶关北江、武江、浈江黄金水道，锦江等绿色航道发展新格局。规划至2035年内河航道总里程为822公里。适时推进重要干线零碳水上服务区建设，兼顾实现低能耗低污染、方便船民生活、促进航运生产，着力打造绿色、节能、低碳水上服务区，形成绿色港航新发展格局。</w:t>
      </w:r>
    </w:p>
    <w:bookmarkEnd w:id="82"/>
    <w:p>
      <w:pPr>
        <w:pStyle w:val="143"/>
        <w:ind w:firstLine="640"/>
      </w:pPr>
      <w:bookmarkStart w:id="83" w:name="_Hlk118209272"/>
      <w:bookmarkStart w:id="84" w:name="_Toc4461"/>
      <w:r>
        <w:rPr>
          <w:rFonts w:hint="eastAsia"/>
        </w:rPr>
        <w:t>“内通”畅顺的干线网</w:t>
      </w:r>
      <w:bookmarkEnd w:id="83"/>
      <w:bookmarkEnd w:id="84"/>
    </w:p>
    <w:p>
      <w:pPr>
        <w:pStyle w:val="144"/>
        <w:ind w:firstLine="640"/>
        <w:rPr>
          <w:rFonts w:ascii="仿宋_GB2312" w:hAnsi="仿宋_GB2312" w:eastAsia="仿宋_GB2312" w:cs="仿宋_GB2312"/>
        </w:rPr>
      </w:pPr>
      <w:bookmarkStart w:id="85" w:name="_Hlk118209363"/>
      <w:r>
        <w:rPr>
          <w:rFonts w:hint="eastAsia" w:ascii="仿宋_GB2312" w:hAnsi="仿宋_GB2312" w:eastAsia="仿宋_GB2312" w:cs="仿宋_GB2312"/>
        </w:rPr>
        <w:t>衔接顺畅的城市道路网</w:t>
      </w:r>
    </w:p>
    <w:bookmarkEnd w:id="85"/>
    <w:p>
      <w:pPr>
        <w:widowControl w:val="0"/>
        <w:snapToGrid w:val="0"/>
        <w:spacing w:line="560" w:lineRule="exact"/>
        <w:ind w:firstLine="640"/>
        <w:jc w:val="both"/>
        <w:rPr>
          <w:rFonts w:ascii="仿宋_GB2312" w:hAnsi="仿宋_GB2312" w:eastAsia="仿宋_GB2312" w:cs="仿宋_GB2312"/>
          <w:sz w:val="32"/>
          <w:szCs w:val="32"/>
          <w:lang w:bidi="ar"/>
        </w:rPr>
      </w:pPr>
      <w:bookmarkStart w:id="86" w:name="_Hlk118209391"/>
      <w:r>
        <w:rPr>
          <w:rFonts w:hint="eastAsia" w:ascii="仿宋_GB2312" w:hAnsi="仿宋_GB2312" w:eastAsia="仿宋_GB2312" w:cs="仿宋_GB2312"/>
          <w:sz w:val="32"/>
          <w:szCs w:val="32"/>
          <w:lang w:bidi="ar"/>
        </w:rPr>
        <w:t>依据韶关中心城区地形地貌、功能布局等特点,对外构建“双环+放射”的快速路网，加强中心城区对外的快速联系；城区内构筑“三横四纵”的城市骨干交通网络，加强新城中心、老城中心、曲江副中心以及各组团之间的快速联系，实现10分钟重要组团内部顺畅联系，30分钟中心城区内部便捷联系，45分钟市域各城镇间快速联系。</w:t>
      </w:r>
    </w:p>
    <w:bookmarkEnd w:id="86"/>
    <w:p>
      <w:pPr>
        <w:pStyle w:val="144"/>
        <w:ind w:firstLine="640"/>
        <w:rPr>
          <w:rFonts w:ascii="仿宋_GB2312" w:hAnsi="仿宋_GB2312" w:eastAsia="仿宋_GB2312" w:cs="仿宋_GB2312"/>
        </w:rPr>
      </w:pPr>
      <w:r>
        <w:rPr>
          <w:rFonts w:hint="eastAsia" w:ascii="仿宋_GB2312" w:hAnsi="仿宋_GB2312" w:eastAsia="仿宋_GB2312" w:cs="仿宋_GB2312"/>
        </w:rPr>
        <w:t>泛在均衡的干线公路网</w:t>
      </w:r>
    </w:p>
    <w:p>
      <w:pPr>
        <w:widowControl w:val="0"/>
        <w:snapToGrid w:val="0"/>
        <w:spacing w:line="560" w:lineRule="exact"/>
        <w:ind w:firstLine="640"/>
        <w:jc w:val="both"/>
        <w:rPr>
          <w:rFonts w:ascii="仿宋_GB2312" w:hAnsi="仿宋_GB2312" w:eastAsia="仿宋_GB2312" w:cs="仿宋_GB2312"/>
          <w:sz w:val="32"/>
          <w:szCs w:val="32"/>
          <w:lang w:bidi="ar"/>
        </w:rPr>
      </w:pPr>
      <w:r>
        <w:rPr>
          <w:rFonts w:hint="eastAsia" w:ascii="仿宋_GB2312" w:hAnsi="仿宋_GB2312" w:eastAsia="仿宋_GB2312" w:cs="仿宋_GB2312"/>
          <w:sz w:val="32"/>
          <w:szCs w:val="32"/>
          <w:lang w:bidi="ar"/>
        </w:rPr>
        <w:t>以国土空间规划和经济社会发展规划为指引，</w:t>
      </w:r>
      <w:bookmarkStart w:id="87" w:name="_Hlk110523539"/>
      <w:r>
        <w:rPr>
          <w:rFonts w:hint="eastAsia" w:ascii="仿宋_GB2312" w:hAnsi="仿宋_GB2312" w:eastAsia="仿宋_GB2312" w:cs="仿宋_GB2312"/>
          <w:sz w:val="32"/>
          <w:szCs w:val="32"/>
          <w:lang w:bidi="ar"/>
        </w:rPr>
        <w:t>以促进城镇空间结构优化发展为根本目标，以优化组团间联系为核心任务，综合考虑韶关各县（市、区）行政单元空间分布特征，通过对国道、省道和重要干线进行增量调整和存量升级，疏通干线公路的“瓶颈路段”，打通毗邻市、毗邻县、组团与组团、毗邻镇之间的“断头路”，</w:t>
      </w:r>
      <w:bookmarkEnd w:id="87"/>
      <w:bookmarkStart w:id="88" w:name="_Hlk110523484"/>
      <w:r>
        <w:rPr>
          <w:rFonts w:hint="eastAsia" w:ascii="仿宋_GB2312" w:hAnsi="仿宋_GB2312" w:eastAsia="仿宋_GB2312" w:cs="仿宋_GB2312"/>
          <w:sz w:val="32"/>
          <w:szCs w:val="32"/>
          <w:lang w:bidi="ar"/>
        </w:rPr>
        <w:t>规划韶关普通干线公路总体形成“一环八射二联”的主骨架网络为主，未纳入主骨架的国道、省道以及部分县道组成的集散层为辅的布局形态，其中普通干线公路主骨架总里程1383.2公里，重复里程290.4公里。</w:t>
      </w:r>
      <w:bookmarkEnd w:id="88"/>
    </w:p>
    <w:p>
      <w:pPr>
        <w:pStyle w:val="144"/>
        <w:ind w:firstLine="640"/>
        <w:rPr>
          <w:rFonts w:ascii="仿宋_GB2312" w:hAnsi="仿宋_GB2312" w:eastAsia="仿宋_GB2312" w:cs="仿宋_GB2312"/>
        </w:rPr>
      </w:pPr>
      <w:r>
        <w:rPr>
          <w:rFonts w:hint="eastAsia" w:ascii="仿宋_GB2312" w:hAnsi="仿宋_GB2312" w:eastAsia="仿宋_GB2312" w:cs="仿宋_GB2312"/>
        </w:rPr>
        <w:t>融合并举的普速铁路网</w:t>
      </w:r>
    </w:p>
    <w:p>
      <w:pPr>
        <w:widowControl w:val="0"/>
        <w:spacing w:line="560" w:lineRule="exact"/>
        <w:ind w:firstLine="640"/>
        <w:jc w:val="both"/>
        <w:rPr>
          <w:rFonts w:ascii="仿宋_GB2312" w:hAnsi="仿宋_GB2312" w:eastAsia="仿宋_GB2312" w:cs="仿宋_GB2312"/>
          <w:sz w:val="32"/>
          <w:szCs w:val="32"/>
          <w:lang w:bidi="ar"/>
        </w:rPr>
      </w:pPr>
      <w:r>
        <w:rPr>
          <w:rFonts w:hint="eastAsia" w:ascii="仿宋_GB2312" w:hAnsi="仿宋_GB2312" w:eastAsia="仿宋_GB2312" w:cs="仿宋_GB2312"/>
          <w:bCs/>
          <w:sz w:val="32"/>
          <w:szCs w:val="32"/>
          <w:lang w:bidi="ar"/>
        </w:rPr>
        <w:t>强化普速铁路货运功能</w:t>
      </w:r>
      <w:r>
        <w:rPr>
          <w:rFonts w:hint="eastAsia" w:ascii="仿宋_GB2312" w:hAnsi="仿宋_GB2312" w:eastAsia="仿宋_GB2312" w:cs="仿宋_GB2312"/>
          <w:sz w:val="32"/>
          <w:szCs w:val="32"/>
          <w:lang w:bidi="ar"/>
        </w:rPr>
        <w:t>，提升韶关地区性铁路枢纽地位。加快推动赣韶铁路扩能升级，释放普速铁路货运功能，提高通行能力，强化珠三角、北部湾地区与长三角、海西地区之间的联系；积极推动韶柳铁路韶关段前期研究工作，打通横贯福建、江西、广东、广西、贵州的东西铁路大动脉，大大改善粤北和桂北民族地区区位条件和交通条件；加快推动韶龙铁路韶关段前期研究工作，构建粤北与粤东地区的便捷联系通道，为韶关南部融湾先行发展区产业合理布局提供重要支撑。</w:t>
      </w:r>
    </w:p>
    <w:p>
      <w:pPr>
        <w:widowControl w:val="0"/>
        <w:spacing w:line="560" w:lineRule="exact"/>
        <w:ind w:firstLine="640"/>
        <w:jc w:val="both"/>
        <w:rPr>
          <w:rFonts w:ascii="仿宋_GB2312" w:hAnsi="仿宋_GB2312" w:eastAsia="仿宋_GB2312" w:cs="仿宋_GB2312"/>
          <w:sz w:val="32"/>
          <w:szCs w:val="32"/>
          <w:lang w:bidi="ar"/>
        </w:rPr>
      </w:pPr>
      <w:r>
        <w:rPr>
          <w:rFonts w:hint="eastAsia" w:ascii="仿宋_GB2312" w:hAnsi="仿宋_GB2312" w:eastAsia="仿宋_GB2312" w:cs="仿宋_GB2312"/>
          <w:bCs/>
          <w:sz w:val="32"/>
          <w:szCs w:val="32"/>
          <w:lang w:bidi="ar"/>
        </w:rPr>
        <w:t>拓展支线铁路服务覆盖范围，</w:t>
      </w:r>
      <w:r>
        <w:rPr>
          <w:rFonts w:hint="eastAsia" w:ascii="仿宋_GB2312" w:hAnsi="仿宋_GB2312" w:eastAsia="仿宋_GB2312" w:cs="仿宋_GB2312"/>
          <w:sz w:val="32"/>
          <w:szCs w:val="32"/>
          <w:lang w:bidi="ar"/>
        </w:rPr>
        <w:t>重点完善韶关北江港区集疏港铁路网，加快推进白土港铁路专用线、乌石港铁路专用线等项目建设，实现铁水联运，夯实韶关港作为广东内河地区性重要港口地位，提升运输体系效率、助推产业转型升级。到2035年，韶关基本建成“四干二支”干支相依普速铁路网，总里程约572.65公里。</w:t>
      </w:r>
    </w:p>
    <w:p>
      <w:pPr>
        <w:pStyle w:val="143"/>
        <w:ind w:firstLine="640"/>
      </w:pPr>
      <w:bookmarkStart w:id="89" w:name="_Toc18470"/>
      <w:r>
        <w:rPr>
          <w:rFonts w:hint="eastAsia"/>
        </w:rPr>
        <w:t>“广泛”畅达的基础网</w:t>
      </w:r>
      <w:bookmarkEnd w:id="89"/>
    </w:p>
    <w:p>
      <w:pPr>
        <w:pStyle w:val="144"/>
        <w:ind w:firstLine="640"/>
        <w:rPr>
          <w:rFonts w:ascii="仿宋_GB2312" w:hAnsi="仿宋_GB2312" w:eastAsia="仿宋_GB2312" w:cs="仿宋_GB2312"/>
        </w:rPr>
      </w:pPr>
      <w:r>
        <w:rPr>
          <w:rFonts w:hint="eastAsia" w:ascii="仿宋_GB2312" w:hAnsi="仿宋_GB2312" w:eastAsia="仿宋_GB2312" w:cs="仿宋_GB2312"/>
        </w:rPr>
        <w:t>密织惠民的农村公路网</w:t>
      </w:r>
    </w:p>
    <w:p>
      <w:pPr>
        <w:widowControl w:val="0"/>
        <w:spacing w:line="560" w:lineRule="exact"/>
        <w:ind w:firstLine="640"/>
        <w:jc w:val="both"/>
        <w:rPr>
          <w:rFonts w:ascii="仿宋_GB2312" w:hAnsi="仿宋_GB2312" w:eastAsia="仿宋_GB2312" w:cs="仿宋_GB2312"/>
          <w:sz w:val="32"/>
          <w:szCs w:val="32"/>
          <w:lang w:bidi="ar"/>
        </w:rPr>
      </w:pPr>
      <w:r>
        <w:rPr>
          <w:rFonts w:hint="eastAsia" w:ascii="仿宋_GB2312" w:hAnsi="仿宋_GB2312" w:eastAsia="仿宋_GB2312" w:cs="仿宋_GB2312"/>
          <w:sz w:val="32"/>
          <w:szCs w:val="32"/>
          <w:lang w:bidi="ar"/>
        </w:rPr>
        <w:t>构建高品质农村公路网络。到2035年，形成“规模结构合理、设施品质优良、治理规范有效、运输服务优质”的农村公路交通运输体系，农村公路网络化水平显著提高，农业园区及3A级旅游景区通二级或以上等级道路，镇到镇(乡)、连接高速公路的农村公路三级及以上等级公路比例达100%， 衔接国省道的农村公路四级(双车道)及以上等级公路比例达100%，建制村通村公路、产业路双车道比例达到100%。到2050年，全面建成与农业农村现代化发展相适应、与生态环境和乡村文化相协调、与现代信息通信技术相融合、安全便捷绿色美丽的农村公路交通运输体系，农村交通更加安全便捷、智能高效、绿色低碳，充分满足广大群众对美好出行的需求，保障乡村全面振兴。</w:t>
      </w:r>
    </w:p>
    <w:p>
      <w:pPr>
        <w:widowControl w:val="0"/>
        <w:spacing w:line="560" w:lineRule="exact"/>
        <w:ind w:firstLine="640"/>
        <w:jc w:val="both"/>
        <w:rPr>
          <w:rFonts w:ascii="仿宋_GB2312" w:hAnsi="仿宋_GB2312" w:eastAsia="仿宋_GB2312" w:cs="仿宋_GB2312"/>
          <w:sz w:val="32"/>
          <w:szCs w:val="32"/>
          <w:lang w:bidi="ar"/>
        </w:rPr>
      </w:pPr>
      <w:r>
        <w:rPr>
          <w:rFonts w:hint="eastAsia" w:ascii="仿宋_GB2312" w:hAnsi="仿宋_GB2312" w:eastAsia="仿宋_GB2312" w:cs="仿宋_GB2312"/>
          <w:sz w:val="32"/>
          <w:szCs w:val="32"/>
          <w:lang w:bidi="ar"/>
        </w:rPr>
        <w:t>打造乡村振兴精品路线，以精品路线统筹农村经济、资源、产业、旅游，改善农村地区景点景区、产业园区和特色农业基地等对外交通条件，补齐农业农村发展短板，推动乡村产业向高质量转型，使广大群众也享有更多获得感、幸福感、安全感。紧密围绕韶关产业转型升级示范区、一大批国家级与省级现代农业产业园规划建设，重点谋划一批产业致富路，解决产业园区对外通道需求，形成“一路通、百业兴”发展景象。紧密结合韶关旅游资源禀赋，融路入景，重点加强广东南岭国家公园内部和对外交通联系，打通粤北生态发展区旅游景点最后一公里；创建一批乡村振兴精品示范农村公路，加快打造“一路一风景”、“一村一幅画”美丽画卷。</w:t>
      </w:r>
    </w:p>
    <w:p>
      <w:pPr>
        <w:pStyle w:val="144"/>
        <w:ind w:firstLine="640"/>
        <w:rPr>
          <w:rFonts w:ascii="仿宋_GB2312" w:hAnsi="仿宋_GB2312" w:eastAsia="仿宋_GB2312" w:cs="仿宋_GB2312"/>
        </w:rPr>
      </w:pPr>
      <w:r>
        <w:rPr>
          <w:rFonts w:hint="eastAsia" w:ascii="仿宋_GB2312" w:hAnsi="仿宋_GB2312" w:eastAsia="仿宋_GB2312" w:cs="仿宋_GB2312"/>
        </w:rPr>
        <w:t>便捷普适的邮政快递网</w:t>
      </w:r>
    </w:p>
    <w:p>
      <w:pPr>
        <w:widowControl w:val="0"/>
        <w:spacing w:line="560" w:lineRule="exact"/>
        <w:ind w:firstLine="640"/>
        <w:jc w:val="both"/>
        <w:rPr>
          <w:rFonts w:ascii="仿宋_GB2312" w:hAnsi="仿宋_GB2312" w:eastAsia="仿宋_GB2312" w:cs="仿宋_GB2312"/>
          <w:sz w:val="32"/>
          <w:szCs w:val="32"/>
          <w:lang w:bidi="ar"/>
        </w:rPr>
      </w:pPr>
      <w:r>
        <w:rPr>
          <w:rFonts w:hint="eastAsia" w:ascii="仿宋_GB2312" w:hAnsi="仿宋_GB2312" w:eastAsia="仿宋_GB2312" w:cs="仿宋_GB2312"/>
          <w:sz w:val="32"/>
          <w:szCs w:val="32"/>
          <w:lang w:bidi="ar"/>
        </w:rPr>
        <w:t>加强邮政快递枢纽节点建设，夯实国家二级快递物流园区节点城市基础。加强邮政快递基础设施与高速公路、铁路、航空等交通设施以及与工业园区、农业产业园、商贸集散地的统筹布局。依托韶关丹霞机场空港国际物流园，吸引国内外知名快递企业进驻，发展高端航空快递物流服务；依托韶关站、乐昌东站等综合枢纽建设高铁快件集散中心，实现快件“上机”、“上车”。依托集散性货运枢纽（物流园），预留操作场站、安全检查等邮政快递处理设施用地，建设一批县级邮政快递分拨中心，打造中心城区邮政普遍服务和快递网点覆盖十五分钟生活圈。完善末端物流配送节点，提高各县区服务设施覆盖密度，鼓励中心商圈、步行街、商业街等建设公共仓配中心；争取实现符合条件的建制村每村至少设置一个村级寄递物流综合服务站，实现镇镇有网点，村村通快递。城乡末端网点加强智能快件箱等设施布局，有条件地区积极推广无人机、无人车等无人配送形式。</w:t>
      </w:r>
    </w:p>
    <w:p>
      <w:pPr>
        <w:widowControl w:val="0"/>
        <w:spacing w:line="560" w:lineRule="exact"/>
        <w:ind w:firstLine="640"/>
        <w:jc w:val="both"/>
        <w:rPr>
          <w:rFonts w:ascii="仿宋_GB2312" w:hAnsi="仿宋_GB2312" w:eastAsia="仿宋_GB2312" w:cs="仿宋_GB2312"/>
          <w:sz w:val="32"/>
          <w:szCs w:val="32"/>
          <w:lang w:bidi="ar"/>
        </w:rPr>
      </w:pPr>
      <w:r>
        <w:rPr>
          <w:rFonts w:hint="eastAsia" w:ascii="仿宋_GB2312" w:hAnsi="仿宋_GB2312" w:eastAsia="仿宋_GB2312" w:cs="仿宋_GB2312"/>
          <w:sz w:val="32"/>
          <w:szCs w:val="32"/>
          <w:lang w:bidi="ar"/>
        </w:rPr>
        <w:t>建设普惠城乡、衔接高效的邮政快递网络。构建覆盖城乡、配套衔接、布局合理、便民惠民的邮政、快递骨干网和末端投递网，对外依托航空、铁路、高速公路构建面向全国、国际的干线寄递通道；对内依托国省干线、城市道路、农村公路网，加强交邮融合，加快建设县、乡（镇）、村三级农村物流体系，不断完善面向社区、村组的寄递服务体系。健全农村物流网络，打通快递下乡进村“最后一公里”，充分利用农村和社区综合服务站、邮政网点、村邮站、供销社等公共服务平台及企业自办等资源建立“快递下乡”专线，使快递服务网络有序向农村地区延伸。</w:t>
      </w:r>
    </w:p>
    <w:p>
      <w:pPr>
        <w:pStyle w:val="144"/>
        <w:ind w:firstLine="640"/>
        <w:rPr>
          <w:rFonts w:ascii="仿宋_GB2312" w:hAnsi="仿宋_GB2312" w:eastAsia="仿宋_GB2312" w:cs="仿宋_GB2312"/>
          <w:lang w:val="en-US"/>
        </w:rPr>
      </w:pPr>
      <w:r>
        <w:rPr>
          <w:rFonts w:hint="eastAsia" w:ascii="仿宋_GB2312" w:hAnsi="仿宋_GB2312" w:eastAsia="仿宋_GB2312" w:cs="仿宋_GB2312"/>
        </w:rPr>
        <w:t>能力充裕的天然气管网</w:t>
      </w:r>
    </w:p>
    <w:p>
      <w:pPr>
        <w:widowControl w:val="0"/>
        <w:snapToGrid w:val="0"/>
        <w:spacing w:line="560" w:lineRule="exact"/>
        <w:ind w:firstLine="640"/>
        <w:jc w:val="both"/>
        <w:rPr>
          <w:rFonts w:ascii="仿宋_GB2312" w:hAnsi="仿宋_GB2312" w:eastAsia="仿宋_GB2312" w:cs="仿宋_GB2312"/>
          <w:sz w:val="32"/>
          <w:szCs w:val="32"/>
          <w:lang w:bidi="ar"/>
        </w:rPr>
      </w:pPr>
      <w:r>
        <w:rPr>
          <w:rFonts w:hint="eastAsia" w:ascii="仿宋_GB2312" w:hAnsi="仿宋_GB2312" w:eastAsia="仿宋_GB2312" w:cs="仿宋_GB2312"/>
          <w:sz w:val="32"/>
          <w:szCs w:val="32"/>
          <w:lang w:bidi="ar"/>
        </w:rPr>
        <w:t>以韶关市天然气需求分布为导向，结合广东省天然气输配网络，加快市域天然气管道规划布局。规划建设乐昌天然气支干线(乐昌支线及坪石镇支线)、乳源支干线(韶关-乳源项目)、仁化支线、始兴支线、南雄支线、曲江支线、翁源支线、新丰专线等8条“县县通”管道，提升资源保障能力，实现韶关市天然气主干管网“县县通”。远期在全市“县县通”的基础上，推进天然气管道“镇镇通”、“村村通”。推进市域各县区、开发区、高新区、主要工业园区及重点企业等支线管道建设，实现天然气支线全覆盖。</w:t>
      </w:r>
      <w:bookmarkStart w:id="90" w:name="_Toc12987"/>
    </w:p>
    <w:p>
      <w:pPr>
        <w:pStyle w:val="143"/>
        <w:ind w:firstLine="640" w:firstLineChars="200"/>
      </w:pPr>
      <w:r>
        <w:rPr>
          <w:rFonts w:hint="eastAsia"/>
        </w:rPr>
        <w:t>“特色”畅享的交旅网</w:t>
      </w:r>
      <w:bookmarkEnd w:id="90"/>
    </w:p>
    <w:p>
      <w:pPr>
        <w:widowControl w:val="0"/>
        <w:spacing w:line="560" w:lineRule="exact"/>
        <w:ind w:firstLine="640"/>
        <w:jc w:val="both"/>
        <w:rPr>
          <w:rFonts w:ascii="仿宋_GB2312" w:hAnsi="仿宋_GB2312" w:eastAsia="仿宋_GB2312" w:cs="仿宋_GB2312"/>
          <w:sz w:val="32"/>
          <w:szCs w:val="32"/>
          <w:lang w:bidi="ar"/>
        </w:rPr>
      </w:pPr>
      <w:r>
        <w:rPr>
          <w:rFonts w:hint="eastAsia" w:ascii="仿宋_GB2312" w:hAnsi="仿宋_GB2312" w:eastAsia="仿宋_GB2312" w:cs="仿宋_GB2312"/>
          <w:sz w:val="32"/>
          <w:szCs w:val="32"/>
          <w:lang w:bidi="ar"/>
        </w:rPr>
        <w:t>韶关旅游交通网，要构建“快进慢游”全域旅游交通体系，打造特色旅游公路网、绿色航道网两张特色旅游交通网，提升旅游设施服务水平、景观环保水平、旅游信息服务水平等三项水平，重振韶关旅游风采，支撑韶关旅游产业在规模、质量、效益达到国内领先水平，打造国内知名旅游目的地。</w:t>
      </w:r>
    </w:p>
    <w:p>
      <w:pPr>
        <w:pStyle w:val="144"/>
        <w:ind w:firstLine="640"/>
        <w:rPr>
          <w:rFonts w:ascii="仿宋_GB2312" w:hAnsi="仿宋_GB2312" w:eastAsia="仿宋_GB2312" w:cs="仿宋_GB2312"/>
        </w:rPr>
      </w:pPr>
      <w:bookmarkStart w:id="91" w:name="_Hlk106802038"/>
      <w:bookmarkStart w:id="92" w:name="_Hlk110613706"/>
      <w:r>
        <w:rPr>
          <w:rFonts w:hint="eastAsia" w:ascii="仿宋_GB2312" w:hAnsi="仿宋_GB2312" w:eastAsia="仿宋_GB2312" w:cs="仿宋_GB2312"/>
        </w:rPr>
        <w:t>锦绣韶关的全域交旅网</w:t>
      </w:r>
    </w:p>
    <w:bookmarkEnd w:id="91"/>
    <w:p>
      <w:pPr>
        <w:widowControl w:val="0"/>
        <w:spacing w:line="560" w:lineRule="exact"/>
        <w:ind w:firstLine="640"/>
        <w:jc w:val="both"/>
        <w:rPr>
          <w:rFonts w:ascii="仿宋_GB2312" w:hAnsi="仿宋_GB2312" w:eastAsia="仿宋_GB2312" w:cs="仿宋_GB2312"/>
          <w:sz w:val="32"/>
          <w:szCs w:val="32"/>
          <w:lang w:bidi="ar"/>
        </w:rPr>
      </w:pPr>
      <w:r>
        <w:rPr>
          <w:rFonts w:hint="eastAsia" w:ascii="仿宋_GB2312" w:hAnsi="仿宋_GB2312" w:eastAsia="仿宋_GB2312" w:cs="仿宋_GB2312"/>
          <w:sz w:val="32"/>
          <w:szCs w:val="32"/>
          <w:lang w:bidi="ar"/>
        </w:rPr>
        <w:t>依托韶关丹霞机场、高铁、高速公路等构建贯穿全市的“快进”综合交通主骨架，重点规划厦昆高铁、韶贺高速韶关段、丹霞机场高速等，提升韶关市主要旅游景点的通达性和便捷性，实现游客远距离快速进出目的地。依托国省道、县乡道、景区直达道路、旅游公路、通用航空、水运等，构建与沿线旅游景点、旅游特色村紧密结合的多方式多层次“慢游”支线网络，重点推进连通丹霞山、南华寺、南岭、珠玑古巷等重点景区的旅游公路建设，实现韶关城区通往丹霞山、南华寺道路达到一级公路标准，县城通往4A级旅游景区道路达到二级公路标准，县城通往其他重要旅游景区道路达到三级以上公路标准。</w:t>
      </w:r>
    </w:p>
    <w:bookmarkEnd w:id="92"/>
    <w:p>
      <w:pPr>
        <w:pStyle w:val="144"/>
        <w:ind w:firstLine="640"/>
        <w:rPr>
          <w:rFonts w:ascii="仿宋_GB2312" w:hAnsi="仿宋_GB2312" w:eastAsia="仿宋_GB2312" w:cs="仿宋_GB2312"/>
        </w:rPr>
      </w:pPr>
      <w:r>
        <w:rPr>
          <w:rFonts w:hint="eastAsia" w:ascii="仿宋_GB2312" w:hAnsi="仿宋_GB2312" w:eastAsia="仿宋_GB2312" w:cs="仿宋_GB2312"/>
        </w:rPr>
        <w:t>线性画廊的旅游公路网</w:t>
      </w:r>
    </w:p>
    <w:p>
      <w:pPr>
        <w:widowControl w:val="0"/>
        <w:spacing w:line="560" w:lineRule="exact"/>
        <w:ind w:firstLine="640"/>
        <w:jc w:val="both"/>
        <w:rPr>
          <w:rFonts w:ascii="仿宋_GB2312" w:hAnsi="仿宋_GB2312" w:eastAsia="仿宋_GB2312" w:cs="仿宋_GB2312"/>
          <w:sz w:val="32"/>
          <w:szCs w:val="32"/>
          <w:lang w:bidi="ar"/>
        </w:rPr>
      </w:pPr>
      <w:r>
        <w:rPr>
          <w:rFonts w:hint="eastAsia" w:ascii="仿宋_GB2312" w:hAnsi="仿宋_GB2312" w:eastAsia="仿宋_GB2312" w:cs="仿宋_GB2312"/>
          <w:bCs/>
          <w:sz w:val="32"/>
          <w:szCs w:val="32"/>
          <w:lang w:bidi="ar"/>
        </w:rPr>
        <w:t>加快建设</w:t>
      </w:r>
      <w:bookmarkStart w:id="93" w:name="_Hlk110614479"/>
      <w:r>
        <w:rPr>
          <w:rFonts w:hint="eastAsia" w:ascii="仿宋_GB2312" w:hAnsi="仿宋_GB2312" w:eastAsia="仿宋_GB2312" w:cs="仿宋_GB2312"/>
          <w:bCs/>
          <w:sz w:val="32"/>
          <w:szCs w:val="32"/>
          <w:lang w:bidi="ar"/>
        </w:rPr>
        <w:t>广东南岭生态旅游公路</w:t>
      </w:r>
      <w:bookmarkEnd w:id="93"/>
      <w:r>
        <w:rPr>
          <w:rFonts w:hint="eastAsia" w:ascii="仿宋_GB2312" w:hAnsi="仿宋_GB2312" w:eastAsia="仿宋_GB2312" w:cs="仿宋_GB2312"/>
          <w:bCs/>
          <w:sz w:val="32"/>
          <w:szCs w:val="32"/>
          <w:lang w:bidi="ar"/>
        </w:rPr>
        <w:t>。</w:t>
      </w:r>
      <w:r>
        <w:rPr>
          <w:rFonts w:hint="eastAsia" w:ascii="仿宋_GB2312" w:hAnsi="仿宋_GB2312" w:eastAsia="仿宋_GB2312" w:cs="仿宋_GB2312"/>
          <w:sz w:val="32"/>
          <w:szCs w:val="32"/>
          <w:lang w:bidi="ar"/>
        </w:rPr>
        <w:t>广东南岭生态旅游公路践行“绿水青山就是金山银山”发展理念，展现南岭最具特色的生态、旅游和人文景观，通过纵向段落理念策划和统一特色化设计，打造最具南岭风情的复合型旅游生态廊道和服务粤港澳大湾区的旅游休闲区，把粤北生态发展区的生态优势转为发展优势，促进区域协调发展和乡村振兴，使其成为南岭旅游振兴、生态保护、文化复兴、脱贫致富、民族发展之路，成为落实“百县千镇万村”发展战略的重要抓手、地方政府拉动经济发展的重要引擎和广东公路高质量发展的重要载体。</w:t>
      </w:r>
    </w:p>
    <w:p>
      <w:pPr>
        <w:widowControl w:val="0"/>
        <w:spacing w:line="560" w:lineRule="exact"/>
        <w:ind w:firstLine="640"/>
        <w:jc w:val="both"/>
        <w:rPr>
          <w:rFonts w:ascii="仿宋_GB2312" w:hAnsi="仿宋_GB2312" w:eastAsia="仿宋_GB2312" w:cs="仿宋_GB2312"/>
          <w:sz w:val="32"/>
          <w:szCs w:val="32"/>
          <w:lang w:bidi="ar"/>
        </w:rPr>
      </w:pPr>
      <w:r>
        <w:rPr>
          <w:rFonts w:hint="eastAsia" w:ascii="仿宋_GB2312" w:hAnsi="仿宋_GB2312" w:eastAsia="仿宋_GB2312" w:cs="仿宋_GB2312"/>
          <w:bCs/>
          <w:sz w:val="32"/>
          <w:szCs w:val="32"/>
          <w:lang w:bidi="ar"/>
        </w:rPr>
        <w:t>加快打造广东红军长征路。</w:t>
      </w:r>
      <w:r>
        <w:rPr>
          <w:rFonts w:hint="eastAsia" w:ascii="仿宋_GB2312" w:hAnsi="仿宋_GB2312" w:eastAsia="仿宋_GB2312" w:cs="仿宋_GB2312"/>
          <w:sz w:val="32"/>
          <w:szCs w:val="32"/>
          <w:lang w:bidi="ar"/>
        </w:rPr>
        <w:t>遵循红军长征在韶关的行军路线，依托红军长征线路提升改造等工程，串联起红军长征途经乡镇，整合发生在长征路上的重要历史事件和文化记忆，并统筹周边历史文化、自然生态、文旅游憩等优质资源以及广东绿道、南粵古驿道、广东万里碧道等游径，打造一条</w:t>
      </w:r>
      <w:bookmarkStart w:id="94" w:name="_Hlk107216914"/>
      <w:r>
        <w:rPr>
          <w:rFonts w:hint="eastAsia" w:ascii="仿宋_GB2312" w:hAnsi="仿宋_GB2312" w:eastAsia="仿宋_GB2312" w:cs="仿宋_GB2312"/>
          <w:sz w:val="32"/>
          <w:szCs w:val="32"/>
          <w:lang w:bidi="ar"/>
        </w:rPr>
        <w:t>长征国家文化公园</w:t>
      </w:r>
      <w:bookmarkEnd w:id="94"/>
      <w:r>
        <w:rPr>
          <w:rFonts w:hint="eastAsia" w:ascii="仿宋_GB2312" w:hAnsi="仿宋_GB2312" w:eastAsia="仿宋_GB2312" w:cs="仿宋_GB2312"/>
          <w:sz w:val="32"/>
          <w:szCs w:val="32"/>
          <w:lang w:bidi="ar"/>
        </w:rPr>
        <w:t>(广东段)的历史文化主轴，将“红军长征路”落实为“全程贯通、可游可览”的实体游径，实现长征沿线资源要素点带汇聚、有机组合，全方位展现红军长征粤北突围的光辉历史，弘扬伟大的长征精神，为粤北地区文化与旅游业高质量发展注入新动能。</w:t>
      </w:r>
    </w:p>
    <w:p>
      <w:pPr>
        <w:pStyle w:val="144"/>
        <w:ind w:firstLine="640"/>
        <w:rPr>
          <w:rFonts w:ascii="仿宋_GB2312" w:hAnsi="仿宋_GB2312" w:eastAsia="仿宋_GB2312" w:cs="仿宋_GB2312"/>
        </w:rPr>
      </w:pPr>
      <w:r>
        <w:rPr>
          <w:rFonts w:hint="eastAsia" w:ascii="仿宋_GB2312" w:hAnsi="仿宋_GB2312" w:eastAsia="仿宋_GB2312" w:cs="仿宋_GB2312"/>
        </w:rPr>
        <w:t>水韵丹霞的旅游航道网</w:t>
      </w:r>
    </w:p>
    <w:p>
      <w:pPr>
        <w:widowControl w:val="0"/>
        <w:snapToGrid w:val="0"/>
        <w:spacing w:line="560" w:lineRule="exact"/>
        <w:ind w:firstLine="640"/>
        <w:jc w:val="both"/>
        <w:rPr>
          <w:rFonts w:ascii="仿宋" w:hAnsi="仿宋"/>
          <w:sz w:val="32"/>
          <w:szCs w:val="32"/>
          <w:lang w:bidi="ar"/>
        </w:rPr>
      </w:pPr>
      <w:bookmarkStart w:id="95" w:name="_Hlk113550296"/>
      <w:r>
        <w:rPr>
          <w:rFonts w:hint="eastAsia" w:ascii="仿宋_GB2312" w:hAnsi="仿宋_GB2312" w:eastAsia="仿宋_GB2312" w:cs="仿宋_GB2312"/>
          <w:sz w:val="32"/>
          <w:szCs w:val="32"/>
          <w:lang w:bidi="ar"/>
        </w:rPr>
        <w:t>围绕高标准打造丹霞山沿江旅游风光带目标，加快推进锦江绿色航道和武江乐昌峡绿色航道项目建设。重点建设节能低碳、资源节约、生态环保、航景融合、安全畅通、智慧建养的绿色航道，主要服务丹霞山旅游风景区水上旅游和韶关市区游览观光等，促进韶关市全域旅游发展。</w:t>
      </w:r>
    </w:p>
    <w:bookmarkEnd w:id="95"/>
    <w:p>
      <w:pPr>
        <w:widowControl w:val="0"/>
        <w:adjustRightInd w:val="0"/>
        <w:snapToGrid w:val="0"/>
        <w:spacing w:before="381" w:beforeLines="100" w:line="360" w:lineRule="auto"/>
        <w:ind w:firstLine="0" w:firstLineChars="0"/>
        <w:jc w:val="both"/>
        <w:outlineLvl w:val="0"/>
        <w:rPr>
          <w:rFonts w:ascii="黑体" w:hAnsi="黑体" w:eastAsia="黑体" w:cs="华文中宋"/>
          <w:bCs/>
          <w:sz w:val="36"/>
          <w:szCs w:val="30"/>
          <w:lang w:val="zh-CN"/>
        </w:rPr>
        <w:sectPr>
          <w:pgSz w:w="11906" w:h="16838"/>
          <w:pgMar w:top="1440" w:right="1797" w:bottom="1440" w:left="1797" w:header="851" w:footer="851" w:gutter="0"/>
          <w:pgNumType w:fmt="numberInDash"/>
          <w:cols w:space="720" w:num="1"/>
          <w:docGrid w:type="lines" w:linePitch="381" w:charSpace="0"/>
        </w:sectPr>
      </w:pPr>
      <w:bookmarkStart w:id="96" w:name="_Toc77779080"/>
      <w:bookmarkEnd w:id="96"/>
      <w:bookmarkStart w:id="97" w:name="_Toc77779548"/>
      <w:bookmarkEnd w:id="97"/>
      <w:bookmarkStart w:id="98" w:name="_Toc77779549"/>
      <w:bookmarkEnd w:id="98"/>
      <w:bookmarkStart w:id="99" w:name="_Toc77779081"/>
      <w:bookmarkEnd w:id="99"/>
      <w:bookmarkStart w:id="100" w:name="_Toc77779551"/>
    </w:p>
    <w:p>
      <w:pPr>
        <w:pStyle w:val="2"/>
        <w:spacing w:after="381"/>
        <w:rPr>
          <w:lang w:val="zh-CN"/>
        </w:rPr>
      </w:pPr>
      <w:bookmarkStart w:id="101" w:name="_Toc27441"/>
      <w:r>
        <w:rPr>
          <w:rFonts w:hint="eastAsia"/>
          <w:lang w:val="zh-CN"/>
        </w:rPr>
        <w:t>高效便捷的综合交通枢纽</w:t>
      </w:r>
      <w:bookmarkEnd w:id="100"/>
      <w:bookmarkEnd w:id="101"/>
    </w:p>
    <w:p>
      <w:pPr>
        <w:pStyle w:val="143"/>
        <w:ind w:firstLine="640"/>
      </w:pPr>
      <w:bookmarkStart w:id="102" w:name="_Toc11231"/>
      <w:r>
        <w:rPr>
          <w:rFonts w:hint="eastAsia"/>
        </w:rPr>
        <w:t>功能</w:t>
      </w:r>
      <w:r>
        <w:t>明确的</w:t>
      </w:r>
      <w:r>
        <w:rPr>
          <w:rFonts w:hint="eastAsia"/>
        </w:rPr>
        <w:t>内</w:t>
      </w:r>
      <w:r>
        <w:t>河</w:t>
      </w:r>
      <w:r>
        <w:rPr>
          <w:rFonts w:hint="eastAsia"/>
        </w:rPr>
        <w:t>港口枢纽</w:t>
      </w:r>
      <w:bookmarkEnd w:id="102"/>
    </w:p>
    <w:p>
      <w:pPr>
        <w:pStyle w:val="144"/>
        <w:ind w:firstLine="640"/>
        <w:rPr>
          <w:rFonts w:ascii="仿宋_GB2312" w:hAnsi="仿宋_GB2312" w:eastAsia="仿宋_GB2312" w:cs="仿宋_GB2312"/>
        </w:rPr>
      </w:pPr>
      <w:r>
        <w:rPr>
          <w:rFonts w:hint="eastAsia" w:ascii="仿宋_GB2312" w:hAnsi="仿宋_GB2312" w:eastAsia="仿宋_GB2312" w:cs="仿宋_GB2312"/>
        </w:rPr>
        <w:t>韶关港口枢纽功能</w:t>
      </w:r>
    </w:p>
    <w:p>
      <w:pPr>
        <w:widowControl w:val="0"/>
        <w:snapToGrid w:val="0"/>
        <w:spacing w:line="560" w:lineRule="exact"/>
        <w:ind w:firstLine="640"/>
        <w:jc w:val="both"/>
        <w:rPr>
          <w:rFonts w:ascii="仿宋_GB2312" w:hAnsi="仿宋_GB2312" w:eastAsia="仿宋_GB2312" w:cs="仿宋_GB2312"/>
          <w:sz w:val="32"/>
          <w:szCs w:val="32"/>
          <w:lang w:bidi="ar"/>
        </w:rPr>
      </w:pPr>
      <w:r>
        <w:rPr>
          <w:rFonts w:hint="eastAsia" w:ascii="仿宋_GB2312" w:hAnsi="仿宋_GB2312" w:eastAsia="仿宋_GB2312" w:cs="仿宋_GB2312"/>
          <w:sz w:val="32"/>
          <w:szCs w:val="32"/>
          <w:lang w:bidi="ar"/>
        </w:rPr>
        <w:t>韶关港是广东省内河地区性重要港口和区域综合运输体系的重要组成部分，是粤北、湘南、赣南地区水陆物资转运枢纽，是粤北及周边地区融入粤港澳大湾区和一带一路的重要口岸，是临港产业发展的重要依托，是促进交旅融合发展的重要平台。韶关港将发展成为以能源、原材料等大宗货物运输为主，兼顾集装箱和旅游客运的多功能综合性港口。韶关港的主要功能包括装卸存储、中转和多式联运服务、信息服务、口岸服务、临港产业服务、旅游客运等。</w:t>
      </w:r>
    </w:p>
    <w:p>
      <w:pPr>
        <w:widowControl w:val="0"/>
        <w:snapToGrid w:val="0"/>
        <w:spacing w:line="560" w:lineRule="exact"/>
        <w:ind w:firstLine="640"/>
        <w:jc w:val="both"/>
        <w:rPr>
          <w:rFonts w:ascii="仿宋_GB2312" w:hAnsi="仿宋_GB2312" w:eastAsia="仿宋_GB2312" w:cs="仿宋_GB2312"/>
          <w:sz w:val="32"/>
          <w:szCs w:val="32"/>
          <w:lang w:bidi="ar"/>
        </w:rPr>
      </w:pPr>
      <w:r>
        <w:rPr>
          <w:rFonts w:hint="eastAsia" w:ascii="仿宋_GB2312" w:hAnsi="仿宋_GB2312" w:eastAsia="仿宋_GB2312" w:cs="仿宋_GB2312"/>
          <w:sz w:val="32"/>
          <w:szCs w:val="32"/>
          <w:lang w:bidi="ar"/>
        </w:rPr>
        <w:t>韶关港将形成以北江港区为核心，以浈江和武江港区为补充的布局合理、功能完善的“一港三区、11个作业区和若干旅游码头”的总体布局。</w:t>
      </w:r>
    </w:p>
    <w:p>
      <w:pPr>
        <w:pStyle w:val="144"/>
        <w:ind w:firstLine="640"/>
        <w:rPr>
          <w:rFonts w:ascii="仿宋_GB2312" w:hAnsi="仿宋_GB2312" w:eastAsia="仿宋_GB2312" w:cs="仿宋_GB2312"/>
        </w:rPr>
      </w:pPr>
      <w:r>
        <w:rPr>
          <w:rFonts w:hint="eastAsia" w:ascii="仿宋_GB2312" w:hAnsi="仿宋_GB2312" w:eastAsia="仿宋_GB2312" w:cs="仿宋_GB2312"/>
        </w:rPr>
        <w:t>优化港口岸线利用</w:t>
      </w:r>
    </w:p>
    <w:p>
      <w:pPr>
        <w:widowControl w:val="0"/>
        <w:snapToGrid w:val="0"/>
        <w:spacing w:line="560" w:lineRule="exact"/>
        <w:ind w:firstLine="640"/>
        <w:jc w:val="both"/>
        <w:rPr>
          <w:rFonts w:ascii="仿宋_GB2312" w:hAnsi="仿宋_GB2312" w:eastAsia="仿宋_GB2312" w:cs="仿宋_GB2312"/>
          <w:sz w:val="32"/>
          <w:szCs w:val="32"/>
          <w:lang w:bidi="ar"/>
        </w:rPr>
      </w:pPr>
      <w:r>
        <w:rPr>
          <w:rFonts w:hint="eastAsia" w:ascii="仿宋_GB2312" w:hAnsi="仿宋_GB2312" w:eastAsia="仿宋_GB2312" w:cs="仿宋_GB2312"/>
          <w:sz w:val="32"/>
          <w:szCs w:val="32"/>
          <w:lang w:bidi="ar"/>
        </w:rPr>
        <w:t>根据韶关市岸线的自然资源特点和开发利用现状，遵循适应性、协调性、可持续发展、生态绿色等港口岸线规划原则，并充分考虑腹地经济社会发展和综合交通运输体系发展对港口的要求。本次规划利用自然岸线总长度为17.7公里，其中，港口岸线16.4公里，支持系统岸线1.3公里。</w:t>
      </w:r>
    </w:p>
    <w:p>
      <w:pPr>
        <w:pStyle w:val="144"/>
        <w:ind w:firstLine="640"/>
        <w:rPr>
          <w:rFonts w:ascii="仿宋_GB2312" w:hAnsi="仿宋_GB2312" w:eastAsia="仿宋_GB2312" w:cs="仿宋_GB2312"/>
        </w:rPr>
      </w:pPr>
      <w:r>
        <w:rPr>
          <w:rFonts w:hint="eastAsia" w:ascii="仿宋_GB2312" w:hAnsi="仿宋_GB2312" w:eastAsia="仿宋_GB2312" w:cs="仿宋_GB2312"/>
        </w:rPr>
        <w:t>完善港口集疏运体系</w:t>
      </w:r>
    </w:p>
    <w:p>
      <w:pPr>
        <w:widowControl w:val="0"/>
        <w:snapToGrid w:val="0"/>
        <w:spacing w:line="560" w:lineRule="exact"/>
        <w:ind w:firstLine="640"/>
        <w:jc w:val="both"/>
        <w:rPr>
          <w:rFonts w:ascii="仿宋_GB2312" w:hAnsi="仿宋_GB2312" w:eastAsia="仿宋_GB2312" w:cs="仿宋_GB2312"/>
          <w:sz w:val="32"/>
          <w:szCs w:val="32"/>
          <w:lang w:bidi="ar"/>
        </w:rPr>
      </w:pPr>
      <w:r>
        <w:rPr>
          <w:rFonts w:hint="eastAsia" w:ascii="仿宋_GB2312" w:hAnsi="仿宋_GB2312" w:eastAsia="仿宋_GB2312" w:cs="仿宋_GB2312"/>
          <w:sz w:val="32"/>
          <w:szCs w:val="32"/>
          <w:lang w:bidi="ar"/>
        </w:rPr>
        <w:t>港口集疏运体系规划以《韶关港总体规划（修订）》中提出的集疏运体系规划为重要依据，并与综合交通运输网络规划相协调，建立以公路、铁路主要运输方式的集疏运体系。以加快多式联运发展、加快现代物流发展为导向，以提升港口综合竞争力和港产城协调联动能力为指引，提升韶关港集疏运能力和服务水平。规划对外形成以韶关港为中心的五向放射型对外集疏运网络，包括韶关港-湖南（郴州）方向集疏运通道、韶关港-湖南（衡阳）方向集疏运通道、韶关港-广东（清远、广州）方向的集疏运通道、韶关港-广西（贺州）方向集疏运通道、韶关港-江西（赣州）方向集疏运通道。各港区集疏运干线主要通过完善各作业区与高速公路、国省道以及重要经济节点、交通节点之间的连接线。</w:t>
      </w:r>
    </w:p>
    <w:p>
      <w:pPr>
        <w:pStyle w:val="143"/>
        <w:ind w:firstLine="640"/>
      </w:pPr>
      <w:bookmarkStart w:id="103" w:name="_Toc29586"/>
      <w:r>
        <w:rPr>
          <w:rFonts w:hint="eastAsia"/>
        </w:rPr>
        <w:t>布</w:t>
      </w:r>
      <w:r>
        <w:t>局合理的</w:t>
      </w:r>
      <w:r>
        <w:rPr>
          <w:rFonts w:hint="eastAsia"/>
        </w:rPr>
        <w:t>民航运输枢纽</w:t>
      </w:r>
      <w:bookmarkEnd w:id="103"/>
    </w:p>
    <w:p>
      <w:pPr>
        <w:widowControl w:val="0"/>
        <w:snapToGrid w:val="0"/>
        <w:spacing w:line="560" w:lineRule="exact"/>
        <w:ind w:firstLine="640"/>
        <w:jc w:val="both"/>
        <w:rPr>
          <w:rFonts w:ascii="仿宋_GB2312" w:hAnsi="仿宋_GB2312" w:eastAsia="仿宋_GB2312" w:cs="仿宋_GB2312"/>
          <w:sz w:val="32"/>
          <w:szCs w:val="32"/>
          <w:lang w:bidi="ar"/>
        </w:rPr>
      </w:pPr>
      <w:r>
        <w:rPr>
          <w:rFonts w:hint="eastAsia" w:ascii="仿宋_GB2312" w:hAnsi="仿宋_GB2312" w:eastAsia="仿宋_GB2312" w:cs="仿宋_GB2312"/>
          <w:sz w:val="32"/>
          <w:szCs w:val="32"/>
          <w:lang w:bidi="ar"/>
        </w:rPr>
        <w:t>韶关民航机场规划总体形成</w:t>
      </w:r>
      <w:bookmarkStart w:id="104" w:name="_Hlk104209369"/>
      <w:r>
        <w:rPr>
          <w:rFonts w:hint="eastAsia" w:ascii="仿宋_GB2312" w:hAnsi="仿宋_GB2312" w:eastAsia="仿宋_GB2312" w:cs="仿宋_GB2312"/>
          <w:sz w:val="32"/>
          <w:szCs w:val="32"/>
          <w:lang w:bidi="ar"/>
        </w:rPr>
        <w:t>“1+3”的布局形态</w:t>
      </w:r>
      <w:bookmarkEnd w:id="104"/>
      <w:r>
        <w:rPr>
          <w:rFonts w:hint="eastAsia" w:ascii="仿宋_GB2312" w:hAnsi="仿宋_GB2312" w:eastAsia="仿宋_GB2312" w:cs="仿宋_GB2312"/>
          <w:sz w:val="32"/>
          <w:szCs w:val="32"/>
          <w:lang w:bidi="ar"/>
        </w:rPr>
        <w:t>，其中“1”是指韶关丹霞机场；“3”指南雄通用机场、乐昌通用机场和翁源通用机场等3个通用机场。</w:t>
      </w:r>
    </w:p>
    <w:p>
      <w:pPr>
        <w:pStyle w:val="144"/>
        <w:ind w:firstLine="640"/>
        <w:rPr>
          <w:rFonts w:ascii="仿宋_GB2312" w:hAnsi="仿宋_GB2312" w:eastAsia="仿宋_GB2312" w:cs="仿宋_GB2312"/>
        </w:rPr>
      </w:pPr>
      <w:r>
        <w:rPr>
          <w:rFonts w:hint="eastAsia" w:ascii="仿宋_GB2312" w:hAnsi="仿宋_GB2312" w:eastAsia="仿宋_GB2312" w:cs="仿宋_GB2312"/>
        </w:rPr>
        <w:t>韶关丹霞机场枢纽功能</w:t>
      </w:r>
    </w:p>
    <w:p>
      <w:pPr>
        <w:widowControl w:val="0"/>
        <w:snapToGrid w:val="0"/>
        <w:spacing w:line="560" w:lineRule="exact"/>
        <w:ind w:firstLine="640"/>
        <w:jc w:val="both"/>
        <w:rPr>
          <w:rFonts w:ascii="仿宋_GB2312" w:hAnsi="仿宋_GB2312" w:eastAsia="仿宋_GB2312" w:cs="仿宋_GB2312"/>
          <w:sz w:val="32"/>
          <w:szCs w:val="32"/>
          <w:lang w:bidi="ar"/>
        </w:rPr>
      </w:pPr>
      <w:r>
        <w:rPr>
          <w:rFonts w:hint="eastAsia" w:ascii="仿宋_GB2312" w:hAnsi="仿宋_GB2312" w:eastAsia="仿宋_GB2312" w:cs="仿宋_GB2312"/>
          <w:sz w:val="32"/>
          <w:szCs w:val="32"/>
          <w:lang w:bidi="ar"/>
        </w:rPr>
        <w:t>韶关丹霞机场作为全省“3+4+8”民用运输机场布局中的重要支线机场之一，是推动粤北地区经济高质量发展和服务广东北部生态发展区的“引擎”，目前已开通运营。按照“飞起来、好起来、优起来”三步走长远发展战略，规划近期以发展民航客货运输为主，兼顾发展通用航空，积极开通国内热门旅游城市航线，逐步构建完善的国内航空运输网络。加快完善丹霞机场货运服务设施，发挥航空货运优势，继续推进军民合用业务发展。远期围绕打造华南地区和广东省重要的旅游目的地支线机场，构建以韶关丹霞机场为核心的综合交通运输体系和航空经济园区，以机场带动航空人流、物流、旅游等产业发展，承接广州大型国际枢纽的功能疏解和备降机场功能及白云国际机场客货分流。</w:t>
      </w:r>
    </w:p>
    <w:p>
      <w:pPr>
        <w:pStyle w:val="144"/>
        <w:ind w:firstLine="640"/>
        <w:rPr>
          <w:rFonts w:ascii="仿宋_GB2312" w:hAnsi="仿宋_GB2312" w:eastAsia="仿宋_GB2312" w:cs="仿宋_GB2312"/>
        </w:rPr>
      </w:pPr>
      <w:r>
        <w:rPr>
          <w:rFonts w:hint="eastAsia" w:ascii="仿宋_GB2312" w:hAnsi="仿宋_GB2312" w:eastAsia="仿宋_GB2312" w:cs="仿宋_GB2312"/>
        </w:rPr>
        <w:t>积极推进通用机场建设</w:t>
      </w:r>
    </w:p>
    <w:p>
      <w:pPr>
        <w:widowControl w:val="0"/>
        <w:snapToGrid w:val="0"/>
        <w:spacing w:line="560" w:lineRule="exact"/>
        <w:ind w:firstLine="640"/>
        <w:jc w:val="both"/>
        <w:rPr>
          <w:rFonts w:ascii="仿宋_GB2312" w:hAnsi="仿宋_GB2312" w:eastAsia="仿宋_GB2312" w:cs="仿宋_GB2312"/>
          <w:sz w:val="32"/>
          <w:szCs w:val="32"/>
          <w:lang w:bidi="ar"/>
        </w:rPr>
      </w:pPr>
      <w:r>
        <w:rPr>
          <w:rFonts w:hint="eastAsia" w:ascii="仿宋_GB2312" w:hAnsi="仿宋_GB2312" w:eastAsia="仿宋_GB2312" w:cs="仿宋_GB2312"/>
          <w:sz w:val="32"/>
          <w:szCs w:val="32"/>
          <w:lang w:bidi="ar"/>
        </w:rPr>
        <w:t>围绕建设国家生态文明先行示范区，完善韶关市通用航空机场布局，满足工业巡线、森林航空护林、应急救援、航空旅游、短途运输等通航飞行要求，构建粤北山区通用航空生态综合服务网络。近期重点先行推动南雄通用机场建设，主要承担短途高端商务出行、旅游、农药喷洒、紧急救援以及航空教练培训等功能。远期规划陆续建成乐昌通用机场和翁源通用机场。支持具备条件的医院、学校、林区、景区、交通枢纽、高层建筑等建设直升机起降点。</w:t>
      </w:r>
    </w:p>
    <w:p>
      <w:pPr>
        <w:pStyle w:val="144"/>
        <w:ind w:firstLine="640"/>
        <w:rPr>
          <w:rFonts w:ascii="仿宋_GB2312" w:hAnsi="仿宋_GB2312" w:eastAsia="仿宋_GB2312" w:cs="仿宋_GB2312"/>
        </w:rPr>
      </w:pPr>
      <w:r>
        <w:rPr>
          <w:rFonts w:hint="eastAsia" w:ascii="仿宋_GB2312" w:hAnsi="仿宋_GB2312" w:eastAsia="仿宋_GB2312" w:cs="仿宋_GB2312"/>
        </w:rPr>
        <w:t>完善机场集疏运体系</w:t>
      </w:r>
    </w:p>
    <w:p>
      <w:pPr>
        <w:widowControl w:val="0"/>
        <w:snapToGrid w:val="0"/>
        <w:spacing w:line="560" w:lineRule="exact"/>
        <w:ind w:firstLine="640"/>
        <w:jc w:val="both"/>
        <w:rPr>
          <w:rFonts w:ascii="仿宋_GB2312" w:hAnsi="仿宋_GB2312" w:eastAsia="仿宋_GB2312" w:cs="仿宋_GB2312"/>
          <w:sz w:val="32"/>
          <w:szCs w:val="32"/>
          <w:lang w:bidi="ar"/>
        </w:rPr>
      </w:pPr>
      <w:r>
        <w:rPr>
          <w:rFonts w:hint="eastAsia" w:ascii="仿宋_GB2312" w:hAnsi="仿宋_GB2312" w:eastAsia="仿宋_GB2312" w:cs="仿宋_GB2312"/>
          <w:sz w:val="32"/>
          <w:szCs w:val="32"/>
          <w:lang w:bidi="ar"/>
        </w:rPr>
        <w:t>规划韶关至清远城际轨道与机场衔接，在韶关丹霞机场设城际轨道站，实现韶关中心城区与机场的高效衔接。规划“两横四纵”高快速干线公路集疏运格局，规划新增丹霞机场高速，机场大道，加快推进省道S246升级改造，提升韶关中心城区以及其他区县至机场的通达能力。</w:t>
      </w:r>
    </w:p>
    <w:p>
      <w:pPr>
        <w:pStyle w:val="143"/>
        <w:ind w:firstLine="640"/>
      </w:pPr>
      <w:bookmarkStart w:id="105" w:name="_Toc26484"/>
      <w:bookmarkStart w:id="106" w:name="_Hlk105423246"/>
      <w:r>
        <w:rPr>
          <w:rFonts w:hint="eastAsia"/>
        </w:rPr>
        <w:t>层</w:t>
      </w:r>
      <w:r>
        <w:t>级</w:t>
      </w:r>
      <w:r>
        <w:rPr>
          <w:rFonts w:hint="eastAsia"/>
        </w:rPr>
        <w:t>有</w:t>
      </w:r>
      <w:r>
        <w:t>序的</w:t>
      </w:r>
      <w:r>
        <w:rPr>
          <w:rFonts w:hint="eastAsia"/>
        </w:rPr>
        <w:t>综合客运枢纽</w:t>
      </w:r>
      <w:bookmarkEnd w:id="105"/>
    </w:p>
    <w:bookmarkEnd w:id="106"/>
    <w:p>
      <w:pPr>
        <w:widowControl w:val="0"/>
        <w:snapToGrid w:val="0"/>
        <w:spacing w:line="560" w:lineRule="exact"/>
        <w:ind w:firstLine="640"/>
        <w:jc w:val="both"/>
        <w:rPr>
          <w:rFonts w:ascii="仿宋_GB2312" w:hAnsi="仿宋_GB2312" w:eastAsia="仿宋_GB2312" w:cs="仿宋_GB2312"/>
          <w:sz w:val="32"/>
          <w:szCs w:val="32"/>
          <w:lang w:bidi="ar"/>
        </w:rPr>
      </w:pPr>
      <w:r>
        <w:rPr>
          <w:rFonts w:hint="eastAsia" w:ascii="仿宋_GB2312" w:hAnsi="仿宋_GB2312" w:eastAsia="仿宋_GB2312" w:cs="仿宋_GB2312"/>
          <w:sz w:val="32"/>
          <w:szCs w:val="32"/>
          <w:lang w:bidi="ar"/>
        </w:rPr>
        <w:t>面向全国、区域和市域服务范围，</w:t>
      </w:r>
      <w:bookmarkStart w:id="107" w:name="_Hlk107392971"/>
      <w:r>
        <w:rPr>
          <w:rFonts w:hint="eastAsia" w:ascii="仿宋_GB2312" w:hAnsi="仿宋_GB2312" w:eastAsia="仿宋_GB2312" w:cs="仿宋_GB2312"/>
          <w:sz w:val="32"/>
          <w:szCs w:val="32"/>
          <w:lang w:bidi="ar"/>
        </w:rPr>
        <w:t>以构建多层立体、高效便捷、零距离换乘的综合客运枢纽为导向，统筹布局各种交通方式，</w:t>
      </w:r>
      <w:bookmarkEnd w:id="107"/>
      <w:r>
        <w:rPr>
          <w:rFonts w:hint="eastAsia" w:ascii="仿宋_GB2312" w:hAnsi="仿宋_GB2312" w:eastAsia="仿宋_GB2312" w:cs="仿宋_GB2312"/>
          <w:sz w:val="32"/>
          <w:szCs w:val="32"/>
          <w:lang w:bidi="ar"/>
        </w:rPr>
        <w:t>构建以韶关丹霞机场、韶关站综合客运枢纽两个门户型客运枢纽为主体，韶关东站综合客运枢纽、韶关南站综合客运枢纽两个地区型客运枢纽为辅，以及以乐昌综合客运枢纽、韶关东郊客运枢纽、始兴综合客运枢纽等九个一般型客运枢纽为节点的“二主二副九节点”综合客运枢纽体系。重点打造立体式、零换乘、多功能、多层次，集轨道交通、城市公交、长途客运、出租车为一体的综合交通枢纽，着力促进客运枢纽的综合化、互联化和一体化。</w:t>
      </w:r>
    </w:p>
    <w:p>
      <w:pPr>
        <w:pStyle w:val="143"/>
        <w:ind w:firstLine="640"/>
      </w:pPr>
      <w:bookmarkStart w:id="108" w:name="_Toc12876"/>
      <w:r>
        <w:rPr>
          <w:rFonts w:hint="eastAsia"/>
        </w:rPr>
        <w:t>保</w:t>
      </w:r>
      <w:r>
        <w:t>障有力的</w:t>
      </w:r>
      <w:r>
        <w:rPr>
          <w:rFonts w:hint="eastAsia"/>
        </w:rPr>
        <w:t>综合货运枢纽</w:t>
      </w:r>
      <w:bookmarkEnd w:id="108"/>
    </w:p>
    <w:p>
      <w:pPr>
        <w:widowControl w:val="0"/>
        <w:snapToGrid w:val="0"/>
        <w:spacing w:line="560" w:lineRule="exact"/>
        <w:ind w:firstLine="640"/>
        <w:jc w:val="both"/>
        <w:rPr>
          <w:rFonts w:ascii="仿宋" w:hAnsi="仿宋"/>
          <w:sz w:val="32"/>
          <w:szCs w:val="32"/>
          <w:lang w:bidi="ar"/>
        </w:rPr>
      </w:pPr>
      <w:r>
        <w:rPr>
          <w:rFonts w:hint="eastAsia" w:ascii="仿宋_GB2312" w:hAnsi="仿宋_GB2312" w:eastAsia="仿宋_GB2312" w:cs="仿宋_GB2312"/>
          <w:sz w:val="32"/>
          <w:szCs w:val="32"/>
          <w:lang w:bidi="ar"/>
        </w:rPr>
        <w:t>面向全国、区域和市域服务范围，以构建综合立体、衔接紧密、多式联运的综合货运枢纽为导向，统筹布局各种交通方式，构建以韶关港综合货运枢纽、丹霞机场空港国际物流园两个一级货运枢纽为主，以韶关市现代综合物流园、曲江综合货运枢纽、乐昌综合货运枢纽等8个二级货运枢纽为辅，以南雄市统仓共配物流中心、始兴现代物流园、韶关物流配送中心等若干个三级货运枢纽为节点的“两主八辅多节点”三级货运枢纽（物流园）体系，形成“向南依港出海，向北辐射内陆，东西互联互通”的物流联运体系，构建韶关经济新增长极。以货运枢纽体系建设为抓手，发挥“以点带面”作用，引导物流业集聚发展，促进交通与物流融合发展，增强韶关在粤北地区以及湘粤赣红三角区域发挥核心能力和枢纽地位，支撑韶关纳入国家物流枢纽承载城市。</w:t>
      </w:r>
    </w:p>
    <w:p>
      <w:pPr>
        <w:pStyle w:val="143"/>
        <w:ind w:firstLine="640"/>
      </w:pPr>
      <w:bookmarkStart w:id="109" w:name="_Toc2041"/>
      <w:r>
        <w:rPr>
          <w:rFonts w:hint="eastAsia"/>
        </w:rPr>
        <w:t>服务有</w:t>
      </w:r>
      <w:r>
        <w:t>质的</w:t>
      </w:r>
      <w:r>
        <w:rPr>
          <w:rFonts w:hint="eastAsia"/>
        </w:rPr>
        <w:t>旅游集散中心</w:t>
      </w:r>
      <w:bookmarkEnd w:id="109"/>
    </w:p>
    <w:p>
      <w:pPr>
        <w:widowControl w:val="0"/>
        <w:snapToGrid w:val="0"/>
        <w:spacing w:line="560" w:lineRule="exact"/>
        <w:ind w:firstLine="640"/>
        <w:jc w:val="both"/>
        <w:rPr>
          <w:rFonts w:ascii="仿宋_GB2312" w:hAnsi="仿宋_GB2312" w:eastAsia="仿宋_GB2312" w:cs="仿宋_GB2312"/>
          <w:sz w:val="32"/>
          <w:szCs w:val="32"/>
          <w:lang w:bidi="ar"/>
        </w:rPr>
      </w:pPr>
      <w:r>
        <w:rPr>
          <w:rFonts w:hint="eastAsia" w:ascii="仿宋_GB2312" w:hAnsi="仿宋_GB2312" w:eastAsia="仿宋_GB2312" w:cs="仿宋_GB2312"/>
          <w:sz w:val="32"/>
          <w:szCs w:val="32"/>
          <w:lang w:bidi="ar"/>
        </w:rPr>
        <w:t>优化旅游集散中心布局，依托城市综合客运枢纽布设，根据韶关旅游景点分布，规划打造“1+3+5+N”四级旅游集散服务中心体系。在韶关高铁站建设1个一级旅游集散中心韶关旅游集散中心；分别依托仁化客运枢纽、韶关南站客运枢纽、乳源客运枢纽建设丹霞山旅游集散中心、大南华旅游集散中心、乳源旅游集散中心3个二级旅游集散中心；依托乐昌客运枢纽、南雄客运枢纽、始兴客运枢纽、翁源客运枢纽、新丰客运枢纽打造乐昌旅游集散中心、南雄旅游集散中心、始兴旅游集散中心、翁源旅游集散中心、新丰旅游集散中心5个三级旅游集散中心；在其他重要旅游集聚区建设若干个个游客咨询服务中心，整合旅游集散、咨询、营销等服务功能。</w:t>
      </w:r>
    </w:p>
    <w:p>
      <w:pPr>
        <w:widowControl w:val="0"/>
        <w:adjustRightInd w:val="0"/>
        <w:snapToGrid w:val="0"/>
        <w:spacing w:before="381" w:beforeLines="100" w:line="360" w:lineRule="auto"/>
        <w:ind w:firstLine="0" w:firstLineChars="0"/>
        <w:jc w:val="both"/>
        <w:outlineLvl w:val="0"/>
        <w:rPr>
          <w:rFonts w:ascii="黑体" w:hAnsi="黑体" w:eastAsia="黑体" w:cs="华文中宋"/>
          <w:bCs/>
          <w:sz w:val="36"/>
          <w:szCs w:val="30"/>
          <w:lang w:val="zh-CN"/>
        </w:rPr>
        <w:sectPr>
          <w:pgSz w:w="11906" w:h="16838"/>
          <w:pgMar w:top="1440" w:right="1797" w:bottom="1440" w:left="1797" w:header="851" w:footer="851" w:gutter="0"/>
          <w:pgNumType w:fmt="numberInDash"/>
          <w:cols w:space="720" w:num="1"/>
          <w:docGrid w:type="lines" w:linePitch="381" w:charSpace="0"/>
        </w:sectPr>
      </w:pPr>
      <w:bookmarkStart w:id="110" w:name="_Toc77779086"/>
      <w:bookmarkEnd w:id="110"/>
      <w:bookmarkStart w:id="111" w:name="_Toc77779554"/>
      <w:bookmarkEnd w:id="111"/>
      <w:bookmarkStart w:id="112" w:name="_Toc77779557"/>
      <w:bookmarkStart w:id="113" w:name="_Hlk66291319"/>
    </w:p>
    <w:bookmarkEnd w:id="112"/>
    <w:p>
      <w:pPr>
        <w:pStyle w:val="2"/>
        <w:spacing w:after="381"/>
        <w:rPr>
          <w:lang w:val="zh-CN"/>
        </w:rPr>
      </w:pPr>
      <w:bookmarkStart w:id="114" w:name="_Toc10054"/>
      <w:r>
        <w:rPr>
          <w:rFonts w:hint="eastAsia"/>
          <w:lang w:val="zh-CN"/>
        </w:rPr>
        <w:t>统筹融合的综合交通体系</w:t>
      </w:r>
      <w:bookmarkEnd w:id="114"/>
    </w:p>
    <w:bookmarkEnd w:id="113"/>
    <w:p>
      <w:pPr>
        <w:pStyle w:val="143"/>
        <w:ind w:firstLine="640"/>
        <w:rPr>
          <w:rFonts w:ascii="楷体" w:hAnsi="楷体" w:cs="楷体"/>
        </w:rPr>
      </w:pPr>
      <w:bookmarkStart w:id="115" w:name="_Toc24467"/>
      <w:r>
        <w:rPr>
          <w:rFonts w:hint="eastAsia" w:ascii="楷体" w:hAnsi="楷体" w:cs="楷体"/>
        </w:rPr>
        <w:t>运输方式间融合发展</w:t>
      </w:r>
      <w:bookmarkEnd w:id="115"/>
    </w:p>
    <w:p>
      <w:pPr>
        <w:widowControl w:val="0"/>
        <w:spacing w:line="560" w:lineRule="exact"/>
        <w:ind w:firstLine="643"/>
        <w:jc w:val="both"/>
        <w:rPr>
          <w:rFonts w:ascii="仿宋_GB2312" w:hAnsi="仿宋_GB2312" w:eastAsia="仿宋_GB2312" w:cs="仿宋_GB2312"/>
          <w:sz w:val="32"/>
          <w:szCs w:val="32"/>
          <w:lang w:bidi="ar"/>
        </w:rPr>
      </w:pPr>
      <w:r>
        <w:rPr>
          <w:rFonts w:hint="eastAsia" w:ascii="仿宋_GB2312" w:hAnsi="仿宋_GB2312" w:eastAsia="仿宋_GB2312" w:cs="仿宋_GB2312"/>
          <w:b/>
          <w:bCs/>
          <w:sz w:val="32"/>
          <w:szCs w:val="32"/>
          <w:lang w:bidi="ar"/>
        </w:rPr>
        <w:t>构建综合立体交通走廊。</w:t>
      </w:r>
      <w:r>
        <w:rPr>
          <w:rFonts w:hint="eastAsia" w:ascii="仿宋_GB2312" w:hAnsi="仿宋_GB2312" w:eastAsia="仿宋_GB2312" w:cs="仿宋_GB2312"/>
          <w:sz w:val="32"/>
          <w:szCs w:val="32"/>
          <w:lang w:bidi="ar"/>
        </w:rPr>
        <w:t>坚持国土空间资源高效利用原则，深入分析交通功能、加强方案比选，优先布局多层立体的综合交通走廊，支持改扩建和升级改造工程充分利用既有线位。围绕京港澳、汕昆、赣韶深等主要通道，构建对外交通快速化、城际交通便捷化的多模式复合走廊。城际间形成“轨道+高速”的带状连接形态，实现走廊上客货运输的分离，重点研究韶柳铁路、韶龙铁路、韶清城际等与邻近公路构建复合通道的可能性，促进交通运输走廊上的交通结构向合理方式转变。市域内形成“铁路+高速+普通国省干线”珠链式连接形态，重点推进厦昆高铁韶关段、丹霞机场高速、韶关至连州高速、韶关至江西（全南）高速与国道G323、G240、G106以及城市快速路的立体化建设，高效连通中心城区与外围组团，通过功能置换实现城市部分功能外迁以及内部功能集约，推动市域空间结构合理布局。</w:t>
      </w:r>
    </w:p>
    <w:p>
      <w:pPr>
        <w:widowControl w:val="0"/>
        <w:spacing w:line="560" w:lineRule="exact"/>
        <w:ind w:firstLine="643"/>
        <w:jc w:val="both"/>
        <w:rPr>
          <w:rFonts w:ascii="仿宋_GB2312" w:hAnsi="仿宋_GB2312" w:eastAsia="仿宋_GB2312" w:cs="仿宋_GB2312"/>
          <w:sz w:val="32"/>
          <w:szCs w:val="32"/>
          <w:lang w:bidi="ar"/>
        </w:rPr>
      </w:pPr>
      <w:r>
        <w:rPr>
          <w:rFonts w:hint="eastAsia" w:ascii="仿宋_GB2312" w:hAnsi="仿宋_GB2312" w:eastAsia="仿宋_GB2312" w:cs="仿宋_GB2312"/>
          <w:b/>
          <w:bCs/>
          <w:sz w:val="32"/>
          <w:szCs w:val="32"/>
          <w:lang w:bidi="ar"/>
        </w:rPr>
        <w:t>建设集约高效的综合交通枢纽体系。</w:t>
      </w:r>
      <w:r>
        <w:rPr>
          <w:rFonts w:hint="eastAsia" w:ascii="仿宋_GB2312" w:hAnsi="仿宋_GB2312" w:eastAsia="仿宋_GB2312" w:cs="仿宋_GB2312"/>
          <w:sz w:val="32"/>
          <w:szCs w:val="32"/>
          <w:lang w:bidi="ar"/>
        </w:rPr>
        <w:t>统筹规划综合交通枢纽设施，推动不同交通方式站场集中布局、空间共享、立体换乘。韶关南站、翁源站等新建综合客运枢纽统筹各种功能设置，高效衔接多种运输方式，做到一体化设计建设。韶关丹霞机场、韶关高铁站等既有综合客运枢纽设施应加快功能完善和整合提升，积极推动TOD开发，实现公共交通、小汽车、慢行等交通方式与枢纽无缝衔接、便捷换乘，力争综合交通枢纽内不同运输方式之间的步行换乘时间在10分钟内。加快韶关港集疏运铁路、公路，机场集疏运高速、联运换装设施建设，推进水陆空联运的无缝衔接，提升多式联运效率与物流综合服务水平。</w:t>
      </w:r>
    </w:p>
    <w:p>
      <w:pPr>
        <w:widowControl w:val="0"/>
        <w:spacing w:line="560" w:lineRule="exact"/>
        <w:ind w:firstLine="643"/>
        <w:jc w:val="both"/>
        <w:rPr>
          <w:rFonts w:ascii="仿宋_GB2312" w:hAnsi="仿宋_GB2312" w:eastAsia="仿宋_GB2312" w:cs="仿宋_GB2312"/>
          <w:sz w:val="32"/>
          <w:szCs w:val="32"/>
          <w:lang w:bidi="ar"/>
        </w:rPr>
      </w:pPr>
      <w:r>
        <w:rPr>
          <w:rFonts w:hint="eastAsia" w:ascii="仿宋_GB2312" w:hAnsi="仿宋_GB2312" w:eastAsia="仿宋_GB2312" w:cs="仿宋_GB2312"/>
          <w:b/>
          <w:bCs/>
          <w:sz w:val="32"/>
          <w:szCs w:val="32"/>
          <w:lang w:bidi="ar"/>
        </w:rPr>
        <w:t>推动客运组织高质量融合发展。</w:t>
      </w:r>
      <w:r>
        <w:rPr>
          <w:rFonts w:hint="eastAsia" w:ascii="仿宋_GB2312" w:hAnsi="仿宋_GB2312" w:eastAsia="仿宋_GB2312" w:cs="仿宋_GB2312"/>
          <w:sz w:val="32"/>
          <w:szCs w:val="32"/>
          <w:lang w:bidi="ar"/>
        </w:rPr>
        <w:t>以韶关丹霞机场、韶关高铁站、韶关东站等综合客运枢纽为重点抓手，加强航空、高铁、城际轨道、地面公共交通等多种运输方式的线路组织衔接，突出航空运输与高速铁路的“双高优势”，推进长途、城际、城市客运系统“三网融合”，提升韶关整体品质化出行水平，有力支撑韶关融入广州都市区1小时交通圈、粤港澳大湾区2小时交通圈。强化旅客联程基础设施建设，加强丹霞机场、韶关站、乐昌东站等枢纽的联运服务配套设施共建共享，包括售票、取票、乘降、驻车换乘等。建设跨运输方式的联程客运系统，鼓励企业加快互联网+交通等新业态应用，发展联程联运和“一票制”，稳步推进粤港澳大湾区“一票制”联程客运服务体系建设。</w:t>
      </w:r>
    </w:p>
    <w:p>
      <w:pPr>
        <w:widowControl w:val="0"/>
        <w:spacing w:line="560" w:lineRule="exact"/>
        <w:ind w:firstLine="643"/>
        <w:jc w:val="both"/>
        <w:rPr>
          <w:rFonts w:ascii="仿宋_GB2312" w:hAnsi="仿宋_GB2312" w:eastAsia="仿宋_GB2312" w:cs="仿宋_GB2312"/>
          <w:b/>
        </w:rPr>
      </w:pPr>
      <w:r>
        <w:rPr>
          <w:rFonts w:hint="eastAsia" w:ascii="仿宋_GB2312" w:hAnsi="仿宋_GB2312" w:eastAsia="仿宋_GB2312" w:cs="仿宋_GB2312"/>
          <w:b/>
          <w:bCs/>
          <w:sz w:val="32"/>
          <w:szCs w:val="32"/>
          <w:lang w:bidi="ar"/>
        </w:rPr>
        <w:t>推动货运组织一体化融合发展。</w:t>
      </w:r>
      <w:r>
        <w:rPr>
          <w:rFonts w:hint="eastAsia" w:ascii="仿宋_GB2312" w:hAnsi="仿宋_GB2312" w:eastAsia="仿宋_GB2312" w:cs="仿宋_GB2312"/>
          <w:sz w:val="32"/>
          <w:szCs w:val="32"/>
          <w:lang w:bidi="ar"/>
        </w:rPr>
        <w:t>创新货物运输组织模式，依托港口、机场以及铁路，推动水陆空多式联运发展。重点优化韶关港货运枢纽、丹霞机场空港国际物流园联运设施空间布局，打造区域多式联运中心，构建服务湘赣、粤北以及粤港澳大湾区的水陆空运输通道。加快推进铁路货运枢纽站场、铁路专线等项目建设，重点推进赣韶铁路扩能升级、韶柳铁路、韶龙铁路、韶关北江港区疏港铁路等项目，实现铁路干线运输与韶关港、大型企业、工业园区、物流园等的高效联通和无缝衔接，为大宗货物及中长距离货物运输向铁路和水运转移提供基础条件。以北江航道为依托，大力发展公铁水多式联运，加快对沿线大中型码头进港铁路和疏港公路的统筹规划建设，设置集装箱铁水联运枢纽和区域多式联运中心，打造具有影响力的多式联运枢纽，为韶关高新区高质量发展提供经济、便捷、安全的运输服务。大力推广应用集装箱、厢式半挂车等标准化运载单元和货运车辆，引导联运市场发展壮大。</w:t>
      </w:r>
    </w:p>
    <w:p>
      <w:pPr>
        <w:pStyle w:val="143"/>
        <w:ind w:firstLine="640"/>
      </w:pPr>
      <w:bookmarkStart w:id="116" w:name="_Toc20096"/>
      <w:r>
        <w:rPr>
          <w:rFonts w:hint="eastAsia"/>
        </w:rPr>
        <w:t>区域一体化融合发</w:t>
      </w:r>
      <w:r>
        <w:t>展</w:t>
      </w:r>
      <w:bookmarkEnd w:id="116"/>
    </w:p>
    <w:p>
      <w:pPr>
        <w:widowControl w:val="0"/>
        <w:snapToGrid w:val="0"/>
        <w:spacing w:line="560" w:lineRule="exact"/>
        <w:ind w:firstLine="643"/>
        <w:jc w:val="both"/>
        <w:rPr>
          <w:rFonts w:ascii="仿宋_GB2312" w:hAnsi="仿宋_GB2312" w:eastAsia="仿宋_GB2312" w:cs="仿宋_GB2312"/>
          <w:sz w:val="32"/>
          <w:szCs w:val="32"/>
          <w:lang w:bidi="ar"/>
        </w:rPr>
      </w:pPr>
      <w:r>
        <w:rPr>
          <w:rFonts w:hint="eastAsia" w:ascii="仿宋_GB2312" w:hAnsi="仿宋_GB2312" w:eastAsia="仿宋_GB2312" w:cs="仿宋_GB2312"/>
          <w:b/>
          <w:bCs/>
          <w:sz w:val="32"/>
          <w:szCs w:val="32"/>
          <w:lang w:bidi="ar"/>
        </w:rPr>
        <w:t>推进韶关“融湾出省”交通运输一体化发展。</w:t>
      </w:r>
      <w:r>
        <w:rPr>
          <w:rFonts w:hint="eastAsia" w:ascii="仿宋_GB2312" w:hAnsi="仿宋_GB2312" w:eastAsia="仿宋_GB2312" w:cs="仿宋_GB2312"/>
          <w:sz w:val="32"/>
          <w:szCs w:val="32"/>
          <w:lang w:bidi="ar"/>
        </w:rPr>
        <w:t>加快构建以轨道交通和高速公路为主体的“融湾出省”高快速交通网络。实现11条高快速通道对接粤港澳大湾区（其中8条高快速通道对接广佛，3条高快速通道对接深圳），有效支撑韶关深度融入粤港澳大湾区。实现3条高快速通道联系潮汕揭，有力支撑构建全省区域协调发展新格局。实现7条高快速通道高效衔接湖南，8条高快速通道高效衔接江西，加速粤赣湘红三角区域一体化发展。实现4条高快速通道沟通广西，推动粤桂区域世界级旅游资源高效联动，支撑文化和产业协同发展。</w:t>
      </w:r>
    </w:p>
    <w:p>
      <w:pPr>
        <w:widowControl w:val="0"/>
        <w:snapToGrid w:val="0"/>
        <w:spacing w:line="560" w:lineRule="exact"/>
        <w:ind w:firstLine="643"/>
        <w:jc w:val="both"/>
        <w:rPr>
          <w:rFonts w:ascii="仿宋_GB2312" w:hAnsi="仿宋_GB2312" w:eastAsia="仿宋_GB2312" w:cs="仿宋_GB2312"/>
          <w:b/>
          <w:bCs/>
          <w:sz w:val="32"/>
          <w:szCs w:val="32"/>
          <w:lang w:bidi="ar"/>
        </w:rPr>
      </w:pPr>
      <w:r>
        <w:rPr>
          <w:rFonts w:hint="eastAsia" w:ascii="仿宋_GB2312" w:hAnsi="仿宋_GB2312" w:eastAsia="仿宋_GB2312" w:cs="仿宋_GB2312"/>
          <w:b/>
          <w:bCs/>
          <w:sz w:val="32"/>
          <w:szCs w:val="32"/>
          <w:lang w:bidi="ar"/>
        </w:rPr>
        <w:t>推进韶关与相邻省市高效衔接。</w:t>
      </w:r>
      <w:r>
        <w:rPr>
          <w:rFonts w:hint="eastAsia" w:ascii="仿宋_GB2312" w:hAnsi="仿宋_GB2312" w:eastAsia="仿宋_GB2312" w:cs="仿宋_GB2312"/>
          <w:sz w:val="32"/>
          <w:szCs w:val="32"/>
          <w:lang w:bidi="ar"/>
        </w:rPr>
        <w:t>加快推进韶关分层次、分重点全面对接周边相邻省市，实现与周边地市规划相协调，公路技术等级与建设时序相匹配，构建以轨道交通、高速公路为骨架，国省干线为骨干，其他道路为补充的对外衔接路网体系。加快建成信丰（省界）至南雄高速，积极推动韶关至连州高速、韶关至全南高速等开展前期研究，升级改造国道G106、G323、G535、省道S517等一批与周边衔接的干线公路，基本建成以高速公路、高等级公路为主，干支协调、能力充分、便捷高效、开放互联的高质量衔接路网，有效满足韶关市与周边相邻城市经济社会发展需求。重点研究韶关与广州、清远高效融合路网，推动韶关高效融入粤港澳大湾区核心区。</w:t>
      </w:r>
    </w:p>
    <w:p>
      <w:pPr>
        <w:widowControl w:val="0"/>
        <w:snapToGrid w:val="0"/>
        <w:spacing w:line="560" w:lineRule="exact"/>
        <w:ind w:firstLine="643"/>
        <w:jc w:val="both"/>
        <w:rPr>
          <w:rFonts w:ascii="仿宋" w:hAnsi="仿宋"/>
          <w:sz w:val="32"/>
          <w:szCs w:val="32"/>
          <w:lang w:bidi="ar"/>
        </w:rPr>
      </w:pPr>
      <w:r>
        <w:rPr>
          <w:rFonts w:hint="eastAsia" w:ascii="仿宋_GB2312" w:hAnsi="仿宋_GB2312" w:eastAsia="仿宋_GB2312" w:cs="仿宋_GB2312"/>
          <w:b/>
          <w:bCs/>
          <w:sz w:val="32"/>
          <w:szCs w:val="32"/>
          <w:lang w:bidi="ar"/>
        </w:rPr>
        <w:t>推动内外交通无缝衔接。</w:t>
      </w:r>
      <w:r>
        <w:rPr>
          <w:rFonts w:hint="eastAsia" w:ascii="仿宋_GB2312" w:hAnsi="仿宋_GB2312" w:eastAsia="仿宋_GB2312" w:cs="仿宋_GB2312"/>
          <w:sz w:val="32"/>
          <w:szCs w:val="32"/>
          <w:lang w:bidi="ar"/>
        </w:rPr>
        <w:t>强化干线公路与高速公路的衔接，完善高速公路出入口衔接道路，推进韶关市域主要节点与高速公路直连直通，实现乡镇20分钟左右上下高速。加强干线公路与城市快速路、主干路的高效对接，系统优化进出城道路网络，推动规划建设统筹和管理协同，减少对城市的分割和干扰，实现中心城区内外干线道路的无缝对接。强化高铁站、机场、客运枢纽等与城市道路、公交、轨道、停车等系统之间的无缝衔接，打造“零换乘、一体化”综合交通枢纽锚固的内外畅连交通体系。积极推进公路和城市道路建管养体制改革，为实现城市内外交通一体化提供制度保障。</w:t>
      </w:r>
    </w:p>
    <w:p>
      <w:pPr>
        <w:pStyle w:val="143"/>
        <w:ind w:firstLine="640"/>
      </w:pPr>
      <w:bookmarkStart w:id="117" w:name="_Toc27372"/>
      <w:r>
        <w:t>“</w:t>
      </w:r>
      <w:r>
        <w:rPr>
          <w:rFonts w:hint="eastAsia"/>
        </w:rPr>
        <w:t>交通+</w:t>
      </w:r>
      <w:r>
        <w:t>”</w:t>
      </w:r>
      <w:r>
        <w:rPr>
          <w:rFonts w:hint="eastAsia"/>
        </w:rPr>
        <w:t>产业融合发展</w:t>
      </w:r>
      <w:bookmarkEnd w:id="117"/>
    </w:p>
    <w:p>
      <w:pPr>
        <w:widowControl w:val="0"/>
        <w:snapToGrid w:val="0"/>
        <w:spacing w:line="560" w:lineRule="exact"/>
        <w:ind w:firstLine="643"/>
        <w:jc w:val="both"/>
        <w:rPr>
          <w:rFonts w:ascii="仿宋_GB2312" w:hAnsi="仿宋_GB2312" w:eastAsia="仿宋_GB2312" w:cs="仿宋_GB2312"/>
          <w:sz w:val="32"/>
          <w:szCs w:val="32"/>
          <w:lang w:bidi="ar"/>
        </w:rPr>
      </w:pPr>
      <w:r>
        <w:rPr>
          <w:rFonts w:hint="eastAsia" w:ascii="仿宋_GB2312" w:hAnsi="仿宋_GB2312" w:eastAsia="仿宋_GB2312" w:cs="仿宋_GB2312"/>
          <w:b/>
          <w:bCs/>
          <w:sz w:val="32"/>
          <w:szCs w:val="32"/>
          <w:lang w:bidi="ar"/>
        </w:rPr>
        <w:t>推进交通运输与邮政快递融合发展。</w:t>
      </w:r>
      <w:r>
        <w:rPr>
          <w:rFonts w:hint="eastAsia" w:ascii="仿宋_GB2312" w:hAnsi="仿宋_GB2312" w:eastAsia="仿宋_GB2312" w:cs="仿宋_GB2312"/>
          <w:sz w:val="32"/>
          <w:szCs w:val="32"/>
          <w:lang w:bidi="ar"/>
        </w:rPr>
        <w:t>加强高速公路、铁路、航空等交通基础设施与邮政快递基础设施的统筹布局，重点推进韶关丹霞机场空港国际物流园建设，吸引国内外知名快递企业进驻，发展高端航空快递物流服务。曲江综合货运枢纽、始兴综合货运枢纽等新建交通枢纽统筹考虑布局邮件快递处理中心、邮政快递分拨中心、操作场站、安全检查和运输通道等。统筹优化枢纽内、外道路设施，畅通快件进出通道，确保内外集疏运衔接顺畅、运行便捷高效。大力开展交邮合作，健全以县级分拨、乡镇网点、村级寄递物流综合服务站为支撑的三级农村寄递物流网络，提高农村物流网络连通度和覆盖面。推广“定时、定点、定线、定车”的“四定”农村物流货运班线、快递班车等模式，推广县至乡镇沿途行政村的双向邮件快件运输服务。</w:t>
      </w:r>
    </w:p>
    <w:p>
      <w:pPr>
        <w:widowControl w:val="0"/>
        <w:snapToGrid w:val="0"/>
        <w:spacing w:line="560" w:lineRule="exact"/>
        <w:ind w:firstLine="643"/>
        <w:jc w:val="both"/>
        <w:rPr>
          <w:rFonts w:ascii="仿宋_GB2312" w:hAnsi="仿宋_GB2312" w:eastAsia="仿宋_GB2312" w:cs="仿宋_GB2312"/>
          <w:sz w:val="32"/>
          <w:szCs w:val="32"/>
          <w:lang w:bidi="ar"/>
        </w:rPr>
      </w:pPr>
      <w:r>
        <w:rPr>
          <w:rFonts w:hint="eastAsia" w:ascii="仿宋_GB2312" w:hAnsi="仿宋_GB2312" w:eastAsia="仿宋_GB2312" w:cs="仿宋_GB2312"/>
          <w:b/>
          <w:bCs/>
          <w:sz w:val="32"/>
          <w:szCs w:val="32"/>
          <w:lang w:bidi="ar"/>
        </w:rPr>
        <w:t>推动交通运输与制造商贸业深度融合。</w:t>
      </w:r>
      <w:r>
        <w:rPr>
          <w:rFonts w:hint="eastAsia" w:ascii="仿宋_GB2312" w:hAnsi="仿宋_GB2312" w:eastAsia="仿宋_GB2312" w:cs="仿宋_GB2312"/>
          <w:sz w:val="32"/>
          <w:szCs w:val="32"/>
          <w:lang w:bidi="ar"/>
        </w:rPr>
        <w:t>紧紧围绕韶关产业转型升级以及高新区高质量发展需求，强化交通基础设施引领与辐射作用，推进交通运输向现代物流产业链上下游延伸，构建“交通+产业”大平台发展模式，以运输链带动产业链发展。重点加快推进韶关空港物流园、韶关港等多式联运物流枢纽建设，推动交通运输与韶关高新区商贸流通、电子商务等资源共享共建，建设集运输、展销、仓储、配送、物流信息、跨境电商配套服务等为一体的综合物流服务基地，实现产业要素高度融合，形成以物流枢纽为要素流动组织者的枢纽经济新模式，推动经济转型升级；加快完善直达韶关高新区“一园十区”的干线路网及相应的物流场站，推动形成流通顺畅、运转高效、具有规模的商贸物流体系，支撑韶关打造成为高效联通粤港澳大湾区与内地，“南货北运”、“北货南运”的区域性商贸物流枢纽城市。</w:t>
      </w:r>
    </w:p>
    <w:p>
      <w:pPr>
        <w:widowControl w:val="0"/>
        <w:snapToGrid w:val="0"/>
        <w:spacing w:line="560" w:lineRule="exact"/>
        <w:ind w:firstLine="643"/>
        <w:jc w:val="both"/>
        <w:rPr>
          <w:rFonts w:ascii="仿宋_GB2312" w:hAnsi="仿宋_GB2312" w:eastAsia="仿宋_GB2312" w:cs="仿宋_GB2312"/>
          <w:bCs/>
          <w:sz w:val="32"/>
          <w:szCs w:val="32"/>
          <w:lang w:bidi="ar"/>
        </w:rPr>
      </w:pPr>
      <w:r>
        <w:rPr>
          <w:rFonts w:hint="eastAsia" w:ascii="仿宋_GB2312" w:hAnsi="仿宋_GB2312" w:eastAsia="仿宋_GB2312" w:cs="仿宋_GB2312"/>
          <w:b/>
          <w:sz w:val="32"/>
          <w:szCs w:val="32"/>
          <w:lang w:bidi="ar"/>
        </w:rPr>
        <w:t>推进交通运输与旅游融合发展。</w:t>
      </w:r>
      <w:r>
        <w:rPr>
          <w:rFonts w:hint="eastAsia" w:ascii="仿宋_GB2312" w:hAnsi="仿宋_GB2312" w:eastAsia="仿宋_GB2312" w:cs="仿宋_GB2312"/>
          <w:bCs/>
          <w:sz w:val="32"/>
          <w:szCs w:val="32"/>
          <w:lang w:bidi="ar"/>
        </w:rPr>
        <w:t>充分发挥交通促进全域旅游发展的基础性作用，打造具有韶关特色、突出岭南风度、禅韵丹霞的交旅融合体系。重点打造南岭生态旅游公路、广东红军长征路等两条具有全省示范意义的旅游公路。积极推动锦江绿色航道开发建设，丰富旅游航道及船舶供给产品，构建多元旅游交通格局。鼓励开通旅游观光巴士，以丹霞山专线、南华寺专线、珠玑专线、大峡谷专线、云门山专线等为试点，推动开通中心城区、高铁站、客运站、丹霞机场等游客集散地串联重点景区和特色文化地标景观的旅游客运线路。鼓励各县(市、区)增开城区到乡村旅游点客运线路。构建“交通+旅游”服务区(站点、营地)体系，以曲江服务区、樟市服务区、梅花北服务区、乐昌粤北停车区等高速公路服务区为依托，拓展旅游咨询、旅游宣传等服务功能，将高速公路服务区打造成为旅游形象展示窗口。</w:t>
      </w:r>
    </w:p>
    <w:p>
      <w:pPr>
        <w:widowControl w:val="0"/>
        <w:snapToGrid w:val="0"/>
        <w:spacing w:line="560" w:lineRule="exact"/>
        <w:ind w:firstLine="643"/>
        <w:jc w:val="both"/>
        <w:rPr>
          <w:rFonts w:ascii="仿宋_GB2312" w:hAnsi="仿宋_GB2312" w:eastAsia="仿宋_GB2312" w:cs="仿宋_GB2312"/>
          <w:bCs/>
          <w:sz w:val="32"/>
          <w:szCs w:val="32"/>
          <w:lang w:bidi="ar"/>
        </w:rPr>
      </w:pPr>
      <w:r>
        <w:rPr>
          <w:rFonts w:hint="eastAsia" w:ascii="仿宋_GB2312" w:hAnsi="仿宋_GB2312" w:eastAsia="仿宋_GB2312" w:cs="仿宋_GB2312"/>
          <w:b/>
          <w:sz w:val="32"/>
          <w:szCs w:val="32"/>
          <w:lang w:bidi="ar"/>
        </w:rPr>
        <w:t>推进交通运输助力乡村振兴。</w:t>
      </w:r>
      <w:r>
        <w:rPr>
          <w:rFonts w:hint="eastAsia" w:ascii="仿宋_GB2312" w:hAnsi="仿宋_GB2312" w:eastAsia="仿宋_GB2312" w:cs="仿宋_GB2312"/>
          <w:bCs/>
          <w:sz w:val="32"/>
          <w:szCs w:val="32"/>
          <w:lang w:bidi="ar"/>
        </w:rPr>
        <w:t>继续把建设“四好农村路”作为服务乡村振兴战略、广东省“百县千镇万村高质量发展工程”的基础性、先导性任务，协调推进建管养运。提升农村地区外通内联水平，有序实施乡镇通三级公路建设、老旧公路改造和窄路基路面加宽改造，强化农村公路与干线公路、城市道路以及其他运输方式的衔接。以乡村振兴精品路线统筹农村经济、资源、产业、旅游等，重点谋划一批解决产业园区对外通道要求的产业致富路，以及打造一批以红色游、研学游、乡村游、祈福游、养生游等为主题的精品旅游线路，形成“一路通、百业兴”发展景象。提高客运服务均等化水平，优化农村地区客运服务供给。推动县、乡、村三级农村物流节点体系建设，畅通农产品进城、农业生产资料和农民生活消费品下乡的物流服务体系。提高农村交通安全保障能力，改善农村交通环境，服务乡村生态宜居。</w:t>
      </w:r>
    </w:p>
    <w:p>
      <w:pPr>
        <w:widowControl w:val="0"/>
        <w:adjustRightInd w:val="0"/>
        <w:snapToGrid w:val="0"/>
        <w:spacing w:before="381" w:beforeLines="100" w:line="360" w:lineRule="auto"/>
        <w:ind w:firstLine="0" w:firstLineChars="0"/>
        <w:jc w:val="both"/>
        <w:outlineLvl w:val="0"/>
        <w:rPr>
          <w:rFonts w:ascii="黑体" w:hAnsi="黑体" w:eastAsia="黑体" w:cs="华文中宋"/>
          <w:bCs/>
          <w:sz w:val="36"/>
          <w:szCs w:val="30"/>
          <w:lang w:val="zh-CN"/>
        </w:rPr>
        <w:sectPr>
          <w:pgSz w:w="11906" w:h="16838"/>
          <w:pgMar w:top="1440" w:right="1797" w:bottom="1440" w:left="1797" w:header="851" w:footer="851" w:gutter="0"/>
          <w:pgNumType w:fmt="numberInDash"/>
          <w:cols w:space="720" w:num="1"/>
          <w:docGrid w:type="lines" w:linePitch="381" w:charSpace="0"/>
        </w:sectPr>
      </w:pPr>
      <w:bookmarkStart w:id="118" w:name="_Toc77779560"/>
    </w:p>
    <w:bookmarkEnd w:id="118"/>
    <w:p>
      <w:pPr>
        <w:pStyle w:val="2"/>
        <w:spacing w:after="381"/>
        <w:rPr>
          <w:lang w:val="zh-CN"/>
        </w:rPr>
      </w:pPr>
      <w:bookmarkStart w:id="119" w:name="_Toc2047"/>
      <w:r>
        <w:rPr>
          <w:rFonts w:hint="eastAsia"/>
          <w:lang w:val="zh-CN"/>
        </w:rPr>
        <w:t>高质量发展的综合交通体系</w:t>
      </w:r>
      <w:bookmarkEnd w:id="119"/>
    </w:p>
    <w:p>
      <w:pPr>
        <w:pStyle w:val="143"/>
        <w:ind w:firstLine="640"/>
      </w:pPr>
      <w:bookmarkStart w:id="120" w:name="_Toc4079"/>
      <w:r>
        <w:rPr>
          <w:rFonts w:hint="eastAsia"/>
        </w:rPr>
        <w:t>交通安全应急保障</w:t>
      </w:r>
      <w:bookmarkEnd w:id="120"/>
    </w:p>
    <w:p>
      <w:pPr>
        <w:widowControl w:val="0"/>
        <w:snapToGrid w:val="0"/>
        <w:spacing w:line="560" w:lineRule="exact"/>
        <w:ind w:firstLine="643"/>
        <w:jc w:val="both"/>
        <w:rPr>
          <w:rFonts w:ascii="仿宋_GB2312" w:hAnsi="仿宋_GB2312" w:eastAsia="仿宋_GB2312" w:cs="仿宋_GB2312"/>
          <w:bCs/>
          <w:sz w:val="32"/>
          <w:szCs w:val="32"/>
          <w:lang w:bidi="ar"/>
        </w:rPr>
      </w:pPr>
      <w:r>
        <w:rPr>
          <w:rFonts w:hint="eastAsia" w:ascii="仿宋_GB2312" w:hAnsi="仿宋_GB2312" w:eastAsia="仿宋_GB2312" w:cs="仿宋_GB2312"/>
          <w:b/>
          <w:sz w:val="32"/>
          <w:szCs w:val="32"/>
          <w:lang w:bidi="ar"/>
        </w:rPr>
        <w:t>提升交通基础设施安全水平。</w:t>
      </w:r>
      <w:r>
        <w:rPr>
          <w:rFonts w:hint="eastAsia" w:ascii="仿宋_GB2312" w:hAnsi="仿宋_GB2312" w:eastAsia="仿宋_GB2312" w:cs="仿宋_GB2312"/>
          <w:bCs/>
          <w:sz w:val="32"/>
          <w:szCs w:val="32"/>
          <w:lang w:bidi="ar"/>
        </w:rPr>
        <w:t>强化交通基础设施性能安全监测技术手段，严格开展桥梁、隧道等重点设施和临边路、高速公路边坡等重点区域的检查、检测。强化交通基础设施防护性养护维护、安全评估,加强长期性能观测，完善数据采集、检测诊断、维修处治技术体系，加大病害治理力度，及时消除安全隐患。加强战略通道应急装备物资储备基地与救援中心建设。加强穿越生态环境敏感区路段的应急物资配备，提升危化品车辆泄露事故应急能力。</w:t>
      </w:r>
    </w:p>
    <w:p>
      <w:pPr>
        <w:widowControl w:val="0"/>
        <w:snapToGrid w:val="0"/>
        <w:spacing w:line="560" w:lineRule="exact"/>
        <w:ind w:firstLine="643"/>
        <w:jc w:val="both"/>
        <w:rPr>
          <w:rFonts w:ascii="仿宋_GB2312" w:hAnsi="仿宋_GB2312" w:eastAsia="仿宋_GB2312" w:cs="仿宋_GB2312"/>
          <w:bCs/>
          <w:sz w:val="32"/>
          <w:szCs w:val="32"/>
          <w:lang w:bidi="ar"/>
        </w:rPr>
      </w:pPr>
      <w:r>
        <w:rPr>
          <w:rFonts w:hint="eastAsia" w:ascii="仿宋_GB2312" w:hAnsi="仿宋_GB2312" w:eastAsia="仿宋_GB2312" w:cs="仿宋_GB2312"/>
          <w:b/>
          <w:sz w:val="32"/>
          <w:szCs w:val="32"/>
          <w:lang w:bidi="ar"/>
        </w:rPr>
        <w:t>强化交通运输安全监管。</w:t>
      </w:r>
      <w:r>
        <w:rPr>
          <w:rFonts w:hint="eastAsia" w:ascii="仿宋_GB2312" w:hAnsi="仿宋_GB2312" w:eastAsia="仿宋_GB2312" w:cs="仿宋_GB2312"/>
          <w:bCs/>
          <w:sz w:val="32"/>
          <w:szCs w:val="32"/>
          <w:lang w:bidi="ar"/>
        </w:rPr>
        <w:t>完善安全生产监管和应急管理工作职责，强化企业主体责任，实行全员安全生产责任制，落实行业安全监管责任，形成政府统一领导、各部门协同联动、全社会共同参与的交通安全治理格局。加强重点车辆运输安全治理，全面强化旅游客运、危险货物道路运输、农村客运等重点领域全过程、全链条安全监管，提升行业安全发展水平。推进建立道路运输从业人员职业技能等级认定制度，健全完善职业技能等级认定评价标准体系。</w:t>
      </w:r>
    </w:p>
    <w:p>
      <w:pPr>
        <w:widowControl w:val="0"/>
        <w:snapToGrid w:val="0"/>
        <w:spacing w:line="560" w:lineRule="exact"/>
        <w:ind w:firstLine="643"/>
        <w:jc w:val="both"/>
        <w:rPr>
          <w:rFonts w:ascii="仿宋_GB2312" w:hAnsi="仿宋_GB2312" w:eastAsia="仿宋_GB2312" w:cs="仿宋_GB2312"/>
          <w:bCs/>
          <w:sz w:val="32"/>
          <w:szCs w:val="32"/>
          <w:lang w:bidi="ar"/>
        </w:rPr>
      </w:pPr>
      <w:r>
        <w:rPr>
          <w:rFonts w:hint="eastAsia" w:ascii="仿宋_GB2312" w:hAnsi="仿宋_GB2312" w:eastAsia="仿宋_GB2312" w:cs="仿宋_GB2312"/>
          <w:b/>
          <w:sz w:val="32"/>
          <w:szCs w:val="32"/>
          <w:lang w:bidi="ar"/>
        </w:rPr>
        <w:t>强化交通应急救援能力。</w:t>
      </w:r>
      <w:r>
        <w:rPr>
          <w:rFonts w:hint="eastAsia" w:ascii="仿宋_GB2312" w:hAnsi="仿宋_GB2312" w:eastAsia="仿宋_GB2312" w:cs="仿宋_GB2312"/>
          <w:bCs/>
          <w:sz w:val="32"/>
          <w:szCs w:val="32"/>
          <w:lang w:bidi="ar"/>
        </w:rPr>
        <w:t>完善公路水路交通突发公共事件应急体系，提高应对公共突发事件的应急能力，提高事故预防、处置和救助能力。加强与公安、应急管理局等部门的监测数据交换和应急响应联动，深入开展公路水路交通各类突发事件风险普查和监控。督促交通运输生产企业加强应急预案管理，推动安全生产标准化建设，配备相应的应急物资，并组织开展演练。强化港口动态监管及应急指挥体系，完善应急设施设备和救援队伍。做好恶劣天气条件下防范安全生产事故的预防措施，严防暴雨、台风等恶劣天气造成伤亡事故的发生。</w:t>
      </w:r>
    </w:p>
    <w:p>
      <w:pPr>
        <w:pStyle w:val="143"/>
        <w:ind w:firstLine="640"/>
      </w:pPr>
      <w:bookmarkStart w:id="121" w:name="_Toc30743"/>
      <w:r>
        <w:rPr>
          <w:rFonts w:hint="eastAsia"/>
        </w:rPr>
        <w:t>智慧交通运输体系</w:t>
      </w:r>
      <w:bookmarkEnd w:id="121"/>
    </w:p>
    <w:p>
      <w:pPr>
        <w:widowControl w:val="0"/>
        <w:snapToGrid w:val="0"/>
        <w:spacing w:line="560" w:lineRule="exact"/>
        <w:ind w:firstLine="643"/>
        <w:jc w:val="both"/>
        <w:rPr>
          <w:rFonts w:ascii="仿宋_GB2312" w:hAnsi="仿宋_GB2312" w:eastAsia="仿宋_GB2312" w:cs="仿宋_GB2312"/>
          <w:bCs/>
          <w:sz w:val="32"/>
          <w:szCs w:val="32"/>
          <w:lang w:bidi="ar"/>
        </w:rPr>
      </w:pPr>
      <w:r>
        <w:rPr>
          <w:rFonts w:hint="eastAsia" w:ascii="仿宋_GB2312" w:hAnsi="仿宋_GB2312" w:eastAsia="仿宋_GB2312" w:cs="仿宋_GB2312"/>
          <w:b/>
          <w:sz w:val="32"/>
          <w:szCs w:val="32"/>
          <w:lang w:bidi="ar"/>
        </w:rPr>
        <w:t>提升交通基础设施和监管智能化水平</w:t>
      </w:r>
      <w:r>
        <w:rPr>
          <w:rFonts w:hint="eastAsia" w:ascii="仿宋_GB2312" w:hAnsi="仿宋_GB2312" w:eastAsia="仿宋_GB2312" w:cs="仿宋_GB2312"/>
          <w:bCs/>
          <w:sz w:val="32"/>
          <w:szCs w:val="32"/>
          <w:lang w:bidi="ar"/>
        </w:rPr>
        <w:t>。推动交通运输基础设施与信息基础设施一体化建设，鼓励具备多维感知、高精度定位、智能网联、模式识别功能的终端设备在公路、铁路、航道、港口、民航、邮政等交通基础设施的布局和应用。积极推进5G覆盖韶关市境内的高速公路服务区、主要高速公路路段以及高铁站，全面提升韶关交通基础设施智能化、数字化水平。</w:t>
      </w:r>
    </w:p>
    <w:p>
      <w:pPr>
        <w:widowControl w:val="0"/>
        <w:snapToGrid w:val="0"/>
        <w:spacing w:line="560" w:lineRule="exact"/>
        <w:ind w:firstLine="643"/>
        <w:jc w:val="both"/>
        <w:rPr>
          <w:rFonts w:ascii="仿宋_GB2312" w:hAnsi="仿宋_GB2312" w:eastAsia="仿宋_GB2312" w:cs="仿宋_GB2312"/>
          <w:bCs/>
          <w:sz w:val="32"/>
          <w:szCs w:val="32"/>
          <w:lang w:bidi="ar"/>
        </w:rPr>
      </w:pPr>
      <w:r>
        <w:rPr>
          <w:rFonts w:hint="eastAsia" w:ascii="仿宋_GB2312" w:hAnsi="仿宋_GB2312" w:eastAsia="仿宋_GB2312" w:cs="仿宋_GB2312"/>
          <w:b/>
          <w:sz w:val="32"/>
          <w:szCs w:val="32"/>
          <w:lang w:bidi="ar"/>
        </w:rPr>
        <w:t>加快智慧交通平台建设。</w:t>
      </w:r>
      <w:r>
        <w:rPr>
          <w:rFonts w:hint="eastAsia" w:ascii="仿宋_GB2312" w:hAnsi="仿宋_GB2312" w:eastAsia="仿宋_GB2312" w:cs="仿宋_GB2312"/>
          <w:bCs/>
          <w:sz w:val="32"/>
          <w:szCs w:val="32"/>
          <w:lang w:bidi="ar"/>
        </w:rPr>
        <w:t>加强交通信息化建设顶层设计，合理划分服务职能，以市场为导向、分类合作，推进智慧交通的行业管理、公众服务、商业服务等平台建设。积极推进韶关市综合交通运输协调指挥中心建设，实现对全市公路、铁路、水路、邮政、城市公共交通等各运输方式运行情况的全面掌握，实现各种运输方式、各部门信息共享，增强对全市交通运输整体运行情况的宏观掌控能力。同时要深化各业务领域管理服务应用系统建设，完善公路养护管理、路政管理、客运出行、物流监管等系统。</w:t>
      </w:r>
    </w:p>
    <w:p>
      <w:pPr>
        <w:widowControl w:val="0"/>
        <w:snapToGrid w:val="0"/>
        <w:spacing w:line="560" w:lineRule="exact"/>
        <w:ind w:firstLine="643"/>
        <w:jc w:val="both"/>
        <w:rPr>
          <w:rFonts w:ascii="仿宋_GB2312" w:hAnsi="仿宋_GB2312" w:eastAsia="仿宋_GB2312" w:cs="仿宋_GB2312"/>
          <w:bCs/>
          <w:sz w:val="32"/>
          <w:szCs w:val="32"/>
          <w:lang w:bidi="ar"/>
        </w:rPr>
      </w:pPr>
      <w:r>
        <w:rPr>
          <w:rFonts w:hint="eastAsia" w:ascii="仿宋_GB2312" w:hAnsi="仿宋_GB2312" w:eastAsia="仿宋_GB2312" w:cs="仿宋_GB2312"/>
          <w:b/>
          <w:sz w:val="32"/>
          <w:szCs w:val="32"/>
          <w:lang w:bidi="ar"/>
        </w:rPr>
        <w:t>提升物流信息服务水平。</w:t>
      </w:r>
      <w:r>
        <w:rPr>
          <w:rFonts w:hint="eastAsia" w:ascii="仿宋_GB2312" w:hAnsi="仿宋_GB2312" w:eastAsia="仿宋_GB2312" w:cs="仿宋_GB2312"/>
          <w:bCs/>
          <w:sz w:val="32"/>
          <w:szCs w:val="32"/>
          <w:lang w:bidi="ar"/>
        </w:rPr>
        <w:t>依托铁路网络、公路网络、航空网络、水运网络及实体物流园区，充分利用云计算、大数据、物联网、人工智能等技术，为线上线下物流运输、仓储配送、商品交易、金融服务、物流诚信等业务提供一站式、全方位服务，形成覆盖线上线下的物流生态系统。鼓励全市传统货运企业利用先进信息技术，优化运输组织，加快推动无人仓、无人车、无人机等在货运物流领域的应用。鼓励创新物流信息平台功能，除具备整合运力资源、货源资源外，提供业务撮合、支付场景配适等一站式物流供应链解决方案。</w:t>
      </w:r>
    </w:p>
    <w:p>
      <w:pPr>
        <w:pStyle w:val="143"/>
        <w:ind w:firstLine="640"/>
      </w:pPr>
      <w:bookmarkStart w:id="122" w:name="_Toc10092"/>
      <w:r>
        <w:rPr>
          <w:rFonts w:hint="eastAsia"/>
        </w:rPr>
        <w:t>绿色交通发</w:t>
      </w:r>
      <w:r>
        <w:t>展</w:t>
      </w:r>
      <w:r>
        <w:rPr>
          <w:rFonts w:hint="eastAsia"/>
        </w:rPr>
        <w:t>体系</w:t>
      </w:r>
      <w:bookmarkEnd w:id="122"/>
    </w:p>
    <w:p>
      <w:pPr>
        <w:widowControl w:val="0"/>
        <w:snapToGrid w:val="0"/>
        <w:spacing w:line="560" w:lineRule="exact"/>
        <w:ind w:firstLine="643"/>
        <w:jc w:val="both"/>
        <w:rPr>
          <w:rFonts w:ascii="仿宋_GB2312" w:hAnsi="仿宋_GB2312" w:eastAsia="仿宋_GB2312" w:cs="仿宋_GB2312"/>
          <w:bCs/>
          <w:sz w:val="32"/>
          <w:szCs w:val="32"/>
          <w:lang w:bidi="ar"/>
        </w:rPr>
      </w:pPr>
      <w:r>
        <w:rPr>
          <w:rFonts w:hint="eastAsia" w:ascii="仿宋_GB2312" w:hAnsi="仿宋_GB2312" w:eastAsia="仿宋_GB2312" w:cs="仿宋_GB2312"/>
          <w:b/>
          <w:sz w:val="32"/>
          <w:szCs w:val="32"/>
          <w:lang w:bidi="ar"/>
        </w:rPr>
        <w:t>推进绿色低碳发展。</w:t>
      </w:r>
      <w:r>
        <w:rPr>
          <w:rFonts w:hint="eastAsia" w:ascii="仿宋_GB2312" w:hAnsi="仿宋_GB2312" w:eastAsia="仿宋_GB2312" w:cs="仿宋_GB2312"/>
          <w:bCs/>
          <w:sz w:val="32"/>
          <w:szCs w:val="32"/>
          <w:lang w:bidi="ar"/>
        </w:rPr>
        <w:t xml:space="preserve">贯彻落实碳达峰、碳中和的重大战略决策，围绕优化交通运输结构、加强交通运输生态保护和污染防治、资源集约节约利用、节能降碳等方面开展绿色交通建设。积极推进生态工程技术在交通基础设施设计、建设、养护和运营等全过程的综合运用，最大限度保护重要生态功能区、避让生态环境敏感区。构建生态化交通网络，打造公路、铁路、北江、浈江和武江沿线绿色生态走廊，打造具有韶关特色的绿色交通品牌。加强碳排放和污染防治协同控制，加快新能源、清洁能源推广应用。逐步构建“集约、高效、绿色、智能”城市绿色货运配送体系，有效破解城市配送“三难”、交通拥堵、大气污染等问题，促进物流业降本增效。 </w:t>
      </w:r>
    </w:p>
    <w:p>
      <w:pPr>
        <w:widowControl w:val="0"/>
        <w:snapToGrid w:val="0"/>
        <w:spacing w:line="560" w:lineRule="exact"/>
        <w:ind w:firstLine="643"/>
        <w:jc w:val="both"/>
        <w:rPr>
          <w:rFonts w:ascii="仿宋_GB2312" w:hAnsi="仿宋_GB2312" w:eastAsia="仿宋_GB2312" w:cs="仿宋_GB2312"/>
          <w:bCs/>
          <w:sz w:val="32"/>
          <w:szCs w:val="32"/>
          <w:lang w:bidi="ar"/>
        </w:rPr>
      </w:pPr>
      <w:r>
        <w:rPr>
          <w:rFonts w:hint="eastAsia" w:ascii="仿宋_GB2312" w:hAnsi="仿宋_GB2312" w:eastAsia="仿宋_GB2312" w:cs="仿宋_GB2312"/>
          <w:b/>
          <w:sz w:val="32"/>
          <w:szCs w:val="32"/>
          <w:lang w:bidi="ar"/>
        </w:rPr>
        <w:t>持续优化交通运输结构。</w:t>
      </w:r>
      <w:r>
        <w:rPr>
          <w:rFonts w:hint="eastAsia" w:ascii="仿宋_GB2312" w:hAnsi="仿宋_GB2312" w:eastAsia="仿宋_GB2312" w:cs="仿宋_GB2312"/>
          <w:bCs/>
          <w:sz w:val="32"/>
          <w:szCs w:val="32"/>
          <w:lang w:bidi="ar"/>
        </w:rPr>
        <w:t>调整优化客货运结构，促进不同运输方式各展其长、良性竞争、整体更优。推进铁路、公路、水运、民航等客运系统有机衔接和差异化发展，提升公共客运的舒适性和可靠性，吸引中短距离城际出行更多转向公共客运。大力发展多式联运，加快推进大宗货物和中长距离运输的“公转铁”“公转水”。加快完善水运系统，重点推进北江港区、武江港区以及北江港区铁路专用线等集疏运干线等建设。提升铁路运能，加快推进铁路货运网络建设，充分利用高速铁路客运网逐步完善释放的运能，加速提升赣韶铁路的货运能力。</w:t>
      </w:r>
    </w:p>
    <w:p>
      <w:pPr>
        <w:widowControl w:val="0"/>
        <w:snapToGrid w:val="0"/>
        <w:spacing w:line="560" w:lineRule="exact"/>
        <w:ind w:firstLine="643"/>
        <w:jc w:val="both"/>
        <w:rPr>
          <w:rFonts w:ascii="仿宋_GB2312" w:hAnsi="仿宋_GB2312" w:eastAsia="仿宋_GB2312" w:cs="仿宋_GB2312"/>
          <w:bCs/>
          <w:sz w:val="32"/>
          <w:szCs w:val="32"/>
          <w:lang w:bidi="ar"/>
        </w:rPr>
      </w:pPr>
      <w:r>
        <w:rPr>
          <w:rFonts w:hint="eastAsia" w:ascii="仿宋_GB2312" w:hAnsi="仿宋_GB2312" w:eastAsia="仿宋_GB2312" w:cs="仿宋_GB2312"/>
          <w:b/>
          <w:sz w:val="32"/>
          <w:szCs w:val="32"/>
          <w:lang w:bidi="ar"/>
        </w:rPr>
        <w:t>加强基础设施生态保护。</w:t>
      </w:r>
      <w:r>
        <w:rPr>
          <w:rFonts w:hint="eastAsia" w:ascii="仿宋_GB2312" w:hAnsi="仿宋_GB2312" w:eastAsia="仿宋_GB2312" w:cs="仿宋_GB2312"/>
          <w:bCs/>
          <w:sz w:val="32"/>
          <w:szCs w:val="32"/>
          <w:lang w:bidi="ar"/>
        </w:rPr>
        <w:t>严格落实生态环境保护要求，把生态保护理念贯穿到交通基础设施规划、设计、建设、运营和养护全过程，统筹利用综合运输通道线位、土地等资源，加大岸线、锚地等资源整合力度和利用效率，推进废旧路面、建筑垃圾、工业固废等在交通建设领域的循环利用。落实国土绿化行动，大力推广公路边坡植被防护，在铁路、公路、航道等设施沿线大力开展绿化美化行动，提升生态功能和景观品质，支撑生态廊道构建。联合旅游等部门健全交通服务设施旅游服务功能，打造国家级示范旅游风景道，促进交通旅游融合发展。</w:t>
      </w:r>
    </w:p>
    <w:p>
      <w:pPr>
        <w:pStyle w:val="143"/>
        <w:ind w:firstLine="640"/>
      </w:pPr>
      <w:bookmarkStart w:id="123" w:name="_Toc27381"/>
      <w:r>
        <w:rPr>
          <w:rFonts w:hint="eastAsia"/>
        </w:rPr>
        <w:t>交通行业治理能力</w:t>
      </w:r>
      <w:bookmarkEnd w:id="123"/>
    </w:p>
    <w:p>
      <w:pPr>
        <w:widowControl w:val="0"/>
        <w:snapToGrid w:val="0"/>
        <w:spacing w:line="560" w:lineRule="exact"/>
        <w:ind w:firstLine="643"/>
        <w:jc w:val="both"/>
        <w:rPr>
          <w:rFonts w:ascii="仿宋_GB2312" w:hAnsi="仿宋_GB2312" w:eastAsia="仿宋_GB2312" w:cs="仿宋_GB2312"/>
          <w:bCs/>
          <w:sz w:val="32"/>
          <w:szCs w:val="32"/>
          <w:lang w:bidi="ar"/>
        </w:rPr>
      </w:pPr>
      <w:r>
        <w:rPr>
          <w:rFonts w:hint="eastAsia" w:ascii="仿宋_GB2312" w:hAnsi="仿宋_GB2312" w:eastAsia="仿宋_GB2312" w:cs="仿宋_GB2312"/>
          <w:b/>
          <w:sz w:val="32"/>
          <w:szCs w:val="32"/>
          <w:lang w:bidi="ar"/>
        </w:rPr>
        <w:t>构建行业标准化体系。</w:t>
      </w:r>
      <w:r>
        <w:rPr>
          <w:rFonts w:hint="eastAsia" w:ascii="仿宋_GB2312" w:hAnsi="仿宋_GB2312" w:eastAsia="仿宋_GB2312" w:cs="仿宋_GB2312"/>
          <w:bCs/>
          <w:sz w:val="32"/>
          <w:szCs w:val="32"/>
          <w:lang w:bidi="ar"/>
        </w:rPr>
        <w:t>落实交通运输部、广东省交通运输厅印发的各类交通运输标准化规范及管理办法，结合韶关本地交通发展现状，制定契合韶关本地发展的交通标准化条例，统筹协调铁路、公路、水路、民航和邮政工作，构建韶关交通行业标准化体系，全面提高韶关交通行业标准化管理水平。韶关交通行业标准化体系要明确各部门职责分工和管理基本原则，以及标准化体系规划、标准制定、实施等方面，要求与上位法协调衔接，充分吸纳上位法相关内容和有关要求，坚持与现行各领域标准化规范与管理制度充分衔接。</w:t>
      </w:r>
    </w:p>
    <w:p>
      <w:pPr>
        <w:widowControl w:val="0"/>
        <w:snapToGrid w:val="0"/>
        <w:spacing w:line="560" w:lineRule="exact"/>
        <w:ind w:firstLine="643"/>
        <w:jc w:val="both"/>
        <w:rPr>
          <w:rFonts w:ascii="仿宋_GB2312" w:hAnsi="仿宋_GB2312" w:eastAsia="仿宋_GB2312" w:cs="仿宋_GB2312"/>
          <w:bCs/>
          <w:sz w:val="32"/>
          <w:szCs w:val="32"/>
          <w:lang w:bidi="ar"/>
        </w:rPr>
      </w:pPr>
      <w:r>
        <w:rPr>
          <w:rFonts w:hint="eastAsia" w:ascii="仿宋_GB2312" w:hAnsi="仿宋_GB2312" w:eastAsia="仿宋_GB2312" w:cs="仿宋_GB2312"/>
          <w:b/>
          <w:sz w:val="32"/>
          <w:szCs w:val="32"/>
          <w:lang w:bidi="ar"/>
        </w:rPr>
        <w:t>加强交通运输人才队伍建设。</w:t>
      </w:r>
      <w:r>
        <w:rPr>
          <w:rFonts w:hint="eastAsia" w:ascii="仿宋_GB2312" w:hAnsi="仿宋_GB2312" w:eastAsia="仿宋_GB2312" w:cs="仿宋_GB2312"/>
          <w:bCs/>
          <w:sz w:val="32"/>
          <w:szCs w:val="32"/>
          <w:lang w:bidi="ar"/>
        </w:rPr>
        <w:t>新时期交通强国建设和智能网联交通发展对交通工程专业的人才培养提出了新的要求，以韶关交通发展需求为导向，重塑人才培养目标，强化与国内一流交通运管机构的合作、加强科技人才和创新团队培养及引进，提升韶关高水平交通人才的储备。要建立健全年轻干部发现储备、培养锻炼、统筹配备、选拔任用工作机制，最大限度激发和释放干部创新创造活力，引导干部队伍加快知识更新、能力培养、素质提升，不断增强专业能力、专业素养、专业精神，适应交通强国建设要求的能力。</w:t>
      </w:r>
    </w:p>
    <w:p>
      <w:pPr>
        <w:widowControl w:val="0"/>
        <w:snapToGrid w:val="0"/>
        <w:spacing w:line="560" w:lineRule="exact"/>
        <w:ind w:firstLine="643"/>
        <w:jc w:val="both"/>
        <w:rPr>
          <w:rFonts w:ascii="仿宋_GB2312" w:hAnsi="仿宋_GB2312" w:eastAsia="仿宋_GB2312" w:cs="仿宋_GB2312"/>
          <w:bCs/>
          <w:sz w:val="32"/>
          <w:szCs w:val="32"/>
          <w:lang w:bidi="ar"/>
        </w:rPr>
      </w:pPr>
      <w:r>
        <w:rPr>
          <w:rFonts w:hint="eastAsia" w:ascii="仿宋_GB2312" w:hAnsi="仿宋_GB2312" w:eastAsia="仿宋_GB2312" w:cs="仿宋_GB2312"/>
          <w:b/>
          <w:bCs/>
          <w:sz w:val="32"/>
          <w:szCs w:val="32"/>
          <w:lang w:bidi="ar"/>
        </w:rPr>
        <w:t>提升科技执法质量与效能。</w:t>
      </w:r>
      <w:r>
        <w:rPr>
          <w:rFonts w:hint="eastAsia" w:ascii="仿宋_GB2312" w:hAnsi="仿宋_GB2312" w:eastAsia="仿宋_GB2312" w:cs="仿宋_GB2312"/>
          <w:bCs/>
          <w:sz w:val="32"/>
          <w:szCs w:val="32"/>
          <w:lang w:bidi="ar"/>
        </w:rPr>
        <w:t>推进非现场执法，结合全市公路路网、货车车流量，优化各地非现场执法监测点的规划和设置，充分利用科技信息化技术支撑，精准打击交通运输违法违规行为，不断提升执法效能，实现传统执法方式向科技执法方式转变。优化完善市交通运输执法监控平台各类数据联网，按照相关技术标准和建设规范指南，将超限检测站 （点） 内的称重检测数据、治超非现场执法监测点称重检测数据、运政非现场执法监测点视频数据、高速公路出入口称重检测数据、源头单位称重检测数据、执法记录数据等实时接入市交通运输执法监管平台，逐步提升全市科技执法水平。</w:t>
      </w:r>
    </w:p>
    <w:p>
      <w:pPr>
        <w:widowControl w:val="0"/>
        <w:adjustRightInd w:val="0"/>
        <w:snapToGrid w:val="0"/>
        <w:spacing w:before="381" w:beforeLines="100" w:line="360" w:lineRule="auto"/>
        <w:ind w:firstLine="0" w:firstLineChars="0"/>
        <w:jc w:val="both"/>
        <w:outlineLvl w:val="0"/>
        <w:rPr>
          <w:rFonts w:ascii="仿宋_GB2312" w:hAnsi="仿宋_GB2312" w:eastAsia="仿宋_GB2312" w:cs="仿宋_GB2312"/>
          <w:bCs/>
          <w:sz w:val="32"/>
          <w:szCs w:val="32"/>
          <w:lang w:val="zh-CN"/>
        </w:rPr>
        <w:sectPr>
          <w:pgSz w:w="11906" w:h="16838"/>
          <w:pgMar w:top="1440" w:right="1797" w:bottom="1440" w:left="1797" w:header="851" w:footer="851" w:gutter="0"/>
          <w:pgNumType w:fmt="numberInDash"/>
          <w:cols w:space="720" w:num="1"/>
          <w:docGrid w:type="lines" w:linePitch="381" w:charSpace="0"/>
        </w:sectPr>
      </w:pPr>
      <w:bookmarkStart w:id="124" w:name="_Toc77779562"/>
      <w:bookmarkEnd w:id="124"/>
      <w:bookmarkStart w:id="125" w:name="_Toc77779094"/>
      <w:bookmarkEnd w:id="125"/>
      <w:bookmarkStart w:id="126" w:name="_Toc77779567"/>
    </w:p>
    <w:bookmarkEnd w:id="126"/>
    <w:p>
      <w:pPr>
        <w:pStyle w:val="2"/>
        <w:spacing w:after="381"/>
        <w:rPr>
          <w:lang w:val="zh-CN"/>
        </w:rPr>
      </w:pPr>
      <w:bookmarkStart w:id="127" w:name="_Toc20722"/>
      <w:r>
        <w:rPr>
          <w:rFonts w:hint="eastAsia"/>
          <w:lang w:val="zh-CN"/>
        </w:rPr>
        <w:t>协</w:t>
      </w:r>
      <w:r>
        <w:rPr>
          <w:lang w:val="zh-CN"/>
        </w:rPr>
        <w:t>同</w:t>
      </w:r>
      <w:r>
        <w:rPr>
          <w:rFonts w:hint="eastAsia"/>
          <w:lang w:val="zh-CN"/>
        </w:rPr>
        <w:t>国土空间的综合</w:t>
      </w:r>
      <w:r>
        <w:rPr>
          <w:lang w:val="zh-CN"/>
        </w:rPr>
        <w:t>交通体系</w:t>
      </w:r>
      <w:bookmarkEnd w:id="127"/>
    </w:p>
    <w:bookmarkEnd w:id="66"/>
    <w:p>
      <w:pPr>
        <w:pStyle w:val="143"/>
        <w:ind w:firstLine="640"/>
      </w:pPr>
      <w:bookmarkStart w:id="128" w:name="_Toc23965"/>
      <w:bookmarkStart w:id="129" w:name="_Toc62033340"/>
      <w:r>
        <w:rPr>
          <w:rFonts w:hint="eastAsia"/>
        </w:rPr>
        <w:t>实现存量与增量的有机统一</w:t>
      </w:r>
      <w:bookmarkEnd w:id="128"/>
    </w:p>
    <w:p>
      <w:pPr>
        <w:widowControl w:val="0"/>
        <w:snapToGrid w:val="0"/>
        <w:spacing w:line="560" w:lineRule="exact"/>
        <w:ind w:firstLine="640"/>
        <w:jc w:val="both"/>
        <w:rPr>
          <w:rFonts w:ascii="仿宋_GB2312" w:hAnsi="仿宋_GB2312" w:eastAsia="仿宋_GB2312" w:cs="仿宋_GB2312"/>
          <w:bCs/>
          <w:sz w:val="32"/>
          <w:szCs w:val="32"/>
          <w:lang w:bidi="ar"/>
        </w:rPr>
      </w:pPr>
      <w:r>
        <w:rPr>
          <w:rFonts w:hint="eastAsia" w:ascii="仿宋_GB2312" w:hAnsi="仿宋_GB2312" w:eastAsia="仿宋_GB2312" w:cs="仿宋_GB2312"/>
          <w:bCs/>
          <w:sz w:val="32"/>
          <w:szCs w:val="32"/>
          <w:lang w:bidi="ar"/>
        </w:rPr>
        <w:t>坚持需求导向，根据韶关市综合交通需求分析结果和支撑重大战略的现实需求，优化交通基础设施供给结构，充分利用存量资源，扩大优质增量供给，破除无效供给，提升交通基础设施供给能力、质量和效率，提高资源配置效率和全要素生产力。优先布局供需矛盾突出、短板问题明显的运输方式和区域，优先通过扩容改造、等级提升、智慧化管理等手段，挖掘现有综合交通网络运输能力，实现交通供给与需求更高水平的动态平衡。</w:t>
      </w:r>
    </w:p>
    <w:p>
      <w:pPr>
        <w:pStyle w:val="143"/>
        <w:ind w:firstLine="640"/>
      </w:pPr>
      <w:bookmarkStart w:id="130" w:name="_Toc19041"/>
      <w:r>
        <w:rPr>
          <w:rFonts w:hint="eastAsia"/>
        </w:rPr>
        <w:t>共建规划“一张图”动态协调机制</w:t>
      </w:r>
      <w:bookmarkEnd w:id="130"/>
    </w:p>
    <w:p>
      <w:pPr>
        <w:widowControl w:val="0"/>
        <w:snapToGrid w:val="0"/>
        <w:spacing w:line="560" w:lineRule="exact"/>
        <w:ind w:firstLine="640"/>
        <w:jc w:val="both"/>
        <w:rPr>
          <w:rFonts w:ascii="仿宋_GB2312" w:hAnsi="仿宋_GB2312" w:eastAsia="仿宋_GB2312" w:cs="仿宋_GB2312"/>
          <w:bCs/>
          <w:sz w:val="32"/>
          <w:szCs w:val="32"/>
          <w:lang w:bidi="ar"/>
        </w:rPr>
      </w:pPr>
      <w:r>
        <w:rPr>
          <w:rFonts w:hint="eastAsia" w:ascii="仿宋_GB2312" w:hAnsi="仿宋_GB2312" w:eastAsia="仿宋_GB2312" w:cs="仿宋_GB2312"/>
          <w:bCs/>
          <w:sz w:val="32"/>
          <w:szCs w:val="32"/>
          <w:lang w:bidi="ar"/>
        </w:rPr>
        <w:t>主动衔接国土空间规划成果，以国土空间规划的“一张图”为基底，统一底图、统一标准，构建交通规划成果空间信息库，实现交通基础设施规划“一张图”。深化规划项目方案研究，建议达到工程可行性研究报告深度。建立综合交通规划与国土空间规划的动态协调机制，未来将根据规划研究、设计施工、运营等不同阶段的成果，与国土空间规划进行充分衔接，开展动态更新。</w:t>
      </w:r>
    </w:p>
    <w:p>
      <w:pPr>
        <w:pStyle w:val="143"/>
        <w:ind w:firstLine="640"/>
      </w:pPr>
      <w:bookmarkStart w:id="131" w:name="_Toc8123"/>
      <w:r>
        <w:rPr>
          <w:rFonts w:hint="eastAsia"/>
        </w:rPr>
        <w:t>合理预控用地需求规模</w:t>
      </w:r>
      <w:bookmarkEnd w:id="131"/>
    </w:p>
    <w:p>
      <w:pPr>
        <w:widowControl w:val="0"/>
        <w:snapToGrid w:val="0"/>
        <w:spacing w:line="560" w:lineRule="exact"/>
        <w:ind w:firstLine="640"/>
        <w:jc w:val="both"/>
        <w:rPr>
          <w:rFonts w:ascii="仿宋_GB2312" w:hAnsi="仿宋_GB2312" w:eastAsia="仿宋_GB2312" w:cs="仿宋_GB2312"/>
          <w:bCs/>
          <w:sz w:val="32"/>
          <w:szCs w:val="32"/>
          <w:lang w:bidi="ar"/>
        </w:rPr>
      </w:pPr>
      <w:r>
        <w:rPr>
          <w:rFonts w:hint="eastAsia" w:ascii="仿宋_GB2312" w:hAnsi="仿宋_GB2312" w:eastAsia="仿宋_GB2312" w:cs="仿宋_GB2312"/>
          <w:bCs/>
          <w:sz w:val="32"/>
          <w:szCs w:val="32"/>
          <w:lang w:bidi="ar"/>
        </w:rPr>
        <w:t>基于集约利用空间资源原则，统筹全市综合立体交通网络布局，根据国土空间规划确定的国土空间格局和“三条控制线”，做好重点交通线位、重要枢纽节点的空间预留。优先布局制式多样、多层立体的复合通道。系统谋划综合枢纽，利用客运综合体、货运多式联运区等新载体，整合各类交通功能，提高国土管控下的交通资源使用效率。结合“三区三线”空间管控深度和精度要求，开展规划项目库内项目的建设方案研究，优化项目选址选线范围，避让重要生态功能区，少占或不占永久基本农田。统筹考虑已建、在建和待建项目，编制交通基础设施国土空间控制规划，解决项目涉及敏感区域的问题，实现交通项目线位、点位等空间资源有效预控。</w:t>
      </w:r>
    </w:p>
    <w:bookmarkEnd w:id="129"/>
    <w:p>
      <w:pPr>
        <w:widowControl w:val="0"/>
        <w:adjustRightInd w:val="0"/>
        <w:snapToGrid w:val="0"/>
        <w:spacing w:before="381" w:beforeLines="100" w:line="360" w:lineRule="auto"/>
        <w:ind w:firstLine="0" w:firstLineChars="0"/>
        <w:jc w:val="both"/>
        <w:outlineLvl w:val="0"/>
        <w:rPr>
          <w:rFonts w:ascii="仿宋_GB2312" w:hAnsi="仿宋_GB2312" w:eastAsia="仿宋_GB2312" w:cs="仿宋_GB2312"/>
          <w:bCs/>
          <w:sz w:val="32"/>
          <w:szCs w:val="32"/>
        </w:rPr>
        <w:sectPr>
          <w:pgSz w:w="11906" w:h="16838"/>
          <w:pgMar w:top="1440" w:right="1797" w:bottom="1440" w:left="1797" w:header="851" w:footer="851" w:gutter="0"/>
          <w:pgNumType w:fmt="numberInDash"/>
          <w:cols w:space="720" w:num="1"/>
          <w:docGrid w:type="lines" w:linePitch="381" w:charSpace="0"/>
        </w:sectPr>
      </w:pPr>
    </w:p>
    <w:p>
      <w:pPr>
        <w:pStyle w:val="2"/>
        <w:spacing w:after="381"/>
      </w:pPr>
      <w:bookmarkStart w:id="132" w:name="_Toc4339"/>
      <w:r>
        <w:rPr>
          <w:rFonts w:hint="eastAsia"/>
          <w:lang w:val="zh-CN"/>
        </w:rPr>
        <w:t>强化保障措施</w:t>
      </w:r>
      <w:bookmarkEnd w:id="132"/>
    </w:p>
    <w:p>
      <w:pPr>
        <w:pStyle w:val="143"/>
        <w:ind w:firstLine="640"/>
      </w:pPr>
      <w:bookmarkStart w:id="133" w:name="_Toc23784"/>
      <w:r>
        <w:rPr>
          <w:rFonts w:hint="eastAsia"/>
        </w:rPr>
        <w:t>加强组织保障</w:t>
      </w:r>
      <w:bookmarkEnd w:id="133"/>
    </w:p>
    <w:p>
      <w:pPr>
        <w:widowControl w:val="0"/>
        <w:snapToGrid w:val="0"/>
        <w:spacing w:line="560" w:lineRule="exact"/>
        <w:ind w:firstLine="640"/>
        <w:jc w:val="both"/>
        <w:rPr>
          <w:rFonts w:ascii="仿宋_GB2312" w:hAnsi="仿宋_GB2312" w:eastAsia="仿宋_GB2312" w:cs="仿宋_GB2312"/>
          <w:bCs/>
          <w:sz w:val="32"/>
          <w:szCs w:val="32"/>
          <w:lang w:bidi="ar"/>
        </w:rPr>
      </w:pPr>
      <w:bookmarkStart w:id="134" w:name="_Hlk118215906"/>
      <w:r>
        <w:rPr>
          <w:rFonts w:hint="eastAsia" w:ascii="仿宋_GB2312" w:hAnsi="仿宋_GB2312" w:eastAsia="仿宋_GB2312" w:cs="仿宋_GB2312"/>
          <w:bCs/>
          <w:sz w:val="32"/>
          <w:szCs w:val="32"/>
          <w:lang w:bidi="ar"/>
        </w:rPr>
        <w:t>由韶关市人民政府牵头成立跨部门、多层面的统筹协调小组，强化部门协同和上下联动，形成各方式、各部门间的工作对接机制，对重大问题加强统筹协调和指导，优化审批流程，加快审批进度，及时研究协调重大项目前期工作中涉及土地、选址、环保、资金等方面的突出问题。做好本规划与国土空间开发、重大产业布局、生态环境保护等规划的衔接，针对重点交通项目建设，由领导小组牵头组织各相关部门负责人共同参与，统一协调交通建设与运营的重大问题。完善政府主导、市场运作、企业化管理模式，充分发挥政府在交通基础设施直接投资、划拨土地、环境控制、交通配套工程等方面的服务以及行业管理、安全生产、空防安全、维护市场公平等方面的监督中主导作用，企业则应确立市场主体地位，建立真正意义上的企业管理模式和市场化运营机制，加强国际、区域和城市竞争力。</w:t>
      </w:r>
    </w:p>
    <w:bookmarkEnd w:id="134"/>
    <w:p>
      <w:pPr>
        <w:pStyle w:val="143"/>
        <w:ind w:firstLine="640"/>
      </w:pPr>
      <w:bookmarkStart w:id="135" w:name="_Toc32735"/>
      <w:r>
        <w:rPr>
          <w:rFonts w:hint="eastAsia"/>
        </w:rPr>
        <w:t>强化资金保障</w:t>
      </w:r>
      <w:bookmarkEnd w:id="135"/>
    </w:p>
    <w:p>
      <w:pPr>
        <w:widowControl w:val="0"/>
        <w:snapToGrid w:val="0"/>
        <w:spacing w:line="560" w:lineRule="exact"/>
        <w:ind w:firstLine="640"/>
        <w:jc w:val="both"/>
        <w:rPr>
          <w:rFonts w:ascii="仿宋_GB2312" w:hAnsi="仿宋_GB2312" w:eastAsia="仿宋_GB2312" w:cs="仿宋_GB2312"/>
          <w:bCs/>
          <w:sz w:val="32"/>
          <w:szCs w:val="32"/>
          <w:lang w:bidi="ar"/>
        </w:rPr>
      </w:pPr>
      <w:bookmarkStart w:id="136" w:name="_Hlk118216007"/>
      <w:r>
        <w:rPr>
          <w:rFonts w:hint="eastAsia" w:ascii="仿宋_GB2312" w:hAnsi="仿宋_GB2312" w:eastAsia="仿宋_GB2312" w:cs="仿宋_GB2312"/>
          <w:bCs/>
          <w:sz w:val="32"/>
          <w:szCs w:val="32"/>
          <w:lang w:bidi="ar"/>
        </w:rPr>
        <w:t>紧抓粤港澳大湾区建设、乡村振兴、新时代支持革命老区振兴发展等重大政策机遇，主动加强与周边省市的区域协作，推动重大项目列入国家和省级上位规划统筹建设，积极争取国家和省级层面在政策、技术和资金等方面对韶关交通运输业发展的支持，共同推进韶关综合交通运输体系建设。统筹各级资金加大对交通基础设施建设的支持力度，按照市级与县级财政事权和支出责任落实交通运输领域资金保障。深化交通投融资改革,拓宽融资渠道，加大预算内投资和一般债权、专项债权对交通建设的支持力度。推动交通项目与土地资源及产业、旅游等经营性项目一体化开发，将交通专项资金按照预算管理有关规定申报年度部门预算，加强项目池、资金池、资源池对接，防范新增政府债务风险。</w:t>
      </w:r>
    </w:p>
    <w:bookmarkEnd w:id="136"/>
    <w:p>
      <w:pPr>
        <w:pStyle w:val="143"/>
        <w:ind w:firstLine="640"/>
      </w:pPr>
      <w:bookmarkStart w:id="137" w:name="_Hlk118216052"/>
      <w:bookmarkStart w:id="138" w:name="_Toc4454"/>
      <w:r>
        <w:rPr>
          <w:rFonts w:hint="eastAsia"/>
        </w:rPr>
        <w:t>强化用地保障</w:t>
      </w:r>
      <w:bookmarkEnd w:id="137"/>
      <w:bookmarkEnd w:id="138"/>
    </w:p>
    <w:p>
      <w:pPr>
        <w:widowControl w:val="0"/>
        <w:snapToGrid w:val="0"/>
        <w:spacing w:line="560" w:lineRule="exact"/>
        <w:ind w:firstLine="640"/>
        <w:jc w:val="both"/>
        <w:rPr>
          <w:rFonts w:ascii="仿宋_GB2312" w:hAnsi="仿宋_GB2312" w:eastAsia="仿宋_GB2312" w:cs="仿宋_GB2312"/>
          <w:bCs/>
          <w:sz w:val="32"/>
          <w:szCs w:val="32"/>
          <w:lang w:bidi="ar"/>
        </w:rPr>
      </w:pPr>
      <w:bookmarkStart w:id="139" w:name="_Hlk118216064"/>
      <w:r>
        <w:rPr>
          <w:rFonts w:hint="eastAsia" w:ascii="仿宋_GB2312" w:hAnsi="仿宋_GB2312" w:eastAsia="仿宋_GB2312" w:cs="仿宋_GB2312"/>
          <w:bCs/>
          <w:sz w:val="32"/>
          <w:szCs w:val="32"/>
          <w:lang w:bidi="ar"/>
        </w:rPr>
        <w:t>以国土空间规划的“一张图”为依据，统一底图、统一标准，建立韶关市综合立体交通网重大项目库以及交通规划成果空间数据库，针对近期重大建设项目，结合国土空间规划实现“定坐标、划红线、控用地”。针对中远期储备项目、展望项目，适度超前，留足弹性空间，做好重大交通基础设施的空间“留白”，同时建立规划定期评估和动态调整机制，确保空间资源存量与增量的有机统一、开发与保护的统筹协调。工程实施要加强与国土空间“三区三线”的协调，强化资源空间复合利用，突出综合与立体思维，提高交通建设资源利用效率，盘活闲置交通用地资源。</w:t>
      </w:r>
    </w:p>
    <w:bookmarkEnd w:id="139"/>
    <w:p>
      <w:pPr>
        <w:pStyle w:val="143"/>
        <w:ind w:firstLine="640"/>
      </w:pPr>
      <w:bookmarkStart w:id="140" w:name="_Toc191"/>
      <w:r>
        <w:rPr>
          <w:rFonts w:hint="eastAsia"/>
        </w:rPr>
        <w:t>加强实施管理</w:t>
      </w:r>
      <w:bookmarkEnd w:id="140"/>
    </w:p>
    <w:p>
      <w:pPr>
        <w:widowControl w:val="0"/>
        <w:snapToGrid w:val="0"/>
        <w:spacing w:line="560" w:lineRule="exact"/>
        <w:ind w:firstLine="640"/>
        <w:jc w:val="both"/>
        <w:rPr>
          <w:rFonts w:ascii="仿宋_GB2312" w:hAnsi="仿宋_GB2312" w:eastAsia="仿宋_GB2312" w:cs="仿宋_GB2312"/>
          <w:bCs/>
          <w:sz w:val="32"/>
          <w:szCs w:val="32"/>
          <w:lang w:bidi="ar"/>
        </w:rPr>
      </w:pPr>
      <w:bookmarkStart w:id="141" w:name="_Hlk118216251"/>
      <w:r>
        <w:rPr>
          <w:rFonts w:hint="eastAsia" w:ascii="仿宋_GB2312" w:hAnsi="仿宋_GB2312" w:eastAsia="仿宋_GB2312" w:cs="仿宋_GB2312"/>
          <w:bCs/>
          <w:sz w:val="32"/>
          <w:szCs w:val="32"/>
          <w:lang w:bidi="ar"/>
        </w:rPr>
        <w:t>强化综合立体交通网规划的约束性，市级有关部门、各县(市、区)政府要加强相关规划与综合立体交通网规划的衔接。要紧密结合发展实际，按年度细化落实规划确定的主要目标和重点任务，确保韶关综合立体交通运输发展的重大项目、重大工程有序推进。建立健全规划项目实施的全过程监督机制，在项目立项、工可、招投标、实施、验收的各领域各环节，加强质量、进度、资金的监督管理。在规划实施完成后，按照国家相关行业管理部门及省市交通主管部门规定开展公路基础设施建设项目后评价工作，保证规划项目实施的工程质量，确保规划目标的有效实现。将重大交通基础设施项目推进的相关工作任务完成情况纳入年度考核范畴，形成共同推进的工作格局，确保规划落到实处。</w:t>
      </w:r>
    </w:p>
    <w:bookmarkEnd w:id="141"/>
    <w:p>
      <w:pPr>
        <w:widowControl w:val="0"/>
        <w:snapToGrid w:val="0"/>
        <w:spacing w:line="560" w:lineRule="exact"/>
        <w:ind w:firstLine="640"/>
        <w:jc w:val="both"/>
        <w:rPr>
          <w:rFonts w:ascii="仿宋_GB2312" w:hAnsi="仿宋_GB2312" w:eastAsia="仿宋_GB2312" w:cs="仿宋_GB2312"/>
          <w:bCs/>
          <w:sz w:val="32"/>
          <w:szCs w:val="32"/>
          <w:lang w:bidi="ar"/>
        </w:rPr>
      </w:pPr>
    </w:p>
    <w:p>
      <w:pPr>
        <w:widowControl w:val="0"/>
        <w:adjustRightInd w:val="0"/>
        <w:snapToGrid w:val="0"/>
        <w:spacing w:before="381" w:beforeLines="100" w:after="381" w:afterLines="100" w:line="240" w:lineRule="auto"/>
        <w:ind w:firstLine="0" w:firstLineChars="0"/>
        <w:jc w:val="both"/>
        <w:outlineLvl w:val="0"/>
        <w:rPr>
          <w:rFonts w:ascii="仿宋_GB2312" w:hAnsi="仿宋_GB2312" w:eastAsia="仿宋_GB2312" w:cs="仿宋_GB2312"/>
          <w:bCs/>
          <w:sz w:val="32"/>
          <w:szCs w:val="32"/>
          <w:lang w:val="zh-CN"/>
        </w:rPr>
        <w:sectPr>
          <w:pgSz w:w="11906" w:h="16838"/>
          <w:pgMar w:top="1440" w:right="1797" w:bottom="1440" w:left="1797" w:header="851" w:footer="851" w:gutter="0"/>
          <w:pgNumType w:fmt="numberInDash"/>
          <w:cols w:space="720" w:num="1"/>
          <w:docGrid w:type="lines" w:linePitch="381" w:charSpace="0"/>
        </w:sectPr>
      </w:pPr>
      <w:bookmarkStart w:id="142" w:name="_Toc39766492"/>
      <w:bookmarkStart w:id="143" w:name="_Toc39766713"/>
      <w:bookmarkStart w:id="144" w:name="_Toc49098227"/>
      <w:bookmarkStart w:id="145" w:name="_Toc77587782"/>
      <w:bookmarkStart w:id="146" w:name="_Toc83739246"/>
    </w:p>
    <w:p>
      <w:pPr>
        <w:widowControl w:val="0"/>
        <w:adjustRightInd w:val="0"/>
        <w:snapToGrid w:val="0"/>
        <w:spacing w:before="381" w:beforeLines="100" w:line="240" w:lineRule="auto"/>
        <w:ind w:firstLine="0" w:firstLineChars="0"/>
        <w:jc w:val="center"/>
        <w:outlineLvl w:val="0"/>
        <w:rPr>
          <w:rFonts w:ascii="黑体" w:hAnsi="黑体" w:eastAsia="黑体" w:cs="黑体"/>
          <w:bCs/>
          <w:sz w:val="32"/>
          <w:szCs w:val="32"/>
          <w:lang w:val="zh-CN"/>
        </w:rPr>
      </w:pPr>
      <w:bookmarkStart w:id="147" w:name="_Toc109205102"/>
      <w:bookmarkStart w:id="148" w:name="_Toc118385074"/>
      <w:bookmarkStart w:id="149" w:name="_Toc19798"/>
      <w:r>
        <w:rPr>
          <w:rFonts w:hint="eastAsia" w:ascii="黑体" w:hAnsi="黑体" w:eastAsia="黑体" w:cs="黑体"/>
          <w:bCs/>
          <w:sz w:val="32"/>
          <w:szCs w:val="32"/>
          <w:lang w:val="zh-CN"/>
        </w:rPr>
        <w:t>附表</w:t>
      </w:r>
      <w:bookmarkEnd w:id="147"/>
      <w:bookmarkEnd w:id="148"/>
      <w:r>
        <w:rPr>
          <w:rFonts w:hint="eastAsia" w:ascii="黑体" w:hAnsi="黑体" w:eastAsia="黑体" w:cs="黑体"/>
          <w:bCs/>
          <w:sz w:val="32"/>
          <w:szCs w:val="32"/>
          <w:lang w:val="zh-CN"/>
        </w:rPr>
        <w:t xml:space="preserve">1 </w:t>
      </w:r>
      <w:bookmarkEnd w:id="149"/>
      <w:r>
        <w:rPr>
          <w:rFonts w:hint="eastAsia" w:ascii="黑体" w:hAnsi="黑体" w:eastAsia="黑体" w:cs="黑体"/>
          <w:bCs/>
          <w:sz w:val="32"/>
          <w:szCs w:val="32"/>
          <w:lang w:val="zh-CN"/>
        </w:rPr>
        <w:t>韶关市综合立体交通网高质量发展指标表</w:t>
      </w:r>
    </w:p>
    <w:tbl>
      <w:tblPr>
        <w:tblStyle w:val="28"/>
        <w:tblW w:w="5202"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726"/>
        <w:gridCol w:w="726"/>
        <w:gridCol w:w="3018"/>
        <w:gridCol w:w="1134"/>
        <w:gridCol w:w="1036"/>
        <w:gridCol w:w="1073"/>
        <w:gridCol w:w="1153"/>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567" w:hRule="exact"/>
          <w:jc w:val="center"/>
        </w:trPr>
        <w:tc>
          <w:tcPr>
            <w:tcW w:w="409" w:type="pct"/>
            <w:tcBorders>
              <w:top w:val="single" w:color="auto" w:sz="2" w:space="0"/>
              <w:left w:val="single" w:color="auto" w:sz="2" w:space="0"/>
              <w:bottom w:val="single" w:color="auto" w:sz="2" w:space="0"/>
              <w:right w:val="single" w:color="auto" w:sz="2" w:space="0"/>
            </w:tcBorders>
            <w:vAlign w:val="center"/>
          </w:tcPr>
          <w:p>
            <w:pPr>
              <w:widowControl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属性</w:t>
            </w:r>
          </w:p>
        </w:tc>
        <w:tc>
          <w:tcPr>
            <w:tcW w:w="409" w:type="pct"/>
            <w:tcBorders>
              <w:top w:val="single" w:color="auto" w:sz="2" w:space="0"/>
              <w:left w:val="nil"/>
              <w:bottom w:val="single" w:color="auto" w:sz="2" w:space="0"/>
              <w:right w:val="single" w:color="auto" w:sz="2" w:space="0"/>
            </w:tcBorders>
            <w:vAlign w:val="center"/>
          </w:tcPr>
          <w:p>
            <w:pPr>
              <w:widowControl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序号</w:t>
            </w:r>
          </w:p>
        </w:tc>
        <w:tc>
          <w:tcPr>
            <w:tcW w:w="1701" w:type="pct"/>
            <w:tcBorders>
              <w:top w:val="single" w:color="auto" w:sz="2" w:space="0"/>
              <w:left w:val="nil"/>
              <w:bottom w:val="single" w:color="auto" w:sz="2" w:space="0"/>
              <w:right w:val="single" w:color="auto" w:sz="2" w:space="0"/>
            </w:tcBorders>
            <w:vAlign w:val="center"/>
          </w:tcPr>
          <w:p>
            <w:pPr>
              <w:widowControl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指标名称</w:t>
            </w:r>
          </w:p>
        </w:tc>
        <w:tc>
          <w:tcPr>
            <w:tcW w:w="639" w:type="pct"/>
            <w:tcBorders>
              <w:top w:val="single" w:color="auto" w:sz="2" w:space="0"/>
              <w:left w:val="nil"/>
              <w:bottom w:val="single" w:color="auto" w:sz="2" w:space="0"/>
              <w:right w:val="single" w:color="auto" w:sz="2" w:space="0"/>
            </w:tcBorders>
            <w:vAlign w:val="center"/>
          </w:tcPr>
          <w:p>
            <w:pPr>
              <w:widowControl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2020年</w:t>
            </w:r>
          </w:p>
        </w:tc>
        <w:tc>
          <w:tcPr>
            <w:tcW w:w="584" w:type="pct"/>
            <w:tcBorders>
              <w:top w:val="single" w:color="auto" w:sz="2" w:space="0"/>
              <w:left w:val="nil"/>
              <w:bottom w:val="single" w:color="auto" w:sz="2" w:space="0"/>
              <w:right w:val="single" w:color="auto" w:sz="2" w:space="0"/>
            </w:tcBorders>
            <w:vAlign w:val="center"/>
          </w:tcPr>
          <w:p>
            <w:pPr>
              <w:widowControl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2025年</w:t>
            </w:r>
          </w:p>
        </w:tc>
        <w:tc>
          <w:tcPr>
            <w:tcW w:w="605" w:type="pct"/>
            <w:tcBorders>
              <w:top w:val="single" w:color="auto" w:sz="2" w:space="0"/>
              <w:left w:val="nil"/>
              <w:bottom w:val="single" w:color="auto" w:sz="2" w:space="0"/>
              <w:right w:val="single" w:color="auto" w:sz="2" w:space="0"/>
            </w:tcBorders>
            <w:vAlign w:val="center"/>
          </w:tcPr>
          <w:p>
            <w:pPr>
              <w:widowControl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2035年</w:t>
            </w:r>
          </w:p>
        </w:tc>
        <w:tc>
          <w:tcPr>
            <w:tcW w:w="650" w:type="pct"/>
            <w:tcBorders>
              <w:top w:val="single" w:color="auto" w:sz="2" w:space="0"/>
              <w:left w:val="nil"/>
              <w:bottom w:val="single" w:color="auto" w:sz="2" w:space="0"/>
              <w:right w:val="single" w:color="auto" w:sz="2" w:space="0"/>
            </w:tcBorders>
            <w:vAlign w:val="center"/>
          </w:tcPr>
          <w:p>
            <w:pPr>
              <w:widowControl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2050年</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794" w:hRule="exact"/>
          <w:jc w:val="center"/>
        </w:trPr>
        <w:tc>
          <w:tcPr>
            <w:tcW w:w="409" w:type="pct"/>
            <w:vMerge w:val="restart"/>
            <w:tcBorders>
              <w:top w:val="single" w:color="auto" w:sz="2" w:space="0"/>
              <w:left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bCs/>
                <w:kern w:val="0"/>
                <w:sz w:val="32"/>
                <w:szCs w:val="32"/>
                <w:lang w:bidi="ar"/>
              </w:rPr>
            </w:pPr>
            <w:r>
              <w:rPr>
                <w:rFonts w:hint="eastAsia" w:ascii="仿宋_GB2312" w:hAnsi="仿宋_GB2312" w:eastAsia="仿宋_GB2312" w:cs="仿宋_GB2312"/>
                <w:bCs/>
                <w:kern w:val="0"/>
                <w:sz w:val="32"/>
                <w:szCs w:val="32"/>
                <w:lang w:bidi="ar"/>
              </w:rPr>
              <w:t>便捷</w:t>
            </w:r>
          </w:p>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bCs/>
                <w:kern w:val="0"/>
                <w:sz w:val="32"/>
                <w:szCs w:val="32"/>
                <w:lang w:bidi="ar"/>
              </w:rPr>
            </w:pPr>
            <w:r>
              <w:rPr>
                <w:rFonts w:hint="eastAsia" w:ascii="仿宋_GB2312" w:hAnsi="仿宋_GB2312" w:eastAsia="仿宋_GB2312" w:cs="仿宋_GB2312"/>
                <w:bCs/>
                <w:kern w:val="0"/>
                <w:sz w:val="32"/>
                <w:szCs w:val="32"/>
                <w:lang w:bidi="ar"/>
              </w:rPr>
              <w:t>顺畅</w:t>
            </w:r>
          </w:p>
        </w:tc>
        <w:tc>
          <w:tcPr>
            <w:tcW w:w="409"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1</w:t>
            </w:r>
          </w:p>
        </w:tc>
        <w:tc>
          <w:tcPr>
            <w:tcW w:w="1701"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高速铁路县级节点</w:t>
            </w:r>
          </w:p>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覆盖率</w:t>
            </w:r>
            <w:r>
              <w:rPr>
                <w:rFonts w:hint="eastAsia" w:ascii="仿宋_GB2312" w:hAnsi="仿宋_GB2312" w:eastAsia="仿宋_GB2312" w:cs="仿宋_GB2312"/>
                <w:kern w:val="0"/>
                <w:sz w:val="32"/>
                <w:szCs w:val="32"/>
                <w:vertAlign w:val="superscript"/>
                <w:lang w:bidi="ar"/>
              </w:rPr>
              <w:t>*</w:t>
            </w:r>
            <w:r>
              <w:rPr>
                <w:rFonts w:hint="eastAsia" w:ascii="仿宋_GB2312" w:hAnsi="仿宋_GB2312" w:eastAsia="仿宋_GB2312" w:cs="仿宋_GB2312"/>
                <w:kern w:val="0"/>
                <w:sz w:val="32"/>
                <w:szCs w:val="32"/>
                <w:lang w:bidi="ar"/>
              </w:rPr>
              <w:t>（%）</w:t>
            </w:r>
          </w:p>
        </w:tc>
        <w:tc>
          <w:tcPr>
            <w:tcW w:w="639"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40</w:t>
            </w:r>
          </w:p>
        </w:tc>
        <w:tc>
          <w:tcPr>
            <w:tcW w:w="584"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40</w:t>
            </w:r>
          </w:p>
        </w:tc>
        <w:tc>
          <w:tcPr>
            <w:tcW w:w="605"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40</w:t>
            </w:r>
          </w:p>
        </w:tc>
        <w:tc>
          <w:tcPr>
            <w:tcW w:w="650"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90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794" w:hRule="exact"/>
          <w:jc w:val="center"/>
        </w:trPr>
        <w:tc>
          <w:tcPr>
            <w:tcW w:w="409" w:type="pct"/>
            <w:vMerge w:val="continue"/>
            <w:tcBorders>
              <w:left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bCs/>
                <w:kern w:val="0"/>
                <w:sz w:val="32"/>
                <w:szCs w:val="32"/>
                <w:lang w:bidi="ar"/>
              </w:rPr>
            </w:pPr>
          </w:p>
        </w:tc>
        <w:tc>
          <w:tcPr>
            <w:tcW w:w="409"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2</w:t>
            </w:r>
          </w:p>
        </w:tc>
        <w:tc>
          <w:tcPr>
            <w:tcW w:w="1701"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乡镇节点20分钟进入</w:t>
            </w:r>
          </w:p>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高快速网实现率（%）</w:t>
            </w:r>
          </w:p>
        </w:tc>
        <w:tc>
          <w:tcPr>
            <w:tcW w:w="639"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65</w:t>
            </w:r>
          </w:p>
        </w:tc>
        <w:tc>
          <w:tcPr>
            <w:tcW w:w="584"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85</w:t>
            </w:r>
          </w:p>
        </w:tc>
        <w:tc>
          <w:tcPr>
            <w:tcW w:w="605"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95</w:t>
            </w:r>
          </w:p>
        </w:tc>
        <w:tc>
          <w:tcPr>
            <w:tcW w:w="650"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100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794" w:hRule="exact"/>
          <w:jc w:val="center"/>
        </w:trPr>
        <w:tc>
          <w:tcPr>
            <w:tcW w:w="409" w:type="pct"/>
            <w:vMerge w:val="continue"/>
            <w:tcBorders>
              <w:left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bCs/>
                <w:kern w:val="0"/>
                <w:sz w:val="32"/>
                <w:szCs w:val="32"/>
                <w:lang w:bidi="ar"/>
              </w:rPr>
            </w:pPr>
          </w:p>
        </w:tc>
        <w:tc>
          <w:tcPr>
            <w:tcW w:w="409"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3</w:t>
            </w:r>
          </w:p>
        </w:tc>
        <w:tc>
          <w:tcPr>
            <w:tcW w:w="1701"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建制村快递服务</w:t>
            </w:r>
          </w:p>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通达率</w:t>
            </w:r>
            <w:r>
              <w:rPr>
                <w:rFonts w:hint="eastAsia" w:ascii="仿宋_GB2312" w:hAnsi="仿宋_GB2312" w:eastAsia="仿宋_GB2312" w:cs="仿宋_GB2312"/>
                <w:kern w:val="0"/>
                <w:sz w:val="32"/>
                <w:szCs w:val="32"/>
                <w:vertAlign w:val="superscript"/>
                <w:lang w:bidi="ar"/>
              </w:rPr>
              <w:t>*</w:t>
            </w:r>
            <w:r>
              <w:rPr>
                <w:rFonts w:hint="eastAsia" w:ascii="仿宋_GB2312" w:hAnsi="仿宋_GB2312" w:eastAsia="仿宋_GB2312" w:cs="仿宋_GB2312"/>
                <w:kern w:val="0"/>
                <w:sz w:val="32"/>
                <w:szCs w:val="32"/>
                <w:lang w:bidi="ar"/>
              </w:rPr>
              <w:t>（%）</w:t>
            </w:r>
          </w:p>
        </w:tc>
        <w:tc>
          <w:tcPr>
            <w:tcW w:w="639"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w:t>
            </w:r>
          </w:p>
        </w:tc>
        <w:tc>
          <w:tcPr>
            <w:tcW w:w="584"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w:t>
            </w:r>
          </w:p>
        </w:tc>
        <w:tc>
          <w:tcPr>
            <w:tcW w:w="605"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100</w:t>
            </w:r>
          </w:p>
        </w:tc>
        <w:tc>
          <w:tcPr>
            <w:tcW w:w="650"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100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861" w:hRule="exact"/>
          <w:jc w:val="center"/>
        </w:trPr>
        <w:tc>
          <w:tcPr>
            <w:tcW w:w="409" w:type="pct"/>
            <w:vMerge w:val="restart"/>
            <w:tcBorders>
              <w:top w:val="single" w:color="auto" w:sz="2" w:space="0"/>
              <w:left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bCs/>
                <w:kern w:val="0"/>
                <w:sz w:val="32"/>
                <w:szCs w:val="32"/>
                <w:lang w:bidi="ar"/>
              </w:rPr>
            </w:pPr>
            <w:r>
              <w:rPr>
                <w:rFonts w:hint="eastAsia" w:ascii="仿宋_GB2312" w:hAnsi="仿宋_GB2312" w:eastAsia="仿宋_GB2312" w:cs="仿宋_GB2312"/>
                <w:bCs/>
                <w:kern w:val="0"/>
                <w:sz w:val="32"/>
                <w:szCs w:val="32"/>
                <w:lang w:bidi="ar"/>
              </w:rPr>
              <w:t>经济</w:t>
            </w:r>
          </w:p>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bCs/>
                <w:kern w:val="0"/>
                <w:sz w:val="32"/>
                <w:szCs w:val="32"/>
                <w:lang w:bidi="ar"/>
              </w:rPr>
            </w:pPr>
            <w:r>
              <w:rPr>
                <w:rFonts w:hint="eastAsia" w:ascii="仿宋_GB2312" w:hAnsi="仿宋_GB2312" w:eastAsia="仿宋_GB2312" w:cs="仿宋_GB2312"/>
                <w:bCs/>
                <w:kern w:val="0"/>
                <w:sz w:val="32"/>
                <w:szCs w:val="32"/>
                <w:lang w:bidi="ar"/>
              </w:rPr>
              <w:t>高效</w:t>
            </w:r>
          </w:p>
        </w:tc>
        <w:tc>
          <w:tcPr>
            <w:tcW w:w="409"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1</w:t>
            </w:r>
          </w:p>
        </w:tc>
        <w:tc>
          <w:tcPr>
            <w:tcW w:w="1701"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综合立体交通网主骨架能力利用率</w:t>
            </w:r>
            <w:r>
              <w:rPr>
                <w:rFonts w:hint="eastAsia" w:ascii="仿宋_GB2312" w:hAnsi="仿宋_GB2312" w:eastAsia="仿宋_GB2312" w:cs="仿宋_GB2312"/>
                <w:kern w:val="0"/>
                <w:sz w:val="32"/>
                <w:szCs w:val="32"/>
                <w:vertAlign w:val="superscript"/>
                <w:lang w:bidi="ar"/>
              </w:rPr>
              <w:t>*</w:t>
            </w:r>
            <w:r>
              <w:rPr>
                <w:rFonts w:hint="eastAsia" w:ascii="仿宋_GB2312" w:hAnsi="仿宋_GB2312" w:eastAsia="仿宋_GB2312" w:cs="仿宋_GB2312"/>
                <w:kern w:val="0"/>
                <w:sz w:val="32"/>
                <w:szCs w:val="32"/>
                <w:lang w:bidi="ar"/>
              </w:rPr>
              <w:t>（%）</w:t>
            </w:r>
          </w:p>
        </w:tc>
        <w:tc>
          <w:tcPr>
            <w:tcW w:w="639"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w:t>
            </w:r>
          </w:p>
        </w:tc>
        <w:tc>
          <w:tcPr>
            <w:tcW w:w="584"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65</w:t>
            </w:r>
          </w:p>
        </w:tc>
        <w:tc>
          <w:tcPr>
            <w:tcW w:w="605"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75</w:t>
            </w:r>
          </w:p>
        </w:tc>
        <w:tc>
          <w:tcPr>
            <w:tcW w:w="650"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83</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797" w:hRule="exact"/>
          <w:jc w:val="center"/>
        </w:trPr>
        <w:tc>
          <w:tcPr>
            <w:tcW w:w="409" w:type="pct"/>
            <w:vMerge w:val="continue"/>
            <w:tcBorders>
              <w:left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bCs/>
                <w:kern w:val="0"/>
                <w:sz w:val="32"/>
                <w:szCs w:val="32"/>
                <w:lang w:bidi="ar"/>
              </w:rPr>
            </w:pPr>
          </w:p>
        </w:tc>
        <w:tc>
          <w:tcPr>
            <w:tcW w:w="409"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2</w:t>
            </w:r>
          </w:p>
        </w:tc>
        <w:tc>
          <w:tcPr>
            <w:tcW w:w="1701"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两种以上运输方式</w:t>
            </w:r>
          </w:p>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复合通道数（条）</w:t>
            </w:r>
          </w:p>
        </w:tc>
        <w:tc>
          <w:tcPr>
            <w:tcW w:w="639"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3</w:t>
            </w:r>
          </w:p>
        </w:tc>
        <w:tc>
          <w:tcPr>
            <w:tcW w:w="584"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3</w:t>
            </w:r>
          </w:p>
        </w:tc>
        <w:tc>
          <w:tcPr>
            <w:tcW w:w="605"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5</w:t>
            </w:r>
          </w:p>
        </w:tc>
        <w:tc>
          <w:tcPr>
            <w:tcW w:w="650"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5</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794" w:hRule="exact"/>
          <w:jc w:val="center"/>
        </w:trPr>
        <w:tc>
          <w:tcPr>
            <w:tcW w:w="409" w:type="pct"/>
            <w:vMerge w:val="continue"/>
            <w:tcBorders>
              <w:left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bCs/>
                <w:kern w:val="0"/>
                <w:sz w:val="32"/>
                <w:szCs w:val="32"/>
                <w:lang w:bidi="ar"/>
              </w:rPr>
            </w:pPr>
          </w:p>
        </w:tc>
        <w:tc>
          <w:tcPr>
            <w:tcW w:w="409"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3</w:t>
            </w:r>
          </w:p>
        </w:tc>
        <w:tc>
          <w:tcPr>
            <w:tcW w:w="1701"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多集散方式综合交通</w:t>
            </w:r>
          </w:p>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枢纽个数（个）</w:t>
            </w:r>
          </w:p>
        </w:tc>
        <w:tc>
          <w:tcPr>
            <w:tcW w:w="639"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1</w:t>
            </w:r>
          </w:p>
        </w:tc>
        <w:tc>
          <w:tcPr>
            <w:tcW w:w="584"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3</w:t>
            </w:r>
          </w:p>
        </w:tc>
        <w:tc>
          <w:tcPr>
            <w:tcW w:w="605"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9</w:t>
            </w:r>
          </w:p>
        </w:tc>
        <w:tc>
          <w:tcPr>
            <w:tcW w:w="650"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11</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1265" w:hRule="exact"/>
          <w:jc w:val="center"/>
        </w:trPr>
        <w:tc>
          <w:tcPr>
            <w:tcW w:w="409" w:type="pct"/>
            <w:vMerge w:val="continue"/>
            <w:tcBorders>
              <w:left w:val="single" w:color="auto" w:sz="2" w:space="0"/>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bCs/>
                <w:kern w:val="0"/>
                <w:sz w:val="32"/>
                <w:szCs w:val="32"/>
                <w:lang w:bidi="ar"/>
              </w:rPr>
            </w:pPr>
          </w:p>
        </w:tc>
        <w:tc>
          <w:tcPr>
            <w:tcW w:w="409"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4</w:t>
            </w:r>
          </w:p>
        </w:tc>
        <w:tc>
          <w:tcPr>
            <w:tcW w:w="1701"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铁路、水运等集约</w:t>
            </w:r>
          </w:p>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运输方式货运周转量占比（%）</w:t>
            </w:r>
          </w:p>
        </w:tc>
        <w:tc>
          <w:tcPr>
            <w:tcW w:w="639"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68</w:t>
            </w:r>
          </w:p>
        </w:tc>
        <w:tc>
          <w:tcPr>
            <w:tcW w:w="584"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80</w:t>
            </w:r>
          </w:p>
        </w:tc>
        <w:tc>
          <w:tcPr>
            <w:tcW w:w="605"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90</w:t>
            </w:r>
          </w:p>
        </w:tc>
        <w:tc>
          <w:tcPr>
            <w:tcW w:w="650"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95</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794" w:hRule="exact"/>
          <w:jc w:val="center"/>
        </w:trPr>
        <w:tc>
          <w:tcPr>
            <w:tcW w:w="409" w:type="pct"/>
            <w:vMerge w:val="restart"/>
            <w:tcBorders>
              <w:top w:val="single" w:color="auto" w:sz="2" w:space="0"/>
              <w:left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bCs/>
                <w:kern w:val="0"/>
                <w:sz w:val="32"/>
                <w:szCs w:val="32"/>
                <w:lang w:bidi="ar"/>
              </w:rPr>
            </w:pPr>
            <w:r>
              <w:rPr>
                <w:rFonts w:hint="eastAsia" w:ascii="仿宋_GB2312" w:hAnsi="仿宋_GB2312" w:eastAsia="仿宋_GB2312" w:cs="仿宋_GB2312"/>
                <w:bCs/>
                <w:kern w:val="0"/>
                <w:sz w:val="32"/>
                <w:szCs w:val="32"/>
                <w:lang w:bidi="ar"/>
              </w:rPr>
              <w:t>绿色</w:t>
            </w:r>
          </w:p>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bCs/>
                <w:kern w:val="0"/>
                <w:sz w:val="32"/>
                <w:szCs w:val="32"/>
                <w:lang w:bidi="ar"/>
              </w:rPr>
            </w:pPr>
            <w:r>
              <w:rPr>
                <w:rFonts w:hint="eastAsia" w:ascii="仿宋_GB2312" w:hAnsi="仿宋_GB2312" w:eastAsia="仿宋_GB2312" w:cs="仿宋_GB2312"/>
                <w:bCs/>
                <w:kern w:val="0"/>
                <w:sz w:val="32"/>
                <w:szCs w:val="32"/>
                <w:lang w:bidi="ar"/>
              </w:rPr>
              <w:t>集约</w:t>
            </w:r>
          </w:p>
        </w:tc>
        <w:tc>
          <w:tcPr>
            <w:tcW w:w="409"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1</w:t>
            </w:r>
          </w:p>
        </w:tc>
        <w:tc>
          <w:tcPr>
            <w:tcW w:w="1701"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交通基础设施绿色化</w:t>
            </w:r>
          </w:p>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建设比例</w:t>
            </w:r>
            <w:r>
              <w:rPr>
                <w:rFonts w:hint="eastAsia" w:ascii="仿宋_GB2312" w:hAnsi="仿宋_GB2312" w:eastAsia="仿宋_GB2312" w:cs="仿宋_GB2312"/>
                <w:kern w:val="0"/>
                <w:sz w:val="32"/>
                <w:szCs w:val="32"/>
                <w:vertAlign w:val="superscript"/>
                <w:lang w:bidi="ar"/>
              </w:rPr>
              <w:t>*</w:t>
            </w:r>
            <w:r>
              <w:rPr>
                <w:rFonts w:hint="eastAsia" w:ascii="仿宋_GB2312" w:hAnsi="仿宋_GB2312" w:eastAsia="仿宋_GB2312" w:cs="仿宋_GB2312"/>
                <w:kern w:val="0"/>
                <w:sz w:val="32"/>
                <w:szCs w:val="32"/>
                <w:lang w:bidi="ar"/>
              </w:rPr>
              <w:t>（%）</w:t>
            </w:r>
          </w:p>
        </w:tc>
        <w:tc>
          <w:tcPr>
            <w:tcW w:w="639"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w:t>
            </w:r>
          </w:p>
        </w:tc>
        <w:tc>
          <w:tcPr>
            <w:tcW w:w="584"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80</w:t>
            </w:r>
          </w:p>
        </w:tc>
        <w:tc>
          <w:tcPr>
            <w:tcW w:w="605"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95</w:t>
            </w:r>
          </w:p>
        </w:tc>
        <w:tc>
          <w:tcPr>
            <w:tcW w:w="650"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100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794" w:hRule="exact"/>
          <w:jc w:val="center"/>
        </w:trPr>
        <w:tc>
          <w:tcPr>
            <w:tcW w:w="409" w:type="pct"/>
            <w:vMerge w:val="continue"/>
            <w:tcBorders>
              <w:left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bCs/>
                <w:kern w:val="0"/>
                <w:sz w:val="32"/>
                <w:szCs w:val="32"/>
                <w:lang w:bidi="ar"/>
              </w:rPr>
            </w:pPr>
          </w:p>
        </w:tc>
        <w:tc>
          <w:tcPr>
            <w:tcW w:w="409"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2</w:t>
            </w:r>
          </w:p>
        </w:tc>
        <w:tc>
          <w:tcPr>
            <w:tcW w:w="1701"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清洁能源及新能源</w:t>
            </w:r>
          </w:p>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公交车占比（%）</w:t>
            </w:r>
          </w:p>
        </w:tc>
        <w:tc>
          <w:tcPr>
            <w:tcW w:w="639"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w:t>
            </w:r>
          </w:p>
        </w:tc>
        <w:tc>
          <w:tcPr>
            <w:tcW w:w="584"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100</w:t>
            </w:r>
          </w:p>
        </w:tc>
        <w:tc>
          <w:tcPr>
            <w:tcW w:w="605"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100</w:t>
            </w:r>
          </w:p>
        </w:tc>
        <w:tc>
          <w:tcPr>
            <w:tcW w:w="650"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100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794" w:hRule="exact"/>
          <w:jc w:val="center"/>
        </w:trPr>
        <w:tc>
          <w:tcPr>
            <w:tcW w:w="409" w:type="pct"/>
            <w:vMerge w:val="continue"/>
            <w:tcBorders>
              <w:left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bCs/>
                <w:kern w:val="0"/>
                <w:sz w:val="32"/>
                <w:szCs w:val="32"/>
                <w:lang w:bidi="ar"/>
              </w:rPr>
            </w:pPr>
          </w:p>
        </w:tc>
        <w:tc>
          <w:tcPr>
            <w:tcW w:w="409"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3</w:t>
            </w:r>
          </w:p>
        </w:tc>
        <w:tc>
          <w:tcPr>
            <w:tcW w:w="1701"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高速公路服务区充电</w:t>
            </w:r>
          </w:p>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设施覆盖率（%）</w:t>
            </w:r>
          </w:p>
        </w:tc>
        <w:tc>
          <w:tcPr>
            <w:tcW w:w="639"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w:t>
            </w:r>
          </w:p>
        </w:tc>
        <w:tc>
          <w:tcPr>
            <w:tcW w:w="584"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80</w:t>
            </w:r>
          </w:p>
        </w:tc>
        <w:tc>
          <w:tcPr>
            <w:tcW w:w="605"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100</w:t>
            </w:r>
          </w:p>
        </w:tc>
        <w:tc>
          <w:tcPr>
            <w:tcW w:w="650"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100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794" w:hRule="exact"/>
          <w:jc w:val="center"/>
        </w:trPr>
        <w:tc>
          <w:tcPr>
            <w:tcW w:w="409" w:type="pct"/>
            <w:vMerge w:val="continue"/>
            <w:tcBorders>
              <w:left w:val="single" w:color="auto" w:sz="2" w:space="0"/>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bCs/>
                <w:kern w:val="0"/>
                <w:sz w:val="32"/>
                <w:szCs w:val="32"/>
                <w:lang w:bidi="ar"/>
              </w:rPr>
            </w:pPr>
          </w:p>
        </w:tc>
        <w:tc>
          <w:tcPr>
            <w:tcW w:w="409"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4</w:t>
            </w:r>
          </w:p>
        </w:tc>
        <w:tc>
          <w:tcPr>
            <w:tcW w:w="1701"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中心城区绿色交通</w:t>
            </w:r>
          </w:p>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vertAlign w:val="superscript"/>
                <w:lang w:bidi="ar"/>
              </w:rPr>
            </w:pPr>
            <w:r>
              <w:rPr>
                <w:rFonts w:hint="eastAsia" w:ascii="仿宋_GB2312" w:hAnsi="仿宋_GB2312" w:eastAsia="仿宋_GB2312" w:cs="仿宋_GB2312"/>
                <w:kern w:val="0"/>
                <w:sz w:val="32"/>
                <w:szCs w:val="32"/>
                <w:lang w:bidi="ar"/>
              </w:rPr>
              <w:t>出行分担率</w:t>
            </w:r>
            <w:r>
              <w:rPr>
                <w:rFonts w:hint="eastAsia" w:ascii="仿宋_GB2312" w:hAnsi="仿宋_GB2312" w:eastAsia="仿宋_GB2312" w:cs="仿宋_GB2312"/>
                <w:kern w:val="0"/>
                <w:sz w:val="32"/>
                <w:szCs w:val="32"/>
                <w:vertAlign w:val="superscript"/>
                <w:lang w:bidi="ar"/>
              </w:rPr>
              <w:t>*</w:t>
            </w:r>
            <w:r>
              <w:rPr>
                <w:rFonts w:hint="eastAsia" w:ascii="仿宋_GB2312" w:hAnsi="仿宋_GB2312" w:eastAsia="仿宋_GB2312" w:cs="仿宋_GB2312"/>
                <w:kern w:val="0"/>
                <w:sz w:val="32"/>
                <w:szCs w:val="32"/>
                <w:lang w:bidi="ar"/>
              </w:rPr>
              <w:t>（%）</w:t>
            </w:r>
          </w:p>
        </w:tc>
        <w:tc>
          <w:tcPr>
            <w:tcW w:w="639"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w:t>
            </w:r>
          </w:p>
        </w:tc>
        <w:tc>
          <w:tcPr>
            <w:tcW w:w="584"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40</w:t>
            </w:r>
          </w:p>
        </w:tc>
        <w:tc>
          <w:tcPr>
            <w:tcW w:w="605"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80</w:t>
            </w:r>
          </w:p>
        </w:tc>
        <w:tc>
          <w:tcPr>
            <w:tcW w:w="650"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85</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794" w:hRule="exact"/>
          <w:jc w:val="center"/>
        </w:trPr>
        <w:tc>
          <w:tcPr>
            <w:tcW w:w="409" w:type="pct"/>
            <w:vMerge w:val="restart"/>
            <w:tcBorders>
              <w:top w:val="single" w:color="auto" w:sz="2" w:space="0"/>
              <w:left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bCs/>
                <w:kern w:val="0"/>
                <w:sz w:val="32"/>
                <w:szCs w:val="32"/>
                <w:lang w:bidi="ar"/>
              </w:rPr>
            </w:pPr>
            <w:r>
              <w:rPr>
                <w:rFonts w:hint="eastAsia" w:ascii="仿宋_GB2312" w:hAnsi="仿宋_GB2312" w:eastAsia="仿宋_GB2312" w:cs="仿宋_GB2312"/>
                <w:bCs/>
                <w:kern w:val="0"/>
                <w:sz w:val="32"/>
                <w:szCs w:val="32"/>
                <w:lang w:bidi="ar"/>
              </w:rPr>
              <w:t>智慧</w:t>
            </w:r>
          </w:p>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bCs/>
                <w:kern w:val="0"/>
                <w:sz w:val="32"/>
                <w:szCs w:val="32"/>
                <w:lang w:bidi="ar"/>
              </w:rPr>
            </w:pPr>
            <w:r>
              <w:rPr>
                <w:rFonts w:hint="eastAsia" w:ascii="仿宋_GB2312" w:hAnsi="仿宋_GB2312" w:eastAsia="仿宋_GB2312" w:cs="仿宋_GB2312"/>
                <w:bCs/>
                <w:kern w:val="0"/>
                <w:sz w:val="32"/>
                <w:szCs w:val="32"/>
                <w:lang w:bidi="ar"/>
              </w:rPr>
              <w:t>先进</w:t>
            </w:r>
          </w:p>
        </w:tc>
        <w:tc>
          <w:tcPr>
            <w:tcW w:w="409"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1</w:t>
            </w:r>
          </w:p>
        </w:tc>
        <w:tc>
          <w:tcPr>
            <w:tcW w:w="1701"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基础设施数字化</w:t>
            </w:r>
          </w:p>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vertAlign w:val="superscript"/>
                <w:lang w:bidi="ar"/>
              </w:rPr>
            </w:pPr>
            <w:r>
              <w:rPr>
                <w:rFonts w:hint="eastAsia" w:ascii="仿宋_GB2312" w:hAnsi="仿宋_GB2312" w:eastAsia="仿宋_GB2312" w:cs="仿宋_GB2312"/>
                <w:kern w:val="0"/>
                <w:sz w:val="32"/>
                <w:szCs w:val="32"/>
                <w:lang w:bidi="ar"/>
              </w:rPr>
              <w:t>覆盖率</w:t>
            </w:r>
            <w:r>
              <w:rPr>
                <w:rFonts w:hint="eastAsia" w:ascii="仿宋_GB2312" w:hAnsi="仿宋_GB2312" w:eastAsia="仿宋_GB2312" w:cs="仿宋_GB2312"/>
                <w:kern w:val="0"/>
                <w:sz w:val="32"/>
                <w:szCs w:val="32"/>
                <w:vertAlign w:val="superscript"/>
                <w:lang w:bidi="ar"/>
              </w:rPr>
              <w:t>*</w:t>
            </w:r>
            <w:r>
              <w:rPr>
                <w:rFonts w:hint="eastAsia" w:ascii="仿宋_GB2312" w:hAnsi="仿宋_GB2312" w:eastAsia="仿宋_GB2312" w:cs="仿宋_GB2312"/>
                <w:kern w:val="0"/>
                <w:sz w:val="32"/>
                <w:szCs w:val="32"/>
                <w:lang w:bidi="ar"/>
              </w:rPr>
              <w:t>（%）</w:t>
            </w:r>
          </w:p>
        </w:tc>
        <w:tc>
          <w:tcPr>
            <w:tcW w:w="639"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w:t>
            </w:r>
          </w:p>
        </w:tc>
        <w:tc>
          <w:tcPr>
            <w:tcW w:w="584"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30</w:t>
            </w:r>
          </w:p>
        </w:tc>
        <w:tc>
          <w:tcPr>
            <w:tcW w:w="605"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100</w:t>
            </w:r>
          </w:p>
        </w:tc>
        <w:tc>
          <w:tcPr>
            <w:tcW w:w="650"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100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794" w:hRule="exact"/>
          <w:jc w:val="center"/>
        </w:trPr>
        <w:tc>
          <w:tcPr>
            <w:tcW w:w="409" w:type="pct"/>
            <w:vMerge w:val="continue"/>
            <w:tcBorders>
              <w:left w:val="single" w:color="auto" w:sz="2" w:space="0"/>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bCs/>
                <w:kern w:val="0"/>
                <w:sz w:val="32"/>
                <w:szCs w:val="32"/>
                <w:lang w:bidi="ar"/>
              </w:rPr>
            </w:pPr>
          </w:p>
        </w:tc>
        <w:tc>
          <w:tcPr>
            <w:tcW w:w="409"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2</w:t>
            </w:r>
          </w:p>
        </w:tc>
        <w:tc>
          <w:tcPr>
            <w:tcW w:w="1701"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智慧高速公路</w:t>
            </w:r>
          </w:p>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占比（%）</w:t>
            </w:r>
          </w:p>
        </w:tc>
        <w:tc>
          <w:tcPr>
            <w:tcW w:w="639"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w:t>
            </w:r>
          </w:p>
        </w:tc>
        <w:tc>
          <w:tcPr>
            <w:tcW w:w="584"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w:t>
            </w:r>
          </w:p>
        </w:tc>
        <w:tc>
          <w:tcPr>
            <w:tcW w:w="605"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100</w:t>
            </w:r>
          </w:p>
        </w:tc>
        <w:tc>
          <w:tcPr>
            <w:tcW w:w="650"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100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794" w:hRule="exact"/>
          <w:jc w:val="center"/>
        </w:trPr>
        <w:tc>
          <w:tcPr>
            <w:tcW w:w="409" w:type="pct"/>
            <w:vMerge w:val="restart"/>
            <w:tcBorders>
              <w:top w:val="single" w:color="auto" w:sz="2" w:space="0"/>
              <w:left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bCs/>
                <w:kern w:val="0"/>
                <w:sz w:val="32"/>
                <w:szCs w:val="32"/>
                <w:lang w:bidi="ar"/>
              </w:rPr>
            </w:pPr>
            <w:r>
              <w:rPr>
                <w:rFonts w:hint="eastAsia" w:ascii="仿宋_GB2312" w:hAnsi="仿宋_GB2312" w:eastAsia="仿宋_GB2312" w:cs="仿宋_GB2312"/>
                <w:bCs/>
                <w:kern w:val="0"/>
                <w:sz w:val="32"/>
                <w:szCs w:val="32"/>
                <w:lang w:bidi="ar"/>
              </w:rPr>
              <w:t>安全</w:t>
            </w:r>
          </w:p>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bCs/>
                <w:kern w:val="0"/>
                <w:sz w:val="32"/>
                <w:szCs w:val="32"/>
                <w:lang w:bidi="ar"/>
              </w:rPr>
            </w:pPr>
            <w:r>
              <w:rPr>
                <w:rFonts w:hint="eastAsia" w:ascii="仿宋_GB2312" w:hAnsi="仿宋_GB2312" w:eastAsia="仿宋_GB2312" w:cs="仿宋_GB2312"/>
                <w:bCs/>
                <w:kern w:val="0"/>
                <w:sz w:val="32"/>
                <w:szCs w:val="32"/>
                <w:lang w:bidi="ar"/>
              </w:rPr>
              <w:t>可靠</w:t>
            </w:r>
          </w:p>
        </w:tc>
        <w:tc>
          <w:tcPr>
            <w:tcW w:w="409"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1</w:t>
            </w:r>
          </w:p>
        </w:tc>
        <w:tc>
          <w:tcPr>
            <w:tcW w:w="1701"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道路运输事故死亡</w:t>
            </w:r>
          </w:p>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人数下降率（%）</w:t>
            </w:r>
          </w:p>
        </w:tc>
        <w:tc>
          <w:tcPr>
            <w:tcW w:w="639"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w:t>
            </w:r>
          </w:p>
        </w:tc>
        <w:tc>
          <w:tcPr>
            <w:tcW w:w="584"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20</w:t>
            </w:r>
          </w:p>
        </w:tc>
        <w:tc>
          <w:tcPr>
            <w:tcW w:w="605"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40</w:t>
            </w:r>
          </w:p>
        </w:tc>
        <w:tc>
          <w:tcPr>
            <w:tcW w:w="650"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50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794" w:hRule="exact"/>
          <w:jc w:val="center"/>
        </w:trPr>
        <w:tc>
          <w:tcPr>
            <w:tcW w:w="409" w:type="pct"/>
            <w:vMerge w:val="continue"/>
            <w:tcBorders>
              <w:left w:val="single" w:color="auto" w:sz="2" w:space="0"/>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p>
        </w:tc>
        <w:tc>
          <w:tcPr>
            <w:tcW w:w="409"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2</w:t>
            </w:r>
          </w:p>
        </w:tc>
        <w:tc>
          <w:tcPr>
            <w:tcW w:w="1701"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综合立体交通网</w:t>
            </w:r>
          </w:p>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安全设施完好率</w:t>
            </w:r>
            <w:r>
              <w:rPr>
                <w:rFonts w:hint="eastAsia" w:ascii="仿宋_GB2312" w:hAnsi="仿宋_GB2312" w:eastAsia="仿宋_GB2312" w:cs="仿宋_GB2312"/>
                <w:kern w:val="0"/>
                <w:sz w:val="32"/>
                <w:szCs w:val="32"/>
                <w:vertAlign w:val="superscript"/>
                <w:lang w:bidi="ar"/>
              </w:rPr>
              <w:t>*</w:t>
            </w:r>
            <w:r>
              <w:rPr>
                <w:rFonts w:hint="eastAsia" w:ascii="仿宋_GB2312" w:hAnsi="仿宋_GB2312" w:eastAsia="仿宋_GB2312" w:cs="仿宋_GB2312"/>
                <w:kern w:val="0"/>
                <w:sz w:val="32"/>
                <w:szCs w:val="32"/>
                <w:lang w:bidi="ar"/>
              </w:rPr>
              <w:t>（%）</w:t>
            </w:r>
          </w:p>
        </w:tc>
        <w:tc>
          <w:tcPr>
            <w:tcW w:w="639"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w:t>
            </w:r>
          </w:p>
        </w:tc>
        <w:tc>
          <w:tcPr>
            <w:tcW w:w="584"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80</w:t>
            </w:r>
          </w:p>
        </w:tc>
        <w:tc>
          <w:tcPr>
            <w:tcW w:w="605"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92</w:t>
            </w:r>
          </w:p>
        </w:tc>
        <w:tc>
          <w:tcPr>
            <w:tcW w:w="650" w:type="pct"/>
            <w:tcBorders>
              <w:top w:val="single" w:color="auto" w:sz="2" w:space="0"/>
              <w:left w:val="nil"/>
              <w:bottom w:val="single" w:color="auto" w:sz="2" w:space="0"/>
              <w:right w:val="single" w:color="auto" w:sz="2" w:space="0"/>
            </w:tcBorders>
            <w:vAlign w:val="center"/>
          </w:tcPr>
          <w:p>
            <w:pPr>
              <w:widowControl w:val="0"/>
              <w:adjustRightInd w:val="0"/>
              <w:snapToGrid w:val="0"/>
              <w:spacing w:line="240" w:lineRule="auto"/>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100</w:t>
            </w:r>
          </w:p>
        </w:tc>
      </w:tr>
      <w:bookmarkEnd w:id="142"/>
      <w:bookmarkEnd w:id="143"/>
      <w:bookmarkEnd w:id="144"/>
      <w:bookmarkEnd w:id="145"/>
      <w:bookmarkEnd w:id="146"/>
    </w:tbl>
    <w:p>
      <w:pPr>
        <w:widowControl w:val="0"/>
        <w:adjustRightInd w:val="0"/>
        <w:snapToGrid w:val="0"/>
        <w:spacing w:before="381" w:beforeLines="100" w:line="240" w:lineRule="auto"/>
        <w:ind w:firstLine="0" w:firstLineChars="0"/>
        <w:jc w:val="center"/>
        <w:outlineLvl w:val="0"/>
        <w:rPr>
          <w:rFonts w:ascii="黑体" w:hAnsi="黑体" w:eastAsia="黑体" w:cs="黑体"/>
          <w:bCs/>
          <w:sz w:val="32"/>
          <w:szCs w:val="32"/>
        </w:rPr>
      </w:pPr>
      <w:bookmarkStart w:id="150" w:name="_Toc17496"/>
      <w:r>
        <w:rPr>
          <w:rFonts w:hint="eastAsia" w:ascii="黑体" w:hAnsi="黑体" w:eastAsia="黑体" w:cs="黑体"/>
          <w:bCs/>
          <w:sz w:val="32"/>
          <w:szCs w:val="32"/>
        </w:rPr>
        <w:t xml:space="preserve">附表2 </w:t>
      </w:r>
      <w:bookmarkEnd w:id="150"/>
      <w:r>
        <w:rPr>
          <w:rFonts w:hint="eastAsia" w:ascii="黑体" w:hAnsi="黑体" w:eastAsia="黑体" w:cs="黑体"/>
          <w:bCs/>
          <w:sz w:val="32"/>
          <w:szCs w:val="32"/>
        </w:rPr>
        <w:t>韶关市综合立体交通网规模指标表</w:t>
      </w:r>
    </w:p>
    <w:tbl>
      <w:tblPr>
        <w:tblStyle w:val="28"/>
        <w:tblW w:w="5300" w:type="pct"/>
        <w:jc w:val="center"/>
        <w:tblLayout w:type="fixed"/>
        <w:tblCellMar>
          <w:top w:w="0" w:type="dxa"/>
          <w:left w:w="108" w:type="dxa"/>
          <w:bottom w:w="0" w:type="dxa"/>
          <w:right w:w="108" w:type="dxa"/>
        </w:tblCellMar>
      </w:tblPr>
      <w:tblGrid>
        <w:gridCol w:w="2962"/>
        <w:gridCol w:w="2336"/>
        <w:gridCol w:w="1234"/>
        <w:gridCol w:w="1187"/>
        <w:gridCol w:w="1314"/>
      </w:tblGrid>
      <w:tr>
        <w:tblPrEx>
          <w:tblCellMar>
            <w:top w:w="0" w:type="dxa"/>
            <w:left w:w="108" w:type="dxa"/>
            <w:bottom w:w="0" w:type="dxa"/>
            <w:right w:w="108" w:type="dxa"/>
          </w:tblCellMar>
        </w:tblPrEx>
        <w:trPr>
          <w:trHeight w:val="567" w:hRule="exact"/>
          <w:jc w:val="center"/>
        </w:trPr>
        <w:tc>
          <w:tcPr>
            <w:tcW w:w="1639"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val="0"/>
              <w:tabs>
                <w:tab w:val="left" w:pos="0"/>
              </w:tabs>
              <w:spacing w:line="460" w:lineRule="exact"/>
              <w:ind w:left="-140" w:leftChars="-50" w:right="-140" w:rightChars="-50" w:firstLine="0" w:firstLineChars="0"/>
              <w:jc w:val="center"/>
              <w:rPr>
                <w:rFonts w:ascii="仿宋_GB2312" w:hAnsi="仿宋_GB2312" w:eastAsia="仿宋_GB2312" w:cs="仿宋_GB2312"/>
                <w:bCs/>
                <w:sz w:val="32"/>
                <w:szCs w:val="32"/>
                <w:lang w:bidi="ar"/>
              </w:rPr>
            </w:pPr>
            <w:r>
              <w:rPr>
                <w:rFonts w:hint="eastAsia" w:ascii="仿宋_GB2312" w:hAnsi="仿宋_GB2312" w:eastAsia="仿宋_GB2312" w:cs="仿宋_GB2312"/>
                <w:bCs/>
                <w:sz w:val="32"/>
                <w:szCs w:val="32"/>
                <w:lang w:bidi="ar"/>
              </w:rPr>
              <w:t>指标名称</w:t>
            </w:r>
          </w:p>
        </w:tc>
        <w:tc>
          <w:tcPr>
            <w:tcW w:w="1292" w:type="pct"/>
            <w:tcBorders>
              <w:top w:val="single" w:color="auto" w:sz="4" w:space="0"/>
              <w:left w:val="nil"/>
              <w:bottom w:val="single" w:color="auto" w:sz="4" w:space="0"/>
              <w:right w:val="single" w:color="auto" w:sz="4" w:space="0"/>
            </w:tcBorders>
            <w:shd w:val="clear" w:color="auto" w:fill="auto"/>
            <w:noWrap/>
            <w:vAlign w:val="center"/>
          </w:tcPr>
          <w:p>
            <w:pPr>
              <w:widowControl w:val="0"/>
              <w:tabs>
                <w:tab w:val="left" w:pos="0"/>
              </w:tabs>
              <w:spacing w:line="460" w:lineRule="exact"/>
              <w:ind w:left="-140" w:leftChars="-50" w:right="-140" w:rightChars="-50" w:firstLine="0" w:firstLineChars="0"/>
              <w:jc w:val="center"/>
              <w:rPr>
                <w:rFonts w:ascii="仿宋_GB2312" w:hAnsi="仿宋_GB2312" w:eastAsia="仿宋_GB2312" w:cs="仿宋_GB2312"/>
                <w:bCs/>
                <w:sz w:val="32"/>
                <w:szCs w:val="32"/>
                <w:lang w:bidi="ar"/>
              </w:rPr>
            </w:pPr>
            <w:r>
              <w:rPr>
                <w:rFonts w:hint="eastAsia" w:ascii="仿宋_GB2312" w:hAnsi="仿宋_GB2312" w:eastAsia="仿宋_GB2312" w:cs="仿宋_GB2312"/>
                <w:bCs/>
                <w:sz w:val="32"/>
                <w:szCs w:val="32"/>
                <w:lang w:bidi="ar"/>
              </w:rPr>
              <w:t>单位</w:t>
            </w:r>
          </w:p>
        </w:tc>
        <w:tc>
          <w:tcPr>
            <w:tcW w:w="683" w:type="pct"/>
            <w:tcBorders>
              <w:top w:val="single" w:color="auto" w:sz="4" w:space="0"/>
              <w:left w:val="nil"/>
              <w:bottom w:val="single" w:color="auto" w:sz="4" w:space="0"/>
              <w:right w:val="single" w:color="auto" w:sz="4" w:space="0"/>
            </w:tcBorders>
            <w:shd w:val="clear" w:color="auto" w:fill="auto"/>
            <w:noWrap/>
            <w:vAlign w:val="center"/>
          </w:tcPr>
          <w:p>
            <w:pPr>
              <w:widowControl w:val="0"/>
              <w:tabs>
                <w:tab w:val="left" w:pos="0"/>
              </w:tabs>
              <w:spacing w:line="460" w:lineRule="exact"/>
              <w:ind w:left="-140" w:leftChars="-50" w:right="-140" w:rightChars="-50" w:firstLine="0" w:firstLineChars="0"/>
              <w:jc w:val="center"/>
              <w:rPr>
                <w:rFonts w:ascii="仿宋_GB2312" w:hAnsi="仿宋_GB2312" w:eastAsia="仿宋_GB2312" w:cs="仿宋_GB2312"/>
                <w:bCs/>
                <w:sz w:val="32"/>
                <w:szCs w:val="32"/>
                <w:lang w:bidi="ar"/>
              </w:rPr>
            </w:pPr>
            <w:r>
              <w:rPr>
                <w:rFonts w:hint="eastAsia" w:ascii="仿宋_GB2312" w:hAnsi="仿宋_GB2312" w:eastAsia="仿宋_GB2312" w:cs="仿宋_GB2312"/>
                <w:bCs/>
                <w:sz w:val="32"/>
                <w:szCs w:val="32"/>
                <w:lang w:bidi="ar"/>
              </w:rPr>
              <w:t>2020年</w:t>
            </w:r>
          </w:p>
        </w:tc>
        <w:tc>
          <w:tcPr>
            <w:tcW w:w="657" w:type="pct"/>
            <w:tcBorders>
              <w:top w:val="single" w:color="auto" w:sz="4" w:space="0"/>
              <w:left w:val="nil"/>
              <w:bottom w:val="single" w:color="auto" w:sz="4" w:space="0"/>
              <w:right w:val="single" w:color="auto" w:sz="4" w:space="0"/>
            </w:tcBorders>
            <w:shd w:val="clear" w:color="auto" w:fill="auto"/>
            <w:noWrap/>
            <w:vAlign w:val="center"/>
          </w:tcPr>
          <w:p>
            <w:pPr>
              <w:widowControl w:val="0"/>
              <w:tabs>
                <w:tab w:val="left" w:pos="0"/>
              </w:tabs>
              <w:spacing w:line="460" w:lineRule="exact"/>
              <w:ind w:left="-140" w:leftChars="-50" w:right="-140" w:rightChars="-50" w:firstLine="0" w:firstLineChars="0"/>
              <w:jc w:val="center"/>
              <w:rPr>
                <w:rFonts w:ascii="仿宋_GB2312" w:hAnsi="仿宋_GB2312" w:eastAsia="仿宋_GB2312" w:cs="仿宋_GB2312"/>
                <w:bCs/>
                <w:sz w:val="32"/>
                <w:szCs w:val="32"/>
                <w:lang w:bidi="ar"/>
              </w:rPr>
            </w:pPr>
            <w:r>
              <w:rPr>
                <w:rFonts w:hint="eastAsia" w:ascii="仿宋_GB2312" w:hAnsi="仿宋_GB2312" w:eastAsia="仿宋_GB2312" w:cs="仿宋_GB2312"/>
                <w:bCs/>
                <w:sz w:val="32"/>
                <w:szCs w:val="32"/>
                <w:lang w:bidi="ar"/>
              </w:rPr>
              <w:t>2025年</w:t>
            </w:r>
          </w:p>
        </w:tc>
        <w:tc>
          <w:tcPr>
            <w:tcW w:w="727" w:type="pct"/>
            <w:tcBorders>
              <w:top w:val="single" w:color="auto" w:sz="4" w:space="0"/>
              <w:left w:val="nil"/>
              <w:bottom w:val="single" w:color="auto" w:sz="4" w:space="0"/>
              <w:right w:val="single" w:color="auto" w:sz="4" w:space="0"/>
            </w:tcBorders>
            <w:shd w:val="clear" w:color="auto" w:fill="auto"/>
            <w:noWrap/>
            <w:vAlign w:val="center"/>
          </w:tcPr>
          <w:p>
            <w:pPr>
              <w:widowControl w:val="0"/>
              <w:tabs>
                <w:tab w:val="left" w:pos="0"/>
              </w:tabs>
              <w:spacing w:line="460" w:lineRule="exact"/>
              <w:ind w:left="-140" w:leftChars="-50" w:right="-140" w:rightChars="-50" w:firstLine="0" w:firstLineChars="0"/>
              <w:jc w:val="center"/>
              <w:rPr>
                <w:rFonts w:ascii="仿宋_GB2312" w:hAnsi="仿宋_GB2312" w:eastAsia="仿宋_GB2312" w:cs="仿宋_GB2312"/>
                <w:bCs/>
                <w:sz w:val="32"/>
                <w:szCs w:val="32"/>
                <w:lang w:bidi="ar"/>
              </w:rPr>
            </w:pPr>
            <w:r>
              <w:rPr>
                <w:rFonts w:hint="eastAsia" w:ascii="仿宋_GB2312" w:hAnsi="仿宋_GB2312" w:eastAsia="仿宋_GB2312" w:cs="仿宋_GB2312"/>
                <w:bCs/>
                <w:sz w:val="32"/>
                <w:szCs w:val="32"/>
                <w:lang w:bidi="ar"/>
              </w:rPr>
              <w:t>2035年</w:t>
            </w:r>
          </w:p>
        </w:tc>
      </w:tr>
      <w:tr>
        <w:tblPrEx>
          <w:tblCellMar>
            <w:top w:w="0" w:type="dxa"/>
            <w:left w:w="108" w:type="dxa"/>
            <w:bottom w:w="0" w:type="dxa"/>
            <w:right w:w="108" w:type="dxa"/>
          </w:tblCellMar>
        </w:tblPrEx>
        <w:trPr>
          <w:trHeight w:val="567" w:hRule="exact"/>
          <w:jc w:val="center"/>
        </w:trPr>
        <w:tc>
          <w:tcPr>
            <w:tcW w:w="1639" w:type="pct"/>
            <w:tcBorders>
              <w:top w:val="nil"/>
              <w:left w:val="single" w:color="auto" w:sz="4" w:space="0"/>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160" w:firstLineChars="50"/>
              <w:textAlignment w:val="center"/>
              <w:rPr>
                <w:rFonts w:ascii="仿宋_GB2312" w:hAnsi="仿宋_GB2312" w:eastAsia="仿宋_GB2312" w:cs="仿宋_GB2312"/>
                <w:bCs/>
                <w:kern w:val="0"/>
                <w:sz w:val="32"/>
                <w:szCs w:val="32"/>
                <w:lang w:bidi="ar"/>
              </w:rPr>
            </w:pPr>
            <w:r>
              <w:rPr>
                <w:rFonts w:hint="eastAsia" w:ascii="仿宋_GB2312" w:hAnsi="仿宋_GB2312" w:eastAsia="仿宋_GB2312" w:cs="仿宋_GB2312"/>
                <w:bCs/>
                <w:kern w:val="0"/>
                <w:sz w:val="32"/>
                <w:szCs w:val="32"/>
                <w:lang w:bidi="ar"/>
              </w:rPr>
              <w:t>1.铁路网</w:t>
            </w:r>
          </w:p>
        </w:tc>
        <w:tc>
          <w:tcPr>
            <w:tcW w:w="1292"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公里</w:t>
            </w:r>
          </w:p>
        </w:tc>
        <w:tc>
          <w:tcPr>
            <w:tcW w:w="683"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491.1</w:t>
            </w:r>
          </w:p>
        </w:tc>
        <w:tc>
          <w:tcPr>
            <w:tcW w:w="657"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491.1</w:t>
            </w:r>
          </w:p>
        </w:tc>
        <w:tc>
          <w:tcPr>
            <w:tcW w:w="727"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687.1</w:t>
            </w:r>
          </w:p>
        </w:tc>
      </w:tr>
      <w:tr>
        <w:tblPrEx>
          <w:tblCellMar>
            <w:top w:w="0" w:type="dxa"/>
            <w:left w:w="108" w:type="dxa"/>
            <w:bottom w:w="0" w:type="dxa"/>
            <w:right w:w="108" w:type="dxa"/>
          </w:tblCellMar>
        </w:tblPrEx>
        <w:trPr>
          <w:trHeight w:val="567" w:hRule="exact"/>
          <w:jc w:val="center"/>
        </w:trPr>
        <w:tc>
          <w:tcPr>
            <w:tcW w:w="1639" w:type="pct"/>
            <w:tcBorders>
              <w:top w:val="nil"/>
              <w:left w:val="single" w:color="auto" w:sz="4" w:space="0"/>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160" w:firstLineChars="50"/>
              <w:textAlignment w:val="center"/>
              <w:rPr>
                <w:rFonts w:ascii="仿宋_GB2312" w:hAnsi="仿宋_GB2312" w:eastAsia="仿宋_GB2312" w:cs="仿宋_GB2312"/>
                <w:bCs/>
                <w:kern w:val="0"/>
                <w:sz w:val="32"/>
                <w:szCs w:val="32"/>
                <w:lang w:bidi="ar"/>
              </w:rPr>
            </w:pPr>
            <w:r>
              <w:rPr>
                <w:rFonts w:hint="eastAsia" w:ascii="仿宋_GB2312" w:hAnsi="仿宋_GB2312" w:eastAsia="仿宋_GB2312" w:cs="仿宋_GB2312"/>
                <w:bCs/>
                <w:kern w:val="0"/>
                <w:sz w:val="32"/>
                <w:szCs w:val="32"/>
                <w:lang w:bidi="ar"/>
              </w:rPr>
              <w:t>2.铁路网密度</w:t>
            </w:r>
          </w:p>
        </w:tc>
        <w:tc>
          <w:tcPr>
            <w:tcW w:w="1292"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公里/百平方公里</w:t>
            </w:r>
          </w:p>
        </w:tc>
        <w:tc>
          <w:tcPr>
            <w:tcW w:w="683"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2.7</w:t>
            </w:r>
          </w:p>
        </w:tc>
        <w:tc>
          <w:tcPr>
            <w:tcW w:w="657"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2.7</w:t>
            </w:r>
          </w:p>
        </w:tc>
        <w:tc>
          <w:tcPr>
            <w:tcW w:w="727"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3.8</w:t>
            </w:r>
          </w:p>
        </w:tc>
      </w:tr>
      <w:tr>
        <w:tblPrEx>
          <w:tblCellMar>
            <w:top w:w="0" w:type="dxa"/>
            <w:left w:w="108" w:type="dxa"/>
            <w:bottom w:w="0" w:type="dxa"/>
            <w:right w:w="108" w:type="dxa"/>
          </w:tblCellMar>
        </w:tblPrEx>
        <w:trPr>
          <w:trHeight w:val="567" w:hRule="exact"/>
          <w:jc w:val="center"/>
        </w:trPr>
        <w:tc>
          <w:tcPr>
            <w:tcW w:w="1639" w:type="pct"/>
            <w:tcBorders>
              <w:top w:val="nil"/>
              <w:left w:val="single" w:color="auto" w:sz="4" w:space="0"/>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464" w:firstLineChars="145"/>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高速铁路</w:t>
            </w:r>
          </w:p>
        </w:tc>
        <w:tc>
          <w:tcPr>
            <w:tcW w:w="1292"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公里</w:t>
            </w:r>
          </w:p>
        </w:tc>
        <w:tc>
          <w:tcPr>
            <w:tcW w:w="683"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118</w:t>
            </w:r>
          </w:p>
        </w:tc>
        <w:tc>
          <w:tcPr>
            <w:tcW w:w="657"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118</w:t>
            </w:r>
          </w:p>
        </w:tc>
        <w:tc>
          <w:tcPr>
            <w:tcW w:w="727"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118</w:t>
            </w:r>
          </w:p>
        </w:tc>
      </w:tr>
      <w:tr>
        <w:tblPrEx>
          <w:tblCellMar>
            <w:top w:w="0" w:type="dxa"/>
            <w:left w:w="108" w:type="dxa"/>
            <w:bottom w:w="0" w:type="dxa"/>
            <w:right w:w="108" w:type="dxa"/>
          </w:tblCellMar>
        </w:tblPrEx>
        <w:trPr>
          <w:trHeight w:val="567" w:hRule="exact"/>
          <w:jc w:val="center"/>
        </w:trPr>
        <w:tc>
          <w:tcPr>
            <w:tcW w:w="1639" w:type="pct"/>
            <w:tcBorders>
              <w:top w:val="nil"/>
              <w:left w:val="single" w:color="auto" w:sz="4" w:space="0"/>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464" w:firstLineChars="145"/>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普速铁路</w:t>
            </w:r>
          </w:p>
        </w:tc>
        <w:tc>
          <w:tcPr>
            <w:tcW w:w="1292"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公里</w:t>
            </w:r>
          </w:p>
        </w:tc>
        <w:tc>
          <w:tcPr>
            <w:tcW w:w="683"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315</w:t>
            </w:r>
          </w:p>
        </w:tc>
        <w:tc>
          <w:tcPr>
            <w:tcW w:w="657"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315</w:t>
            </w:r>
          </w:p>
        </w:tc>
        <w:tc>
          <w:tcPr>
            <w:tcW w:w="727"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494</w:t>
            </w:r>
          </w:p>
        </w:tc>
      </w:tr>
      <w:tr>
        <w:tblPrEx>
          <w:tblCellMar>
            <w:top w:w="0" w:type="dxa"/>
            <w:left w:w="108" w:type="dxa"/>
            <w:bottom w:w="0" w:type="dxa"/>
            <w:right w:w="108" w:type="dxa"/>
          </w:tblCellMar>
        </w:tblPrEx>
        <w:trPr>
          <w:trHeight w:val="567" w:hRule="exact"/>
          <w:jc w:val="center"/>
        </w:trPr>
        <w:tc>
          <w:tcPr>
            <w:tcW w:w="1639" w:type="pct"/>
            <w:tcBorders>
              <w:top w:val="nil"/>
              <w:left w:val="single" w:color="auto" w:sz="4" w:space="0"/>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464" w:firstLineChars="145"/>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城际铁路</w:t>
            </w:r>
          </w:p>
        </w:tc>
        <w:tc>
          <w:tcPr>
            <w:tcW w:w="1292"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公里</w:t>
            </w:r>
          </w:p>
        </w:tc>
        <w:tc>
          <w:tcPr>
            <w:tcW w:w="683"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w:t>
            </w:r>
          </w:p>
        </w:tc>
        <w:tc>
          <w:tcPr>
            <w:tcW w:w="657"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w:t>
            </w:r>
          </w:p>
        </w:tc>
        <w:tc>
          <w:tcPr>
            <w:tcW w:w="727"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w:t>
            </w:r>
          </w:p>
        </w:tc>
      </w:tr>
      <w:tr>
        <w:tblPrEx>
          <w:tblCellMar>
            <w:top w:w="0" w:type="dxa"/>
            <w:left w:w="108" w:type="dxa"/>
            <w:bottom w:w="0" w:type="dxa"/>
            <w:right w:w="108" w:type="dxa"/>
          </w:tblCellMar>
        </w:tblPrEx>
        <w:trPr>
          <w:trHeight w:val="567" w:hRule="exact"/>
          <w:jc w:val="center"/>
        </w:trPr>
        <w:tc>
          <w:tcPr>
            <w:tcW w:w="1639" w:type="pct"/>
            <w:tcBorders>
              <w:top w:val="nil"/>
              <w:left w:val="single" w:color="auto" w:sz="4" w:space="0"/>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464" w:firstLineChars="145"/>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铁路专用线</w:t>
            </w:r>
          </w:p>
        </w:tc>
        <w:tc>
          <w:tcPr>
            <w:tcW w:w="1292"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公里</w:t>
            </w:r>
          </w:p>
        </w:tc>
        <w:tc>
          <w:tcPr>
            <w:tcW w:w="683"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58.1</w:t>
            </w:r>
          </w:p>
        </w:tc>
        <w:tc>
          <w:tcPr>
            <w:tcW w:w="657"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58.1</w:t>
            </w:r>
          </w:p>
        </w:tc>
        <w:tc>
          <w:tcPr>
            <w:tcW w:w="727"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75.1</w:t>
            </w:r>
          </w:p>
        </w:tc>
      </w:tr>
      <w:tr>
        <w:tblPrEx>
          <w:tblCellMar>
            <w:top w:w="0" w:type="dxa"/>
            <w:left w:w="108" w:type="dxa"/>
            <w:bottom w:w="0" w:type="dxa"/>
            <w:right w:w="108" w:type="dxa"/>
          </w:tblCellMar>
        </w:tblPrEx>
        <w:trPr>
          <w:trHeight w:val="567" w:hRule="exact"/>
          <w:jc w:val="center"/>
        </w:trPr>
        <w:tc>
          <w:tcPr>
            <w:tcW w:w="1639" w:type="pct"/>
            <w:tcBorders>
              <w:top w:val="nil"/>
              <w:left w:val="single" w:color="auto" w:sz="4" w:space="0"/>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160" w:firstLineChars="50"/>
              <w:textAlignment w:val="center"/>
              <w:rPr>
                <w:rFonts w:ascii="仿宋_GB2312" w:hAnsi="仿宋_GB2312" w:eastAsia="仿宋_GB2312" w:cs="仿宋_GB2312"/>
                <w:bCs/>
                <w:kern w:val="0"/>
                <w:sz w:val="32"/>
                <w:szCs w:val="32"/>
                <w:lang w:bidi="ar"/>
              </w:rPr>
            </w:pPr>
            <w:r>
              <w:rPr>
                <w:rFonts w:hint="eastAsia" w:ascii="仿宋_GB2312" w:hAnsi="仿宋_GB2312" w:eastAsia="仿宋_GB2312" w:cs="仿宋_GB2312"/>
                <w:bCs/>
                <w:kern w:val="0"/>
                <w:sz w:val="32"/>
                <w:szCs w:val="32"/>
                <w:lang w:bidi="ar"/>
              </w:rPr>
              <w:t>3.公路网</w:t>
            </w:r>
          </w:p>
        </w:tc>
        <w:tc>
          <w:tcPr>
            <w:tcW w:w="1292"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公里</w:t>
            </w:r>
          </w:p>
        </w:tc>
        <w:tc>
          <w:tcPr>
            <w:tcW w:w="683"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17075.8</w:t>
            </w:r>
          </w:p>
        </w:tc>
        <w:tc>
          <w:tcPr>
            <w:tcW w:w="657"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18000</w:t>
            </w:r>
          </w:p>
        </w:tc>
        <w:tc>
          <w:tcPr>
            <w:tcW w:w="727"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19800</w:t>
            </w:r>
          </w:p>
        </w:tc>
      </w:tr>
      <w:tr>
        <w:tblPrEx>
          <w:tblCellMar>
            <w:top w:w="0" w:type="dxa"/>
            <w:left w:w="108" w:type="dxa"/>
            <w:bottom w:w="0" w:type="dxa"/>
            <w:right w:w="108" w:type="dxa"/>
          </w:tblCellMar>
        </w:tblPrEx>
        <w:trPr>
          <w:trHeight w:val="567" w:hRule="exact"/>
          <w:jc w:val="center"/>
        </w:trPr>
        <w:tc>
          <w:tcPr>
            <w:tcW w:w="1639" w:type="pct"/>
            <w:tcBorders>
              <w:top w:val="nil"/>
              <w:left w:val="single" w:color="auto" w:sz="4" w:space="0"/>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160" w:firstLineChars="50"/>
              <w:textAlignment w:val="center"/>
              <w:rPr>
                <w:rFonts w:ascii="仿宋_GB2312" w:hAnsi="仿宋_GB2312" w:eastAsia="仿宋_GB2312" w:cs="仿宋_GB2312"/>
                <w:bCs/>
                <w:kern w:val="0"/>
                <w:sz w:val="32"/>
                <w:szCs w:val="32"/>
                <w:lang w:bidi="ar"/>
              </w:rPr>
            </w:pPr>
            <w:r>
              <w:rPr>
                <w:rFonts w:hint="eastAsia" w:ascii="仿宋_GB2312" w:hAnsi="仿宋_GB2312" w:eastAsia="仿宋_GB2312" w:cs="仿宋_GB2312"/>
                <w:bCs/>
                <w:kern w:val="0"/>
                <w:sz w:val="32"/>
                <w:szCs w:val="32"/>
                <w:lang w:bidi="ar"/>
              </w:rPr>
              <w:t>4.公路网密度</w:t>
            </w:r>
          </w:p>
        </w:tc>
        <w:tc>
          <w:tcPr>
            <w:tcW w:w="1292"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公里/百平方公里</w:t>
            </w:r>
          </w:p>
        </w:tc>
        <w:tc>
          <w:tcPr>
            <w:tcW w:w="683"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92.7</w:t>
            </w:r>
          </w:p>
        </w:tc>
        <w:tc>
          <w:tcPr>
            <w:tcW w:w="657"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98.8</w:t>
            </w:r>
          </w:p>
        </w:tc>
        <w:tc>
          <w:tcPr>
            <w:tcW w:w="727"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108.7</w:t>
            </w:r>
          </w:p>
        </w:tc>
      </w:tr>
      <w:tr>
        <w:tblPrEx>
          <w:tblCellMar>
            <w:top w:w="0" w:type="dxa"/>
            <w:left w:w="108" w:type="dxa"/>
            <w:bottom w:w="0" w:type="dxa"/>
            <w:right w:w="108" w:type="dxa"/>
          </w:tblCellMar>
        </w:tblPrEx>
        <w:trPr>
          <w:trHeight w:val="567" w:hRule="exact"/>
          <w:jc w:val="center"/>
        </w:trPr>
        <w:tc>
          <w:tcPr>
            <w:tcW w:w="1639" w:type="pct"/>
            <w:tcBorders>
              <w:top w:val="nil"/>
              <w:left w:val="single" w:color="auto" w:sz="4" w:space="0"/>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464" w:firstLineChars="145"/>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高速公路</w:t>
            </w:r>
          </w:p>
        </w:tc>
        <w:tc>
          <w:tcPr>
            <w:tcW w:w="1292"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公里</w:t>
            </w:r>
          </w:p>
        </w:tc>
        <w:tc>
          <w:tcPr>
            <w:tcW w:w="683"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688.9</w:t>
            </w:r>
          </w:p>
        </w:tc>
        <w:tc>
          <w:tcPr>
            <w:tcW w:w="657"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800</w:t>
            </w:r>
          </w:p>
        </w:tc>
        <w:tc>
          <w:tcPr>
            <w:tcW w:w="727"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1034</w:t>
            </w:r>
          </w:p>
        </w:tc>
      </w:tr>
      <w:tr>
        <w:tblPrEx>
          <w:tblCellMar>
            <w:top w:w="0" w:type="dxa"/>
            <w:left w:w="108" w:type="dxa"/>
            <w:bottom w:w="0" w:type="dxa"/>
            <w:right w:w="108" w:type="dxa"/>
          </w:tblCellMar>
        </w:tblPrEx>
        <w:trPr>
          <w:trHeight w:val="567" w:hRule="exact"/>
          <w:jc w:val="center"/>
        </w:trPr>
        <w:tc>
          <w:tcPr>
            <w:tcW w:w="1639" w:type="pct"/>
            <w:tcBorders>
              <w:top w:val="nil"/>
              <w:left w:val="single" w:color="auto" w:sz="4" w:space="0"/>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464" w:firstLineChars="145"/>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高速公路网密度</w:t>
            </w:r>
          </w:p>
        </w:tc>
        <w:tc>
          <w:tcPr>
            <w:tcW w:w="1292"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公里/百平方公里</w:t>
            </w:r>
          </w:p>
        </w:tc>
        <w:tc>
          <w:tcPr>
            <w:tcW w:w="683"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3.8</w:t>
            </w:r>
          </w:p>
        </w:tc>
        <w:tc>
          <w:tcPr>
            <w:tcW w:w="657"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4.4</w:t>
            </w:r>
          </w:p>
        </w:tc>
        <w:tc>
          <w:tcPr>
            <w:tcW w:w="727"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5.7</w:t>
            </w:r>
          </w:p>
        </w:tc>
      </w:tr>
      <w:tr>
        <w:tblPrEx>
          <w:tblCellMar>
            <w:top w:w="0" w:type="dxa"/>
            <w:left w:w="108" w:type="dxa"/>
            <w:bottom w:w="0" w:type="dxa"/>
            <w:right w:w="108" w:type="dxa"/>
          </w:tblCellMar>
        </w:tblPrEx>
        <w:trPr>
          <w:trHeight w:val="567" w:hRule="exact"/>
          <w:jc w:val="center"/>
        </w:trPr>
        <w:tc>
          <w:tcPr>
            <w:tcW w:w="1639" w:type="pct"/>
            <w:tcBorders>
              <w:top w:val="nil"/>
              <w:left w:val="single" w:color="auto" w:sz="4" w:space="0"/>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464" w:firstLineChars="145"/>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一二级公路</w:t>
            </w:r>
          </w:p>
        </w:tc>
        <w:tc>
          <w:tcPr>
            <w:tcW w:w="1292"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公里</w:t>
            </w:r>
          </w:p>
        </w:tc>
        <w:tc>
          <w:tcPr>
            <w:tcW w:w="683"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1051.2</w:t>
            </w:r>
          </w:p>
        </w:tc>
        <w:tc>
          <w:tcPr>
            <w:tcW w:w="657"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1650</w:t>
            </w:r>
          </w:p>
        </w:tc>
        <w:tc>
          <w:tcPr>
            <w:tcW w:w="727"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1810</w:t>
            </w:r>
          </w:p>
        </w:tc>
      </w:tr>
      <w:tr>
        <w:tblPrEx>
          <w:tblCellMar>
            <w:top w:w="0" w:type="dxa"/>
            <w:left w:w="108" w:type="dxa"/>
            <w:bottom w:w="0" w:type="dxa"/>
            <w:right w:w="108" w:type="dxa"/>
          </w:tblCellMar>
        </w:tblPrEx>
        <w:trPr>
          <w:trHeight w:val="851" w:hRule="exact"/>
          <w:jc w:val="center"/>
        </w:trPr>
        <w:tc>
          <w:tcPr>
            <w:tcW w:w="1639" w:type="pct"/>
            <w:tcBorders>
              <w:top w:val="nil"/>
              <w:left w:val="single" w:color="auto" w:sz="4" w:space="0"/>
              <w:bottom w:val="single" w:color="auto" w:sz="4" w:space="0"/>
              <w:right w:val="single" w:color="auto" w:sz="4" w:space="0"/>
            </w:tcBorders>
            <w:shd w:val="clear" w:color="auto" w:fill="auto"/>
            <w:vAlign w:val="center"/>
          </w:tcPr>
          <w:p>
            <w:pPr>
              <w:widowControl w:val="0"/>
              <w:spacing w:line="300" w:lineRule="exact"/>
              <w:ind w:left="-140" w:leftChars="-50" w:right="-140" w:rightChars="-50" w:firstLine="480" w:firstLineChars="150"/>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普通国道二级</w:t>
            </w:r>
          </w:p>
          <w:p>
            <w:pPr>
              <w:widowControl w:val="0"/>
              <w:spacing w:line="300" w:lineRule="exact"/>
              <w:ind w:left="-140" w:leftChars="-50" w:right="-140" w:rightChars="-50" w:firstLine="480" w:firstLineChars="150"/>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及以上占比</w:t>
            </w:r>
          </w:p>
        </w:tc>
        <w:tc>
          <w:tcPr>
            <w:tcW w:w="1292"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w:t>
            </w:r>
          </w:p>
        </w:tc>
        <w:tc>
          <w:tcPr>
            <w:tcW w:w="683"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72</w:t>
            </w:r>
          </w:p>
        </w:tc>
        <w:tc>
          <w:tcPr>
            <w:tcW w:w="657"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95</w:t>
            </w:r>
          </w:p>
        </w:tc>
        <w:tc>
          <w:tcPr>
            <w:tcW w:w="727"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100</w:t>
            </w:r>
          </w:p>
        </w:tc>
      </w:tr>
      <w:tr>
        <w:tblPrEx>
          <w:tblCellMar>
            <w:top w:w="0" w:type="dxa"/>
            <w:left w:w="108" w:type="dxa"/>
            <w:bottom w:w="0" w:type="dxa"/>
            <w:right w:w="108" w:type="dxa"/>
          </w:tblCellMar>
        </w:tblPrEx>
        <w:trPr>
          <w:trHeight w:val="851" w:hRule="exact"/>
          <w:jc w:val="center"/>
        </w:trPr>
        <w:tc>
          <w:tcPr>
            <w:tcW w:w="1639" w:type="pct"/>
            <w:tcBorders>
              <w:top w:val="nil"/>
              <w:left w:val="single" w:color="auto" w:sz="4" w:space="0"/>
              <w:bottom w:val="single" w:color="auto" w:sz="4" w:space="0"/>
              <w:right w:val="single" w:color="auto" w:sz="4" w:space="0"/>
            </w:tcBorders>
            <w:shd w:val="clear" w:color="auto" w:fill="auto"/>
            <w:vAlign w:val="center"/>
          </w:tcPr>
          <w:p>
            <w:pPr>
              <w:widowControl w:val="0"/>
              <w:spacing w:line="300" w:lineRule="exact"/>
              <w:ind w:left="-140" w:leftChars="-50" w:right="-140" w:rightChars="-50" w:firstLine="480" w:firstLineChars="150"/>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普通省道三级</w:t>
            </w:r>
          </w:p>
          <w:p>
            <w:pPr>
              <w:widowControl w:val="0"/>
              <w:spacing w:line="300" w:lineRule="exact"/>
              <w:ind w:left="-140" w:leftChars="-50" w:right="-140" w:rightChars="-50" w:firstLine="480" w:firstLineChars="150"/>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及以上占比</w:t>
            </w:r>
          </w:p>
        </w:tc>
        <w:tc>
          <w:tcPr>
            <w:tcW w:w="1292"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w:t>
            </w:r>
          </w:p>
        </w:tc>
        <w:tc>
          <w:tcPr>
            <w:tcW w:w="683"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55.1</w:t>
            </w:r>
          </w:p>
        </w:tc>
        <w:tc>
          <w:tcPr>
            <w:tcW w:w="657"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80</w:t>
            </w:r>
          </w:p>
        </w:tc>
        <w:tc>
          <w:tcPr>
            <w:tcW w:w="727"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90</w:t>
            </w:r>
          </w:p>
        </w:tc>
      </w:tr>
      <w:tr>
        <w:tblPrEx>
          <w:tblCellMar>
            <w:top w:w="0" w:type="dxa"/>
            <w:left w:w="108" w:type="dxa"/>
            <w:bottom w:w="0" w:type="dxa"/>
            <w:right w:w="108" w:type="dxa"/>
          </w:tblCellMar>
        </w:tblPrEx>
        <w:trPr>
          <w:trHeight w:val="567" w:hRule="exact"/>
          <w:jc w:val="center"/>
        </w:trPr>
        <w:tc>
          <w:tcPr>
            <w:tcW w:w="1639" w:type="pct"/>
            <w:tcBorders>
              <w:top w:val="nil"/>
              <w:left w:val="single" w:color="auto" w:sz="4" w:space="0"/>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160" w:firstLineChars="50"/>
              <w:textAlignment w:val="center"/>
              <w:rPr>
                <w:rFonts w:ascii="仿宋_GB2312" w:hAnsi="仿宋_GB2312" w:eastAsia="仿宋_GB2312" w:cs="仿宋_GB2312"/>
                <w:bCs/>
                <w:kern w:val="0"/>
                <w:sz w:val="32"/>
                <w:szCs w:val="32"/>
                <w:lang w:bidi="ar"/>
              </w:rPr>
            </w:pPr>
            <w:r>
              <w:rPr>
                <w:rFonts w:hint="eastAsia" w:ascii="仿宋_GB2312" w:hAnsi="仿宋_GB2312" w:eastAsia="仿宋_GB2312" w:cs="仿宋_GB2312"/>
                <w:bCs/>
                <w:kern w:val="0"/>
                <w:sz w:val="32"/>
                <w:szCs w:val="32"/>
                <w:lang w:bidi="ar"/>
              </w:rPr>
              <w:t>5.内河航道</w:t>
            </w:r>
          </w:p>
        </w:tc>
        <w:tc>
          <w:tcPr>
            <w:tcW w:w="1292"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公里</w:t>
            </w:r>
          </w:p>
        </w:tc>
        <w:tc>
          <w:tcPr>
            <w:tcW w:w="683"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698</w:t>
            </w:r>
          </w:p>
        </w:tc>
        <w:tc>
          <w:tcPr>
            <w:tcW w:w="657"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698</w:t>
            </w:r>
          </w:p>
        </w:tc>
        <w:tc>
          <w:tcPr>
            <w:tcW w:w="727"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822</w:t>
            </w:r>
          </w:p>
        </w:tc>
      </w:tr>
      <w:tr>
        <w:tblPrEx>
          <w:tblCellMar>
            <w:top w:w="0" w:type="dxa"/>
            <w:left w:w="108" w:type="dxa"/>
            <w:bottom w:w="0" w:type="dxa"/>
            <w:right w:w="108" w:type="dxa"/>
          </w:tblCellMar>
        </w:tblPrEx>
        <w:trPr>
          <w:trHeight w:val="567" w:hRule="exact"/>
          <w:jc w:val="center"/>
        </w:trPr>
        <w:tc>
          <w:tcPr>
            <w:tcW w:w="1639" w:type="pct"/>
            <w:tcBorders>
              <w:top w:val="nil"/>
              <w:left w:val="single" w:color="auto" w:sz="4" w:space="0"/>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160" w:firstLineChars="50"/>
              <w:textAlignment w:val="center"/>
              <w:rPr>
                <w:rFonts w:ascii="仿宋_GB2312" w:hAnsi="仿宋_GB2312" w:eastAsia="仿宋_GB2312" w:cs="仿宋_GB2312"/>
                <w:bCs/>
                <w:kern w:val="0"/>
                <w:sz w:val="32"/>
                <w:szCs w:val="32"/>
                <w:lang w:bidi="ar"/>
              </w:rPr>
            </w:pPr>
            <w:r>
              <w:rPr>
                <w:rFonts w:hint="eastAsia" w:ascii="仿宋_GB2312" w:hAnsi="仿宋_GB2312" w:eastAsia="仿宋_GB2312" w:cs="仿宋_GB2312"/>
                <w:bCs/>
                <w:kern w:val="0"/>
                <w:sz w:val="32"/>
                <w:szCs w:val="32"/>
                <w:lang w:bidi="ar"/>
              </w:rPr>
              <w:t>6.千吨级泊位</w:t>
            </w:r>
          </w:p>
        </w:tc>
        <w:tc>
          <w:tcPr>
            <w:tcW w:w="1292"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个</w:t>
            </w:r>
          </w:p>
        </w:tc>
        <w:tc>
          <w:tcPr>
            <w:tcW w:w="683"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0</w:t>
            </w:r>
          </w:p>
        </w:tc>
        <w:tc>
          <w:tcPr>
            <w:tcW w:w="657"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33</w:t>
            </w:r>
          </w:p>
        </w:tc>
        <w:tc>
          <w:tcPr>
            <w:tcW w:w="727"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120</w:t>
            </w:r>
          </w:p>
        </w:tc>
      </w:tr>
      <w:tr>
        <w:tblPrEx>
          <w:tblCellMar>
            <w:top w:w="0" w:type="dxa"/>
            <w:left w:w="108" w:type="dxa"/>
            <w:bottom w:w="0" w:type="dxa"/>
            <w:right w:w="108" w:type="dxa"/>
          </w:tblCellMar>
        </w:tblPrEx>
        <w:trPr>
          <w:trHeight w:val="851" w:hRule="exact"/>
          <w:jc w:val="center"/>
        </w:trPr>
        <w:tc>
          <w:tcPr>
            <w:tcW w:w="1639" w:type="pct"/>
            <w:tcBorders>
              <w:top w:val="nil"/>
              <w:left w:val="single" w:color="auto" w:sz="4" w:space="0"/>
              <w:bottom w:val="single" w:color="auto" w:sz="4" w:space="0"/>
              <w:right w:val="single" w:color="auto" w:sz="4" w:space="0"/>
            </w:tcBorders>
            <w:shd w:val="clear" w:color="auto" w:fill="auto"/>
            <w:vAlign w:val="center"/>
          </w:tcPr>
          <w:p>
            <w:pPr>
              <w:widowControl w:val="0"/>
              <w:spacing w:line="300" w:lineRule="exact"/>
              <w:ind w:left="-140" w:leftChars="-50" w:right="-140" w:rightChars="-50" w:firstLine="160" w:firstLineChars="50"/>
              <w:textAlignment w:val="center"/>
              <w:rPr>
                <w:rFonts w:ascii="仿宋_GB2312" w:hAnsi="仿宋_GB2312" w:eastAsia="仿宋_GB2312" w:cs="仿宋_GB2312"/>
                <w:bCs/>
                <w:kern w:val="0"/>
                <w:sz w:val="32"/>
                <w:szCs w:val="32"/>
                <w:lang w:bidi="ar"/>
              </w:rPr>
            </w:pPr>
            <w:r>
              <w:rPr>
                <w:rFonts w:hint="eastAsia" w:ascii="仿宋_GB2312" w:hAnsi="仿宋_GB2312" w:eastAsia="仿宋_GB2312" w:cs="仿宋_GB2312"/>
                <w:bCs/>
                <w:kern w:val="0"/>
                <w:sz w:val="32"/>
                <w:szCs w:val="32"/>
                <w:lang w:bidi="ar"/>
              </w:rPr>
              <w:t>7.丹霞机场客运吞吐量</w:t>
            </w:r>
          </w:p>
        </w:tc>
        <w:tc>
          <w:tcPr>
            <w:tcW w:w="1292"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万人</w:t>
            </w:r>
          </w:p>
        </w:tc>
        <w:tc>
          <w:tcPr>
            <w:tcW w:w="683"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0</w:t>
            </w:r>
          </w:p>
        </w:tc>
        <w:tc>
          <w:tcPr>
            <w:tcW w:w="657"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20</w:t>
            </w:r>
          </w:p>
        </w:tc>
        <w:tc>
          <w:tcPr>
            <w:tcW w:w="727"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50</w:t>
            </w:r>
          </w:p>
        </w:tc>
      </w:tr>
      <w:tr>
        <w:tblPrEx>
          <w:tblCellMar>
            <w:top w:w="0" w:type="dxa"/>
            <w:left w:w="108" w:type="dxa"/>
            <w:bottom w:w="0" w:type="dxa"/>
            <w:right w:w="108" w:type="dxa"/>
          </w:tblCellMar>
        </w:tblPrEx>
        <w:trPr>
          <w:trHeight w:val="567" w:hRule="exact"/>
          <w:jc w:val="center"/>
        </w:trPr>
        <w:tc>
          <w:tcPr>
            <w:tcW w:w="1639" w:type="pct"/>
            <w:tcBorders>
              <w:top w:val="nil"/>
              <w:left w:val="single" w:color="auto" w:sz="4" w:space="0"/>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160" w:firstLineChars="50"/>
              <w:textAlignment w:val="center"/>
              <w:rPr>
                <w:rFonts w:ascii="仿宋_GB2312" w:hAnsi="仿宋_GB2312" w:eastAsia="仿宋_GB2312" w:cs="仿宋_GB2312"/>
                <w:bCs/>
                <w:kern w:val="0"/>
                <w:sz w:val="32"/>
                <w:szCs w:val="32"/>
                <w:lang w:bidi="ar"/>
              </w:rPr>
            </w:pPr>
            <w:r>
              <w:rPr>
                <w:rFonts w:hint="eastAsia" w:ascii="仿宋_GB2312" w:hAnsi="仿宋_GB2312" w:eastAsia="仿宋_GB2312" w:cs="仿宋_GB2312"/>
                <w:bCs/>
                <w:kern w:val="0"/>
                <w:sz w:val="32"/>
                <w:szCs w:val="32"/>
                <w:lang w:bidi="ar"/>
              </w:rPr>
              <w:t>8.通用机场数量</w:t>
            </w:r>
          </w:p>
        </w:tc>
        <w:tc>
          <w:tcPr>
            <w:tcW w:w="1292"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个</w:t>
            </w:r>
          </w:p>
        </w:tc>
        <w:tc>
          <w:tcPr>
            <w:tcW w:w="683"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0</w:t>
            </w:r>
          </w:p>
        </w:tc>
        <w:tc>
          <w:tcPr>
            <w:tcW w:w="657"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1</w:t>
            </w:r>
          </w:p>
        </w:tc>
        <w:tc>
          <w:tcPr>
            <w:tcW w:w="727"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3</w:t>
            </w:r>
          </w:p>
        </w:tc>
      </w:tr>
      <w:tr>
        <w:tblPrEx>
          <w:tblCellMar>
            <w:top w:w="0" w:type="dxa"/>
            <w:left w:w="108" w:type="dxa"/>
            <w:bottom w:w="0" w:type="dxa"/>
            <w:right w:w="108" w:type="dxa"/>
          </w:tblCellMar>
        </w:tblPrEx>
        <w:trPr>
          <w:trHeight w:val="567" w:hRule="exact"/>
          <w:jc w:val="center"/>
        </w:trPr>
        <w:tc>
          <w:tcPr>
            <w:tcW w:w="1639" w:type="pct"/>
            <w:tcBorders>
              <w:top w:val="nil"/>
              <w:left w:val="single" w:color="auto" w:sz="4" w:space="0"/>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160" w:firstLineChars="50"/>
              <w:textAlignment w:val="center"/>
              <w:rPr>
                <w:rFonts w:ascii="仿宋_GB2312" w:hAnsi="仿宋_GB2312" w:eastAsia="仿宋_GB2312" w:cs="仿宋_GB2312"/>
                <w:bCs/>
                <w:kern w:val="0"/>
                <w:sz w:val="32"/>
                <w:szCs w:val="32"/>
                <w:lang w:bidi="ar"/>
              </w:rPr>
            </w:pPr>
            <w:r>
              <w:rPr>
                <w:rFonts w:hint="eastAsia" w:ascii="仿宋_GB2312" w:hAnsi="仿宋_GB2312" w:eastAsia="仿宋_GB2312" w:cs="仿宋_GB2312"/>
                <w:bCs/>
                <w:kern w:val="0"/>
                <w:sz w:val="32"/>
                <w:szCs w:val="32"/>
                <w:lang w:bidi="ar"/>
              </w:rPr>
              <w:t>9.天然气管道</w:t>
            </w:r>
          </w:p>
        </w:tc>
        <w:tc>
          <w:tcPr>
            <w:tcW w:w="1292"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公里</w:t>
            </w:r>
          </w:p>
        </w:tc>
        <w:tc>
          <w:tcPr>
            <w:tcW w:w="683"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64.53　</w:t>
            </w:r>
          </w:p>
        </w:tc>
        <w:tc>
          <w:tcPr>
            <w:tcW w:w="657"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294　</w:t>
            </w:r>
          </w:p>
        </w:tc>
        <w:tc>
          <w:tcPr>
            <w:tcW w:w="727"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待定</w:t>
            </w:r>
          </w:p>
        </w:tc>
      </w:tr>
      <w:tr>
        <w:tblPrEx>
          <w:tblCellMar>
            <w:top w:w="0" w:type="dxa"/>
            <w:left w:w="108" w:type="dxa"/>
            <w:bottom w:w="0" w:type="dxa"/>
            <w:right w:w="108" w:type="dxa"/>
          </w:tblCellMar>
        </w:tblPrEx>
        <w:trPr>
          <w:trHeight w:val="567" w:hRule="exact"/>
          <w:jc w:val="center"/>
        </w:trPr>
        <w:tc>
          <w:tcPr>
            <w:tcW w:w="1639" w:type="pct"/>
            <w:tcBorders>
              <w:top w:val="nil"/>
              <w:left w:val="single" w:color="auto" w:sz="4" w:space="0"/>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160" w:firstLineChars="50"/>
              <w:textAlignment w:val="center"/>
              <w:rPr>
                <w:rFonts w:ascii="仿宋_GB2312" w:hAnsi="仿宋_GB2312" w:eastAsia="仿宋_GB2312" w:cs="仿宋_GB2312"/>
                <w:bCs/>
                <w:kern w:val="0"/>
                <w:sz w:val="32"/>
                <w:szCs w:val="32"/>
                <w:lang w:bidi="ar"/>
              </w:rPr>
            </w:pPr>
            <w:r>
              <w:rPr>
                <w:rFonts w:hint="eastAsia" w:ascii="仿宋_GB2312" w:hAnsi="仿宋_GB2312" w:eastAsia="仿宋_GB2312" w:cs="仿宋_GB2312"/>
                <w:bCs/>
                <w:kern w:val="0"/>
                <w:sz w:val="32"/>
                <w:szCs w:val="32"/>
                <w:lang w:bidi="ar"/>
              </w:rPr>
              <w:t>10.邮政快递业务量</w:t>
            </w:r>
          </w:p>
        </w:tc>
        <w:tc>
          <w:tcPr>
            <w:tcW w:w="1292"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亿件</w:t>
            </w:r>
          </w:p>
        </w:tc>
        <w:tc>
          <w:tcPr>
            <w:tcW w:w="683"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　0.47</w:t>
            </w:r>
          </w:p>
        </w:tc>
        <w:tc>
          <w:tcPr>
            <w:tcW w:w="657"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0.76　</w:t>
            </w:r>
          </w:p>
        </w:tc>
        <w:tc>
          <w:tcPr>
            <w:tcW w:w="727" w:type="pct"/>
            <w:tcBorders>
              <w:top w:val="nil"/>
              <w:left w:val="nil"/>
              <w:bottom w:val="single" w:color="auto" w:sz="4" w:space="0"/>
              <w:right w:val="single" w:color="auto" w:sz="4" w:space="0"/>
            </w:tcBorders>
            <w:shd w:val="clear" w:color="auto" w:fill="auto"/>
            <w:noWrap/>
            <w:vAlign w:val="center"/>
          </w:tcPr>
          <w:p>
            <w:pPr>
              <w:widowControl w:val="0"/>
              <w:spacing w:line="300" w:lineRule="exact"/>
              <w:ind w:left="-140" w:leftChars="-50" w:right="-140" w:rightChars="-50" w:firstLine="0" w:firstLineChars="0"/>
              <w:jc w:val="center"/>
              <w:textAlignment w:val="center"/>
              <w:rPr>
                <w:rFonts w:ascii="仿宋_GB2312" w:hAnsi="仿宋_GB2312" w:eastAsia="仿宋_GB2312" w:cs="仿宋_GB2312"/>
                <w:kern w:val="0"/>
                <w:sz w:val="32"/>
                <w:szCs w:val="32"/>
                <w:lang w:bidi="ar"/>
              </w:rPr>
            </w:pPr>
            <w:r>
              <w:rPr>
                <w:rFonts w:hint="eastAsia" w:ascii="仿宋_GB2312" w:hAnsi="仿宋_GB2312" w:eastAsia="仿宋_GB2312" w:cs="仿宋_GB2312"/>
                <w:kern w:val="0"/>
                <w:sz w:val="32"/>
                <w:szCs w:val="32"/>
                <w:lang w:bidi="ar"/>
              </w:rPr>
              <w:t>1.96　</w:t>
            </w:r>
          </w:p>
        </w:tc>
      </w:tr>
    </w:tbl>
    <w:p>
      <w:pPr>
        <w:widowControl w:val="0"/>
        <w:adjustRightInd w:val="0"/>
        <w:snapToGrid w:val="0"/>
        <w:spacing w:before="381" w:beforeLines="100" w:line="240" w:lineRule="auto"/>
        <w:ind w:firstLine="0" w:firstLineChars="0"/>
        <w:jc w:val="both"/>
        <w:outlineLvl w:val="0"/>
        <w:rPr>
          <w:rFonts w:hint="eastAsia" w:ascii="黑体" w:hAnsi="黑体" w:eastAsia="黑体" w:cs="黑体"/>
          <w:bCs/>
          <w:sz w:val="32"/>
          <w:szCs w:val="32"/>
        </w:rPr>
      </w:pPr>
    </w:p>
    <w:p>
      <w:pPr>
        <w:widowControl w:val="0"/>
        <w:adjustRightInd w:val="0"/>
        <w:snapToGrid w:val="0"/>
        <w:spacing w:before="381" w:beforeLines="100" w:line="240" w:lineRule="auto"/>
        <w:ind w:firstLine="0" w:firstLineChars="0"/>
        <w:jc w:val="both"/>
        <w:outlineLvl w:val="0"/>
        <w:rPr>
          <w:rFonts w:hint="eastAsia" w:ascii="黑体" w:hAnsi="黑体" w:eastAsia="黑体" w:cs="黑体"/>
          <w:bCs/>
          <w:sz w:val="32"/>
          <w:szCs w:val="32"/>
        </w:rPr>
      </w:pPr>
    </w:p>
    <w:p>
      <w:pPr>
        <w:widowControl w:val="0"/>
        <w:adjustRightInd w:val="0"/>
        <w:snapToGrid w:val="0"/>
        <w:spacing w:before="381" w:beforeLines="100" w:line="240" w:lineRule="auto"/>
        <w:ind w:firstLine="0" w:firstLineChars="0"/>
        <w:jc w:val="both"/>
        <w:rPr>
          <w:rFonts w:ascii="楷体" w:hAnsi="楷体" w:eastAsia="楷体" w:cs="华文中宋"/>
          <w:bCs/>
          <w:sz w:val="32"/>
          <w:szCs w:val="32"/>
        </w:rPr>
        <w:sectPr>
          <w:pgSz w:w="11906" w:h="16838"/>
          <w:pgMar w:top="1440" w:right="1800" w:bottom="1440" w:left="1800" w:header="851" w:footer="992" w:gutter="0"/>
          <w:pgNumType w:fmt="numberInDash"/>
          <w:cols w:space="720" w:num="1"/>
          <w:docGrid w:type="lines" w:linePitch="381" w:charSpace="0"/>
        </w:sectPr>
      </w:pPr>
    </w:p>
    <w:p>
      <w:pPr>
        <w:widowControl w:val="0"/>
        <w:adjustRightInd w:val="0"/>
        <w:snapToGrid w:val="0"/>
        <w:spacing w:line="240" w:lineRule="auto"/>
        <w:ind w:firstLine="0" w:firstLineChars="0"/>
        <w:jc w:val="both"/>
        <w:outlineLvl w:val="0"/>
        <w:rPr>
          <w:rFonts w:ascii="黑体" w:hAnsi="黑体" w:eastAsia="黑体" w:cs="黑体"/>
          <w:bCs/>
          <w:sz w:val="32"/>
          <w:szCs w:val="32"/>
        </w:rPr>
      </w:pPr>
      <w:bookmarkStart w:id="151" w:name="_Toc753"/>
      <w:r>
        <w:rPr>
          <w:rFonts w:ascii="楷体" w:hAnsi="楷体" w:eastAsia="楷体" w:cs="华文中宋"/>
          <w:bCs/>
          <w:sz w:val="32"/>
          <w:szCs w:val="32"/>
        </w:rPr>
        <w:drawing>
          <wp:anchor distT="0" distB="0" distL="0" distR="0" simplePos="0" relativeHeight="251659264" behindDoc="1" locked="0" layoutInCell="1" allowOverlap="0">
            <wp:simplePos x="0" y="0"/>
            <wp:positionH relativeFrom="column">
              <wp:posOffset>-158750</wp:posOffset>
            </wp:positionH>
            <wp:positionV relativeFrom="page">
              <wp:posOffset>944245</wp:posOffset>
            </wp:positionV>
            <wp:extent cx="14401165" cy="8634095"/>
            <wp:effectExtent l="0" t="0" r="635" b="52705"/>
            <wp:wrapThrough wrapText="bothSides">
              <wp:wrapPolygon>
                <wp:start x="0" y="0"/>
                <wp:lineTo x="0" y="21541"/>
                <wp:lineTo x="21572" y="21541"/>
                <wp:lineTo x="21572" y="0"/>
                <wp:lineTo x="0" y="0"/>
              </wp:wrapPolygon>
            </wp:wrapThrough>
            <wp:docPr id="1" name="图片 1" descr="H:\研究中心工作01\韶关综合立体交通网规划\韶关绘图\韶关JPG图件\韶关JPG图件2023.6.26\01韶关市综合运输通道示意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H:\研究中心工作01\韶关综合立体交通网规划\韶关绘图\韶关JPG图件\韶关JPG图件2023.6.26\01韶关市综合运输通道示意图.jpg"/>
                    <pic:cNvPicPr>
                      <a:picLocks noChangeAspect="1" noChangeArrowheads="1"/>
                    </pic:cNvPicPr>
                  </pic:nvPicPr>
                  <pic:blipFill>
                    <a:blip r:embed="rId17" cstate="print">
                      <a:extLst>
                        <a:ext uri="{28A0092B-C50C-407E-A947-70E740481C1C}">
                          <a14:useLocalDpi xmlns:a14="http://schemas.microsoft.com/office/drawing/2010/main" val="0"/>
                        </a:ext>
                      </a:extLst>
                    </a:blip>
                    <a:srcRect l="4309" t="1252" r="1655" b="608"/>
                    <a:stretch>
                      <a:fillRect/>
                    </a:stretch>
                  </pic:blipFill>
                  <pic:spPr>
                    <a:xfrm>
                      <a:off x="0" y="0"/>
                      <a:ext cx="14401165" cy="8634095"/>
                    </a:xfrm>
                    <a:prstGeom prst="rect">
                      <a:avLst/>
                    </a:prstGeom>
                    <a:noFill/>
                    <a:ln>
                      <a:noFill/>
                    </a:ln>
                  </pic:spPr>
                </pic:pic>
              </a:graphicData>
            </a:graphic>
          </wp:anchor>
        </w:drawing>
      </w:r>
      <w:r>
        <w:rPr>
          <w:rFonts w:hint="eastAsia" w:ascii="黑体" w:hAnsi="黑体" w:eastAsia="黑体" w:cs="黑体"/>
          <w:bCs/>
          <w:sz w:val="32"/>
          <w:szCs w:val="32"/>
        </w:rPr>
        <w:t>附图1                                                      韶关市对外运输通道分布图</w:t>
      </w:r>
      <w:bookmarkEnd w:id="151"/>
    </w:p>
    <w:p>
      <w:pPr>
        <w:widowControl w:val="0"/>
        <w:adjustRightInd w:val="0"/>
        <w:snapToGrid w:val="0"/>
        <w:spacing w:line="240" w:lineRule="auto"/>
        <w:ind w:firstLine="0" w:firstLineChars="0"/>
        <w:jc w:val="both"/>
        <w:outlineLvl w:val="0"/>
        <w:rPr>
          <w:rFonts w:ascii="黑体" w:hAnsi="黑体" w:eastAsia="黑体" w:cs="黑体"/>
          <w:bCs/>
          <w:sz w:val="32"/>
          <w:szCs w:val="32"/>
        </w:rPr>
      </w:pPr>
      <w:bookmarkStart w:id="152" w:name="_Toc28281"/>
      <w:r>
        <w:rPr>
          <w:rFonts w:hint="eastAsia" w:ascii="黑体" w:hAnsi="黑体" w:eastAsia="黑体" w:cs="黑体"/>
          <w:bCs/>
          <w:sz w:val="32"/>
          <w:szCs w:val="32"/>
        </w:rPr>
        <w:t>附图2                                                韶关市综合立体交通网布局总图</w:t>
      </w:r>
      <w:bookmarkEnd w:id="152"/>
    </w:p>
    <w:p>
      <w:pPr>
        <w:widowControl w:val="0"/>
        <w:adjustRightInd w:val="0"/>
        <w:snapToGrid w:val="0"/>
        <w:spacing w:line="240" w:lineRule="auto"/>
        <w:ind w:firstLine="0" w:firstLineChars="0"/>
        <w:jc w:val="both"/>
        <w:outlineLvl w:val="0"/>
        <w:rPr>
          <w:rFonts w:ascii="楷体" w:hAnsi="楷体" w:eastAsia="楷体" w:cs="华文中宋"/>
          <w:bCs/>
          <w:sz w:val="32"/>
          <w:szCs w:val="32"/>
        </w:rPr>
      </w:pPr>
    </w:p>
    <w:p>
      <w:pPr>
        <w:widowControl w:val="0"/>
        <w:adjustRightInd w:val="0"/>
        <w:snapToGrid w:val="0"/>
        <w:spacing w:line="240" w:lineRule="auto"/>
        <w:ind w:firstLine="0" w:firstLineChars="0"/>
        <w:jc w:val="both"/>
        <w:outlineLvl w:val="0"/>
        <w:rPr>
          <w:rFonts w:ascii="黑体" w:hAnsi="黑体" w:eastAsia="黑体" w:cs="黑体"/>
          <w:bCs/>
          <w:sz w:val="32"/>
          <w:szCs w:val="32"/>
        </w:rPr>
      </w:pPr>
      <w:bookmarkStart w:id="153" w:name="_Toc16214"/>
      <w:r>
        <w:rPr>
          <w:rFonts w:ascii="楷体" w:hAnsi="楷体" w:eastAsia="楷体" w:cs="华文中宋"/>
          <w:bCs/>
          <w:sz w:val="32"/>
          <w:szCs w:val="32"/>
        </w:rPr>
        <w:drawing>
          <wp:inline distT="0" distB="0" distL="0" distR="0">
            <wp:extent cx="14074140" cy="8427720"/>
            <wp:effectExtent l="0" t="0" r="3810" b="11430"/>
            <wp:docPr id="17" name="图片 17" descr="H:\研究中心工作01\韶关综合立体交通网规划\韶关绘图\韶关JPG图件\韶关JPG图件2023.6.27\02韶关市综合立体交通网布局总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H:\研究中心工作01\韶关综合立体交通网规划\韶关绘图\韶关JPG图件\韶关JPG图件2023.6.27\02韶关市综合立体交通网布局总图.jpg"/>
                    <pic:cNvPicPr>
                      <a:picLocks noChangeAspect="1" noChangeArrowheads="1"/>
                    </pic:cNvPicPr>
                  </pic:nvPicPr>
                  <pic:blipFill>
                    <a:blip r:embed="rId18" cstate="print">
                      <a:extLst>
                        <a:ext uri="{28A0092B-C50C-407E-A947-70E740481C1C}">
                          <a14:useLocalDpi xmlns:a14="http://schemas.microsoft.com/office/drawing/2010/main" val="0"/>
                        </a:ext>
                      </a:extLst>
                    </a:blip>
                    <a:srcRect l="4345" t="1628" r="1789"/>
                    <a:stretch>
                      <a:fillRect/>
                    </a:stretch>
                  </pic:blipFill>
                  <pic:spPr>
                    <a:xfrm>
                      <a:off x="0" y="0"/>
                      <a:ext cx="14074140" cy="8427720"/>
                    </a:xfrm>
                    <a:prstGeom prst="rect">
                      <a:avLst/>
                    </a:prstGeom>
                    <a:noFill/>
                    <a:ln>
                      <a:noFill/>
                    </a:ln>
                  </pic:spPr>
                </pic:pic>
              </a:graphicData>
            </a:graphic>
          </wp:inline>
        </w:drawing>
      </w:r>
      <w:bookmarkEnd w:id="153"/>
    </w:p>
    <w:p>
      <w:pPr>
        <w:widowControl w:val="0"/>
        <w:adjustRightInd w:val="0"/>
        <w:snapToGrid w:val="0"/>
        <w:spacing w:line="240" w:lineRule="auto"/>
        <w:ind w:firstLine="0" w:firstLineChars="0"/>
        <w:jc w:val="both"/>
        <w:outlineLvl w:val="0"/>
        <w:rPr>
          <w:rFonts w:ascii="黑体" w:hAnsi="黑体" w:eastAsia="黑体" w:cs="黑体"/>
          <w:bCs/>
          <w:sz w:val="32"/>
          <w:szCs w:val="32"/>
        </w:rPr>
      </w:pPr>
      <w:bookmarkStart w:id="154" w:name="_Toc13840"/>
      <w:r>
        <w:rPr>
          <w:rFonts w:ascii="楷体" w:hAnsi="楷体" w:eastAsia="楷体" w:cs="华文中宋"/>
          <w:bCs/>
          <w:sz w:val="32"/>
          <w:szCs w:val="32"/>
        </w:rPr>
        <w:drawing>
          <wp:anchor distT="0" distB="0" distL="0" distR="0" simplePos="0" relativeHeight="251660288" behindDoc="0" locked="0" layoutInCell="1" allowOverlap="1">
            <wp:simplePos x="0" y="0"/>
            <wp:positionH relativeFrom="column">
              <wp:posOffset>-77470</wp:posOffset>
            </wp:positionH>
            <wp:positionV relativeFrom="paragraph">
              <wp:posOffset>490220</wp:posOffset>
            </wp:positionV>
            <wp:extent cx="14333855" cy="8571230"/>
            <wp:effectExtent l="0" t="0" r="10795" b="1270"/>
            <wp:wrapSquare wrapText="bothSides"/>
            <wp:docPr id="3" name="图片 3" descr="H:\研究中心工作01\韶关综合立体交通网规划\韶关绘图\韶关JPG图件\韶关JPG图件2023.6.26\03韶关市轨道交通网布局示意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H:\研究中心工作01\韶关综合立体交通网规划\韶关绘图\韶关JPG图件\韶关JPG图件2023.6.26\03韶关市轨道交通网布局示意图.jpg"/>
                    <pic:cNvPicPr>
                      <a:picLocks noChangeAspect="1" noChangeArrowheads="1"/>
                    </pic:cNvPicPr>
                  </pic:nvPicPr>
                  <pic:blipFill>
                    <a:blip r:embed="rId19" cstate="print">
                      <a:extLst>
                        <a:ext uri="{28A0092B-C50C-407E-A947-70E740481C1C}">
                          <a14:useLocalDpi xmlns:a14="http://schemas.microsoft.com/office/drawing/2010/main" val="0"/>
                        </a:ext>
                      </a:extLst>
                    </a:blip>
                    <a:srcRect l="4388" t="1708" r="1864"/>
                    <a:stretch>
                      <a:fillRect/>
                    </a:stretch>
                  </pic:blipFill>
                  <pic:spPr>
                    <a:xfrm>
                      <a:off x="0" y="0"/>
                      <a:ext cx="14333855" cy="8571230"/>
                    </a:xfrm>
                    <a:prstGeom prst="rect">
                      <a:avLst/>
                    </a:prstGeom>
                    <a:noFill/>
                    <a:ln>
                      <a:noFill/>
                    </a:ln>
                  </pic:spPr>
                </pic:pic>
              </a:graphicData>
            </a:graphic>
          </wp:anchor>
        </w:drawing>
      </w:r>
      <w:r>
        <w:rPr>
          <w:rFonts w:hint="eastAsia" w:ascii="黑体" w:hAnsi="黑体" w:eastAsia="黑体" w:cs="黑体"/>
          <w:bCs/>
          <w:sz w:val="32"/>
          <w:szCs w:val="32"/>
        </w:rPr>
        <w:t>附图3                                                          韶关市轨道交通网布局示意图</w:t>
      </w:r>
      <w:bookmarkEnd w:id="154"/>
    </w:p>
    <w:p>
      <w:pPr>
        <w:widowControl w:val="0"/>
        <w:adjustRightInd w:val="0"/>
        <w:snapToGrid w:val="0"/>
        <w:spacing w:line="240" w:lineRule="auto"/>
        <w:ind w:firstLine="0" w:firstLineChars="0"/>
        <w:jc w:val="both"/>
        <w:outlineLvl w:val="0"/>
        <w:rPr>
          <w:rFonts w:ascii="黑体" w:hAnsi="黑体" w:eastAsia="黑体" w:cs="黑体"/>
          <w:bCs/>
          <w:sz w:val="32"/>
          <w:szCs w:val="32"/>
        </w:rPr>
      </w:pPr>
      <w:bookmarkStart w:id="155" w:name="_Toc27360"/>
      <w:r>
        <w:rPr>
          <w:rFonts w:hint="eastAsia" w:ascii="黑体" w:hAnsi="黑体" w:eastAsia="黑体" w:cs="黑体"/>
          <w:bCs/>
          <w:sz w:val="32"/>
          <w:szCs w:val="32"/>
        </w:rPr>
        <w:t>附图4                                                韶关市高速公路网布局示意图</w:t>
      </w:r>
      <w:bookmarkEnd w:id="155"/>
    </w:p>
    <w:p>
      <w:pPr>
        <w:widowControl w:val="0"/>
        <w:adjustRightInd w:val="0"/>
        <w:snapToGrid w:val="0"/>
        <w:spacing w:line="240" w:lineRule="auto"/>
        <w:ind w:firstLine="0" w:firstLineChars="0"/>
        <w:jc w:val="both"/>
        <w:outlineLvl w:val="0"/>
        <w:rPr>
          <w:rFonts w:ascii="黑体" w:hAnsi="黑体" w:eastAsia="黑体" w:cs="黑体"/>
          <w:bCs/>
          <w:sz w:val="32"/>
          <w:szCs w:val="32"/>
        </w:rPr>
      </w:pPr>
    </w:p>
    <w:p>
      <w:pPr>
        <w:widowControl w:val="0"/>
        <w:adjustRightInd w:val="0"/>
        <w:snapToGrid w:val="0"/>
        <w:spacing w:line="240" w:lineRule="auto"/>
        <w:ind w:firstLine="0" w:firstLineChars="0"/>
        <w:jc w:val="center"/>
        <w:rPr>
          <w:rFonts w:ascii="楷体" w:hAnsi="楷体" w:eastAsia="楷体" w:cs="华文中宋"/>
          <w:bCs/>
          <w:sz w:val="32"/>
          <w:szCs w:val="32"/>
        </w:rPr>
      </w:pPr>
      <w:r>
        <w:rPr>
          <w:rFonts w:ascii="楷体" w:hAnsi="楷体" w:eastAsia="楷体" w:cs="华文中宋"/>
          <w:bCs/>
          <w:sz w:val="32"/>
          <w:szCs w:val="32"/>
        </w:rPr>
        <w:drawing>
          <wp:inline distT="0" distB="0" distL="0" distR="0">
            <wp:extent cx="14089380" cy="8532495"/>
            <wp:effectExtent l="0" t="0" r="7620" b="1905"/>
            <wp:docPr id="18" name="图片 18" descr="H:\研究中心工作01\韶关综合立体交通网规划\韶关绘图\韶关JPG图件\韶关JPG图件2023.6.27\04韶关市高速公路网布局示意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H:\研究中心工作01\韶关综合立体交通网规划\韶关绘图\韶关JPG图件\韶关JPG图件2023.6.27\04韶关市高速公路网布局示意图.jpg"/>
                    <pic:cNvPicPr>
                      <a:picLocks noChangeAspect="1" noChangeArrowheads="1"/>
                    </pic:cNvPicPr>
                  </pic:nvPicPr>
                  <pic:blipFill>
                    <a:blip r:embed="rId20" cstate="print">
                      <a:extLst>
                        <a:ext uri="{28A0092B-C50C-407E-A947-70E740481C1C}">
                          <a14:useLocalDpi xmlns:a14="http://schemas.microsoft.com/office/drawing/2010/main" val="0"/>
                        </a:ext>
                      </a:extLst>
                    </a:blip>
                    <a:srcRect l="4473" t="1447" r="1789"/>
                    <a:stretch>
                      <a:fillRect/>
                    </a:stretch>
                  </pic:blipFill>
                  <pic:spPr>
                    <a:xfrm>
                      <a:off x="0" y="0"/>
                      <a:ext cx="14089380" cy="8532495"/>
                    </a:xfrm>
                    <a:prstGeom prst="rect">
                      <a:avLst/>
                    </a:prstGeom>
                    <a:noFill/>
                    <a:ln>
                      <a:noFill/>
                    </a:ln>
                  </pic:spPr>
                </pic:pic>
              </a:graphicData>
            </a:graphic>
          </wp:inline>
        </w:drawing>
      </w:r>
    </w:p>
    <w:p>
      <w:pPr>
        <w:widowControl w:val="0"/>
        <w:adjustRightInd w:val="0"/>
        <w:snapToGrid w:val="0"/>
        <w:spacing w:line="240" w:lineRule="auto"/>
        <w:ind w:firstLine="0" w:firstLineChars="0"/>
        <w:jc w:val="both"/>
        <w:outlineLvl w:val="0"/>
        <w:rPr>
          <w:rFonts w:ascii="黑体" w:hAnsi="黑体" w:eastAsia="黑体" w:cs="黑体"/>
          <w:bCs/>
          <w:sz w:val="32"/>
          <w:szCs w:val="32"/>
        </w:rPr>
      </w:pPr>
      <w:bookmarkStart w:id="156" w:name="_Toc17061"/>
      <w:r>
        <w:rPr>
          <w:rFonts w:hint="eastAsia" w:ascii="黑体" w:hAnsi="黑体" w:eastAsia="黑体" w:cs="黑体"/>
          <w:bCs/>
          <w:sz w:val="32"/>
          <w:szCs w:val="32"/>
        </w:rPr>
        <w:t>附图5                                                 韶关市城市快速路及主干路网布局示意图</w:t>
      </w:r>
      <w:bookmarkEnd w:id="156"/>
    </w:p>
    <w:p>
      <w:pPr>
        <w:widowControl w:val="0"/>
        <w:adjustRightInd w:val="0"/>
        <w:snapToGrid w:val="0"/>
        <w:spacing w:line="240" w:lineRule="auto"/>
        <w:ind w:firstLine="0" w:firstLineChars="0"/>
        <w:jc w:val="center"/>
        <w:rPr>
          <w:rFonts w:ascii="楷体" w:hAnsi="楷体" w:eastAsia="楷体" w:cs="华文中宋"/>
          <w:bCs/>
          <w:sz w:val="32"/>
          <w:szCs w:val="32"/>
        </w:rPr>
      </w:pPr>
    </w:p>
    <w:p>
      <w:pPr>
        <w:widowControl w:val="0"/>
        <w:adjustRightInd w:val="0"/>
        <w:snapToGrid w:val="0"/>
        <w:spacing w:line="240" w:lineRule="auto"/>
        <w:ind w:firstLine="0" w:firstLineChars="0"/>
        <w:jc w:val="center"/>
        <w:rPr>
          <w:rFonts w:ascii="楷体" w:hAnsi="楷体" w:eastAsia="楷体" w:cs="华文中宋"/>
          <w:bCs/>
          <w:sz w:val="32"/>
          <w:szCs w:val="32"/>
        </w:rPr>
      </w:pPr>
      <w:r>
        <w:rPr>
          <w:rFonts w:ascii="楷体" w:hAnsi="楷体" w:eastAsia="楷体" w:cs="华文中宋"/>
          <w:bCs/>
          <w:sz w:val="32"/>
          <w:szCs w:val="32"/>
        </w:rPr>
        <w:drawing>
          <wp:inline distT="0" distB="0" distL="0" distR="0">
            <wp:extent cx="14305915" cy="8559165"/>
            <wp:effectExtent l="0" t="0" r="635" b="13335"/>
            <wp:docPr id="5" name="图片 5" descr="H:\研究中心工作01\韶关综合立体交通网规划\韶关绘图\韶关JPG图件\韶关JPG图件2023.6.26\05韶关市城市快速路及主干路网布局示意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H:\研究中心工作01\韶关综合立体交通网规划\韶关绘图\韶关JPG图件\韶关JPG图件2023.6.26\05韶关市城市快速路及主干路网布局示意图.jpg"/>
                    <pic:cNvPicPr>
                      <a:picLocks noChangeAspect="1" noChangeArrowheads="1"/>
                    </pic:cNvPicPr>
                  </pic:nvPicPr>
                  <pic:blipFill>
                    <a:blip r:embed="rId21" cstate="print">
                      <a:extLst>
                        <a:ext uri="{28A0092B-C50C-407E-A947-70E740481C1C}">
                          <a14:useLocalDpi xmlns:a14="http://schemas.microsoft.com/office/drawing/2010/main" val="0"/>
                        </a:ext>
                      </a:extLst>
                    </a:blip>
                    <a:srcRect l="4501" t="1556" r="1864"/>
                    <a:stretch>
                      <a:fillRect/>
                    </a:stretch>
                  </pic:blipFill>
                  <pic:spPr>
                    <a:xfrm>
                      <a:off x="0" y="0"/>
                      <a:ext cx="14305915" cy="8559165"/>
                    </a:xfrm>
                    <a:prstGeom prst="rect">
                      <a:avLst/>
                    </a:prstGeom>
                    <a:noFill/>
                    <a:ln>
                      <a:noFill/>
                    </a:ln>
                  </pic:spPr>
                </pic:pic>
              </a:graphicData>
            </a:graphic>
          </wp:inline>
        </w:drawing>
      </w:r>
    </w:p>
    <w:p>
      <w:pPr>
        <w:widowControl w:val="0"/>
        <w:adjustRightInd w:val="0"/>
        <w:snapToGrid w:val="0"/>
        <w:spacing w:line="240" w:lineRule="auto"/>
        <w:ind w:firstLine="0" w:firstLineChars="0"/>
        <w:jc w:val="both"/>
        <w:outlineLvl w:val="0"/>
        <w:rPr>
          <w:rFonts w:ascii="黑体" w:hAnsi="黑体" w:eastAsia="黑体" w:cs="黑体"/>
          <w:bCs/>
          <w:sz w:val="32"/>
          <w:szCs w:val="32"/>
        </w:rPr>
      </w:pPr>
      <w:bookmarkStart w:id="157" w:name="_Toc21802"/>
      <w:r>
        <w:rPr>
          <w:rFonts w:hint="eastAsia" w:ascii="黑体" w:hAnsi="黑体" w:eastAsia="黑体" w:cs="黑体"/>
          <w:bCs/>
          <w:sz w:val="32"/>
          <w:szCs w:val="32"/>
        </w:rPr>
        <w:t>附图6                                                   韶关市普通国省干线主骨架布局示意图</w:t>
      </w:r>
      <w:bookmarkEnd w:id="157"/>
    </w:p>
    <w:p>
      <w:pPr>
        <w:widowControl w:val="0"/>
        <w:adjustRightInd w:val="0"/>
        <w:snapToGrid w:val="0"/>
        <w:spacing w:line="240" w:lineRule="auto"/>
        <w:ind w:firstLine="0" w:firstLineChars="0"/>
        <w:jc w:val="center"/>
        <w:rPr>
          <w:rFonts w:ascii="楷体" w:hAnsi="楷体" w:eastAsia="楷体" w:cs="华文中宋"/>
          <w:bCs/>
          <w:sz w:val="32"/>
          <w:szCs w:val="32"/>
        </w:rPr>
      </w:pPr>
    </w:p>
    <w:p>
      <w:pPr>
        <w:widowControl w:val="0"/>
        <w:adjustRightInd w:val="0"/>
        <w:snapToGrid w:val="0"/>
        <w:spacing w:line="240" w:lineRule="auto"/>
        <w:ind w:firstLine="0" w:firstLineChars="0"/>
        <w:jc w:val="center"/>
        <w:rPr>
          <w:rFonts w:ascii="楷体" w:hAnsi="楷体" w:eastAsia="楷体" w:cs="华文中宋"/>
          <w:bCs/>
          <w:sz w:val="32"/>
          <w:szCs w:val="32"/>
        </w:rPr>
      </w:pPr>
      <w:r>
        <w:rPr>
          <w:rFonts w:ascii="楷体" w:hAnsi="楷体" w:eastAsia="楷体" w:cs="华文中宋"/>
          <w:bCs/>
          <w:sz w:val="32"/>
          <w:szCs w:val="32"/>
        </w:rPr>
        <w:drawing>
          <wp:inline distT="0" distB="0" distL="0" distR="0">
            <wp:extent cx="14183995" cy="8422005"/>
            <wp:effectExtent l="0" t="0" r="8255" b="17145"/>
            <wp:docPr id="6" name="图片 6" descr="H:\研究中心工作01\韶关综合立体交通网规划\韶关绘图\韶关JPG图件\韶关JPG图件2023.6.26\06韶关市普通国省干线网布局示意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H:\研究中心工作01\韶关综合立体交通网规划\韶关绘图\韶关JPG图件\韶关JPG图件2023.6.26\06韶关市普通国省干线网布局示意图.jpg"/>
                    <pic:cNvPicPr>
                      <a:picLocks noChangeAspect="1" noChangeArrowheads="1"/>
                    </pic:cNvPicPr>
                  </pic:nvPicPr>
                  <pic:blipFill>
                    <a:blip r:embed="rId22" cstate="print">
                      <a:extLst>
                        <a:ext uri="{28A0092B-C50C-407E-A947-70E740481C1C}">
                          <a14:useLocalDpi xmlns:a14="http://schemas.microsoft.com/office/drawing/2010/main" val="0"/>
                        </a:ext>
                      </a:extLst>
                    </a:blip>
                    <a:srcRect l="4388" t="1548" r="1864"/>
                    <a:stretch>
                      <a:fillRect/>
                    </a:stretch>
                  </pic:blipFill>
                  <pic:spPr>
                    <a:xfrm>
                      <a:off x="0" y="0"/>
                      <a:ext cx="14183995" cy="8422005"/>
                    </a:xfrm>
                    <a:prstGeom prst="rect">
                      <a:avLst/>
                    </a:prstGeom>
                    <a:noFill/>
                    <a:ln>
                      <a:noFill/>
                    </a:ln>
                  </pic:spPr>
                </pic:pic>
              </a:graphicData>
            </a:graphic>
          </wp:inline>
        </w:drawing>
      </w:r>
    </w:p>
    <w:p>
      <w:pPr>
        <w:widowControl w:val="0"/>
        <w:adjustRightInd w:val="0"/>
        <w:snapToGrid w:val="0"/>
        <w:spacing w:line="240" w:lineRule="auto"/>
        <w:ind w:firstLine="0" w:firstLineChars="0"/>
        <w:jc w:val="both"/>
        <w:outlineLvl w:val="0"/>
        <w:rPr>
          <w:rFonts w:ascii="楷体" w:hAnsi="楷体" w:eastAsia="楷体" w:cs="华文中宋"/>
          <w:bCs/>
          <w:sz w:val="32"/>
          <w:szCs w:val="32"/>
        </w:rPr>
      </w:pPr>
      <w:bookmarkStart w:id="158" w:name="_Toc6866"/>
      <w:r>
        <w:rPr>
          <w:rFonts w:hint="eastAsia" w:ascii="黑体" w:hAnsi="黑体" w:eastAsia="黑体" w:cs="黑体"/>
          <w:bCs/>
          <w:sz w:val="32"/>
          <w:szCs w:val="32"/>
        </w:rPr>
        <w:t>附图7                                                    韶关市特色旅游公路布局示意图</w:t>
      </w:r>
      <w:bookmarkEnd w:id="158"/>
    </w:p>
    <w:p>
      <w:pPr>
        <w:widowControl w:val="0"/>
        <w:adjustRightInd w:val="0"/>
        <w:snapToGrid w:val="0"/>
        <w:spacing w:line="240" w:lineRule="auto"/>
        <w:ind w:firstLine="0" w:firstLineChars="0"/>
        <w:jc w:val="center"/>
        <w:rPr>
          <w:rFonts w:ascii="楷体" w:hAnsi="楷体" w:eastAsia="楷体" w:cs="华文中宋"/>
          <w:bCs/>
          <w:sz w:val="32"/>
          <w:szCs w:val="32"/>
        </w:rPr>
      </w:pPr>
    </w:p>
    <w:p>
      <w:pPr>
        <w:widowControl w:val="0"/>
        <w:adjustRightInd w:val="0"/>
        <w:snapToGrid w:val="0"/>
        <w:spacing w:line="240" w:lineRule="auto"/>
        <w:ind w:firstLine="0" w:firstLineChars="0"/>
        <w:jc w:val="center"/>
        <w:rPr>
          <w:rFonts w:ascii="楷体" w:hAnsi="楷体" w:eastAsia="楷体" w:cs="华文中宋"/>
          <w:bCs/>
          <w:sz w:val="32"/>
          <w:szCs w:val="32"/>
        </w:rPr>
      </w:pPr>
      <w:r>
        <w:rPr>
          <w:rFonts w:ascii="楷体" w:hAnsi="楷体" w:eastAsia="楷体" w:cs="华文中宋"/>
          <w:bCs/>
          <w:sz w:val="32"/>
          <w:szCs w:val="32"/>
        </w:rPr>
        <w:drawing>
          <wp:inline distT="0" distB="0" distL="0" distR="0">
            <wp:extent cx="14196695" cy="8382635"/>
            <wp:effectExtent l="0" t="0" r="14605" b="18415"/>
            <wp:docPr id="7" name="图片 7" descr="H:\研究中心工作01\韶关综合立体交通网规划\韶关绘图\韶关JPG图件\韶关JPG图件2023.6.26\07韶关市特色旅游公路布局示意图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H:\研究中心工作01\韶关综合立体交通网规划\韶关绘图\韶关JPG图件\韶关JPG图件2023.6.26\07韶关市特色旅游公路布局示意图新.jpg"/>
                    <pic:cNvPicPr>
                      <a:picLocks noChangeAspect="1" noChangeArrowheads="1"/>
                    </pic:cNvPicPr>
                  </pic:nvPicPr>
                  <pic:blipFill>
                    <a:blip r:embed="rId23" cstate="print">
                      <a:extLst>
                        <a:ext uri="{28A0092B-C50C-407E-A947-70E740481C1C}">
                          <a14:useLocalDpi xmlns:a14="http://schemas.microsoft.com/office/drawing/2010/main" val="0"/>
                        </a:ext>
                      </a:extLst>
                    </a:blip>
                    <a:srcRect l="4388" t="1548" r="1864"/>
                    <a:stretch>
                      <a:fillRect/>
                    </a:stretch>
                  </pic:blipFill>
                  <pic:spPr>
                    <a:xfrm>
                      <a:off x="0" y="0"/>
                      <a:ext cx="14196695" cy="8382635"/>
                    </a:xfrm>
                    <a:prstGeom prst="rect">
                      <a:avLst/>
                    </a:prstGeom>
                    <a:noFill/>
                    <a:ln>
                      <a:noFill/>
                    </a:ln>
                  </pic:spPr>
                </pic:pic>
              </a:graphicData>
            </a:graphic>
          </wp:inline>
        </w:drawing>
      </w:r>
    </w:p>
    <w:p>
      <w:pPr>
        <w:widowControl w:val="0"/>
        <w:adjustRightInd w:val="0"/>
        <w:snapToGrid w:val="0"/>
        <w:spacing w:line="240" w:lineRule="auto"/>
        <w:ind w:firstLine="0" w:firstLineChars="0"/>
        <w:jc w:val="both"/>
        <w:outlineLvl w:val="0"/>
        <w:rPr>
          <w:rFonts w:ascii="黑体" w:hAnsi="黑体" w:eastAsia="黑体" w:cs="黑体"/>
          <w:bCs/>
          <w:sz w:val="32"/>
          <w:szCs w:val="32"/>
        </w:rPr>
      </w:pPr>
      <w:bookmarkStart w:id="159" w:name="_Toc12836"/>
      <w:r>
        <w:rPr>
          <w:rFonts w:hint="eastAsia" w:ascii="黑体" w:hAnsi="黑体" w:eastAsia="黑体" w:cs="黑体"/>
          <w:bCs/>
          <w:sz w:val="32"/>
          <w:szCs w:val="32"/>
        </w:rPr>
        <w:t>附图8                                                       韶关市民用机场布局示意图</w:t>
      </w:r>
      <w:bookmarkEnd w:id="159"/>
    </w:p>
    <w:p>
      <w:pPr>
        <w:widowControl w:val="0"/>
        <w:adjustRightInd w:val="0"/>
        <w:snapToGrid w:val="0"/>
        <w:spacing w:line="240" w:lineRule="auto"/>
        <w:ind w:firstLine="0" w:firstLineChars="0"/>
        <w:jc w:val="center"/>
        <w:rPr>
          <w:rFonts w:ascii="楷体" w:hAnsi="楷体" w:eastAsia="楷体" w:cs="华文中宋"/>
          <w:bCs/>
          <w:sz w:val="32"/>
          <w:szCs w:val="32"/>
        </w:rPr>
      </w:pPr>
      <w:r>
        <w:rPr>
          <w:rFonts w:ascii="楷体" w:hAnsi="楷体" w:eastAsia="楷体" w:cs="华文中宋"/>
          <w:bCs/>
          <w:sz w:val="32"/>
          <w:szCs w:val="32"/>
        </w:rPr>
        <w:drawing>
          <wp:inline distT="0" distB="0" distL="0" distR="0">
            <wp:extent cx="14207490" cy="8609965"/>
            <wp:effectExtent l="0" t="0" r="3810" b="635"/>
            <wp:docPr id="22" name="图片 22" descr="H:\研究中心工作01\韶关综合立体交通网规划\韶关绘图\韶关JPG图件\韶关JPG图件2023.6.27\08韶关市民用机场布局示意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H:\研究中心工作01\韶关综合立体交通网规划\韶关绘图\韶关JPG图件\韶关JPG图件2023.6.27\08韶关市民用机场布局示意图.jpg"/>
                    <pic:cNvPicPr>
                      <a:picLocks noChangeAspect="1" noChangeArrowheads="1"/>
                    </pic:cNvPicPr>
                  </pic:nvPicPr>
                  <pic:blipFill>
                    <a:blip r:embed="rId24" cstate="print">
                      <a:extLst>
                        <a:ext uri="{28A0092B-C50C-407E-A947-70E740481C1C}">
                          <a14:useLocalDpi xmlns:a14="http://schemas.microsoft.com/office/drawing/2010/main" val="0"/>
                        </a:ext>
                      </a:extLst>
                    </a:blip>
                    <a:srcRect l="4508" t="1896" r="1917"/>
                    <a:stretch>
                      <a:fillRect/>
                    </a:stretch>
                  </pic:blipFill>
                  <pic:spPr>
                    <a:xfrm>
                      <a:off x="0" y="0"/>
                      <a:ext cx="14207490" cy="8609965"/>
                    </a:xfrm>
                    <a:prstGeom prst="rect">
                      <a:avLst/>
                    </a:prstGeom>
                    <a:noFill/>
                    <a:ln>
                      <a:noFill/>
                    </a:ln>
                  </pic:spPr>
                </pic:pic>
              </a:graphicData>
            </a:graphic>
          </wp:inline>
        </w:drawing>
      </w:r>
    </w:p>
    <w:p>
      <w:pPr>
        <w:widowControl w:val="0"/>
        <w:adjustRightInd w:val="0"/>
        <w:snapToGrid w:val="0"/>
        <w:spacing w:line="240" w:lineRule="auto"/>
        <w:ind w:firstLine="0" w:firstLineChars="0"/>
        <w:jc w:val="both"/>
        <w:outlineLvl w:val="0"/>
        <w:rPr>
          <w:rFonts w:ascii="黑体" w:hAnsi="黑体" w:eastAsia="黑体" w:cs="黑体"/>
          <w:bCs/>
          <w:sz w:val="32"/>
          <w:szCs w:val="32"/>
        </w:rPr>
      </w:pPr>
      <w:bookmarkStart w:id="160" w:name="_Toc21375"/>
      <w:r>
        <w:rPr>
          <w:rFonts w:hint="eastAsia" w:ascii="黑体" w:hAnsi="黑体" w:eastAsia="黑体" w:cs="黑体"/>
          <w:bCs/>
          <w:sz w:val="32"/>
          <w:szCs w:val="32"/>
        </w:rPr>
        <w:t>附图9                                                  韶关市港口及内河航道布局示意图</w:t>
      </w:r>
      <w:bookmarkEnd w:id="160"/>
    </w:p>
    <w:p>
      <w:pPr>
        <w:widowControl w:val="0"/>
        <w:adjustRightInd w:val="0"/>
        <w:snapToGrid w:val="0"/>
        <w:spacing w:line="240" w:lineRule="auto"/>
        <w:ind w:firstLine="0" w:firstLineChars="0"/>
        <w:jc w:val="center"/>
        <w:rPr>
          <w:rFonts w:ascii="楷体" w:hAnsi="楷体" w:eastAsia="楷体" w:cs="华文中宋"/>
          <w:bCs/>
          <w:sz w:val="32"/>
          <w:szCs w:val="32"/>
        </w:rPr>
      </w:pPr>
      <w:r>
        <w:rPr>
          <w:rFonts w:ascii="楷体" w:hAnsi="楷体" w:eastAsia="楷体" w:cs="华文中宋"/>
          <w:bCs/>
          <w:sz w:val="32"/>
          <w:szCs w:val="32"/>
        </w:rPr>
        <w:drawing>
          <wp:inline distT="0" distB="0" distL="0" distR="0">
            <wp:extent cx="14087475" cy="8622030"/>
            <wp:effectExtent l="0" t="0" r="9525" b="7620"/>
            <wp:docPr id="23" name="图片 23" descr="H:\研究中心工作01\韶关综合立体交通网规划\韶关绘图\韶关JPG图件\韶关JPG图件2023.6.27\09韶关市港口及内河航道布局示意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H:\研究中心工作01\韶关综合立体交通网规划\韶关绘图\韶关JPG图件\韶关JPG图件2023.6.27\09韶关市港口及内河航道布局示意图.jpg"/>
                    <pic:cNvPicPr>
                      <a:picLocks noChangeAspect="1" noChangeArrowheads="1"/>
                    </pic:cNvPicPr>
                  </pic:nvPicPr>
                  <pic:blipFill>
                    <a:blip r:embed="rId25" cstate="print">
                      <a:extLst>
                        <a:ext uri="{28A0092B-C50C-407E-A947-70E740481C1C}">
                          <a14:useLocalDpi xmlns:a14="http://schemas.microsoft.com/office/drawing/2010/main" val="0"/>
                        </a:ext>
                      </a:extLst>
                    </a:blip>
                    <a:srcRect l="4600" t="1758" r="1917"/>
                    <a:stretch>
                      <a:fillRect/>
                    </a:stretch>
                  </pic:blipFill>
                  <pic:spPr>
                    <a:xfrm>
                      <a:off x="0" y="0"/>
                      <a:ext cx="14087475" cy="8622030"/>
                    </a:xfrm>
                    <a:prstGeom prst="rect">
                      <a:avLst/>
                    </a:prstGeom>
                    <a:noFill/>
                    <a:ln>
                      <a:noFill/>
                    </a:ln>
                  </pic:spPr>
                </pic:pic>
              </a:graphicData>
            </a:graphic>
          </wp:inline>
        </w:drawing>
      </w:r>
    </w:p>
    <w:p>
      <w:pPr>
        <w:widowControl w:val="0"/>
        <w:adjustRightInd w:val="0"/>
        <w:snapToGrid w:val="0"/>
        <w:spacing w:line="240" w:lineRule="auto"/>
        <w:ind w:firstLine="0" w:firstLineChars="0"/>
        <w:jc w:val="both"/>
        <w:outlineLvl w:val="0"/>
        <w:rPr>
          <w:rFonts w:ascii="黑体" w:hAnsi="黑体" w:eastAsia="黑体" w:cs="黑体"/>
          <w:bCs/>
          <w:sz w:val="32"/>
          <w:szCs w:val="32"/>
        </w:rPr>
      </w:pPr>
      <w:bookmarkStart w:id="161" w:name="_Toc6379"/>
      <w:r>
        <w:rPr>
          <w:rFonts w:hint="eastAsia" w:ascii="黑体" w:hAnsi="黑体" w:eastAsia="黑体" w:cs="黑体"/>
          <w:bCs/>
          <w:sz w:val="32"/>
          <w:szCs w:val="32"/>
        </w:rPr>
        <w:t>附图10                                                      韶关市油气管道布局示意图</w:t>
      </w:r>
      <w:bookmarkEnd w:id="161"/>
    </w:p>
    <w:p>
      <w:pPr>
        <w:widowControl w:val="0"/>
        <w:adjustRightInd w:val="0"/>
        <w:snapToGrid w:val="0"/>
        <w:spacing w:line="240" w:lineRule="auto"/>
        <w:ind w:firstLine="0" w:firstLineChars="0"/>
        <w:jc w:val="center"/>
        <w:rPr>
          <w:rFonts w:ascii="楷体" w:hAnsi="楷体" w:eastAsia="楷体" w:cs="华文中宋"/>
          <w:bCs/>
          <w:sz w:val="32"/>
          <w:szCs w:val="32"/>
        </w:rPr>
      </w:pPr>
    </w:p>
    <w:p>
      <w:pPr>
        <w:widowControl w:val="0"/>
        <w:adjustRightInd w:val="0"/>
        <w:snapToGrid w:val="0"/>
        <w:spacing w:line="240" w:lineRule="auto"/>
        <w:ind w:firstLine="0" w:firstLineChars="0"/>
        <w:jc w:val="center"/>
        <w:rPr>
          <w:rFonts w:ascii="楷体" w:hAnsi="楷体" w:eastAsia="楷体" w:cs="华文中宋"/>
          <w:bCs/>
          <w:sz w:val="32"/>
          <w:szCs w:val="32"/>
        </w:rPr>
      </w:pPr>
      <w:r>
        <w:rPr>
          <w:rFonts w:ascii="楷体" w:hAnsi="楷体" w:eastAsia="楷体" w:cs="华文中宋"/>
          <w:bCs/>
          <w:sz w:val="32"/>
          <w:szCs w:val="32"/>
        </w:rPr>
        <w:drawing>
          <wp:inline distT="0" distB="0" distL="0" distR="0">
            <wp:extent cx="13939520" cy="8490585"/>
            <wp:effectExtent l="0" t="0" r="5080" b="5715"/>
            <wp:docPr id="11" name="图片 11" descr="H:\研究中心工作01\韶关综合立体交通网规划\韶关绘图\韶关JPG图件\韶关JPG图件2023.6.26\10韶关市油气管道布局示意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H:\研究中心工作01\韶关综合立体交通网规划\韶关绘图\韶关JPG图件\韶关JPG图件2023.6.26\10韶关市油气管道布局示意图.jpg"/>
                    <pic:cNvPicPr>
                      <a:picLocks noChangeAspect="1" noChangeArrowheads="1"/>
                    </pic:cNvPicPr>
                  </pic:nvPicPr>
                  <pic:blipFill>
                    <a:blip r:embed="rId26" cstate="print">
                      <a:extLst>
                        <a:ext uri="{28A0092B-C50C-407E-A947-70E740481C1C}">
                          <a14:useLocalDpi xmlns:a14="http://schemas.microsoft.com/office/drawing/2010/main" val="0"/>
                        </a:ext>
                      </a:extLst>
                    </a:blip>
                    <a:srcRect l="4388" t="1867" r="1976"/>
                    <a:stretch>
                      <a:fillRect/>
                    </a:stretch>
                  </pic:blipFill>
                  <pic:spPr>
                    <a:xfrm>
                      <a:off x="0" y="0"/>
                      <a:ext cx="13939520" cy="8490585"/>
                    </a:xfrm>
                    <a:prstGeom prst="rect">
                      <a:avLst/>
                    </a:prstGeom>
                    <a:noFill/>
                    <a:ln>
                      <a:noFill/>
                    </a:ln>
                  </pic:spPr>
                </pic:pic>
              </a:graphicData>
            </a:graphic>
          </wp:inline>
        </w:drawing>
      </w:r>
    </w:p>
    <w:p>
      <w:pPr>
        <w:widowControl w:val="0"/>
        <w:adjustRightInd w:val="0"/>
        <w:snapToGrid w:val="0"/>
        <w:spacing w:line="240" w:lineRule="auto"/>
        <w:ind w:firstLine="0" w:firstLineChars="0"/>
        <w:jc w:val="both"/>
        <w:outlineLvl w:val="0"/>
        <w:rPr>
          <w:rFonts w:ascii="黑体" w:hAnsi="黑体" w:eastAsia="黑体" w:cs="黑体"/>
          <w:bCs/>
          <w:sz w:val="32"/>
          <w:szCs w:val="32"/>
        </w:rPr>
      </w:pPr>
      <w:bookmarkStart w:id="162" w:name="_Toc28130"/>
      <w:r>
        <w:rPr>
          <w:rFonts w:hint="eastAsia" w:ascii="黑体" w:hAnsi="黑体" w:eastAsia="黑体" w:cs="黑体"/>
          <w:bCs/>
          <w:sz w:val="32"/>
          <w:szCs w:val="32"/>
        </w:rPr>
        <w:t>附图11                                                     韶关市综合客运枢纽布局示意图</w:t>
      </w:r>
      <w:bookmarkEnd w:id="162"/>
    </w:p>
    <w:p>
      <w:pPr>
        <w:widowControl w:val="0"/>
        <w:adjustRightInd w:val="0"/>
        <w:snapToGrid w:val="0"/>
        <w:spacing w:line="240" w:lineRule="auto"/>
        <w:ind w:firstLine="0" w:firstLineChars="0"/>
        <w:jc w:val="center"/>
        <w:rPr>
          <w:rFonts w:ascii="楷体" w:hAnsi="楷体" w:eastAsia="楷体" w:cs="华文中宋"/>
          <w:bCs/>
          <w:sz w:val="32"/>
          <w:szCs w:val="32"/>
        </w:rPr>
      </w:pPr>
      <w:r>
        <w:rPr>
          <w:rFonts w:ascii="楷体" w:hAnsi="楷体" w:eastAsia="楷体" w:cs="华文中宋"/>
          <w:bCs/>
          <w:sz w:val="32"/>
          <w:szCs w:val="32"/>
        </w:rPr>
        <w:drawing>
          <wp:inline distT="0" distB="0" distL="0" distR="0">
            <wp:extent cx="14195425" cy="8621395"/>
            <wp:effectExtent l="0" t="0" r="15875" b="8255"/>
            <wp:docPr id="25" name="图片 25" descr="H:\研究中心工作01\韶关综合立体交通网规划\韶关绘图\韶关JPG图件\韶关JPG图件2023.6.27\11韶关市综合客运枢纽布局示意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H:\研究中心工作01\韶关综合立体交通网规划\韶关绘图\韶关JPG图件\韶关JPG图件2023.6.27\11韶关市综合客运枢纽布局示意图.jpg"/>
                    <pic:cNvPicPr>
                      <a:picLocks noChangeAspect="1" noChangeArrowheads="1"/>
                    </pic:cNvPicPr>
                  </pic:nvPicPr>
                  <pic:blipFill>
                    <a:blip r:embed="rId27" cstate="print">
                      <a:extLst>
                        <a:ext uri="{28A0092B-C50C-407E-A947-70E740481C1C}">
                          <a14:useLocalDpi xmlns:a14="http://schemas.microsoft.com/office/drawing/2010/main" val="0"/>
                        </a:ext>
                      </a:extLst>
                    </a:blip>
                    <a:srcRect l="4406" t="1765" r="1917"/>
                    <a:stretch>
                      <a:fillRect/>
                    </a:stretch>
                  </pic:blipFill>
                  <pic:spPr>
                    <a:xfrm>
                      <a:off x="0" y="0"/>
                      <a:ext cx="14195425" cy="8621395"/>
                    </a:xfrm>
                    <a:prstGeom prst="rect">
                      <a:avLst/>
                    </a:prstGeom>
                    <a:noFill/>
                    <a:ln>
                      <a:noFill/>
                    </a:ln>
                  </pic:spPr>
                </pic:pic>
              </a:graphicData>
            </a:graphic>
          </wp:inline>
        </w:drawing>
      </w:r>
    </w:p>
    <w:p>
      <w:pPr>
        <w:widowControl w:val="0"/>
        <w:adjustRightInd w:val="0"/>
        <w:snapToGrid w:val="0"/>
        <w:spacing w:line="240" w:lineRule="auto"/>
        <w:ind w:firstLine="0" w:firstLineChars="0"/>
        <w:jc w:val="both"/>
        <w:outlineLvl w:val="0"/>
        <w:rPr>
          <w:rFonts w:ascii="黑体" w:hAnsi="黑体" w:eastAsia="黑体" w:cs="黑体"/>
          <w:bCs/>
          <w:sz w:val="32"/>
          <w:szCs w:val="32"/>
        </w:rPr>
      </w:pPr>
      <w:bookmarkStart w:id="163" w:name="_Toc23103"/>
      <w:r>
        <w:rPr>
          <w:rFonts w:hint="eastAsia" w:ascii="黑体" w:hAnsi="黑体" w:eastAsia="黑体" w:cs="黑体"/>
          <w:bCs/>
          <w:sz w:val="32"/>
          <w:szCs w:val="32"/>
        </w:rPr>
        <w:t>附图12                                                    韶关市综合货运枢纽布局示意图</w:t>
      </w:r>
      <w:bookmarkEnd w:id="163"/>
    </w:p>
    <w:p>
      <w:pPr>
        <w:widowControl w:val="0"/>
        <w:adjustRightInd w:val="0"/>
        <w:snapToGrid w:val="0"/>
        <w:spacing w:line="240" w:lineRule="auto"/>
        <w:ind w:firstLine="0" w:firstLineChars="0"/>
        <w:jc w:val="center"/>
        <w:rPr>
          <w:rFonts w:ascii="楷体" w:hAnsi="楷体" w:eastAsia="楷体" w:cs="华文中宋"/>
          <w:bCs/>
          <w:sz w:val="32"/>
          <w:szCs w:val="32"/>
        </w:rPr>
      </w:pPr>
      <w:r>
        <w:rPr>
          <w:rFonts w:ascii="楷体" w:hAnsi="楷体" w:eastAsia="楷体" w:cs="华文中宋"/>
          <w:bCs/>
          <w:sz w:val="32"/>
          <w:szCs w:val="32"/>
        </w:rPr>
        <w:drawing>
          <wp:inline distT="0" distB="0" distL="0" distR="0">
            <wp:extent cx="14303375" cy="8621395"/>
            <wp:effectExtent l="0" t="0" r="3175" b="8255"/>
            <wp:docPr id="26" name="图片 26" descr="H:\研究中心工作01\韶关综合立体交通网规划\韶关绘图\韶关JPG图件\韶关JPG图件2023.6.27\12韶关市综合货运枢纽布局示意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H:\研究中心工作01\韶关综合立体交通网规划\韶关绘图\韶关JPG图件\韶关JPG图件2023.6.27\12韶关市综合货运枢纽布局示意图.jpg"/>
                    <pic:cNvPicPr>
                      <a:picLocks noChangeAspect="1" noChangeArrowheads="1"/>
                    </pic:cNvPicPr>
                  </pic:nvPicPr>
                  <pic:blipFill>
                    <a:blip r:embed="rId28" cstate="print">
                      <a:extLst>
                        <a:ext uri="{28A0092B-C50C-407E-A947-70E740481C1C}">
                          <a14:useLocalDpi xmlns:a14="http://schemas.microsoft.com/office/drawing/2010/main" val="0"/>
                        </a:ext>
                      </a:extLst>
                    </a:blip>
                    <a:srcRect l="4406" t="1765" r="2014"/>
                    <a:stretch>
                      <a:fillRect/>
                    </a:stretch>
                  </pic:blipFill>
                  <pic:spPr>
                    <a:xfrm>
                      <a:off x="0" y="0"/>
                      <a:ext cx="14303375" cy="8621395"/>
                    </a:xfrm>
                    <a:prstGeom prst="rect">
                      <a:avLst/>
                    </a:prstGeom>
                    <a:noFill/>
                    <a:ln>
                      <a:noFill/>
                    </a:ln>
                  </pic:spPr>
                </pic:pic>
              </a:graphicData>
            </a:graphic>
          </wp:inline>
        </w:drawing>
      </w:r>
    </w:p>
    <w:p>
      <w:pPr>
        <w:widowControl w:val="0"/>
        <w:adjustRightInd w:val="0"/>
        <w:snapToGrid w:val="0"/>
        <w:spacing w:line="240" w:lineRule="auto"/>
        <w:ind w:firstLine="0" w:firstLineChars="0"/>
        <w:jc w:val="both"/>
        <w:outlineLvl w:val="0"/>
        <w:rPr>
          <w:rFonts w:ascii="黑体" w:hAnsi="黑体" w:eastAsia="黑体" w:cs="黑体"/>
          <w:bCs/>
          <w:sz w:val="32"/>
          <w:szCs w:val="32"/>
        </w:rPr>
      </w:pPr>
      <w:bookmarkStart w:id="164" w:name="_Toc657"/>
      <w:r>
        <w:rPr>
          <w:rFonts w:hint="eastAsia" w:ascii="黑体" w:hAnsi="黑体" w:eastAsia="黑体" w:cs="黑体"/>
          <w:bCs/>
          <w:sz w:val="32"/>
          <w:szCs w:val="32"/>
        </w:rPr>
        <w:t>附图13                                              韶关市综合立体交通布局与产业衔接示意图</w:t>
      </w:r>
      <w:bookmarkEnd w:id="164"/>
    </w:p>
    <w:p>
      <w:pPr>
        <w:widowControl w:val="0"/>
        <w:adjustRightInd w:val="0"/>
        <w:snapToGrid w:val="0"/>
        <w:spacing w:line="240" w:lineRule="auto"/>
        <w:ind w:firstLine="0" w:firstLineChars="0"/>
        <w:jc w:val="center"/>
        <w:rPr>
          <w:rFonts w:ascii="楷体" w:hAnsi="楷体" w:eastAsia="楷体" w:cs="华文中宋"/>
          <w:bCs/>
          <w:sz w:val="32"/>
          <w:szCs w:val="32"/>
        </w:rPr>
      </w:pPr>
    </w:p>
    <w:p>
      <w:pPr>
        <w:widowControl w:val="0"/>
        <w:adjustRightInd w:val="0"/>
        <w:snapToGrid w:val="0"/>
        <w:spacing w:line="240" w:lineRule="auto"/>
        <w:ind w:firstLine="0" w:firstLineChars="0"/>
        <w:jc w:val="center"/>
        <w:rPr>
          <w:rFonts w:ascii="楷体" w:hAnsi="楷体" w:eastAsia="楷体" w:cs="华文中宋"/>
          <w:bCs/>
          <w:sz w:val="32"/>
          <w:szCs w:val="32"/>
        </w:rPr>
      </w:pPr>
      <w:r>
        <w:rPr>
          <w:rFonts w:ascii="楷体" w:hAnsi="楷体" w:eastAsia="楷体" w:cs="华文中宋"/>
          <w:bCs/>
          <w:sz w:val="32"/>
          <w:szCs w:val="32"/>
        </w:rPr>
        <w:drawing>
          <wp:inline distT="0" distB="0" distL="0" distR="0">
            <wp:extent cx="14264640" cy="8475980"/>
            <wp:effectExtent l="0" t="0" r="3810" b="1270"/>
            <wp:docPr id="14" name="图片 14" descr="H:\研究中心工作01\韶关综合立体交通网规划\韶关绘图\韶关JPG图件\韶关JPG图件2023.6.26\13韶关市综合立体交通布局与产业衔接示意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H:\研究中心工作01\韶关综合立体交通网规划\韶关绘图\韶关JPG图件\韶关JPG图件2023.6.26\13韶关市综合立体交通布局与产业衔接示意图.jpg"/>
                    <pic:cNvPicPr>
                      <a:picLocks noChangeAspect="1" noChangeArrowheads="1"/>
                    </pic:cNvPicPr>
                  </pic:nvPicPr>
                  <pic:blipFill>
                    <a:blip r:embed="rId29" cstate="print">
                      <a:extLst>
                        <a:ext uri="{28A0092B-C50C-407E-A947-70E740481C1C}">
                          <a14:useLocalDpi xmlns:a14="http://schemas.microsoft.com/office/drawing/2010/main" val="0"/>
                        </a:ext>
                      </a:extLst>
                    </a:blip>
                    <a:srcRect l="4388" t="1396" r="1864"/>
                    <a:stretch>
                      <a:fillRect/>
                    </a:stretch>
                  </pic:blipFill>
                  <pic:spPr>
                    <a:xfrm>
                      <a:off x="0" y="0"/>
                      <a:ext cx="14264640" cy="8475980"/>
                    </a:xfrm>
                    <a:prstGeom prst="rect">
                      <a:avLst/>
                    </a:prstGeom>
                    <a:noFill/>
                    <a:ln>
                      <a:noFill/>
                    </a:ln>
                  </pic:spPr>
                </pic:pic>
              </a:graphicData>
            </a:graphic>
          </wp:inline>
        </w:drawing>
      </w:r>
    </w:p>
    <w:p>
      <w:pPr>
        <w:widowControl w:val="0"/>
        <w:adjustRightInd w:val="0"/>
        <w:snapToGrid w:val="0"/>
        <w:spacing w:line="240" w:lineRule="auto"/>
        <w:ind w:firstLine="0" w:firstLineChars="0"/>
        <w:jc w:val="both"/>
        <w:outlineLvl w:val="0"/>
        <w:rPr>
          <w:rFonts w:ascii="楷体" w:hAnsi="楷体" w:eastAsia="楷体" w:cs="华文中宋"/>
          <w:bCs/>
          <w:sz w:val="32"/>
          <w:szCs w:val="32"/>
        </w:rPr>
      </w:pPr>
      <w:bookmarkStart w:id="165" w:name="_Toc29645"/>
      <w:r>
        <w:rPr>
          <w:rFonts w:hint="eastAsia" w:ascii="黑体" w:hAnsi="黑体" w:eastAsia="黑体" w:cs="黑体"/>
          <w:bCs/>
          <w:sz w:val="32"/>
          <w:szCs w:val="32"/>
        </w:rPr>
        <w:t>附图14                                              韶关市与粤港澳大湾区轨道交通衔接示意图</w:t>
      </w:r>
      <w:bookmarkEnd w:id="165"/>
    </w:p>
    <w:p>
      <w:pPr>
        <w:widowControl w:val="0"/>
        <w:adjustRightInd w:val="0"/>
        <w:snapToGrid w:val="0"/>
        <w:spacing w:line="240" w:lineRule="auto"/>
        <w:ind w:firstLine="0" w:firstLineChars="0"/>
        <w:jc w:val="center"/>
        <w:rPr>
          <w:rFonts w:ascii="楷体" w:hAnsi="楷体" w:eastAsia="楷体" w:cs="华文中宋"/>
          <w:bCs/>
          <w:sz w:val="32"/>
          <w:szCs w:val="32"/>
        </w:rPr>
      </w:pPr>
    </w:p>
    <w:p>
      <w:pPr>
        <w:widowControl w:val="0"/>
        <w:adjustRightInd w:val="0"/>
        <w:snapToGrid w:val="0"/>
        <w:spacing w:line="240" w:lineRule="auto"/>
        <w:ind w:firstLine="0" w:firstLineChars="0"/>
        <w:jc w:val="center"/>
        <w:rPr>
          <w:rFonts w:ascii="楷体" w:hAnsi="楷体" w:eastAsia="楷体" w:cs="华文中宋"/>
          <w:bCs/>
          <w:sz w:val="32"/>
          <w:szCs w:val="32"/>
        </w:rPr>
      </w:pPr>
      <w:r>
        <w:rPr>
          <w:rFonts w:ascii="楷体" w:hAnsi="楷体" w:eastAsia="楷体" w:cs="华文中宋"/>
          <w:bCs/>
          <w:sz w:val="32"/>
          <w:szCs w:val="32"/>
        </w:rPr>
        <w:drawing>
          <wp:inline distT="0" distB="0" distL="0" distR="0">
            <wp:extent cx="14237970" cy="8394700"/>
            <wp:effectExtent l="0" t="0" r="11430" b="6350"/>
            <wp:docPr id="15" name="图片 15" descr="H:\研究中心工作01\韶关综合立体交通网规划\韶关绘图\韶关JPG图件\韶关JPG图件2023.6.26\14韶关市与粤港澳大湾区轨道交通衔接示意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H:\研究中心工作01\韶关综合立体交通网规划\韶关绘图\韶关JPG图件\韶关JPG图件2023.6.26\14韶关市与粤港澳大湾区轨道交通衔接示意图.jpg"/>
                    <pic:cNvPicPr>
                      <a:picLocks noChangeAspect="1" noChangeArrowheads="1"/>
                    </pic:cNvPicPr>
                  </pic:nvPicPr>
                  <pic:blipFill>
                    <a:blip r:embed="rId30" cstate="print">
                      <a:extLst>
                        <a:ext uri="{28A0092B-C50C-407E-A947-70E740481C1C}">
                          <a14:useLocalDpi xmlns:a14="http://schemas.microsoft.com/office/drawing/2010/main" val="0"/>
                        </a:ext>
                      </a:extLst>
                    </a:blip>
                    <a:srcRect l="4501" t="1548" r="1864"/>
                    <a:stretch>
                      <a:fillRect/>
                    </a:stretch>
                  </pic:blipFill>
                  <pic:spPr>
                    <a:xfrm>
                      <a:off x="0" y="0"/>
                      <a:ext cx="14237970" cy="8394700"/>
                    </a:xfrm>
                    <a:prstGeom prst="rect">
                      <a:avLst/>
                    </a:prstGeom>
                    <a:noFill/>
                    <a:ln>
                      <a:noFill/>
                    </a:ln>
                  </pic:spPr>
                </pic:pic>
              </a:graphicData>
            </a:graphic>
          </wp:inline>
        </w:drawing>
      </w:r>
    </w:p>
    <w:p>
      <w:pPr>
        <w:widowControl w:val="0"/>
        <w:adjustRightInd w:val="0"/>
        <w:snapToGrid w:val="0"/>
        <w:spacing w:line="240" w:lineRule="auto"/>
        <w:ind w:firstLine="0" w:firstLineChars="0"/>
        <w:jc w:val="both"/>
        <w:outlineLvl w:val="0"/>
        <w:rPr>
          <w:rFonts w:ascii="黑体" w:hAnsi="黑体" w:eastAsia="黑体" w:cs="黑体"/>
          <w:bCs/>
          <w:sz w:val="32"/>
          <w:szCs w:val="32"/>
        </w:rPr>
      </w:pPr>
      <w:bookmarkStart w:id="166" w:name="_Toc2610"/>
      <w:r>
        <w:rPr>
          <w:rFonts w:hint="eastAsia" w:ascii="黑体" w:hAnsi="黑体" w:eastAsia="黑体" w:cs="黑体"/>
          <w:bCs/>
          <w:sz w:val="32"/>
          <w:szCs w:val="32"/>
        </w:rPr>
        <w:t>附图15                                              韶关市与粤港澳大湾区高速公路衔接示意图</w:t>
      </w:r>
      <w:bookmarkEnd w:id="166"/>
    </w:p>
    <w:p>
      <w:pPr>
        <w:widowControl w:val="0"/>
        <w:adjustRightInd w:val="0"/>
        <w:snapToGrid w:val="0"/>
        <w:spacing w:line="240" w:lineRule="auto"/>
        <w:ind w:firstLine="0" w:firstLineChars="0"/>
        <w:jc w:val="center"/>
        <w:rPr>
          <w:rFonts w:ascii="楷体" w:hAnsi="楷体" w:eastAsia="楷体" w:cs="华文中宋"/>
          <w:bCs/>
          <w:sz w:val="32"/>
          <w:szCs w:val="32"/>
        </w:rPr>
      </w:pPr>
      <w:r>
        <w:rPr>
          <w:rFonts w:ascii="楷体" w:hAnsi="楷体" w:eastAsia="楷体" w:cs="华文中宋"/>
          <w:bCs/>
          <w:sz w:val="32"/>
          <w:szCs w:val="32"/>
        </w:rPr>
        <w:drawing>
          <wp:inline distT="0" distB="0" distL="0" distR="0">
            <wp:extent cx="14184630" cy="8621395"/>
            <wp:effectExtent l="0" t="0" r="7620" b="8255"/>
            <wp:docPr id="29" name="图片 29" descr="H:\研究中心工作01\韶关综合立体交通网规划\韶关绘图\韶关JPG图件\韶关JPG图件2023.6.27\15韶关市与粤港澳大湾区高速公路衔接示意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H:\研究中心工作01\韶关综合立体交通网规划\韶关绘图\韶关JPG图件\韶关JPG图件2023.6.27\15韶关市与粤港澳大湾区高速公路衔接示意图.jpg"/>
                    <pic:cNvPicPr>
                      <a:picLocks noChangeAspect="1" noChangeArrowheads="1"/>
                    </pic:cNvPicPr>
                  </pic:nvPicPr>
                  <pic:blipFill>
                    <a:blip r:embed="rId31" cstate="print">
                      <a:extLst>
                        <a:ext uri="{28A0092B-C50C-407E-A947-70E740481C1C}">
                          <a14:useLocalDpi xmlns:a14="http://schemas.microsoft.com/office/drawing/2010/main" val="0"/>
                        </a:ext>
                      </a:extLst>
                    </a:blip>
                    <a:srcRect l="4503" t="1765" r="1917"/>
                    <a:stretch>
                      <a:fillRect/>
                    </a:stretch>
                  </pic:blipFill>
                  <pic:spPr>
                    <a:xfrm>
                      <a:off x="0" y="0"/>
                      <a:ext cx="14184630" cy="8621395"/>
                    </a:xfrm>
                    <a:prstGeom prst="rect">
                      <a:avLst/>
                    </a:prstGeom>
                    <a:noFill/>
                    <a:ln>
                      <a:noFill/>
                    </a:ln>
                  </pic:spPr>
                </pic:pic>
              </a:graphicData>
            </a:graphic>
          </wp:inline>
        </w:drawing>
      </w:r>
    </w:p>
    <w:sectPr>
      <w:pgSz w:w="23811" w:h="16838" w:orient="landscape"/>
      <w:pgMar w:top="720" w:right="720" w:bottom="720" w:left="720" w:header="851" w:footer="992" w:gutter="0"/>
      <w:pgNumType w:fmt="numberInDash"/>
      <w:cols w:space="720" w:num="1"/>
      <w:docGrid w:type="lines" w:linePitch="381"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560"/>
      </w:pPr>
      <w:r>
        <w:separator/>
      </w:r>
    </w:p>
  </w:endnote>
  <w:endnote w:type="continuationSeparator" w:id="1">
    <w:p>
      <w:pPr>
        <w:spacing w:line="240" w:lineRule="auto"/>
        <w:ind w:firstLine="56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
    <w:panose1 w:val="02010609060101010101"/>
    <w:charset w:val="86"/>
    <w:family w:val="modern"/>
    <w:pitch w:val="default"/>
    <w:sig w:usb0="800002BF" w:usb1="38CF7CFA" w:usb2="00000016" w:usb3="00000000" w:csb0="00040001" w:csb1="00000000"/>
  </w:font>
  <w:font w:name="等线 Light">
    <w:altName w:val="宋体"/>
    <w:panose1 w:val="02010600030101010101"/>
    <w:charset w:val="86"/>
    <w:family w:val="auto"/>
    <w:pitch w:val="default"/>
    <w:sig w:usb0="00000000" w:usb1="00000000" w:usb2="00000016" w:usb3="00000000" w:csb0="0004000F" w:csb1="00000000"/>
  </w:font>
  <w:font w:name="Cambria">
    <w:panose1 w:val="02040503050406030204"/>
    <w:charset w:val="00"/>
    <w:family w:val="roman"/>
    <w:pitch w:val="default"/>
    <w:sig w:usb0="E00002FF" w:usb1="400004FF" w:usb2="00000000" w:usb3="00000000" w:csb0="2000019F" w:csb1="00000000"/>
  </w:font>
  <w:font w:name="楷体">
    <w:panose1 w:val="02010609060101010101"/>
    <w:charset w:val="86"/>
    <w:family w:val="modern"/>
    <w:pitch w:val="default"/>
    <w:sig w:usb0="800002BF" w:usb1="38CF7CFA" w:usb2="00000016" w:usb3="00000000" w:csb0="00040001" w:csb1="00000000"/>
  </w:font>
  <w:font w:name="等线">
    <w:altName w:val="微软雅黑"/>
    <w:panose1 w:val="02010600030101010101"/>
    <w:charset w:val="86"/>
    <w:family w:val="auto"/>
    <w:pitch w:val="default"/>
    <w:sig w:usb0="00000000" w:usb1="00000000" w:usb2="00000016" w:usb3="00000000" w:csb0="0004000F" w:csb1="00000000"/>
  </w:font>
  <w:font w:name="微软雅黑">
    <w:panose1 w:val="020B0503020204020204"/>
    <w:charset w:val="86"/>
    <w:family w:val="auto"/>
    <w:pitch w:val="default"/>
    <w:sig w:usb0="80000287" w:usb1="280F3C52" w:usb2="00000016" w:usb3="00000000" w:csb0="0004001F" w:csb1="00000000"/>
  </w:font>
  <w:font w:name="方正仿宋简体">
    <w:altName w:val="微软雅黑"/>
    <w:panose1 w:val="00000000000000000000"/>
    <w:charset w:val="86"/>
    <w:family w:val="script"/>
    <w:pitch w:val="default"/>
    <w:sig w:usb0="00000000" w:usb1="00000000" w:usb2="00000010" w:usb3="00000000" w:csb0="00040000" w:csb1="00000000"/>
  </w:font>
  <w:font w:name="仿宋_GB2312">
    <w:panose1 w:val="02010609030101010101"/>
    <w:charset w:val="86"/>
    <w:family w:val="auto"/>
    <w:pitch w:val="default"/>
    <w:sig w:usb0="00000001" w:usb1="080E0000" w:usb2="00000000" w:usb3="00000000" w:csb0="00040000" w:csb1="00000000"/>
  </w:font>
  <w:font w:name="华文中宋">
    <w:altName w:val="宋体"/>
    <w:panose1 w:val="02010600040101010101"/>
    <w:charset w:val="86"/>
    <w:family w:val="auto"/>
    <w:pitch w:val="default"/>
    <w:sig w:usb0="00000000" w:usb1="00000000" w:usb2="00000010" w:usb3="00000000" w:csb0="0004009F" w:csb1="00000000"/>
  </w:font>
  <w:font w:name="方正小标宋简体">
    <w:panose1 w:val="03000509000000000000"/>
    <w:charset w:val="86"/>
    <w:family w:val="auto"/>
    <w:pitch w:val="default"/>
    <w:sig w:usb0="00000001" w:usb1="080E0000" w:usb2="00000000" w:usb3="00000000" w:csb0="00040000" w:csb1="00000000"/>
  </w:font>
  <w:font w:name="隶书">
    <w:altName w:val="微软雅黑"/>
    <w:panose1 w:val="02010509060101010101"/>
    <w:charset w:val="86"/>
    <w:family w:val="modern"/>
    <w:pitch w:val="default"/>
    <w:sig w:usb0="00000000" w:usb1="00000000" w:usb2="00000010" w:usb3="00000000" w:csb0="00040000" w:csb1="00000000"/>
  </w:font>
  <w:font w:name="方正黑体_GBK">
    <w:altName w:val="微软雅黑"/>
    <w:panose1 w:val="00000000000000000000"/>
    <w:charset w:val="86"/>
    <w:family w:val="script"/>
    <w:pitch w:val="default"/>
    <w:sig w:usb0="00000000" w:usb1="00000000" w:usb2="0000001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ind w:firstLine="360"/>
      <w:jc w:val="center"/>
    </w:pPr>
    <w:r>
      <w:rPr>
        <w:rFonts w:hint="eastAsia"/>
      </w:rPr>
      <w:t>1</w:t>
    </w:r>
  </w:p>
  <w:p>
    <w:pPr>
      <w:pStyle w:val="17"/>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ind w:firstLine="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spacing w:line="240" w:lineRule="auto"/>
      <w:ind w:firstLine="0" w:firstLineChars="0"/>
      <w:rPr>
        <w:rFonts w:ascii="仿宋" w:hAnsi="仿宋"/>
        <w:sz w:val="28"/>
        <w:szCs w:val="28"/>
      </w:rPr>
    </w:pPr>
    <w:r>
      <w:rPr>
        <w:rFonts w:ascii="仿宋" w:hAnsi="仿宋"/>
        <w:sz w:val="28"/>
        <w:szCs w:val="28"/>
      </w:rPr>
      <w:fldChar w:fldCharType="begin"/>
    </w:r>
    <w:r>
      <w:rPr>
        <w:rFonts w:ascii="仿宋" w:hAnsi="仿宋"/>
        <w:sz w:val="28"/>
        <w:szCs w:val="28"/>
      </w:rPr>
      <w:instrText xml:space="preserve"> PAGE   \* MERGEFORMAT </w:instrText>
    </w:r>
    <w:r>
      <w:rPr>
        <w:rFonts w:ascii="仿宋" w:hAnsi="仿宋"/>
        <w:sz w:val="28"/>
        <w:szCs w:val="28"/>
      </w:rPr>
      <w:fldChar w:fldCharType="separate"/>
    </w:r>
    <w:r>
      <w:rPr>
        <w:rFonts w:ascii="仿宋" w:hAnsi="仿宋"/>
        <w:sz w:val="28"/>
        <w:szCs w:val="28"/>
        <w:lang w:val="zh-CN"/>
      </w:rPr>
      <w:t>-</w:t>
    </w:r>
    <w:r>
      <w:rPr>
        <w:rFonts w:ascii="仿宋" w:hAnsi="仿宋"/>
        <w:sz w:val="28"/>
        <w:szCs w:val="28"/>
      </w:rPr>
      <w:t xml:space="preserve"> 45 -</w:t>
    </w:r>
    <w:r>
      <w:rPr>
        <w:rFonts w:ascii="仿宋" w:hAnsi="仿宋"/>
        <w:sz w:val="28"/>
        <w:szCs w:val="28"/>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rPr>
        <w:sz w:val="28"/>
        <w:szCs w:val="28"/>
      </w:rPr>
      <w:id w:val="1981889869"/>
    </w:sdtPr>
    <w:sdtEndPr>
      <w:rPr>
        <w:rFonts w:ascii="仿宋" w:hAnsi="仿宋"/>
        <w:sz w:val="28"/>
        <w:szCs w:val="28"/>
      </w:rPr>
    </w:sdtEndPr>
    <w:sdtContent>
      <w:p>
        <w:pPr>
          <w:pStyle w:val="17"/>
          <w:spacing w:line="240" w:lineRule="auto"/>
          <w:ind w:firstLine="0" w:firstLineChars="0"/>
          <w:jc w:val="right"/>
          <w:rPr>
            <w:rFonts w:ascii="仿宋" w:hAnsi="仿宋"/>
            <w:sz w:val="28"/>
            <w:szCs w:val="28"/>
          </w:rPr>
        </w:pPr>
        <w:r>
          <w:rPr>
            <w:rFonts w:ascii="仿宋" w:hAnsi="仿宋"/>
            <w:sz w:val="28"/>
            <w:szCs w:val="28"/>
          </w:rPr>
          <w:fldChar w:fldCharType="begin"/>
        </w:r>
        <w:r>
          <w:rPr>
            <w:rFonts w:ascii="仿宋" w:hAnsi="仿宋"/>
            <w:sz w:val="28"/>
            <w:szCs w:val="28"/>
          </w:rPr>
          <w:instrText xml:space="preserve">PAGE   \* MERGEFORMAT</w:instrText>
        </w:r>
        <w:r>
          <w:rPr>
            <w:rFonts w:ascii="仿宋" w:hAnsi="仿宋"/>
            <w:sz w:val="28"/>
            <w:szCs w:val="28"/>
          </w:rPr>
          <w:fldChar w:fldCharType="separate"/>
        </w:r>
        <w:r>
          <w:rPr>
            <w:rFonts w:ascii="仿宋" w:hAnsi="仿宋"/>
            <w:sz w:val="28"/>
            <w:szCs w:val="28"/>
            <w:lang w:val="zh-CN"/>
          </w:rPr>
          <w:t>-</w:t>
        </w:r>
        <w:r>
          <w:rPr>
            <w:rFonts w:ascii="仿宋" w:hAnsi="仿宋"/>
            <w:sz w:val="28"/>
            <w:szCs w:val="28"/>
          </w:rPr>
          <w:t xml:space="preserve"> 44 -</w:t>
        </w:r>
        <w:r>
          <w:rPr>
            <w:rFonts w:ascii="仿宋" w:hAnsi="仿宋"/>
            <w:sz w:val="28"/>
            <w:szCs w:val="28"/>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ind w:firstLine="560"/>
      </w:pPr>
      <w:r>
        <w:separator/>
      </w:r>
    </w:p>
  </w:footnote>
  <w:footnote w:type="continuationSeparator" w:id="1">
    <w:p>
      <w:pPr>
        <w:spacing w:line="240" w:lineRule="auto"/>
        <w:ind w:firstLine="56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Bdr>
        <w:bottom w:val="single" w:color="auto" w:sz="4" w:space="1"/>
      </w:pBdr>
      <w:ind w:firstLine="360"/>
      <w:jc w:val="right"/>
      <w:rPr>
        <w:rFonts w:ascii="黑体" w:hAnsi="黑体" w:eastAsia="黑体"/>
      </w:rPr>
    </w:pPr>
    <w:r>
      <w:rPr>
        <w:rFonts w:hint="eastAsia" w:ascii="黑体" w:hAnsi="黑体" w:eastAsia="黑体"/>
      </w:rPr>
      <w:t>茂名市综合交通运输体系“十四五”规划</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ind w:firstLine="0" w:firstLineChars="0"/>
      <w:jc w:val="lef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ind w:firstLine="0" w:firstLineChars="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ind w:firstLine="0" w:firstLineChars="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33F6107A"/>
    <w:multiLevelType w:val="multilevel"/>
    <w:tmpl w:val="33F6107A"/>
    <w:lvl w:ilvl="0" w:tentative="0">
      <w:start w:val="1"/>
      <w:numFmt w:val="decimal"/>
      <w:pStyle w:val="2"/>
      <w:suff w:val="space"/>
      <w:lvlText w:val="第%1章"/>
      <w:lvlJc w:val="left"/>
      <w:pPr>
        <w:ind w:left="0" w:firstLine="0"/>
      </w:pPr>
      <w:rPr>
        <w:rFonts w:hint="eastAsia"/>
      </w:rPr>
    </w:lvl>
    <w:lvl w:ilvl="1" w:tentative="0">
      <w:start w:val="1"/>
      <w:numFmt w:val="decimal"/>
      <w:pStyle w:val="143"/>
      <w:suff w:val="space"/>
      <w:lvlText w:val="%1.%2"/>
      <w:lvlJc w:val="left"/>
      <w:pPr>
        <w:ind w:left="0" w:firstLine="0"/>
      </w:pPr>
      <w:rPr>
        <w:rFonts w:hint="eastAsia"/>
      </w:rPr>
    </w:lvl>
    <w:lvl w:ilvl="2" w:tentative="0">
      <w:start w:val="1"/>
      <w:numFmt w:val="decimal"/>
      <w:pStyle w:val="144"/>
      <w:suff w:val="space"/>
      <w:lvlText w:val="%1.%2.%3"/>
      <w:lvlJc w:val="left"/>
      <w:pPr>
        <w:ind w:left="0" w:firstLine="0"/>
      </w:pPr>
      <w:rPr>
        <w:rFonts w:hint="eastAsia"/>
      </w:rPr>
    </w:lvl>
    <w:lvl w:ilvl="3" w:tentative="0">
      <w:start w:val="1"/>
      <w:numFmt w:val="decimal"/>
      <w:lvlText w:val="%1.%2.%3.%4"/>
      <w:lvlJc w:val="left"/>
      <w:pPr>
        <w:ind w:left="1984" w:hanging="708"/>
      </w:pPr>
      <w:rPr>
        <w:rFonts w:hint="eastAsia"/>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oNotDisplayPageBoundaries w:val="1"/>
  <w:bordersDoNotSurroundHeader w:val="1"/>
  <w:bordersDoNotSurroundFooter w:val="1"/>
  <w:documentProtection w:enforcement="0"/>
  <w:defaultTabStop w:val="420"/>
  <w:evenAndOddHeaders w:val="1"/>
  <w:drawingGridHorizontalSpacing w:val="140"/>
  <w:drawingGridVerticalSpacing w:val="381"/>
  <w:displayHorizontalDrawingGridEvery w:val="2"/>
  <w:noPunctuationKerning w:val="1"/>
  <w:characterSpacingControl w:val="compressPunctuation"/>
  <w:footnotePr>
    <w:footnote w:id="0"/>
    <w:footnote w:id="1"/>
  </w:footnotePr>
  <w:endnotePr>
    <w:endnote w:id="0"/>
    <w:endnote w:id="1"/>
  </w:endnotePr>
  <w:compat>
    <w:spaceForUL/>
    <w:balanceSingleByteDoubleByteWidth/>
    <w:doNotLeaveBackslashAlon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625051660000F797" w:val=" "/>
  </w:docVars>
  <w:rsids>
    <w:rsidRoot w:val="00B71F2B"/>
    <w:rsid w:val="0000013C"/>
    <w:rsid w:val="00000A4D"/>
    <w:rsid w:val="00000F99"/>
    <w:rsid w:val="00001119"/>
    <w:rsid w:val="0000178D"/>
    <w:rsid w:val="000027C3"/>
    <w:rsid w:val="00002A62"/>
    <w:rsid w:val="00002F5E"/>
    <w:rsid w:val="00002F69"/>
    <w:rsid w:val="000038B8"/>
    <w:rsid w:val="000059E7"/>
    <w:rsid w:val="000060F7"/>
    <w:rsid w:val="00006C6C"/>
    <w:rsid w:val="00007808"/>
    <w:rsid w:val="0001010B"/>
    <w:rsid w:val="00010A53"/>
    <w:rsid w:val="000117B3"/>
    <w:rsid w:val="000118B6"/>
    <w:rsid w:val="00011AFB"/>
    <w:rsid w:val="00011E5D"/>
    <w:rsid w:val="00012971"/>
    <w:rsid w:val="00013CAF"/>
    <w:rsid w:val="0001466A"/>
    <w:rsid w:val="000155C9"/>
    <w:rsid w:val="000156D9"/>
    <w:rsid w:val="00017607"/>
    <w:rsid w:val="00017AC7"/>
    <w:rsid w:val="00017B65"/>
    <w:rsid w:val="00020A39"/>
    <w:rsid w:val="00021562"/>
    <w:rsid w:val="000216F4"/>
    <w:rsid w:val="000216FF"/>
    <w:rsid w:val="0002185F"/>
    <w:rsid w:val="00021F99"/>
    <w:rsid w:val="0002267F"/>
    <w:rsid w:val="00022845"/>
    <w:rsid w:val="0002351E"/>
    <w:rsid w:val="000245CE"/>
    <w:rsid w:val="00025C83"/>
    <w:rsid w:val="00026568"/>
    <w:rsid w:val="00026A56"/>
    <w:rsid w:val="00027455"/>
    <w:rsid w:val="000305E3"/>
    <w:rsid w:val="00030DB7"/>
    <w:rsid w:val="00030FD4"/>
    <w:rsid w:val="00031765"/>
    <w:rsid w:val="000325E6"/>
    <w:rsid w:val="000333D0"/>
    <w:rsid w:val="0003384A"/>
    <w:rsid w:val="0003433C"/>
    <w:rsid w:val="000348E6"/>
    <w:rsid w:val="00034DDB"/>
    <w:rsid w:val="00034EB8"/>
    <w:rsid w:val="00034F12"/>
    <w:rsid w:val="00034FFF"/>
    <w:rsid w:val="00035523"/>
    <w:rsid w:val="00035E49"/>
    <w:rsid w:val="00035E81"/>
    <w:rsid w:val="00036473"/>
    <w:rsid w:val="00036B57"/>
    <w:rsid w:val="00037556"/>
    <w:rsid w:val="00037695"/>
    <w:rsid w:val="00037D0E"/>
    <w:rsid w:val="00040404"/>
    <w:rsid w:val="000404FB"/>
    <w:rsid w:val="00040F58"/>
    <w:rsid w:val="000418D0"/>
    <w:rsid w:val="000429B6"/>
    <w:rsid w:val="00042DAF"/>
    <w:rsid w:val="000430F2"/>
    <w:rsid w:val="00043105"/>
    <w:rsid w:val="00043550"/>
    <w:rsid w:val="00044787"/>
    <w:rsid w:val="00044868"/>
    <w:rsid w:val="00045846"/>
    <w:rsid w:val="00045F8C"/>
    <w:rsid w:val="000462A3"/>
    <w:rsid w:val="00046A55"/>
    <w:rsid w:val="0005012D"/>
    <w:rsid w:val="00050E20"/>
    <w:rsid w:val="0005272E"/>
    <w:rsid w:val="00052F54"/>
    <w:rsid w:val="000531D7"/>
    <w:rsid w:val="0005357C"/>
    <w:rsid w:val="000542FE"/>
    <w:rsid w:val="00054E91"/>
    <w:rsid w:val="000552A2"/>
    <w:rsid w:val="00055852"/>
    <w:rsid w:val="0005607B"/>
    <w:rsid w:val="0005676B"/>
    <w:rsid w:val="00056806"/>
    <w:rsid w:val="00057F4D"/>
    <w:rsid w:val="0006003F"/>
    <w:rsid w:val="00061075"/>
    <w:rsid w:val="00061C73"/>
    <w:rsid w:val="00061EC6"/>
    <w:rsid w:val="000621A4"/>
    <w:rsid w:val="000621BE"/>
    <w:rsid w:val="00062638"/>
    <w:rsid w:val="00064591"/>
    <w:rsid w:val="000655A0"/>
    <w:rsid w:val="00065C49"/>
    <w:rsid w:val="00065C66"/>
    <w:rsid w:val="00065EE6"/>
    <w:rsid w:val="000660D8"/>
    <w:rsid w:val="0006612A"/>
    <w:rsid w:val="0006638D"/>
    <w:rsid w:val="000663B6"/>
    <w:rsid w:val="000665D4"/>
    <w:rsid w:val="0006689D"/>
    <w:rsid w:val="0006713B"/>
    <w:rsid w:val="000707E9"/>
    <w:rsid w:val="00070C83"/>
    <w:rsid w:val="00070F9B"/>
    <w:rsid w:val="00072153"/>
    <w:rsid w:val="0007275D"/>
    <w:rsid w:val="000729AB"/>
    <w:rsid w:val="00072D94"/>
    <w:rsid w:val="0007319E"/>
    <w:rsid w:val="000734F9"/>
    <w:rsid w:val="00073E44"/>
    <w:rsid w:val="00074CB3"/>
    <w:rsid w:val="00075313"/>
    <w:rsid w:val="0007616F"/>
    <w:rsid w:val="000767F6"/>
    <w:rsid w:val="00076AE0"/>
    <w:rsid w:val="00077472"/>
    <w:rsid w:val="0007788D"/>
    <w:rsid w:val="0007789A"/>
    <w:rsid w:val="0008042B"/>
    <w:rsid w:val="00080651"/>
    <w:rsid w:val="0008089D"/>
    <w:rsid w:val="00080E3A"/>
    <w:rsid w:val="00082179"/>
    <w:rsid w:val="00082651"/>
    <w:rsid w:val="0008316A"/>
    <w:rsid w:val="000837C7"/>
    <w:rsid w:val="00083F79"/>
    <w:rsid w:val="00084305"/>
    <w:rsid w:val="000849E8"/>
    <w:rsid w:val="00084D35"/>
    <w:rsid w:val="0008535E"/>
    <w:rsid w:val="00086CDF"/>
    <w:rsid w:val="00087191"/>
    <w:rsid w:val="000877EB"/>
    <w:rsid w:val="000902FD"/>
    <w:rsid w:val="00090650"/>
    <w:rsid w:val="000928DA"/>
    <w:rsid w:val="00093535"/>
    <w:rsid w:val="00093E2A"/>
    <w:rsid w:val="00094DB3"/>
    <w:rsid w:val="000950FD"/>
    <w:rsid w:val="00095472"/>
    <w:rsid w:val="0009553A"/>
    <w:rsid w:val="00095926"/>
    <w:rsid w:val="00097012"/>
    <w:rsid w:val="000971A3"/>
    <w:rsid w:val="0009787D"/>
    <w:rsid w:val="00097F5B"/>
    <w:rsid w:val="000A09E7"/>
    <w:rsid w:val="000A1509"/>
    <w:rsid w:val="000A16B8"/>
    <w:rsid w:val="000A237C"/>
    <w:rsid w:val="000A27FB"/>
    <w:rsid w:val="000A2CD1"/>
    <w:rsid w:val="000A366E"/>
    <w:rsid w:val="000A37DB"/>
    <w:rsid w:val="000A471A"/>
    <w:rsid w:val="000A546A"/>
    <w:rsid w:val="000A5A60"/>
    <w:rsid w:val="000A5CA2"/>
    <w:rsid w:val="000A6797"/>
    <w:rsid w:val="000A6D52"/>
    <w:rsid w:val="000B0087"/>
    <w:rsid w:val="000B05FD"/>
    <w:rsid w:val="000B0D2A"/>
    <w:rsid w:val="000B0E68"/>
    <w:rsid w:val="000B15DB"/>
    <w:rsid w:val="000B1663"/>
    <w:rsid w:val="000B181C"/>
    <w:rsid w:val="000B1A12"/>
    <w:rsid w:val="000B1AE9"/>
    <w:rsid w:val="000B1B61"/>
    <w:rsid w:val="000B2AC3"/>
    <w:rsid w:val="000B2E1F"/>
    <w:rsid w:val="000B3447"/>
    <w:rsid w:val="000B371F"/>
    <w:rsid w:val="000B40E3"/>
    <w:rsid w:val="000B44D6"/>
    <w:rsid w:val="000B4740"/>
    <w:rsid w:val="000B5405"/>
    <w:rsid w:val="000B5BB1"/>
    <w:rsid w:val="000B694A"/>
    <w:rsid w:val="000B736D"/>
    <w:rsid w:val="000B7DC6"/>
    <w:rsid w:val="000C008D"/>
    <w:rsid w:val="000C00C7"/>
    <w:rsid w:val="000C014B"/>
    <w:rsid w:val="000C1796"/>
    <w:rsid w:val="000C2C27"/>
    <w:rsid w:val="000C38A1"/>
    <w:rsid w:val="000C391A"/>
    <w:rsid w:val="000C39F9"/>
    <w:rsid w:val="000C3AE3"/>
    <w:rsid w:val="000C3DC7"/>
    <w:rsid w:val="000C45E1"/>
    <w:rsid w:val="000C5E27"/>
    <w:rsid w:val="000C6DBA"/>
    <w:rsid w:val="000C7780"/>
    <w:rsid w:val="000D122C"/>
    <w:rsid w:val="000D163C"/>
    <w:rsid w:val="000D1961"/>
    <w:rsid w:val="000D2380"/>
    <w:rsid w:val="000D2802"/>
    <w:rsid w:val="000D2A39"/>
    <w:rsid w:val="000D301F"/>
    <w:rsid w:val="000D30C8"/>
    <w:rsid w:val="000D3DAD"/>
    <w:rsid w:val="000D40EC"/>
    <w:rsid w:val="000D4422"/>
    <w:rsid w:val="000D4711"/>
    <w:rsid w:val="000D4795"/>
    <w:rsid w:val="000D4E73"/>
    <w:rsid w:val="000D6FED"/>
    <w:rsid w:val="000D709D"/>
    <w:rsid w:val="000D70A1"/>
    <w:rsid w:val="000D7425"/>
    <w:rsid w:val="000E0773"/>
    <w:rsid w:val="000E095D"/>
    <w:rsid w:val="000E0B13"/>
    <w:rsid w:val="000E187B"/>
    <w:rsid w:val="000E1D53"/>
    <w:rsid w:val="000E2703"/>
    <w:rsid w:val="000E2AC2"/>
    <w:rsid w:val="000E2E7C"/>
    <w:rsid w:val="000E2FB7"/>
    <w:rsid w:val="000E307E"/>
    <w:rsid w:val="000E359F"/>
    <w:rsid w:val="000E3676"/>
    <w:rsid w:val="000E3698"/>
    <w:rsid w:val="000E3B59"/>
    <w:rsid w:val="000E42EF"/>
    <w:rsid w:val="000E4411"/>
    <w:rsid w:val="000E7908"/>
    <w:rsid w:val="000E7D06"/>
    <w:rsid w:val="000F00F0"/>
    <w:rsid w:val="000F0CB6"/>
    <w:rsid w:val="000F0E8E"/>
    <w:rsid w:val="000F10B3"/>
    <w:rsid w:val="000F141D"/>
    <w:rsid w:val="000F1FBE"/>
    <w:rsid w:val="000F2052"/>
    <w:rsid w:val="000F2460"/>
    <w:rsid w:val="000F2689"/>
    <w:rsid w:val="000F33AA"/>
    <w:rsid w:val="000F35DD"/>
    <w:rsid w:val="000F3E75"/>
    <w:rsid w:val="000F4B3B"/>
    <w:rsid w:val="000F5846"/>
    <w:rsid w:val="000F5C65"/>
    <w:rsid w:val="000F5FED"/>
    <w:rsid w:val="000F6446"/>
    <w:rsid w:val="000F6463"/>
    <w:rsid w:val="000F69F2"/>
    <w:rsid w:val="000F6FDA"/>
    <w:rsid w:val="000F77CD"/>
    <w:rsid w:val="001005A1"/>
    <w:rsid w:val="0010068E"/>
    <w:rsid w:val="00100937"/>
    <w:rsid w:val="001013FA"/>
    <w:rsid w:val="001025C0"/>
    <w:rsid w:val="00103103"/>
    <w:rsid w:val="0010334F"/>
    <w:rsid w:val="00103585"/>
    <w:rsid w:val="00103749"/>
    <w:rsid w:val="00103ABC"/>
    <w:rsid w:val="00104AED"/>
    <w:rsid w:val="00104ECE"/>
    <w:rsid w:val="001052A2"/>
    <w:rsid w:val="00106358"/>
    <w:rsid w:val="0010685F"/>
    <w:rsid w:val="00106E71"/>
    <w:rsid w:val="001072B0"/>
    <w:rsid w:val="001073A6"/>
    <w:rsid w:val="00107EB5"/>
    <w:rsid w:val="0011014F"/>
    <w:rsid w:val="0011076F"/>
    <w:rsid w:val="00110EA5"/>
    <w:rsid w:val="00110FB6"/>
    <w:rsid w:val="001110A4"/>
    <w:rsid w:val="001116E9"/>
    <w:rsid w:val="001117F0"/>
    <w:rsid w:val="001125FE"/>
    <w:rsid w:val="00112A5F"/>
    <w:rsid w:val="00113744"/>
    <w:rsid w:val="001142A8"/>
    <w:rsid w:val="00114A3C"/>
    <w:rsid w:val="00115023"/>
    <w:rsid w:val="001157F0"/>
    <w:rsid w:val="001167C7"/>
    <w:rsid w:val="0011690D"/>
    <w:rsid w:val="00116B48"/>
    <w:rsid w:val="00116F4D"/>
    <w:rsid w:val="001206EB"/>
    <w:rsid w:val="0012099D"/>
    <w:rsid w:val="00120A77"/>
    <w:rsid w:val="00121B47"/>
    <w:rsid w:val="00121F3F"/>
    <w:rsid w:val="00122291"/>
    <w:rsid w:val="001228E0"/>
    <w:rsid w:val="00122D31"/>
    <w:rsid w:val="00123283"/>
    <w:rsid w:val="001232E2"/>
    <w:rsid w:val="001238A2"/>
    <w:rsid w:val="00123DBC"/>
    <w:rsid w:val="0012478B"/>
    <w:rsid w:val="00124C8E"/>
    <w:rsid w:val="00124DA5"/>
    <w:rsid w:val="001260C9"/>
    <w:rsid w:val="001275C6"/>
    <w:rsid w:val="00127623"/>
    <w:rsid w:val="00130190"/>
    <w:rsid w:val="00131251"/>
    <w:rsid w:val="0013126C"/>
    <w:rsid w:val="00131712"/>
    <w:rsid w:val="001326D8"/>
    <w:rsid w:val="00133B78"/>
    <w:rsid w:val="00134A40"/>
    <w:rsid w:val="00136095"/>
    <w:rsid w:val="00136530"/>
    <w:rsid w:val="001372CD"/>
    <w:rsid w:val="00140AB0"/>
    <w:rsid w:val="00140E0B"/>
    <w:rsid w:val="00141603"/>
    <w:rsid w:val="001423FD"/>
    <w:rsid w:val="00142529"/>
    <w:rsid w:val="00142852"/>
    <w:rsid w:val="001429F1"/>
    <w:rsid w:val="00142A2E"/>
    <w:rsid w:val="00142D4F"/>
    <w:rsid w:val="00143884"/>
    <w:rsid w:val="00143AF1"/>
    <w:rsid w:val="001451D8"/>
    <w:rsid w:val="00145E85"/>
    <w:rsid w:val="00145E94"/>
    <w:rsid w:val="0014607D"/>
    <w:rsid w:val="00147FBB"/>
    <w:rsid w:val="001500A3"/>
    <w:rsid w:val="00150312"/>
    <w:rsid w:val="00150A3A"/>
    <w:rsid w:val="00151A30"/>
    <w:rsid w:val="00151B3A"/>
    <w:rsid w:val="00152819"/>
    <w:rsid w:val="00152BB8"/>
    <w:rsid w:val="00152CB8"/>
    <w:rsid w:val="00153425"/>
    <w:rsid w:val="001534A7"/>
    <w:rsid w:val="00153701"/>
    <w:rsid w:val="00153F83"/>
    <w:rsid w:val="00154261"/>
    <w:rsid w:val="00154A1F"/>
    <w:rsid w:val="001554F5"/>
    <w:rsid w:val="0015559A"/>
    <w:rsid w:val="0015621D"/>
    <w:rsid w:val="00157C3C"/>
    <w:rsid w:val="001600A5"/>
    <w:rsid w:val="00160596"/>
    <w:rsid w:val="001615A9"/>
    <w:rsid w:val="00161954"/>
    <w:rsid w:val="00162126"/>
    <w:rsid w:val="00162730"/>
    <w:rsid w:val="0016279A"/>
    <w:rsid w:val="00162BBB"/>
    <w:rsid w:val="001633E1"/>
    <w:rsid w:val="0016364A"/>
    <w:rsid w:val="001638AC"/>
    <w:rsid w:val="001646CB"/>
    <w:rsid w:val="0016482A"/>
    <w:rsid w:val="001652AA"/>
    <w:rsid w:val="00165558"/>
    <w:rsid w:val="0016602F"/>
    <w:rsid w:val="0016655A"/>
    <w:rsid w:val="0016732D"/>
    <w:rsid w:val="00167673"/>
    <w:rsid w:val="001706B2"/>
    <w:rsid w:val="00170852"/>
    <w:rsid w:val="00170BCA"/>
    <w:rsid w:val="001712F1"/>
    <w:rsid w:val="001719AA"/>
    <w:rsid w:val="001722B2"/>
    <w:rsid w:val="001725BB"/>
    <w:rsid w:val="00173606"/>
    <w:rsid w:val="00173BC3"/>
    <w:rsid w:val="0017453A"/>
    <w:rsid w:val="0017461E"/>
    <w:rsid w:val="00174811"/>
    <w:rsid w:val="00174B23"/>
    <w:rsid w:val="00174E1E"/>
    <w:rsid w:val="00174EC6"/>
    <w:rsid w:val="00176265"/>
    <w:rsid w:val="00176A54"/>
    <w:rsid w:val="0017729C"/>
    <w:rsid w:val="00177A79"/>
    <w:rsid w:val="00177CDB"/>
    <w:rsid w:val="00177E67"/>
    <w:rsid w:val="00177F88"/>
    <w:rsid w:val="00180D3A"/>
    <w:rsid w:val="001812C2"/>
    <w:rsid w:val="00181462"/>
    <w:rsid w:val="00181C46"/>
    <w:rsid w:val="00182F5C"/>
    <w:rsid w:val="001830C6"/>
    <w:rsid w:val="00183675"/>
    <w:rsid w:val="0018390B"/>
    <w:rsid w:val="001841BC"/>
    <w:rsid w:val="001844A1"/>
    <w:rsid w:val="00184701"/>
    <w:rsid w:val="00184B21"/>
    <w:rsid w:val="00185CFD"/>
    <w:rsid w:val="00186FC7"/>
    <w:rsid w:val="0018716C"/>
    <w:rsid w:val="00187496"/>
    <w:rsid w:val="001878A3"/>
    <w:rsid w:val="0018793B"/>
    <w:rsid w:val="00187B08"/>
    <w:rsid w:val="0019074F"/>
    <w:rsid w:val="001907D1"/>
    <w:rsid w:val="00190B8B"/>
    <w:rsid w:val="00190EC0"/>
    <w:rsid w:val="00191187"/>
    <w:rsid w:val="00191468"/>
    <w:rsid w:val="00191961"/>
    <w:rsid w:val="001919CA"/>
    <w:rsid w:val="00191CAE"/>
    <w:rsid w:val="00192352"/>
    <w:rsid w:val="00192CDB"/>
    <w:rsid w:val="0019367E"/>
    <w:rsid w:val="00193B11"/>
    <w:rsid w:val="00194622"/>
    <w:rsid w:val="00194B8E"/>
    <w:rsid w:val="00195BA6"/>
    <w:rsid w:val="00196116"/>
    <w:rsid w:val="0019613C"/>
    <w:rsid w:val="00196521"/>
    <w:rsid w:val="00196712"/>
    <w:rsid w:val="001968A8"/>
    <w:rsid w:val="00197ABB"/>
    <w:rsid w:val="001A0234"/>
    <w:rsid w:val="001A028A"/>
    <w:rsid w:val="001A0FA9"/>
    <w:rsid w:val="001A10BD"/>
    <w:rsid w:val="001A1666"/>
    <w:rsid w:val="001A1AEA"/>
    <w:rsid w:val="001A1B98"/>
    <w:rsid w:val="001A1BE5"/>
    <w:rsid w:val="001A1E79"/>
    <w:rsid w:val="001A2645"/>
    <w:rsid w:val="001A3137"/>
    <w:rsid w:val="001A335C"/>
    <w:rsid w:val="001A3516"/>
    <w:rsid w:val="001A3AD5"/>
    <w:rsid w:val="001A3CA8"/>
    <w:rsid w:val="001A3F4F"/>
    <w:rsid w:val="001A44E7"/>
    <w:rsid w:val="001A4A4A"/>
    <w:rsid w:val="001A4C8A"/>
    <w:rsid w:val="001A5A58"/>
    <w:rsid w:val="001A5A6B"/>
    <w:rsid w:val="001A5AB1"/>
    <w:rsid w:val="001A6693"/>
    <w:rsid w:val="001A6FCA"/>
    <w:rsid w:val="001A7366"/>
    <w:rsid w:val="001A7AFB"/>
    <w:rsid w:val="001B07A2"/>
    <w:rsid w:val="001B0A03"/>
    <w:rsid w:val="001B1121"/>
    <w:rsid w:val="001B1439"/>
    <w:rsid w:val="001B2243"/>
    <w:rsid w:val="001B2AAA"/>
    <w:rsid w:val="001B2C22"/>
    <w:rsid w:val="001B3257"/>
    <w:rsid w:val="001B3C5E"/>
    <w:rsid w:val="001B44F0"/>
    <w:rsid w:val="001B4CB1"/>
    <w:rsid w:val="001B572D"/>
    <w:rsid w:val="001B57D9"/>
    <w:rsid w:val="001B5822"/>
    <w:rsid w:val="001B63E8"/>
    <w:rsid w:val="001B6C79"/>
    <w:rsid w:val="001C06A2"/>
    <w:rsid w:val="001C0861"/>
    <w:rsid w:val="001C1902"/>
    <w:rsid w:val="001C20C2"/>
    <w:rsid w:val="001C4723"/>
    <w:rsid w:val="001C47F7"/>
    <w:rsid w:val="001C4D67"/>
    <w:rsid w:val="001C6035"/>
    <w:rsid w:val="001C74F4"/>
    <w:rsid w:val="001D0CC5"/>
    <w:rsid w:val="001D0D88"/>
    <w:rsid w:val="001D0DAC"/>
    <w:rsid w:val="001D1DE0"/>
    <w:rsid w:val="001D1EC5"/>
    <w:rsid w:val="001D2F9A"/>
    <w:rsid w:val="001D444A"/>
    <w:rsid w:val="001D475F"/>
    <w:rsid w:val="001D4C27"/>
    <w:rsid w:val="001D5A0A"/>
    <w:rsid w:val="001D62E1"/>
    <w:rsid w:val="001D7BE2"/>
    <w:rsid w:val="001E01E1"/>
    <w:rsid w:val="001E0CB7"/>
    <w:rsid w:val="001E0EAA"/>
    <w:rsid w:val="001E1B78"/>
    <w:rsid w:val="001E28FD"/>
    <w:rsid w:val="001E2D2E"/>
    <w:rsid w:val="001E44CF"/>
    <w:rsid w:val="001E4DB8"/>
    <w:rsid w:val="001E541C"/>
    <w:rsid w:val="001E54E1"/>
    <w:rsid w:val="001E5759"/>
    <w:rsid w:val="001E5FA0"/>
    <w:rsid w:val="001F0016"/>
    <w:rsid w:val="001F035C"/>
    <w:rsid w:val="001F1404"/>
    <w:rsid w:val="001F2428"/>
    <w:rsid w:val="001F2A71"/>
    <w:rsid w:val="001F2BF8"/>
    <w:rsid w:val="001F3907"/>
    <w:rsid w:val="001F45F1"/>
    <w:rsid w:val="001F533A"/>
    <w:rsid w:val="001F567E"/>
    <w:rsid w:val="001F6573"/>
    <w:rsid w:val="001F7338"/>
    <w:rsid w:val="001F742F"/>
    <w:rsid w:val="001F79C1"/>
    <w:rsid w:val="001F7D43"/>
    <w:rsid w:val="001F7F81"/>
    <w:rsid w:val="00200077"/>
    <w:rsid w:val="002004B5"/>
    <w:rsid w:val="00200796"/>
    <w:rsid w:val="00201044"/>
    <w:rsid w:val="00201EEF"/>
    <w:rsid w:val="002022C5"/>
    <w:rsid w:val="00202E1C"/>
    <w:rsid w:val="00203CE0"/>
    <w:rsid w:val="002042CE"/>
    <w:rsid w:val="00204325"/>
    <w:rsid w:val="002045C8"/>
    <w:rsid w:val="002051F9"/>
    <w:rsid w:val="002062EC"/>
    <w:rsid w:val="00207103"/>
    <w:rsid w:val="00210296"/>
    <w:rsid w:val="002113A3"/>
    <w:rsid w:val="00212EB3"/>
    <w:rsid w:val="002131E5"/>
    <w:rsid w:val="002139BD"/>
    <w:rsid w:val="00213CC6"/>
    <w:rsid w:val="002144ED"/>
    <w:rsid w:val="00214940"/>
    <w:rsid w:val="00214DD0"/>
    <w:rsid w:val="0021593B"/>
    <w:rsid w:val="00215D57"/>
    <w:rsid w:val="002164C5"/>
    <w:rsid w:val="002176D1"/>
    <w:rsid w:val="00217B66"/>
    <w:rsid w:val="00217FF5"/>
    <w:rsid w:val="0022046A"/>
    <w:rsid w:val="0022071E"/>
    <w:rsid w:val="002209C0"/>
    <w:rsid w:val="00220C70"/>
    <w:rsid w:val="00220CBF"/>
    <w:rsid w:val="00220E1C"/>
    <w:rsid w:val="0022210F"/>
    <w:rsid w:val="00222678"/>
    <w:rsid w:val="002228A3"/>
    <w:rsid w:val="00223270"/>
    <w:rsid w:val="0022327C"/>
    <w:rsid w:val="00223643"/>
    <w:rsid w:val="00223D8F"/>
    <w:rsid w:val="00224088"/>
    <w:rsid w:val="0022472C"/>
    <w:rsid w:val="00224B40"/>
    <w:rsid w:val="00224B5C"/>
    <w:rsid w:val="00225FDC"/>
    <w:rsid w:val="00226B78"/>
    <w:rsid w:val="002275EC"/>
    <w:rsid w:val="00230ECC"/>
    <w:rsid w:val="00230FC3"/>
    <w:rsid w:val="002310B0"/>
    <w:rsid w:val="002330CF"/>
    <w:rsid w:val="002342F2"/>
    <w:rsid w:val="002358F0"/>
    <w:rsid w:val="00235F98"/>
    <w:rsid w:val="002361E0"/>
    <w:rsid w:val="0023705B"/>
    <w:rsid w:val="00237265"/>
    <w:rsid w:val="0023741B"/>
    <w:rsid w:val="00237544"/>
    <w:rsid w:val="00237A3C"/>
    <w:rsid w:val="00237F86"/>
    <w:rsid w:val="00240392"/>
    <w:rsid w:val="002405AB"/>
    <w:rsid w:val="00240992"/>
    <w:rsid w:val="00240C00"/>
    <w:rsid w:val="002412A5"/>
    <w:rsid w:val="00241FB2"/>
    <w:rsid w:val="00242072"/>
    <w:rsid w:val="002431BE"/>
    <w:rsid w:val="002433D0"/>
    <w:rsid w:val="00243C36"/>
    <w:rsid w:val="00244103"/>
    <w:rsid w:val="00244AE1"/>
    <w:rsid w:val="00245389"/>
    <w:rsid w:val="0024622A"/>
    <w:rsid w:val="002465FD"/>
    <w:rsid w:val="002467AB"/>
    <w:rsid w:val="00246C20"/>
    <w:rsid w:val="00247EB0"/>
    <w:rsid w:val="00251452"/>
    <w:rsid w:val="00251504"/>
    <w:rsid w:val="00251B93"/>
    <w:rsid w:val="00252E02"/>
    <w:rsid w:val="00254184"/>
    <w:rsid w:val="0025420B"/>
    <w:rsid w:val="00254339"/>
    <w:rsid w:val="0025461B"/>
    <w:rsid w:val="002549FE"/>
    <w:rsid w:val="00254D2C"/>
    <w:rsid w:val="00254D92"/>
    <w:rsid w:val="00255908"/>
    <w:rsid w:val="00256489"/>
    <w:rsid w:val="00256662"/>
    <w:rsid w:val="00257615"/>
    <w:rsid w:val="00257ACD"/>
    <w:rsid w:val="00260685"/>
    <w:rsid w:val="00260B85"/>
    <w:rsid w:val="002612F9"/>
    <w:rsid w:val="0026189D"/>
    <w:rsid w:val="002619BE"/>
    <w:rsid w:val="00261F82"/>
    <w:rsid w:val="00262205"/>
    <w:rsid w:val="00263090"/>
    <w:rsid w:val="00263562"/>
    <w:rsid w:val="0026393D"/>
    <w:rsid w:val="0026402B"/>
    <w:rsid w:val="002640E5"/>
    <w:rsid w:val="00264259"/>
    <w:rsid w:val="002649D0"/>
    <w:rsid w:val="002653AC"/>
    <w:rsid w:val="00265B66"/>
    <w:rsid w:val="002670A5"/>
    <w:rsid w:val="00267708"/>
    <w:rsid w:val="00270031"/>
    <w:rsid w:val="00270904"/>
    <w:rsid w:val="00270ADF"/>
    <w:rsid w:val="002726B6"/>
    <w:rsid w:val="00272FCE"/>
    <w:rsid w:val="002730FB"/>
    <w:rsid w:val="00274162"/>
    <w:rsid w:val="002749DB"/>
    <w:rsid w:val="00275554"/>
    <w:rsid w:val="002759EF"/>
    <w:rsid w:val="00275DDD"/>
    <w:rsid w:val="0027693F"/>
    <w:rsid w:val="00276A40"/>
    <w:rsid w:val="00277076"/>
    <w:rsid w:val="0027761F"/>
    <w:rsid w:val="002779AF"/>
    <w:rsid w:val="00281797"/>
    <w:rsid w:val="00281A7F"/>
    <w:rsid w:val="002826EF"/>
    <w:rsid w:val="0028279E"/>
    <w:rsid w:val="00282941"/>
    <w:rsid w:val="00282B12"/>
    <w:rsid w:val="00282D5B"/>
    <w:rsid w:val="00282F89"/>
    <w:rsid w:val="002837BE"/>
    <w:rsid w:val="00284147"/>
    <w:rsid w:val="0028434E"/>
    <w:rsid w:val="00284721"/>
    <w:rsid w:val="00284AB1"/>
    <w:rsid w:val="00284BEA"/>
    <w:rsid w:val="00285832"/>
    <w:rsid w:val="00286C77"/>
    <w:rsid w:val="00286CF0"/>
    <w:rsid w:val="00286EBA"/>
    <w:rsid w:val="00286F4B"/>
    <w:rsid w:val="00286F5E"/>
    <w:rsid w:val="002872EA"/>
    <w:rsid w:val="00287553"/>
    <w:rsid w:val="002878EB"/>
    <w:rsid w:val="002902C7"/>
    <w:rsid w:val="002903F0"/>
    <w:rsid w:val="0029059D"/>
    <w:rsid w:val="00290EB7"/>
    <w:rsid w:val="002911F2"/>
    <w:rsid w:val="0029155C"/>
    <w:rsid w:val="002917D4"/>
    <w:rsid w:val="00291FFC"/>
    <w:rsid w:val="0029248C"/>
    <w:rsid w:val="00292C32"/>
    <w:rsid w:val="00292E24"/>
    <w:rsid w:val="0029374D"/>
    <w:rsid w:val="00293B1C"/>
    <w:rsid w:val="002945C5"/>
    <w:rsid w:val="00294B9A"/>
    <w:rsid w:val="00294FF8"/>
    <w:rsid w:val="00295D07"/>
    <w:rsid w:val="00295D0A"/>
    <w:rsid w:val="00296572"/>
    <w:rsid w:val="00296955"/>
    <w:rsid w:val="00297FF7"/>
    <w:rsid w:val="002A0259"/>
    <w:rsid w:val="002A0363"/>
    <w:rsid w:val="002A1D54"/>
    <w:rsid w:val="002A1F19"/>
    <w:rsid w:val="002A2389"/>
    <w:rsid w:val="002A3D36"/>
    <w:rsid w:val="002A5774"/>
    <w:rsid w:val="002A6B09"/>
    <w:rsid w:val="002A6C0C"/>
    <w:rsid w:val="002A6DE8"/>
    <w:rsid w:val="002A764D"/>
    <w:rsid w:val="002B02E4"/>
    <w:rsid w:val="002B0D95"/>
    <w:rsid w:val="002B105D"/>
    <w:rsid w:val="002B2140"/>
    <w:rsid w:val="002B25A5"/>
    <w:rsid w:val="002B47D9"/>
    <w:rsid w:val="002B486B"/>
    <w:rsid w:val="002B5483"/>
    <w:rsid w:val="002B5AC6"/>
    <w:rsid w:val="002B5BE7"/>
    <w:rsid w:val="002B5CBB"/>
    <w:rsid w:val="002B5DCD"/>
    <w:rsid w:val="002B646C"/>
    <w:rsid w:val="002B6A07"/>
    <w:rsid w:val="002B6A35"/>
    <w:rsid w:val="002B6AE6"/>
    <w:rsid w:val="002B6B12"/>
    <w:rsid w:val="002B6EF5"/>
    <w:rsid w:val="002B7754"/>
    <w:rsid w:val="002B7B9A"/>
    <w:rsid w:val="002C04F1"/>
    <w:rsid w:val="002C1779"/>
    <w:rsid w:val="002C3078"/>
    <w:rsid w:val="002C3FD3"/>
    <w:rsid w:val="002C4944"/>
    <w:rsid w:val="002C542D"/>
    <w:rsid w:val="002C5833"/>
    <w:rsid w:val="002C5A8B"/>
    <w:rsid w:val="002C6193"/>
    <w:rsid w:val="002C67CB"/>
    <w:rsid w:val="002C6B46"/>
    <w:rsid w:val="002C73DF"/>
    <w:rsid w:val="002C785C"/>
    <w:rsid w:val="002D03EA"/>
    <w:rsid w:val="002D0516"/>
    <w:rsid w:val="002D1077"/>
    <w:rsid w:val="002D10FE"/>
    <w:rsid w:val="002D166B"/>
    <w:rsid w:val="002D1AD4"/>
    <w:rsid w:val="002D1C04"/>
    <w:rsid w:val="002D2951"/>
    <w:rsid w:val="002D2CF1"/>
    <w:rsid w:val="002D31ED"/>
    <w:rsid w:val="002D3E0E"/>
    <w:rsid w:val="002D4EE3"/>
    <w:rsid w:val="002D5FFF"/>
    <w:rsid w:val="002D7200"/>
    <w:rsid w:val="002E08A8"/>
    <w:rsid w:val="002E0F77"/>
    <w:rsid w:val="002E1878"/>
    <w:rsid w:val="002E2744"/>
    <w:rsid w:val="002E2879"/>
    <w:rsid w:val="002E336D"/>
    <w:rsid w:val="002E3BB6"/>
    <w:rsid w:val="002E443B"/>
    <w:rsid w:val="002E4D15"/>
    <w:rsid w:val="002E4E22"/>
    <w:rsid w:val="002E5CAB"/>
    <w:rsid w:val="002E5E1B"/>
    <w:rsid w:val="002E78AC"/>
    <w:rsid w:val="002E7ACC"/>
    <w:rsid w:val="002F0662"/>
    <w:rsid w:val="002F07F6"/>
    <w:rsid w:val="002F08C1"/>
    <w:rsid w:val="002F0ADA"/>
    <w:rsid w:val="002F1644"/>
    <w:rsid w:val="002F1D8A"/>
    <w:rsid w:val="002F1F86"/>
    <w:rsid w:val="002F223A"/>
    <w:rsid w:val="002F22F7"/>
    <w:rsid w:val="002F2802"/>
    <w:rsid w:val="002F29D6"/>
    <w:rsid w:val="002F2D5A"/>
    <w:rsid w:val="002F31CB"/>
    <w:rsid w:val="002F3477"/>
    <w:rsid w:val="002F5200"/>
    <w:rsid w:val="002F653A"/>
    <w:rsid w:val="002F6E22"/>
    <w:rsid w:val="002F6E80"/>
    <w:rsid w:val="002F73B3"/>
    <w:rsid w:val="002F776A"/>
    <w:rsid w:val="002F78E8"/>
    <w:rsid w:val="003017A5"/>
    <w:rsid w:val="003018BB"/>
    <w:rsid w:val="00301E35"/>
    <w:rsid w:val="00302BC5"/>
    <w:rsid w:val="00302CB1"/>
    <w:rsid w:val="00302FAE"/>
    <w:rsid w:val="00303081"/>
    <w:rsid w:val="0030344B"/>
    <w:rsid w:val="003035AD"/>
    <w:rsid w:val="003042DA"/>
    <w:rsid w:val="003047E0"/>
    <w:rsid w:val="0030587A"/>
    <w:rsid w:val="0030622D"/>
    <w:rsid w:val="00306CC8"/>
    <w:rsid w:val="00306E8E"/>
    <w:rsid w:val="003075EF"/>
    <w:rsid w:val="00310916"/>
    <w:rsid w:val="00311576"/>
    <w:rsid w:val="003116AE"/>
    <w:rsid w:val="00311815"/>
    <w:rsid w:val="003124B3"/>
    <w:rsid w:val="00312858"/>
    <w:rsid w:val="00312F42"/>
    <w:rsid w:val="0031383A"/>
    <w:rsid w:val="00313FDB"/>
    <w:rsid w:val="00315312"/>
    <w:rsid w:val="0031548F"/>
    <w:rsid w:val="00315770"/>
    <w:rsid w:val="00315855"/>
    <w:rsid w:val="00315BED"/>
    <w:rsid w:val="00315BF7"/>
    <w:rsid w:val="00315E1B"/>
    <w:rsid w:val="00315FCB"/>
    <w:rsid w:val="00316186"/>
    <w:rsid w:val="00317AF1"/>
    <w:rsid w:val="00317EBA"/>
    <w:rsid w:val="00317F4C"/>
    <w:rsid w:val="00320107"/>
    <w:rsid w:val="00320126"/>
    <w:rsid w:val="00320572"/>
    <w:rsid w:val="00320760"/>
    <w:rsid w:val="00320FA6"/>
    <w:rsid w:val="00322BC5"/>
    <w:rsid w:val="00322F6A"/>
    <w:rsid w:val="0032332E"/>
    <w:rsid w:val="00324143"/>
    <w:rsid w:val="0032423F"/>
    <w:rsid w:val="00324368"/>
    <w:rsid w:val="0032480E"/>
    <w:rsid w:val="00324A72"/>
    <w:rsid w:val="003255CC"/>
    <w:rsid w:val="00325775"/>
    <w:rsid w:val="003258B6"/>
    <w:rsid w:val="00325AC5"/>
    <w:rsid w:val="003262D9"/>
    <w:rsid w:val="003266D0"/>
    <w:rsid w:val="00326E08"/>
    <w:rsid w:val="00326E16"/>
    <w:rsid w:val="00327491"/>
    <w:rsid w:val="00330176"/>
    <w:rsid w:val="0033044C"/>
    <w:rsid w:val="00331AEA"/>
    <w:rsid w:val="003323D4"/>
    <w:rsid w:val="0033292E"/>
    <w:rsid w:val="00333124"/>
    <w:rsid w:val="00333838"/>
    <w:rsid w:val="00334061"/>
    <w:rsid w:val="00335962"/>
    <w:rsid w:val="00335B25"/>
    <w:rsid w:val="00337D36"/>
    <w:rsid w:val="003401CB"/>
    <w:rsid w:val="003406B1"/>
    <w:rsid w:val="00340903"/>
    <w:rsid w:val="0034148A"/>
    <w:rsid w:val="00341C52"/>
    <w:rsid w:val="00341E27"/>
    <w:rsid w:val="00342E28"/>
    <w:rsid w:val="00342F2E"/>
    <w:rsid w:val="0034376B"/>
    <w:rsid w:val="0034460D"/>
    <w:rsid w:val="003450C4"/>
    <w:rsid w:val="00345C96"/>
    <w:rsid w:val="00345D55"/>
    <w:rsid w:val="00346458"/>
    <w:rsid w:val="003468B1"/>
    <w:rsid w:val="00346E4A"/>
    <w:rsid w:val="00347297"/>
    <w:rsid w:val="00347425"/>
    <w:rsid w:val="00347FB5"/>
    <w:rsid w:val="003500FD"/>
    <w:rsid w:val="003506ED"/>
    <w:rsid w:val="00350B4C"/>
    <w:rsid w:val="00350C6C"/>
    <w:rsid w:val="00351FA3"/>
    <w:rsid w:val="0035249A"/>
    <w:rsid w:val="00352E9D"/>
    <w:rsid w:val="00352F4B"/>
    <w:rsid w:val="003530C8"/>
    <w:rsid w:val="00353235"/>
    <w:rsid w:val="00353900"/>
    <w:rsid w:val="003539DE"/>
    <w:rsid w:val="003540E1"/>
    <w:rsid w:val="00354995"/>
    <w:rsid w:val="00354DBC"/>
    <w:rsid w:val="003553DC"/>
    <w:rsid w:val="00355F91"/>
    <w:rsid w:val="0035616C"/>
    <w:rsid w:val="00356386"/>
    <w:rsid w:val="003568C1"/>
    <w:rsid w:val="00356F50"/>
    <w:rsid w:val="00357156"/>
    <w:rsid w:val="003600D9"/>
    <w:rsid w:val="00360836"/>
    <w:rsid w:val="00360DFF"/>
    <w:rsid w:val="003622F1"/>
    <w:rsid w:val="00362636"/>
    <w:rsid w:val="0036304B"/>
    <w:rsid w:val="0036354B"/>
    <w:rsid w:val="00363600"/>
    <w:rsid w:val="00363D41"/>
    <w:rsid w:val="00363E2C"/>
    <w:rsid w:val="00364314"/>
    <w:rsid w:val="00364B5C"/>
    <w:rsid w:val="00364B89"/>
    <w:rsid w:val="00364E63"/>
    <w:rsid w:val="003654D3"/>
    <w:rsid w:val="00365878"/>
    <w:rsid w:val="00365929"/>
    <w:rsid w:val="00365A9D"/>
    <w:rsid w:val="00366463"/>
    <w:rsid w:val="00366D3D"/>
    <w:rsid w:val="00366E27"/>
    <w:rsid w:val="003671D4"/>
    <w:rsid w:val="0036725B"/>
    <w:rsid w:val="00367693"/>
    <w:rsid w:val="003676D8"/>
    <w:rsid w:val="00370082"/>
    <w:rsid w:val="00370DE7"/>
    <w:rsid w:val="00370FBA"/>
    <w:rsid w:val="00371A16"/>
    <w:rsid w:val="00371FB5"/>
    <w:rsid w:val="003720C2"/>
    <w:rsid w:val="00372CAE"/>
    <w:rsid w:val="00372F39"/>
    <w:rsid w:val="0037306E"/>
    <w:rsid w:val="003735A3"/>
    <w:rsid w:val="00373803"/>
    <w:rsid w:val="00373EFE"/>
    <w:rsid w:val="00373F74"/>
    <w:rsid w:val="00374C0B"/>
    <w:rsid w:val="00374CA1"/>
    <w:rsid w:val="00374EB1"/>
    <w:rsid w:val="003752E7"/>
    <w:rsid w:val="00375548"/>
    <w:rsid w:val="00375AD5"/>
    <w:rsid w:val="00375BD6"/>
    <w:rsid w:val="00375CDA"/>
    <w:rsid w:val="00376426"/>
    <w:rsid w:val="00376A83"/>
    <w:rsid w:val="0037744F"/>
    <w:rsid w:val="003779F1"/>
    <w:rsid w:val="00377B7B"/>
    <w:rsid w:val="003801A1"/>
    <w:rsid w:val="003817FF"/>
    <w:rsid w:val="00381C64"/>
    <w:rsid w:val="00381EAD"/>
    <w:rsid w:val="00381EDF"/>
    <w:rsid w:val="00382565"/>
    <w:rsid w:val="003838E0"/>
    <w:rsid w:val="00383A61"/>
    <w:rsid w:val="00383AC3"/>
    <w:rsid w:val="0038498C"/>
    <w:rsid w:val="0038502C"/>
    <w:rsid w:val="003851EF"/>
    <w:rsid w:val="00385724"/>
    <w:rsid w:val="0038599F"/>
    <w:rsid w:val="00385CA9"/>
    <w:rsid w:val="00385F48"/>
    <w:rsid w:val="00385FED"/>
    <w:rsid w:val="00386B7C"/>
    <w:rsid w:val="00386CFF"/>
    <w:rsid w:val="00386E3C"/>
    <w:rsid w:val="00387075"/>
    <w:rsid w:val="003874B5"/>
    <w:rsid w:val="00390620"/>
    <w:rsid w:val="003906CE"/>
    <w:rsid w:val="00390881"/>
    <w:rsid w:val="003919D1"/>
    <w:rsid w:val="0039214B"/>
    <w:rsid w:val="00392903"/>
    <w:rsid w:val="00392D2F"/>
    <w:rsid w:val="003936C5"/>
    <w:rsid w:val="0039384E"/>
    <w:rsid w:val="00393A5C"/>
    <w:rsid w:val="00393AA2"/>
    <w:rsid w:val="003947A4"/>
    <w:rsid w:val="00395152"/>
    <w:rsid w:val="00396D0F"/>
    <w:rsid w:val="0039705A"/>
    <w:rsid w:val="00397A46"/>
    <w:rsid w:val="00397ECA"/>
    <w:rsid w:val="003A1677"/>
    <w:rsid w:val="003A17F2"/>
    <w:rsid w:val="003A1AC8"/>
    <w:rsid w:val="003A1C02"/>
    <w:rsid w:val="003A1FC9"/>
    <w:rsid w:val="003A3AF2"/>
    <w:rsid w:val="003A4022"/>
    <w:rsid w:val="003A467C"/>
    <w:rsid w:val="003A4D1F"/>
    <w:rsid w:val="003A52E8"/>
    <w:rsid w:val="003A6804"/>
    <w:rsid w:val="003A6C00"/>
    <w:rsid w:val="003A71C3"/>
    <w:rsid w:val="003A74C7"/>
    <w:rsid w:val="003A76D0"/>
    <w:rsid w:val="003B023F"/>
    <w:rsid w:val="003B0453"/>
    <w:rsid w:val="003B0AFE"/>
    <w:rsid w:val="003B140E"/>
    <w:rsid w:val="003B1C23"/>
    <w:rsid w:val="003B1EAB"/>
    <w:rsid w:val="003B3127"/>
    <w:rsid w:val="003B4028"/>
    <w:rsid w:val="003B4242"/>
    <w:rsid w:val="003B48FA"/>
    <w:rsid w:val="003B563C"/>
    <w:rsid w:val="003B622F"/>
    <w:rsid w:val="003B6574"/>
    <w:rsid w:val="003B7A0D"/>
    <w:rsid w:val="003B7AF2"/>
    <w:rsid w:val="003B7C47"/>
    <w:rsid w:val="003C0292"/>
    <w:rsid w:val="003C04B6"/>
    <w:rsid w:val="003C2196"/>
    <w:rsid w:val="003C2C35"/>
    <w:rsid w:val="003C3589"/>
    <w:rsid w:val="003C4650"/>
    <w:rsid w:val="003C5581"/>
    <w:rsid w:val="003C5712"/>
    <w:rsid w:val="003C646B"/>
    <w:rsid w:val="003C6FFF"/>
    <w:rsid w:val="003C7A1B"/>
    <w:rsid w:val="003C7EB2"/>
    <w:rsid w:val="003D09A9"/>
    <w:rsid w:val="003D0DA1"/>
    <w:rsid w:val="003D1DC8"/>
    <w:rsid w:val="003D2178"/>
    <w:rsid w:val="003D29B1"/>
    <w:rsid w:val="003D2A98"/>
    <w:rsid w:val="003D2D08"/>
    <w:rsid w:val="003D2D60"/>
    <w:rsid w:val="003D2DF3"/>
    <w:rsid w:val="003D4731"/>
    <w:rsid w:val="003D478B"/>
    <w:rsid w:val="003D4842"/>
    <w:rsid w:val="003D4B89"/>
    <w:rsid w:val="003D522A"/>
    <w:rsid w:val="003D5252"/>
    <w:rsid w:val="003D7650"/>
    <w:rsid w:val="003E00F2"/>
    <w:rsid w:val="003E042D"/>
    <w:rsid w:val="003E0620"/>
    <w:rsid w:val="003E0792"/>
    <w:rsid w:val="003E0F29"/>
    <w:rsid w:val="003E13FB"/>
    <w:rsid w:val="003E17EF"/>
    <w:rsid w:val="003E1A58"/>
    <w:rsid w:val="003E1C8D"/>
    <w:rsid w:val="003E2248"/>
    <w:rsid w:val="003E3464"/>
    <w:rsid w:val="003E3619"/>
    <w:rsid w:val="003E4316"/>
    <w:rsid w:val="003E4580"/>
    <w:rsid w:val="003E4728"/>
    <w:rsid w:val="003E48EB"/>
    <w:rsid w:val="003E4983"/>
    <w:rsid w:val="003E4B40"/>
    <w:rsid w:val="003E54D5"/>
    <w:rsid w:val="003E5E1F"/>
    <w:rsid w:val="003E6176"/>
    <w:rsid w:val="003E7155"/>
    <w:rsid w:val="003F0285"/>
    <w:rsid w:val="003F074F"/>
    <w:rsid w:val="003F0DA2"/>
    <w:rsid w:val="003F1082"/>
    <w:rsid w:val="003F1E46"/>
    <w:rsid w:val="003F2E60"/>
    <w:rsid w:val="003F2F47"/>
    <w:rsid w:val="003F2FD4"/>
    <w:rsid w:val="003F4507"/>
    <w:rsid w:val="003F50C9"/>
    <w:rsid w:val="003F5835"/>
    <w:rsid w:val="003F5E33"/>
    <w:rsid w:val="003F70D9"/>
    <w:rsid w:val="003F7788"/>
    <w:rsid w:val="004000A9"/>
    <w:rsid w:val="0040181D"/>
    <w:rsid w:val="00401F75"/>
    <w:rsid w:val="00402027"/>
    <w:rsid w:val="00402BED"/>
    <w:rsid w:val="004036A3"/>
    <w:rsid w:val="00403CF2"/>
    <w:rsid w:val="0040426A"/>
    <w:rsid w:val="00404280"/>
    <w:rsid w:val="004043D4"/>
    <w:rsid w:val="004048F0"/>
    <w:rsid w:val="0040553E"/>
    <w:rsid w:val="00405960"/>
    <w:rsid w:val="00405B44"/>
    <w:rsid w:val="00406E60"/>
    <w:rsid w:val="00407284"/>
    <w:rsid w:val="004102BA"/>
    <w:rsid w:val="004121DF"/>
    <w:rsid w:val="00412A59"/>
    <w:rsid w:val="00413061"/>
    <w:rsid w:val="004138C7"/>
    <w:rsid w:val="004145AB"/>
    <w:rsid w:val="004147A0"/>
    <w:rsid w:val="004152F6"/>
    <w:rsid w:val="00415513"/>
    <w:rsid w:val="0041575F"/>
    <w:rsid w:val="00415BFB"/>
    <w:rsid w:val="004160EB"/>
    <w:rsid w:val="004161C7"/>
    <w:rsid w:val="004163A2"/>
    <w:rsid w:val="004165D3"/>
    <w:rsid w:val="0041707A"/>
    <w:rsid w:val="00417655"/>
    <w:rsid w:val="00417C74"/>
    <w:rsid w:val="0042053B"/>
    <w:rsid w:val="004216FC"/>
    <w:rsid w:val="0042256D"/>
    <w:rsid w:val="00423015"/>
    <w:rsid w:val="004247E1"/>
    <w:rsid w:val="00424815"/>
    <w:rsid w:val="004249E2"/>
    <w:rsid w:val="00424A14"/>
    <w:rsid w:val="0042520B"/>
    <w:rsid w:val="00425B68"/>
    <w:rsid w:val="004265B7"/>
    <w:rsid w:val="0042693D"/>
    <w:rsid w:val="00426AB1"/>
    <w:rsid w:val="004277A2"/>
    <w:rsid w:val="00427A66"/>
    <w:rsid w:val="00427EEC"/>
    <w:rsid w:val="00430327"/>
    <w:rsid w:val="00430764"/>
    <w:rsid w:val="004308B2"/>
    <w:rsid w:val="004318B2"/>
    <w:rsid w:val="004318CE"/>
    <w:rsid w:val="0043195D"/>
    <w:rsid w:val="00431C65"/>
    <w:rsid w:val="00432E64"/>
    <w:rsid w:val="00433ABF"/>
    <w:rsid w:val="00434410"/>
    <w:rsid w:val="00434489"/>
    <w:rsid w:val="00436102"/>
    <w:rsid w:val="00436B99"/>
    <w:rsid w:val="004376BA"/>
    <w:rsid w:val="00437C77"/>
    <w:rsid w:val="00437FC8"/>
    <w:rsid w:val="00441063"/>
    <w:rsid w:val="004410D1"/>
    <w:rsid w:val="004414B0"/>
    <w:rsid w:val="004417BD"/>
    <w:rsid w:val="0044276C"/>
    <w:rsid w:val="004427AD"/>
    <w:rsid w:val="00442C36"/>
    <w:rsid w:val="0044494B"/>
    <w:rsid w:val="00445ED6"/>
    <w:rsid w:val="00445EE7"/>
    <w:rsid w:val="00446201"/>
    <w:rsid w:val="004465B9"/>
    <w:rsid w:val="00446D9B"/>
    <w:rsid w:val="004470C6"/>
    <w:rsid w:val="00447154"/>
    <w:rsid w:val="00447B91"/>
    <w:rsid w:val="00447C95"/>
    <w:rsid w:val="00447EF5"/>
    <w:rsid w:val="004502E1"/>
    <w:rsid w:val="0045067A"/>
    <w:rsid w:val="004531B2"/>
    <w:rsid w:val="004539D5"/>
    <w:rsid w:val="00453D4B"/>
    <w:rsid w:val="00453DBF"/>
    <w:rsid w:val="00454415"/>
    <w:rsid w:val="00454434"/>
    <w:rsid w:val="004560FC"/>
    <w:rsid w:val="004563DA"/>
    <w:rsid w:val="004564DD"/>
    <w:rsid w:val="0045678B"/>
    <w:rsid w:val="004576CD"/>
    <w:rsid w:val="00461178"/>
    <w:rsid w:val="00461B41"/>
    <w:rsid w:val="00461E66"/>
    <w:rsid w:val="00462354"/>
    <w:rsid w:val="0046246A"/>
    <w:rsid w:val="004633C4"/>
    <w:rsid w:val="00464797"/>
    <w:rsid w:val="00465511"/>
    <w:rsid w:val="0046579A"/>
    <w:rsid w:val="00465CB1"/>
    <w:rsid w:val="00465ED7"/>
    <w:rsid w:val="0046683B"/>
    <w:rsid w:val="00467260"/>
    <w:rsid w:val="00467A99"/>
    <w:rsid w:val="0047007C"/>
    <w:rsid w:val="00470A9A"/>
    <w:rsid w:val="004719B5"/>
    <w:rsid w:val="00472731"/>
    <w:rsid w:val="00473B6A"/>
    <w:rsid w:val="00473C0F"/>
    <w:rsid w:val="004748DC"/>
    <w:rsid w:val="00474984"/>
    <w:rsid w:val="00476158"/>
    <w:rsid w:val="00476C04"/>
    <w:rsid w:val="00477359"/>
    <w:rsid w:val="0047759A"/>
    <w:rsid w:val="0048021A"/>
    <w:rsid w:val="00480903"/>
    <w:rsid w:val="00480FD9"/>
    <w:rsid w:val="004810E9"/>
    <w:rsid w:val="00481795"/>
    <w:rsid w:val="0048277A"/>
    <w:rsid w:val="00484DB6"/>
    <w:rsid w:val="00485199"/>
    <w:rsid w:val="00485B29"/>
    <w:rsid w:val="004864CD"/>
    <w:rsid w:val="004869D4"/>
    <w:rsid w:val="00486E56"/>
    <w:rsid w:val="00486F7A"/>
    <w:rsid w:val="0048701B"/>
    <w:rsid w:val="00487BE4"/>
    <w:rsid w:val="004902F3"/>
    <w:rsid w:val="00490B98"/>
    <w:rsid w:val="00490BD8"/>
    <w:rsid w:val="00491143"/>
    <w:rsid w:val="0049182E"/>
    <w:rsid w:val="00491D45"/>
    <w:rsid w:val="00492D74"/>
    <w:rsid w:val="00494005"/>
    <w:rsid w:val="004940B1"/>
    <w:rsid w:val="004944D4"/>
    <w:rsid w:val="004958DA"/>
    <w:rsid w:val="00495A9F"/>
    <w:rsid w:val="00495CFD"/>
    <w:rsid w:val="0049620E"/>
    <w:rsid w:val="00497D49"/>
    <w:rsid w:val="004A07D6"/>
    <w:rsid w:val="004A0AD9"/>
    <w:rsid w:val="004A19D7"/>
    <w:rsid w:val="004A1B57"/>
    <w:rsid w:val="004A229E"/>
    <w:rsid w:val="004A28BC"/>
    <w:rsid w:val="004A2CF1"/>
    <w:rsid w:val="004A3B37"/>
    <w:rsid w:val="004A4357"/>
    <w:rsid w:val="004A5CB5"/>
    <w:rsid w:val="004A5E20"/>
    <w:rsid w:val="004A6184"/>
    <w:rsid w:val="004A6584"/>
    <w:rsid w:val="004A6B76"/>
    <w:rsid w:val="004A7623"/>
    <w:rsid w:val="004A78B4"/>
    <w:rsid w:val="004B047C"/>
    <w:rsid w:val="004B0BD1"/>
    <w:rsid w:val="004B0DE8"/>
    <w:rsid w:val="004B100E"/>
    <w:rsid w:val="004B147F"/>
    <w:rsid w:val="004B171E"/>
    <w:rsid w:val="004B18DB"/>
    <w:rsid w:val="004B1B67"/>
    <w:rsid w:val="004B1DCB"/>
    <w:rsid w:val="004B1FA2"/>
    <w:rsid w:val="004B255B"/>
    <w:rsid w:val="004B2793"/>
    <w:rsid w:val="004B2C85"/>
    <w:rsid w:val="004B32A7"/>
    <w:rsid w:val="004B43BA"/>
    <w:rsid w:val="004B4A3C"/>
    <w:rsid w:val="004B4D23"/>
    <w:rsid w:val="004B4FBF"/>
    <w:rsid w:val="004B5015"/>
    <w:rsid w:val="004B540C"/>
    <w:rsid w:val="004B584E"/>
    <w:rsid w:val="004B6630"/>
    <w:rsid w:val="004B6E44"/>
    <w:rsid w:val="004B6F48"/>
    <w:rsid w:val="004B7DFE"/>
    <w:rsid w:val="004C0645"/>
    <w:rsid w:val="004C0F06"/>
    <w:rsid w:val="004C1476"/>
    <w:rsid w:val="004C23ED"/>
    <w:rsid w:val="004C2D66"/>
    <w:rsid w:val="004C2DF8"/>
    <w:rsid w:val="004C2EE7"/>
    <w:rsid w:val="004C35B2"/>
    <w:rsid w:val="004C3815"/>
    <w:rsid w:val="004C3D4C"/>
    <w:rsid w:val="004C4103"/>
    <w:rsid w:val="004C4D25"/>
    <w:rsid w:val="004C4E3E"/>
    <w:rsid w:val="004C58F2"/>
    <w:rsid w:val="004C6081"/>
    <w:rsid w:val="004C6515"/>
    <w:rsid w:val="004C6E6B"/>
    <w:rsid w:val="004C7324"/>
    <w:rsid w:val="004C765D"/>
    <w:rsid w:val="004D00DA"/>
    <w:rsid w:val="004D068B"/>
    <w:rsid w:val="004D08B9"/>
    <w:rsid w:val="004D0C48"/>
    <w:rsid w:val="004D0FED"/>
    <w:rsid w:val="004D10AF"/>
    <w:rsid w:val="004D1399"/>
    <w:rsid w:val="004D3429"/>
    <w:rsid w:val="004D3895"/>
    <w:rsid w:val="004D3DBE"/>
    <w:rsid w:val="004D408F"/>
    <w:rsid w:val="004D5669"/>
    <w:rsid w:val="004D5F5B"/>
    <w:rsid w:val="004D61E5"/>
    <w:rsid w:val="004D6939"/>
    <w:rsid w:val="004D6C32"/>
    <w:rsid w:val="004D74CA"/>
    <w:rsid w:val="004D76CD"/>
    <w:rsid w:val="004E08A3"/>
    <w:rsid w:val="004E13EA"/>
    <w:rsid w:val="004E15DE"/>
    <w:rsid w:val="004E1E38"/>
    <w:rsid w:val="004E358A"/>
    <w:rsid w:val="004E3C14"/>
    <w:rsid w:val="004E422F"/>
    <w:rsid w:val="004E4686"/>
    <w:rsid w:val="004E4E07"/>
    <w:rsid w:val="004E56CF"/>
    <w:rsid w:val="004E5827"/>
    <w:rsid w:val="004E5C6F"/>
    <w:rsid w:val="004E62A8"/>
    <w:rsid w:val="004E6393"/>
    <w:rsid w:val="004E66DA"/>
    <w:rsid w:val="004E6A3F"/>
    <w:rsid w:val="004E7143"/>
    <w:rsid w:val="004E7AAF"/>
    <w:rsid w:val="004F0319"/>
    <w:rsid w:val="004F05D8"/>
    <w:rsid w:val="004F06CB"/>
    <w:rsid w:val="004F0A6F"/>
    <w:rsid w:val="004F1235"/>
    <w:rsid w:val="004F1519"/>
    <w:rsid w:val="004F16A9"/>
    <w:rsid w:val="004F1AE9"/>
    <w:rsid w:val="004F1E8E"/>
    <w:rsid w:val="004F1FC5"/>
    <w:rsid w:val="004F2459"/>
    <w:rsid w:val="004F31B6"/>
    <w:rsid w:val="004F344B"/>
    <w:rsid w:val="004F3500"/>
    <w:rsid w:val="004F3E2D"/>
    <w:rsid w:val="004F3E88"/>
    <w:rsid w:val="004F4861"/>
    <w:rsid w:val="004F568D"/>
    <w:rsid w:val="004F5CBB"/>
    <w:rsid w:val="004F5D36"/>
    <w:rsid w:val="004F5E7F"/>
    <w:rsid w:val="004F6261"/>
    <w:rsid w:val="004F62F4"/>
    <w:rsid w:val="004F6392"/>
    <w:rsid w:val="004F65CA"/>
    <w:rsid w:val="004F65F8"/>
    <w:rsid w:val="004F6ACB"/>
    <w:rsid w:val="00500699"/>
    <w:rsid w:val="0050070B"/>
    <w:rsid w:val="0050077B"/>
    <w:rsid w:val="00500ECC"/>
    <w:rsid w:val="00503144"/>
    <w:rsid w:val="005055A2"/>
    <w:rsid w:val="005059B3"/>
    <w:rsid w:val="00505A32"/>
    <w:rsid w:val="00506264"/>
    <w:rsid w:val="0050636A"/>
    <w:rsid w:val="0050662B"/>
    <w:rsid w:val="005069F3"/>
    <w:rsid w:val="00507BB3"/>
    <w:rsid w:val="00510B2E"/>
    <w:rsid w:val="00510E8C"/>
    <w:rsid w:val="0051229A"/>
    <w:rsid w:val="00512C96"/>
    <w:rsid w:val="005131BA"/>
    <w:rsid w:val="00513894"/>
    <w:rsid w:val="00513B0E"/>
    <w:rsid w:val="00514175"/>
    <w:rsid w:val="00514639"/>
    <w:rsid w:val="00514974"/>
    <w:rsid w:val="00514D30"/>
    <w:rsid w:val="00514DCD"/>
    <w:rsid w:val="00515C74"/>
    <w:rsid w:val="00515DAA"/>
    <w:rsid w:val="00515E08"/>
    <w:rsid w:val="00516534"/>
    <w:rsid w:val="00516806"/>
    <w:rsid w:val="0051754E"/>
    <w:rsid w:val="00517AAE"/>
    <w:rsid w:val="00517C88"/>
    <w:rsid w:val="00520AD4"/>
    <w:rsid w:val="00520C9B"/>
    <w:rsid w:val="005214C7"/>
    <w:rsid w:val="00522364"/>
    <w:rsid w:val="005229D3"/>
    <w:rsid w:val="005230FC"/>
    <w:rsid w:val="005231A5"/>
    <w:rsid w:val="00524526"/>
    <w:rsid w:val="005250DC"/>
    <w:rsid w:val="00525290"/>
    <w:rsid w:val="00525463"/>
    <w:rsid w:val="005257E9"/>
    <w:rsid w:val="00525F03"/>
    <w:rsid w:val="00526256"/>
    <w:rsid w:val="00527655"/>
    <w:rsid w:val="00530CB1"/>
    <w:rsid w:val="005310D6"/>
    <w:rsid w:val="00531E72"/>
    <w:rsid w:val="00531FB3"/>
    <w:rsid w:val="00532A10"/>
    <w:rsid w:val="00532CB6"/>
    <w:rsid w:val="00532DC5"/>
    <w:rsid w:val="00532E2D"/>
    <w:rsid w:val="00532F3A"/>
    <w:rsid w:val="00533712"/>
    <w:rsid w:val="00533AD6"/>
    <w:rsid w:val="0053467C"/>
    <w:rsid w:val="00534864"/>
    <w:rsid w:val="00534A42"/>
    <w:rsid w:val="00534E58"/>
    <w:rsid w:val="005356AA"/>
    <w:rsid w:val="00535E0F"/>
    <w:rsid w:val="00536BE6"/>
    <w:rsid w:val="00536EC5"/>
    <w:rsid w:val="0053704C"/>
    <w:rsid w:val="005370F6"/>
    <w:rsid w:val="005373C0"/>
    <w:rsid w:val="00540089"/>
    <w:rsid w:val="00541676"/>
    <w:rsid w:val="00542362"/>
    <w:rsid w:val="005424D0"/>
    <w:rsid w:val="00542C7B"/>
    <w:rsid w:val="00543BE9"/>
    <w:rsid w:val="00544270"/>
    <w:rsid w:val="00544C4A"/>
    <w:rsid w:val="0054557B"/>
    <w:rsid w:val="00545D0C"/>
    <w:rsid w:val="0054743A"/>
    <w:rsid w:val="00547807"/>
    <w:rsid w:val="00547883"/>
    <w:rsid w:val="005479ED"/>
    <w:rsid w:val="00547A74"/>
    <w:rsid w:val="0055023A"/>
    <w:rsid w:val="005512BE"/>
    <w:rsid w:val="0055174C"/>
    <w:rsid w:val="0055200C"/>
    <w:rsid w:val="00552763"/>
    <w:rsid w:val="00552B73"/>
    <w:rsid w:val="00553118"/>
    <w:rsid w:val="0055435E"/>
    <w:rsid w:val="00554ADD"/>
    <w:rsid w:val="00554B1B"/>
    <w:rsid w:val="00555682"/>
    <w:rsid w:val="00556420"/>
    <w:rsid w:val="00556B2B"/>
    <w:rsid w:val="00556C9C"/>
    <w:rsid w:val="00556CFF"/>
    <w:rsid w:val="00557007"/>
    <w:rsid w:val="005576EC"/>
    <w:rsid w:val="0055791F"/>
    <w:rsid w:val="00557C5A"/>
    <w:rsid w:val="00560827"/>
    <w:rsid w:val="00560D13"/>
    <w:rsid w:val="00560EC5"/>
    <w:rsid w:val="00561939"/>
    <w:rsid w:val="00561BD1"/>
    <w:rsid w:val="00562E72"/>
    <w:rsid w:val="00563040"/>
    <w:rsid w:val="0056306D"/>
    <w:rsid w:val="00563230"/>
    <w:rsid w:val="0056378B"/>
    <w:rsid w:val="0056476F"/>
    <w:rsid w:val="0056498C"/>
    <w:rsid w:val="00564CE0"/>
    <w:rsid w:val="00565141"/>
    <w:rsid w:val="00565951"/>
    <w:rsid w:val="00565E44"/>
    <w:rsid w:val="00566085"/>
    <w:rsid w:val="005667DD"/>
    <w:rsid w:val="00566947"/>
    <w:rsid w:val="00566AEB"/>
    <w:rsid w:val="00566C0C"/>
    <w:rsid w:val="00567085"/>
    <w:rsid w:val="005673B3"/>
    <w:rsid w:val="005674A9"/>
    <w:rsid w:val="00567691"/>
    <w:rsid w:val="0057072F"/>
    <w:rsid w:val="00570843"/>
    <w:rsid w:val="00571B56"/>
    <w:rsid w:val="00573509"/>
    <w:rsid w:val="0057491F"/>
    <w:rsid w:val="00575A49"/>
    <w:rsid w:val="00576268"/>
    <w:rsid w:val="00577D37"/>
    <w:rsid w:val="00577E96"/>
    <w:rsid w:val="00577F7A"/>
    <w:rsid w:val="00580179"/>
    <w:rsid w:val="00580874"/>
    <w:rsid w:val="00580943"/>
    <w:rsid w:val="00580DC6"/>
    <w:rsid w:val="0058126A"/>
    <w:rsid w:val="00581AC9"/>
    <w:rsid w:val="00582734"/>
    <w:rsid w:val="00582CA8"/>
    <w:rsid w:val="00583153"/>
    <w:rsid w:val="005831AE"/>
    <w:rsid w:val="00583796"/>
    <w:rsid w:val="00583C8F"/>
    <w:rsid w:val="005841D4"/>
    <w:rsid w:val="005843D3"/>
    <w:rsid w:val="00584688"/>
    <w:rsid w:val="00585093"/>
    <w:rsid w:val="00585125"/>
    <w:rsid w:val="005854D4"/>
    <w:rsid w:val="00585996"/>
    <w:rsid w:val="00585C21"/>
    <w:rsid w:val="00587154"/>
    <w:rsid w:val="00587FE3"/>
    <w:rsid w:val="00590245"/>
    <w:rsid w:val="00592137"/>
    <w:rsid w:val="00592361"/>
    <w:rsid w:val="005925EB"/>
    <w:rsid w:val="0059364F"/>
    <w:rsid w:val="005937F6"/>
    <w:rsid w:val="00596D86"/>
    <w:rsid w:val="00597917"/>
    <w:rsid w:val="005A0218"/>
    <w:rsid w:val="005A02A4"/>
    <w:rsid w:val="005A0793"/>
    <w:rsid w:val="005A0DF7"/>
    <w:rsid w:val="005A1055"/>
    <w:rsid w:val="005A15F5"/>
    <w:rsid w:val="005A237D"/>
    <w:rsid w:val="005A2577"/>
    <w:rsid w:val="005A2D81"/>
    <w:rsid w:val="005A2F31"/>
    <w:rsid w:val="005A3066"/>
    <w:rsid w:val="005A3FFF"/>
    <w:rsid w:val="005A4013"/>
    <w:rsid w:val="005A4698"/>
    <w:rsid w:val="005A56BF"/>
    <w:rsid w:val="005A5986"/>
    <w:rsid w:val="005A5D94"/>
    <w:rsid w:val="005A60E1"/>
    <w:rsid w:val="005A6402"/>
    <w:rsid w:val="005A69E6"/>
    <w:rsid w:val="005A721B"/>
    <w:rsid w:val="005A7425"/>
    <w:rsid w:val="005A7A42"/>
    <w:rsid w:val="005A7A9B"/>
    <w:rsid w:val="005B0064"/>
    <w:rsid w:val="005B1D80"/>
    <w:rsid w:val="005B27A6"/>
    <w:rsid w:val="005B2C4C"/>
    <w:rsid w:val="005B2EE5"/>
    <w:rsid w:val="005B33E0"/>
    <w:rsid w:val="005B380A"/>
    <w:rsid w:val="005B3E6B"/>
    <w:rsid w:val="005B46D2"/>
    <w:rsid w:val="005B4B09"/>
    <w:rsid w:val="005B4E7E"/>
    <w:rsid w:val="005B5129"/>
    <w:rsid w:val="005B5DF1"/>
    <w:rsid w:val="005B68B9"/>
    <w:rsid w:val="005B6990"/>
    <w:rsid w:val="005C0446"/>
    <w:rsid w:val="005C094A"/>
    <w:rsid w:val="005C09B3"/>
    <w:rsid w:val="005C0DD1"/>
    <w:rsid w:val="005C10F9"/>
    <w:rsid w:val="005C1178"/>
    <w:rsid w:val="005C261A"/>
    <w:rsid w:val="005C3192"/>
    <w:rsid w:val="005C3567"/>
    <w:rsid w:val="005C5C2D"/>
    <w:rsid w:val="005C68F4"/>
    <w:rsid w:val="005C6E6F"/>
    <w:rsid w:val="005C78CD"/>
    <w:rsid w:val="005D0BF8"/>
    <w:rsid w:val="005D0EF1"/>
    <w:rsid w:val="005D1416"/>
    <w:rsid w:val="005D18EC"/>
    <w:rsid w:val="005D1D9D"/>
    <w:rsid w:val="005D270F"/>
    <w:rsid w:val="005D2F33"/>
    <w:rsid w:val="005D3678"/>
    <w:rsid w:val="005D3B09"/>
    <w:rsid w:val="005D3CFE"/>
    <w:rsid w:val="005D4DDA"/>
    <w:rsid w:val="005D52E3"/>
    <w:rsid w:val="005D5B02"/>
    <w:rsid w:val="005D5BA0"/>
    <w:rsid w:val="005D5FA0"/>
    <w:rsid w:val="005D6765"/>
    <w:rsid w:val="005E0AED"/>
    <w:rsid w:val="005E0BFC"/>
    <w:rsid w:val="005E202C"/>
    <w:rsid w:val="005E2116"/>
    <w:rsid w:val="005E2140"/>
    <w:rsid w:val="005E2F9B"/>
    <w:rsid w:val="005E3F6F"/>
    <w:rsid w:val="005E49F9"/>
    <w:rsid w:val="005E5E14"/>
    <w:rsid w:val="005E78BB"/>
    <w:rsid w:val="005E7E42"/>
    <w:rsid w:val="005E7E7D"/>
    <w:rsid w:val="005E7ED2"/>
    <w:rsid w:val="005F09DC"/>
    <w:rsid w:val="005F112B"/>
    <w:rsid w:val="005F15D0"/>
    <w:rsid w:val="005F1600"/>
    <w:rsid w:val="005F1C00"/>
    <w:rsid w:val="005F2257"/>
    <w:rsid w:val="005F2480"/>
    <w:rsid w:val="005F2C8D"/>
    <w:rsid w:val="005F3D8F"/>
    <w:rsid w:val="005F482B"/>
    <w:rsid w:val="005F4BA9"/>
    <w:rsid w:val="005F4F16"/>
    <w:rsid w:val="005F57AE"/>
    <w:rsid w:val="005F5CD6"/>
    <w:rsid w:val="005F6AA7"/>
    <w:rsid w:val="005F70D4"/>
    <w:rsid w:val="005F7285"/>
    <w:rsid w:val="005F790C"/>
    <w:rsid w:val="005F7F4A"/>
    <w:rsid w:val="00600144"/>
    <w:rsid w:val="00600721"/>
    <w:rsid w:val="00600F00"/>
    <w:rsid w:val="0060161A"/>
    <w:rsid w:val="00601D77"/>
    <w:rsid w:val="00601D82"/>
    <w:rsid w:val="006023DF"/>
    <w:rsid w:val="00602C9A"/>
    <w:rsid w:val="00602D01"/>
    <w:rsid w:val="00602DBB"/>
    <w:rsid w:val="00602EBD"/>
    <w:rsid w:val="006035D9"/>
    <w:rsid w:val="00604664"/>
    <w:rsid w:val="006046D7"/>
    <w:rsid w:val="00604ACF"/>
    <w:rsid w:val="00604BD0"/>
    <w:rsid w:val="00605765"/>
    <w:rsid w:val="0060594E"/>
    <w:rsid w:val="00605A85"/>
    <w:rsid w:val="00605B81"/>
    <w:rsid w:val="00605C11"/>
    <w:rsid w:val="00605D41"/>
    <w:rsid w:val="00605FB8"/>
    <w:rsid w:val="0060615A"/>
    <w:rsid w:val="006061BE"/>
    <w:rsid w:val="00606C29"/>
    <w:rsid w:val="00606CC5"/>
    <w:rsid w:val="00607650"/>
    <w:rsid w:val="00607D4E"/>
    <w:rsid w:val="00610446"/>
    <w:rsid w:val="00610B0D"/>
    <w:rsid w:val="0061138C"/>
    <w:rsid w:val="006113DB"/>
    <w:rsid w:val="0061169D"/>
    <w:rsid w:val="0061191A"/>
    <w:rsid w:val="0061194F"/>
    <w:rsid w:val="006122CC"/>
    <w:rsid w:val="00612A5C"/>
    <w:rsid w:val="006133CA"/>
    <w:rsid w:val="0061341F"/>
    <w:rsid w:val="0061343B"/>
    <w:rsid w:val="0061360F"/>
    <w:rsid w:val="00613AF8"/>
    <w:rsid w:val="0061422D"/>
    <w:rsid w:val="006148CD"/>
    <w:rsid w:val="0061490A"/>
    <w:rsid w:val="0061538B"/>
    <w:rsid w:val="006156BB"/>
    <w:rsid w:val="006161D4"/>
    <w:rsid w:val="0061669C"/>
    <w:rsid w:val="006170E5"/>
    <w:rsid w:val="0061739D"/>
    <w:rsid w:val="0061799B"/>
    <w:rsid w:val="00617FAD"/>
    <w:rsid w:val="00620105"/>
    <w:rsid w:val="00620FCE"/>
    <w:rsid w:val="00621219"/>
    <w:rsid w:val="006212C7"/>
    <w:rsid w:val="006224F8"/>
    <w:rsid w:val="006226B4"/>
    <w:rsid w:val="00622CD0"/>
    <w:rsid w:val="00622F49"/>
    <w:rsid w:val="00622F5B"/>
    <w:rsid w:val="00623180"/>
    <w:rsid w:val="006231B1"/>
    <w:rsid w:val="00623EAE"/>
    <w:rsid w:val="0062427E"/>
    <w:rsid w:val="00624863"/>
    <w:rsid w:val="00624AE4"/>
    <w:rsid w:val="00624BB4"/>
    <w:rsid w:val="00624E86"/>
    <w:rsid w:val="00625144"/>
    <w:rsid w:val="00625700"/>
    <w:rsid w:val="00626138"/>
    <w:rsid w:val="006267D3"/>
    <w:rsid w:val="00626C9B"/>
    <w:rsid w:val="00626ED1"/>
    <w:rsid w:val="00627CD2"/>
    <w:rsid w:val="00627E81"/>
    <w:rsid w:val="0063022F"/>
    <w:rsid w:val="00630936"/>
    <w:rsid w:val="00630FCC"/>
    <w:rsid w:val="0063114D"/>
    <w:rsid w:val="00631B1F"/>
    <w:rsid w:val="00632592"/>
    <w:rsid w:val="00632BE9"/>
    <w:rsid w:val="00633133"/>
    <w:rsid w:val="00633590"/>
    <w:rsid w:val="00633C48"/>
    <w:rsid w:val="006340DF"/>
    <w:rsid w:val="00634972"/>
    <w:rsid w:val="006350DC"/>
    <w:rsid w:val="00635625"/>
    <w:rsid w:val="00636753"/>
    <w:rsid w:val="0063699D"/>
    <w:rsid w:val="006371DF"/>
    <w:rsid w:val="006401B1"/>
    <w:rsid w:val="00640DD2"/>
    <w:rsid w:val="006413EC"/>
    <w:rsid w:val="00641863"/>
    <w:rsid w:val="00641F0E"/>
    <w:rsid w:val="006422B8"/>
    <w:rsid w:val="00642843"/>
    <w:rsid w:val="006428DF"/>
    <w:rsid w:val="00642933"/>
    <w:rsid w:val="006429B8"/>
    <w:rsid w:val="00643BF6"/>
    <w:rsid w:val="00644370"/>
    <w:rsid w:val="006464B8"/>
    <w:rsid w:val="00646548"/>
    <w:rsid w:val="00646A9C"/>
    <w:rsid w:val="006471A0"/>
    <w:rsid w:val="00647670"/>
    <w:rsid w:val="00647F03"/>
    <w:rsid w:val="00650080"/>
    <w:rsid w:val="00650141"/>
    <w:rsid w:val="00650FF3"/>
    <w:rsid w:val="00651F65"/>
    <w:rsid w:val="00652646"/>
    <w:rsid w:val="00652939"/>
    <w:rsid w:val="00652BD9"/>
    <w:rsid w:val="00652D63"/>
    <w:rsid w:val="0065380E"/>
    <w:rsid w:val="006553C0"/>
    <w:rsid w:val="00655681"/>
    <w:rsid w:val="00655704"/>
    <w:rsid w:val="006573A7"/>
    <w:rsid w:val="0065751E"/>
    <w:rsid w:val="00657733"/>
    <w:rsid w:val="00657C4B"/>
    <w:rsid w:val="00660476"/>
    <w:rsid w:val="00660AC4"/>
    <w:rsid w:val="00660DDA"/>
    <w:rsid w:val="00660F7A"/>
    <w:rsid w:val="006611B2"/>
    <w:rsid w:val="00661642"/>
    <w:rsid w:val="00661934"/>
    <w:rsid w:val="00662CBC"/>
    <w:rsid w:val="0066355A"/>
    <w:rsid w:val="00664305"/>
    <w:rsid w:val="00664A83"/>
    <w:rsid w:val="00664F28"/>
    <w:rsid w:val="00665201"/>
    <w:rsid w:val="00665465"/>
    <w:rsid w:val="0066638D"/>
    <w:rsid w:val="00666A6B"/>
    <w:rsid w:val="00667B67"/>
    <w:rsid w:val="00667E7F"/>
    <w:rsid w:val="00670849"/>
    <w:rsid w:val="00670C33"/>
    <w:rsid w:val="00670F2A"/>
    <w:rsid w:val="00671324"/>
    <w:rsid w:val="00671A1C"/>
    <w:rsid w:val="006728F8"/>
    <w:rsid w:val="00673FF8"/>
    <w:rsid w:val="00674167"/>
    <w:rsid w:val="00674254"/>
    <w:rsid w:val="00674353"/>
    <w:rsid w:val="00674AF7"/>
    <w:rsid w:val="006752D0"/>
    <w:rsid w:val="00675C32"/>
    <w:rsid w:val="00675DC2"/>
    <w:rsid w:val="0067690C"/>
    <w:rsid w:val="00676FCA"/>
    <w:rsid w:val="00677573"/>
    <w:rsid w:val="00680C71"/>
    <w:rsid w:val="006812F9"/>
    <w:rsid w:val="00681B0B"/>
    <w:rsid w:val="00681E1F"/>
    <w:rsid w:val="00683C30"/>
    <w:rsid w:val="00683CC8"/>
    <w:rsid w:val="006846E8"/>
    <w:rsid w:val="006868DC"/>
    <w:rsid w:val="0068701A"/>
    <w:rsid w:val="006878AB"/>
    <w:rsid w:val="00687EBB"/>
    <w:rsid w:val="006905D9"/>
    <w:rsid w:val="00690612"/>
    <w:rsid w:val="0069084D"/>
    <w:rsid w:val="00690C7E"/>
    <w:rsid w:val="00690F6C"/>
    <w:rsid w:val="0069179D"/>
    <w:rsid w:val="0069272D"/>
    <w:rsid w:val="006927A0"/>
    <w:rsid w:val="006929C2"/>
    <w:rsid w:val="006930A3"/>
    <w:rsid w:val="0069360A"/>
    <w:rsid w:val="006938D7"/>
    <w:rsid w:val="006952DD"/>
    <w:rsid w:val="00695BAF"/>
    <w:rsid w:val="006964A4"/>
    <w:rsid w:val="006970EB"/>
    <w:rsid w:val="00697DB8"/>
    <w:rsid w:val="00697F5D"/>
    <w:rsid w:val="006A09E1"/>
    <w:rsid w:val="006A0F57"/>
    <w:rsid w:val="006A1302"/>
    <w:rsid w:val="006A1404"/>
    <w:rsid w:val="006A35CE"/>
    <w:rsid w:val="006A3FA1"/>
    <w:rsid w:val="006A3FF6"/>
    <w:rsid w:val="006A4A87"/>
    <w:rsid w:val="006A59B9"/>
    <w:rsid w:val="006A5CC3"/>
    <w:rsid w:val="006A6B68"/>
    <w:rsid w:val="006B0196"/>
    <w:rsid w:val="006B03E1"/>
    <w:rsid w:val="006B0444"/>
    <w:rsid w:val="006B07D1"/>
    <w:rsid w:val="006B0E58"/>
    <w:rsid w:val="006B118E"/>
    <w:rsid w:val="006B119B"/>
    <w:rsid w:val="006B129D"/>
    <w:rsid w:val="006B1AFB"/>
    <w:rsid w:val="006B1E12"/>
    <w:rsid w:val="006B2834"/>
    <w:rsid w:val="006B3521"/>
    <w:rsid w:val="006B3FB3"/>
    <w:rsid w:val="006B4083"/>
    <w:rsid w:val="006B4D28"/>
    <w:rsid w:val="006B58C6"/>
    <w:rsid w:val="006B6A09"/>
    <w:rsid w:val="006B7000"/>
    <w:rsid w:val="006B7C50"/>
    <w:rsid w:val="006B7CF0"/>
    <w:rsid w:val="006C03A2"/>
    <w:rsid w:val="006C04BB"/>
    <w:rsid w:val="006C12E0"/>
    <w:rsid w:val="006C1906"/>
    <w:rsid w:val="006C2B8B"/>
    <w:rsid w:val="006C2FCA"/>
    <w:rsid w:val="006C309C"/>
    <w:rsid w:val="006C3B79"/>
    <w:rsid w:val="006C3B92"/>
    <w:rsid w:val="006C3C38"/>
    <w:rsid w:val="006C3CDC"/>
    <w:rsid w:val="006C3E75"/>
    <w:rsid w:val="006C40E4"/>
    <w:rsid w:val="006C4410"/>
    <w:rsid w:val="006C49B5"/>
    <w:rsid w:val="006C4CF8"/>
    <w:rsid w:val="006C5784"/>
    <w:rsid w:val="006C6AEB"/>
    <w:rsid w:val="006C72E7"/>
    <w:rsid w:val="006C7589"/>
    <w:rsid w:val="006C7876"/>
    <w:rsid w:val="006C7DC2"/>
    <w:rsid w:val="006D0499"/>
    <w:rsid w:val="006D1367"/>
    <w:rsid w:val="006D1C12"/>
    <w:rsid w:val="006D33D1"/>
    <w:rsid w:val="006D39A0"/>
    <w:rsid w:val="006D3E53"/>
    <w:rsid w:val="006D4A68"/>
    <w:rsid w:val="006D5D6B"/>
    <w:rsid w:val="006D63EF"/>
    <w:rsid w:val="006D675E"/>
    <w:rsid w:val="006D693E"/>
    <w:rsid w:val="006D6A11"/>
    <w:rsid w:val="006D791D"/>
    <w:rsid w:val="006E03E8"/>
    <w:rsid w:val="006E083B"/>
    <w:rsid w:val="006E16B9"/>
    <w:rsid w:val="006E180A"/>
    <w:rsid w:val="006E1C7C"/>
    <w:rsid w:val="006E1FB7"/>
    <w:rsid w:val="006E2351"/>
    <w:rsid w:val="006E26A7"/>
    <w:rsid w:val="006E2825"/>
    <w:rsid w:val="006E2C3F"/>
    <w:rsid w:val="006E2D6D"/>
    <w:rsid w:val="006E2DC4"/>
    <w:rsid w:val="006E399C"/>
    <w:rsid w:val="006E44BC"/>
    <w:rsid w:val="006E494B"/>
    <w:rsid w:val="006E4EFF"/>
    <w:rsid w:val="006E5687"/>
    <w:rsid w:val="006E6199"/>
    <w:rsid w:val="006E6297"/>
    <w:rsid w:val="006E645D"/>
    <w:rsid w:val="006E67F9"/>
    <w:rsid w:val="006E6D22"/>
    <w:rsid w:val="006E72A6"/>
    <w:rsid w:val="006E7E3F"/>
    <w:rsid w:val="006F133E"/>
    <w:rsid w:val="006F2772"/>
    <w:rsid w:val="006F2814"/>
    <w:rsid w:val="006F29B2"/>
    <w:rsid w:val="006F2D2F"/>
    <w:rsid w:val="006F2D77"/>
    <w:rsid w:val="006F3080"/>
    <w:rsid w:val="006F3712"/>
    <w:rsid w:val="006F3FDA"/>
    <w:rsid w:val="006F5CB9"/>
    <w:rsid w:val="006F5FAD"/>
    <w:rsid w:val="006F6803"/>
    <w:rsid w:val="006F70A2"/>
    <w:rsid w:val="006F73AE"/>
    <w:rsid w:val="006F7E89"/>
    <w:rsid w:val="007006D2"/>
    <w:rsid w:val="007007F4"/>
    <w:rsid w:val="00700B34"/>
    <w:rsid w:val="00700BC3"/>
    <w:rsid w:val="00700E36"/>
    <w:rsid w:val="00701182"/>
    <w:rsid w:val="0070161E"/>
    <w:rsid w:val="00701B85"/>
    <w:rsid w:val="00701D4E"/>
    <w:rsid w:val="00701E6A"/>
    <w:rsid w:val="00702276"/>
    <w:rsid w:val="00703200"/>
    <w:rsid w:val="0070347A"/>
    <w:rsid w:val="007034D2"/>
    <w:rsid w:val="007037F8"/>
    <w:rsid w:val="007040BF"/>
    <w:rsid w:val="007041C2"/>
    <w:rsid w:val="00704283"/>
    <w:rsid w:val="00704E51"/>
    <w:rsid w:val="00704E79"/>
    <w:rsid w:val="00704FE1"/>
    <w:rsid w:val="00704FFE"/>
    <w:rsid w:val="0070509C"/>
    <w:rsid w:val="00705167"/>
    <w:rsid w:val="00706318"/>
    <w:rsid w:val="0070650C"/>
    <w:rsid w:val="00707557"/>
    <w:rsid w:val="007100CC"/>
    <w:rsid w:val="00710528"/>
    <w:rsid w:val="007115C9"/>
    <w:rsid w:val="00711D5D"/>
    <w:rsid w:val="007120CC"/>
    <w:rsid w:val="00712F87"/>
    <w:rsid w:val="00713180"/>
    <w:rsid w:val="007136B8"/>
    <w:rsid w:val="00713AD4"/>
    <w:rsid w:val="00713AE1"/>
    <w:rsid w:val="00713C0B"/>
    <w:rsid w:val="0071400F"/>
    <w:rsid w:val="0071416E"/>
    <w:rsid w:val="007166EF"/>
    <w:rsid w:val="00716891"/>
    <w:rsid w:val="00716B44"/>
    <w:rsid w:val="00716DBA"/>
    <w:rsid w:val="00717C62"/>
    <w:rsid w:val="00717E0D"/>
    <w:rsid w:val="007206B8"/>
    <w:rsid w:val="007219E6"/>
    <w:rsid w:val="00721A5E"/>
    <w:rsid w:val="00722DED"/>
    <w:rsid w:val="00723935"/>
    <w:rsid w:val="00724B81"/>
    <w:rsid w:val="00724CFD"/>
    <w:rsid w:val="00725DD6"/>
    <w:rsid w:val="007261EA"/>
    <w:rsid w:val="00726666"/>
    <w:rsid w:val="00726C50"/>
    <w:rsid w:val="007273B5"/>
    <w:rsid w:val="00727F48"/>
    <w:rsid w:val="007309C4"/>
    <w:rsid w:val="00731844"/>
    <w:rsid w:val="0073219A"/>
    <w:rsid w:val="007323AD"/>
    <w:rsid w:val="007324C7"/>
    <w:rsid w:val="00733001"/>
    <w:rsid w:val="0073342B"/>
    <w:rsid w:val="007341DA"/>
    <w:rsid w:val="00734BC2"/>
    <w:rsid w:val="00735144"/>
    <w:rsid w:val="00736057"/>
    <w:rsid w:val="0073638A"/>
    <w:rsid w:val="00736492"/>
    <w:rsid w:val="0073662C"/>
    <w:rsid w:val="007368D7"/>
    <w:rsid w:val="007369F1"/>
    <w:rsid w:val="00736CC5"/>
    <w:rsid w:val="0073703B"/>
    <w:rsid w:val="00737297"/>
    <w:rsid w:val="00737E50"/>
    <w:rsid w:val="00740D1B"/>
    <w:rsid w:val="00741EED"/>
    <w:rsid w:val="0074268C"/>
    <w:rsid w:val="00743EAB"/>
    <w:rsid w:val="007444B9"/>
    <w:rsid w:val="00744C29"/>
    <w:rsid w:val="00745257"/>
    <w:rsid w:val="007455DC"/>
    <w:rsid w:val="00745A09"/>
    <w:rsid w:val="00745D4C"/>
    <w:rsid w:val="00745F92"/>
    <w:rsid w:val="007466DF"/>
    <w:rsid w:val="007469A1"/>
    <w:rsid w:val="00746A80"/>
    <w:rsid w:val="00746B6D"/>
    <w:rsid w:val="007478CD"/>
    <w:rsid w:val="00747A31"/>
    <w:rsid w:val="00747F86"/>
    <w:rsid w:val="00747F93"/>
    <w:rsid w:val="007507E0"/>
    <w:rsid w:val="00750AD2"/>
    <w:rsid w:val="00750E46"/>
    <w:rsid w:val="007510C7"/>
    <w:rsid w:val="0075135A"/>
    <w:rsid w:val="007514BC"/>
    <w:rsid w:val="00751911"/>
    <w:rsid w:val="00751D4D"/>
    <w:rsid w:val="00751EDB"/>
    <w:rsid w:val="0075279E"/>
    <w:rsid w:val="0075298D"/>
    <w:rsid w:val="0075329D"/>
    <w:rsid w:val="00753447"/>
    <w:rsid w:val="007541C7"/>
    <w:rsid w:val="00755491"/>
    <w:rsid w:val="00756841"/>
    <w:rsid w:val="00757F28"/>
    <w:rsid w:val="007600B8"/>
    <w:rsid w:val="00760DF6"/>
    <w:rsid w:val="00761A8E"/>
    <w:rsid w:val="00762CB7"/>
    <w:rsid w:val="007633AD"/>
    <w:rsid w:val="0076341A"/>
    <w:rsid w:val="007637BA"/>
    <w:rsid w:val="0076387E"/>
    <w:rsid w:val="0076401C"/>
    <w:rsid w:val="00764577"/>
    <w:rsid w:val="007645A6"/>
    <w:rsid w:val="00764655"/>
    <w:rsid w:val="007655FE"/>
    <w:rsid w:val="00765B7B"/>
    <w:rsid w:val="007663CF"/>
    <w:rsid w:val="0076651D"/>
    <w:rsid w:val="00766EC1"/>
    <w:rsid w:val="007677B5"/>
    <w:rsid w:val="0077077C"/>
    <w:rsid w:val="0077095E"/>
    <w:rsid w:val="00770E4B"/>
    <w:rsid w:val="0077121D"/>
    <w:rsid w:val="007713CE"/>
    <w:rsid w:val="0077208F"/>
    <w:rsid w:val="007729F2"/>
    <w:rsid w:val="007731A7"/>
    <w:rsid w:val="00773290"/>
    <w:rsid w:val="00774A4C"/>
    <w:rsid w:val="00774EFF"/>
    <w:rsid w:val="007764E9"/>
    <w:rsid w:val="00776847"/>
    <w:rsid w:val="00776B11"/>
    <w:rsid w:val="00776BF0"/>
    <w:rsid w:val="00776ECE"/>
    <w:rsid w:val="007773DB"/>
    <w:rsid w:val="007775E6"/>
    <w:rsid w:val="00780BEB"/>
    <w:rsid w:val="00780EC0"/>
    <w:rsid w:val="00781011"/>
    <w:rsid w:val="00781EB0"/>
    <w:rsid w:val="00781F38"/>
    <w:rsid w:val="0078243C"/>
    <w:rsid w:val="00782616"/>
    <w:rsid w:val="0078289A"/>
    <w:rsid w:val="00782B9D"/>
    <w:rsid w:val="00782C61"/>
    <w:rsid w:val="007838ED"/>
    <w:rsid w:val="00783DD9"/>
    <w:rsid w:val="0078404C"/>
    <w:rsid w:val="0078475D"/>
    <w:rsid w:val="00785003"/>
    <w:rsid w:val="0078513F"/>
    <w:rsid w:val="00785CF0"/>
    <w:rsid w:val="0078632F"/>
    <w:rsid w:val="007870E9"/>
    <w:rsid w:val="007879F1"/>
    <w:rsid w:val="00787AD4"/>
    <w:rsid w:val="00787C9F"/>
    <w:rsid w:val="007900E7"/>
    <w:rsid w:val="00790123"/>
    <w:rsid w:val="00790679"/>
    <w:rsid w:val="0079092E"/>
    <w:rsid w:val="0079114D"/>
    <w:rsid w:val="007915A8"/>
    <w:rsid w:val="007916FB"/>
    <w:rsid w:val="00791CC5"/>
    <w:rsid w:val="00792137"/>
    <w:rsid w:val="00792E2D"/>
    <w:rsid w:val="00792F28"/>
    <w:rsid w:val="00792FB9"/>
    <w:rsid w:val="00793600"/>
    <w:rsid w:val="00793C70"/>
    <w:rsid w:val="00793CD9"/>
    <w:rsid w:val="00794185"/>
    <w:rsid w:val="007942E5"/>
    <w:rsid w:val="007945DF"/>
    <w:rsid w:val="007946ED"/>
    <w:rsid w:val="007946FE"/>
    <w:rsid w:val="00794805"/>
    <w:rsid w:val="0079521F"/>
    <w:rsid w:val="007956AC"/>
    <w:rsid w:val="00795A5F"/>
    <w:rsid w:val="0079617E"/>
    <w:rsid w:val="00796A13"/>
    <w:rsid w:val="00796BBE"/>
    <w:rsid w:val="00796DCC"/>
    <w:rsid w:val="00797076"/>
    <w:rsid w:val="007975D8"/>
    <w:rsid w:val="007975F6"/>
    <w:rsid w:val="00797FD9"/>
    <w:rsid w:val="007A01F1"/>
    <w:rsid w:val="007A08DA"/>
    <w:rsid w:val="007A0B6A"/>
    <w:rsid w:val="007A0C6B"/>
    <w:rsid w:val="007A199E"/>
    <w:rsid w:val="007A2157"/>
    <w:rsid w:val="007A2489"/>
    <w:rsid w:val="007A26A0"/>
    <w:rsid w:val="007A2C41"/>
    <w:rsid w:val="007A34D1"/>
    <w:rsid w:val="007A5E1E"/>
    <w:rsid w:val="007A5E96"/>
    <w:rsid w:val="007A6BA4"/>
    <w:rsid w:val="007A75D4"/>
    <w:rsid w:val="007B0007"/>
    <w:rsid w:val="007B0BB9"/>
    <w:rsid w:val="007B10C6"/>
    <w:rsid w:val="007B1356"/>
    <w:rsid w:val="007B15D9"/>
    <w:rsid w:val="007B195E"/>
    <w:rsid w:val="007B1C26"/>
    <w:rsid w:val="007B2007"/>
    <w:rsid w:val="007B26D1"/>
    <w:rsid w:val="007B2ACD"/>
    <w:rsid w:val="007B326B"/>
    <w:rsid w:val="007B3552"/>
    <w:rsid w:val="007B3EA8"/>
    <w:rsid w:val="007B4069"/>
    <w:rsid w:val="007B45E8"/>
    <w:rsid w:val="007B4C35"/>
    <w:rsid w:val="007B5DFD"/>
    <w:rsid w:val="007B6D7F"/>
    <w:rsid w:val="007B706E"/>
    <w:rsid w:val="007B7248"/>
    <w:rsid w:val="007B73E0"/>
    <w:rsid w:val="007B7815"/>
    <w:rsid w:val="007B7E21"/>
    <w:rsid w:val="007B7EAC"/>
    <w:rsid w:val="007C041F"/>
    <w:rsid w:val="007C0529"/>
    <w:rsid w:val="007C0550"/>
    <w:rsid w:val="007C08BB"/>
    <w:rsid w:val="007C151F"/>
    <w:rsid w:val="007C15FF"/>
    <w:rsid w:val="007C1E8D"/>
    <w:rsid w:val="007C1F10"/>
    <w:rsid w:val="007C2F1D"/>
    <w:rsid w:val="007C3CD3"/>
    <w:rsid w:val="007C41F2"/>
    <w:rsid w:val="007C4901"/>
    <w:rsid w:val="007C50F8"/>
    <w:rsid w:val="007C53BD"/>
    <w:rsid w:val="007C5834"/>
    <w:rsid w:val="007C6773"/>
    <w:rsid w:val="007C6DE2"/>
    <w:rsid w:val="007C6F24"/>
    <w:rsid w:val="007C701C"/>
    <w:rsid w:val="007C7380"/>
    <w:rsid w:val="007D0629"/>
    <w:rsid w:val="007D0C47"/>
    <w:rsid w:val="007D0DB8"/>
    <w:rsid w:val="007D0DBB"/>
    <w:rsid w:val="007D21E4"/>
    <w:rsid w:val="007D2604"/>
    <w:rsid w:val="007D26A1"/>
    <w:rsid w:val="007D3754"/>
    <w:rsid w:val="007D3891"/>
    <w:rsid w:val="007D392F"/>
    <w:rsid w:val="007D4251"/>
    <w:rsid w:val="007D47DA"/>
    <w:rsid w:val="007D4DBE"/>
    <w:rsid w:val="007D540A"/>
    <w:rsid w:val="007D5C52"/>
    <w:rsid w:val="007D5F18"/>
    <w:rsid w:val="007D6548"/>
    <w:rsid w:val="007D73B7"/>
    <w:rsid w:val="007D73CC"/>
    <w:rsid w:val="007D7B0D"/>
    <w:rsid w:val="007D7BE1"/>
    <w:rsid w:val="007D7DB9"/>
    <w:rsid w:val="007E02D6"/>
    <w:rsid w:val="007E101D"/>
    <w:rsid w:val="007E112E"/>
    <w:rsid w:val="007E2034"/>
    <w:rsid w:val="007E28BC"/>
    <w:rsid w:val="007E2DF9"/>
    <w:rsid w:val="007E2FD3"/>
    <w:rsid w:val="007E314B"/>
    <w:rsid w:val="007E3756"/>
    <w:rsid w:val="007E3CB0"/>
    <w:rsid w:val="007E3EE4"/>
    <w:rsid w:val="007E414D"/>
    <w:rsid w:val="007E42C6"/>
    <w:rsid w:val="007E5D36"/>
    <w:rsid w:val="007E5D9B"/>
    <w:rsid w:val="007E5F78"/>
    <w:rsid w:val="007E66CE"/>
    <w:rsid w:val="007E6B5F"/>
    <w:rsid w:val="007E6B9F"/>
    <w:rsid w:val="007E7473"/>
    <w:rsid w:val="007E7B1D"/>
    <w:rsid w:val="007F0CBF"/>
    <w:rsid w:val="007F1B77"/>
    <w:rsid w:val="007F2B92"/>
    <w:rsid w:val="007F2EF3"/>
    <w:rsid w:val="007F3A4E"/>
    <w:rsid w:val="007F562B"/>
    <w:rsid w:val="007F577B"/>
    <w:rsid w:val="007F5B6E"/>
    <w:rsid w:val="007F5E69"/>
    <w:rsid w:val="007F630F"/>
    <w:rsid w:val="007F6DA6"/>
    <w:rsid w:val="007F7B3B"/>
    <w:rsid w:val="007F7E0E"/>
    <w:rsid w:val="008002E6"/>
    <w:rsid w:val="008006DD"/>
    <w:rsid w:val="0080076E"/>
    <w:rsid w:val="00800E36"/>
    <w:rsid w:val="008013D8"/>
    <w:rsid w:val="008049F3"/>
    <w:rsid w:val="00804D12"/>
    <w:rsid w:val="00805ACD"/>
    <w:rsid w:val="00805F57"/>
    <w:rsid w:val="0080607B"/>
    <w:rsid w:val="00807BE1"/>
    <w:rsid w:val="00810AEA"/>
    <w:rsid w:val="00811446"/>
    <w:rsid w:val="00811572"/>
    <w:rsid w:val="00811DC5"/>
    <w:rsid w:val="00811ED4"/>
    <w:rsid w:val="0081241B"/>
    <w:rsid w:val="00812A65"/>
    <w:rsid w:val="00812F39"/>
    <w:rsid w:val="00813168"/>
    <w:rsid w:val="008132BF"/>
    <w:rsid w:val="008134C3"/>
    <w:rsid w:val="0081381B"/>
    <w:rsid w:val="008139FB"/>
    <w:rsid w:val="0081414C"/>
    <w:rsid w:val="00814442"/>
    <w:rsid w:val="00815125"/>
    <w:rsid w:val="00815216"/>
    <w:rsid w:val="00815991"/>
    <w:rsid w:val="00816483"/>
    <w:rsid w:val="0081687B"/>
    <w:rsid w:val="00816905"/>
    <w:rsid w:val="00817B9C"/>
    <w:rsid w:val="0082035B"/>
    <w:rsid w:val="0082112A"/>
    <w:rsid w:val="0082183B"/>
    <w:rsid w:val="00821F71"/>
    <w:rsid w:val="008223AB"/>
    <w:rsid w:val="008239D3"/>
    <w:rsid w:val="00823CF2"/>
    <w:rsid w:val="00823E55"/>
    <w:rsid w:val="00824271"/>
    <w:rsid w:val="00824427"/>
    <w:rsid w:val="0082516F"/>
    <w:rsid w:val="008255ED"/>
    <w:rsid w:val="008264D5"/>
    <w:rsid w:val="00827172"/>
    <w:rsid w:val="008302DC"/>
    <w:rsid w:val="0083030F"/>
    <w:rsid w:val="00830B29"/>
    <w:rsid w:val="00831972"/>
    <w:rsid w:val="00831F7A"/>
    <w:rsid w:val="008324B1"/>
    <w:rsid w:val="00833108"/>
    <w:rsid w:val="0083319A"/>
    <w:rsid w:val="008335AE"/>
    <w:rsid w:val="00833745"/>
    <w:rsid w:val="0083424C"/>
    <w:rsid w:val="00834626"/>
    <w:rsid w:val="008349D5"/>
    <w:rsid w:val="00834F4E"/>
    <w:rsid w:val="008351A6"/>
    <w:rsid w:val="00835A4B"/>
    <w:rsid w:val="00835C1C"/>
    <w:rsid w:val="00835F3E"/>
    <w:rsid w:val="00836FDE"/>
    <w:rsid w:val="0083716A"/>
    <w:rsid w:val="0084049B"/>
    <w:rsid w:val="00841517"/>
    <w:rsid w:val="008419DB"/>
    <w:rsid w:val="008424EA"/>
    <w:rsid w:val="008430BD"/>
    <w:rsid w:val="0084319D"/>
    <w:rsid w:val="0084323D"/>
    <w:rsid w:val="0084514A"/>
    <w:rsid w:val="00845899"/>
    <w:rsid w:val="008459D2"/>
    <w:rsid w:val="00846580"/>
    <w:rsid w:val="00847E9B"/>
    <w:rsid w:val="008501E0"/>
    <w:rsid w:val="0085029C"/>
    <w:rsid w:val="0085088F"/>
    <w:rsid w:val="00850F1C"/>
    <w:rsid w:val="00851060"/>
    <w:rsid w:val="0085133C"/>
    <w:rsid w:val="0085165B"/>
    <w:rsid w:val="00851A82"/>
    <w:rsid w:val="008527DA"/>
    <w:rsid w:val="00852F20"/>
    <w:rsid w:val="00853604"/>
    <w:rsid w:val="0085379E"/>
    <w:rsid w:val="00853849"/>
    <w:rsid w:val="00853E8C"/>
    <w:rsid w:val="0085437F"/>
    <w:rsid w:val="00854CE4"/>
    <w:rsid w:val="0085620D"/>
    <w:rsid w:val="008564A0"/>
    <w:rsid w:val="00856D61"/>
    <w:rsid w:val="008570FE"/>
    <w:rsid w:val="00860363"/>
    <w:rsid w:val="008615E6"/>
    <w:rsid w:val="00863D2F"/>
    <w:rsid w:val="0086412A"/>
    <w:rsid w:val="00864DCE"/>
    <w:rsid w:val="0086589B"/>
    <w:rsid w:val="00866275"/>
    <w:rsid w:val="008662C0"/>
    <w:rsid w:val="0086711C"/>
    <w:rsid w:val="008679AA"/>
    <w:rsid w:val="00867D00"/>
    <w:rsid w:val="00867EC8"/>
    <w:rsid w:val="008704EC"/>
    <w:rsid w:val="00870F97"/>
    <w:rsid w:val="00872010"/>
    <w:rsid w:val="008723BA"/>
    <w:rsid w:val="00872ACA"/>
    <w:rsid w:val="00872D6D"/>
    <w:rsid w:val="00873844"/>
    <w:rsid w:val="008738CE"/>
    <w:rsid w:val="008739E5"/>
    <w:rsid w:val="00874C08"/>
    <w:rsid w:val="00875A29"/>
    <w:rsid w:val="00876971"/>
    <w:rsid w:val="00876EBE"/>
    <w:rsid w:val="00877234"/>
    <w:rsid w:val="008779E2"/>
    <w:rsid w:val="00877C78"/>
    <w:rsid w:val="008810CF"/>
    <w:rsid w:val="008810F8"/>
    <w:rsid w:val="008816A7"/>
    <w:rsid w:val="0088195D"/>
    <w:rsid w:val="00881A69"/>
    <w:rsid w:val="00881E10"/>
    <w:rsid w:val="0088250A"/>
    <w:rsid w:val="00882665"/>
    <w:rsid w:val="00883B08"/>
    <w:rsid w:val="008843F9"/>
    <w:rsid w:val="00885439"/>
    <w:rsid w:val="00886955"/>
    <w:rsid w:val="00886A8D"/>
    <w:rsid w:val="0088701F"/>
    <w:rsid w:val="00887CE2"/>
    <w:rsid w:val="00887DB0"/>
    <w:rsid w:val="008909A3"/>
    <w:rsid w:val="00893291"/>
    <w:rsid w:val="00894374"/>
    <w:rsid w:val="008946CA"/>
    <w:rsid w:val="00895BE0"/>
    <w:rsid w:val="00895F21"/>
    <w:rsid w:val="0089651E"/>
    <w:rsid w:val="008971CC"/>
    <w:rsid w:val="0089771B"/>
    <w:rsid w:val="00897D38"/>
    <w:rsid w:val="00897D9A"/>
    <w:rsid w:val="008A02D8"/>
    <w:rsid w:val="008A13B4"/>
    <w:rsid w:val="008A1BB7"/>
    <w:rsid w:val="008A2436"/>
    <w:rsid w:val="008A2677"/>
    <w:rsid w:val="008A3580"/>
    <w:rsid w:val="008A4337"/>
    <w:rsid w:val="008A50DE"/>
    <w:rsid w:val="008A5DD6"/>
    <w:rsid w:val="008A5EDD"/>
    <w:rsid w:val="008A63EF"/>
    <w:rsid w:val="008A7578"/>
    <w:rsid w:val="008A78FA"/>
    <w:rsid w:val="008A7F39"/>
    <w:rsid w:val="008A7FF7"/>
    <w:rsid w:val="008B0DD1"/>
    <w:rsid w:val="008B108F"/>
    <w:rsid w:val="008B15F6"/>
    <w:rsid w:val="008B2260"/>
    <w:rsid w:val="008B2330"/>
    <w:rsid w:val="008B3454"/>
    <w:rsid w:val="008B4067"/>
    <w:rsid w:val="008B5B2D"/>
    <w:rsid w:val="008B5B5B"/>
    <w:rsid w:val="008B64A3"/>
    <w:rsid w:val="008B6A6C"/>
    <w:rsid w:val="008B7589"/>
    <w:rsid w:val="008B79A3"/>
    <w:rsid w:val="008C0BAC"/>
    <w:rsid w:val="008C0BCB"/>
    <w:rsid w:val="008C170E"/>
    <w:rsid w:val="008C17C6"/>
    <w:rsid w:val="008C186E"/>
    <w:rsid w:val="008C1E00"/>
    <w:rsid w:val="008C2375"/>
    <w:rsid w:val="008C239C"/>
    <w:rsid w:val="008C25EB"/>
    <w:rsid w:val="008C3165"/>
    <w:rsid w:val="008C3B63"/>
    <w:rsid w:val="008C4249"/>
    <w:rsid w:val="008C494D"/>
    <w:rsid w:val="008C5203"/>
    <w:rsid w:val="008C5B2C"/>
    <w:rsid w:val="008C67AF"/>
    <w:rsid w:val="008C6B0D"/>
    <w:rsid w:val="008C6C02"/>
    <w:rsid w:val="008C6D38"/>
    <w:rsid w:val="008C6E81"/>
    <w:rsid w:val="008C6F4E"/>
    <w:rsid w:val="008C72DF"/>
    <w:rsid w:val="008C781F"/>
    <w:rsid w:val="008C7E3E"/>
    <w:rsid w:val="008D085B"/>
    <w:rsid w:val="008D0D53"/>
    <w:rsid w:val="008D0EF3"/>
    <w:rsid w:val="008D19F4"/>
    <w:rsid w:val="008D1E56"/>
    <w:rsid w:val="008D20A4"/>
    <w:rsid w:val="008D2115"/>
    <w:rsid w:val="008D2876"/>
    <w:rsid w:val="008D2C46"/>
    <w:rsid w:val="008D2DF8"/>
    <w:rsid w:val="008D2F85"/>
    <w:rsid w:val="008D2FA3"/>
    <w:rsid w:val="008D3234"/>
    <w:rsid w:val="008D32FB"/>
    <w:rsid w:val="008D358A"/>
    <w:rsid w:val="008D36C6"/>
    <w:rsid w:val="008D3CD6"/>
    <w:rsid w:val="008D458A"/>
    <w:rsid w:val="008D4D4B"/>
    <w:rsid w:val="008D560B"/>
    <w:rsid w:val="008D5699"/>
    <w:rsid w:val="008D575E"/>
    <w:rsid w:val="008D5808"/>
    <w:rsid w:val="008D63C8"/>
    <w:rsid w:val="008D7414"/>
    <w:rsid w:val="008D7525"/>
    <w:rsid w:val="008D787A"/>
    <w:rsid w:val="008D79C6"/>
    <w:rsid w:val="008D7A8D"/>
    <w:rsid w:val="008E0411"/>
    <w:rsid w:val="008E0C5B"/>
    <w:rsid w:val="008E0DD2"/>
    <w:rsid w:val="008E0F63"/>
    <w:rsid w:val="008E2330"/>
    <w:rsid w:val="008E26C9"/>
    <w:rsid w:val="008E26DA"/>
    <w:rsid w:val="008E2AFC"/>
    <w:rsid w:val="008E3586"/>
    <w:rsid w:val="008E38CD"/>
    <w:rsid w:val="008E3ACF"/>
    <w:rsid w:val="008E3D14"/>
    <w:rsid w:val="008E3D3B"/>
    <w:rsid w:val="008E4ECC"/>
    <w:rsid w:val="008E5106"/>
    <w:rsid w:val="008E5856"/>
    <w:rsid w:val="008E6083"/>
    <w:rsid w:val="008E63D3"/>
    <w:rsid w:val="008E690E"/>
    <w:rsid w:val="008E6A93"/>
    <w:rsid w:val="008E737E"/>
    <w:rsid w:val="008E769A"/>
    <w:rsid w:val="008E7ABA"/>
    <w:rsid w:val="008F006E"/>
    <w:rsid w:val="008F07E8"/>
    <w:rsid w:val="008F13D8"/>
    <w:rsid w:val="008F2A25"/>
    <w:rsid w:val="008F2E85"/>
    <w:rsid w:val="008F2EFC"/>
    <w:rsid w:val="008F30C9"/>
    <w:rsid w:val="008F318A"/>
    <w:rsid w:val="008F34A1"/>
    <w:rsid w:val="008F4BBF"/>
    <w:rsid w:val="008F5114"/>
    <w:rsid w:val="008F51C7"/>
    <w:rsid w:val="008F68BB"/>
    <w:rsid w:val="008F6E3D"/>
    <w:rsid w:val="008F727D"/>
    <w:rsid w:val="008F75A4"/>
    <w:rsid w:val="008F7D24"/>
    <w:rsid w:val="00900636"/>
    <w:rsid w:val="00900A06"/>
    <w:rsid w:val="00902938"/>
    <w:rsid w:val="00903179"/>
    <w:rsid w:val="009036CF"/>
    <w:rsid w:val="00903ABB"/>
    <w:rsid w:val="00903C4C"/>
    <w:rsid w:val="00904D71"/>
    <w:rsid w:val="009050CB"/>
    <w:rsid w:val="0090513F"/>
    <w:rsid w:val="009057B6"/>
    <w:rsid w:val="00905FD2"/>
    <w:rsid w:val="0090648E"/>
    <w:rsid w:val="00906BE1"/>
    <w:rsid w:val="0090737B"/>
    <w:rsid w:val="00907816"/>
    <w:rsid w:val="00907BAC"/>
    <w:rsid w:val="00910439"/>
    <w:rsid w:val="00910523"/>
    <w:rsid w:val="00911DEC"/>
    <w:rsid w:val="00911E7C"/>
    <w:rsid w:val="009127CC"/>
    <w:rsid w:val="00912CC0"/>
    <w:rsid w:val="009138C7"/>
    <w:rsid w:val="009138CF"/>
    <w:rsid w:val="009144F7"/>
    <w:rsid w:val="009146D9"/>
    <w:rsid w:val="00914C7A"/>
    <w:rsid w:val="00914FD7"/>
    <w:rsid w:val="0091513C"/>
    <w:rsid w:val="009152F8"/>
    <w:rsid w:val="00915AC7"/>
    <w:rsid w:val="00915B01"/>
    <w:rsid w:val="00915FFD"/>
    <w:rsid w:val="009164F5"/>
    <w:rsid w:val="00916DA7"/>
    <w:rsid w:val="00917390"/>
    <w:rsid w:val="009177D0"/>
    <w:rsid w:val="00917EA6"/>
    <w:rsid w:val="00920454"/>
    <w:rsid w:val="00920E06"/>
    <w:rsid w:val="009213EF"/>
    <w:rsid w:val="0092173D"/>
    <w:rsid w:val="00921944"/>
    <w:rsid w:val="009220E8"/>
    <w:rsid w:val="0092264C"/>
    <w:rsid w:val="00922D77"/>
    <w:rsid w:val="009232D1"/>
    <w:rsid w:val="00923406"/>
    <w:rsid w:val="0092348A"/>
    <w:rsid w:val="00923E43"/>
    <w:rsid w:val="00923E50"/>
    <w:rsid w:val="00923EE0"/>
    <w:rsid w:val="00924416"/>
    <w:rsid w:val="0092461C"/>
    <w:rsid w:val="00924B60"/>
    <w:rsid w:val="00924F92"/>
    <w:rsid w:val="00925189"/>
    <w:rsid w:val="00925546"/>
    <w:rsid w:val="009264C0"/>
    <w:rsid w:val="0092712B"/>
    <w:rsid w:val="009272E5"/>
    <w:rsid w:val="0092737A"/>
    <w:rsid w:val="009277E3"/>
    <w:rsid w:val="00927E15"/>
    <w:rsid w:val="009301FE"/>
    <w:rsid w:val="00930FD4"/>
    <w:rsid w:val="00932A04"/>
    <w:rsid w:val="00932ECD"/>
    <w:rsid w:val="00933168"/>
    <w:rsid w:val="00933323"/>
    <w:rsid w:val="009334D9"/>
    <w:rsid w:val="0093473A"/>
    <w:rsid w:val="00934D5E"/>
    <w:rsid w:val="009353D4"/>
    <w:rsid w:val="00935C90"/>
    <w:rsid w:val="009360CC"/>
    <w:rsid w:val="009364A0"/>
    <w:rsid w:val="009364F0"/>
    <w:rsid w:val="00937128"/>
    <w:rsid w:val="009378F3"/>
    <w:rsid w:val="009400DB"/>
    <w:rsid w:val="0094024B"/>
    <w:rsid w:val="009409BF"/>
    <w:rsid w:val="00940CD2"/>
    <w:rsid w:val="00942171"/>
    <w:rsid w:val="00942755"/>
    <w:rsid w:val="00942F48"/>
    <w:rsid w:val="00943333"/>
    <w:rsid w:val="00943929"/>
    <w:rsid w:val="009439C4"/>
    <w:rsid w:val="00943E3B"/>
    <w:rsid w:val="00943F52"/>
    <w:rsid w:val="0094430D"/>
    <w:rsid w:val="009449E2"/>
    <w:rsid w:val="00944BA6"/>
    <w:rsid w:val="009453ED"/>
    <w:rsid w:val="00945527"/>
    <w:rsid w:val="0094636A"/>
    <w:rsid w:val="00947008"/>
    <w:rsid w:val="00947366"/>
    <w:rsid w:val="0094765F"/>
    <w:rsid w:val="00947C36"/>
    <w:rsid w:val="0095091E"/>
    <w:rsid w:val="009509E2"/>
    <w:rsid w:val="00950A06"/>
    <w:rsid w:val="0095167C"/>
    <w:rsid w:val="009519B3"/>
    <w:rsid w:val="00951AFB"/>
    <w:rsid w:val="0095328A"/>
    <w:rsid w:val="009533EE"/>
    <w:rsid w:val="00953DB1"/>
    <w:rsid w:val="009547CA"/>
    <w:rsid w:val="00954AE6"/>
    <w:rsid w:val="0095510C"/>
    <w:rsid w:val="009558EC"/>
    <w:rsid w:val="00956153"/>
    <w:rsid w:val="009563A3"/>
    <w:rsid w:val="00956BDB"/>
    <w:rsid w:val="009578F4"/>
    <w:rsid w:val="00957957"/>
    <w:rsid w:val="00957F94"/>
    <w:rsid w:val="00960129"/>
    <w:rsid w:val="0096027B"/>
    <w:rsid w:val="00960892"/>
    <w:rsid w:val="009610CF"/>
    <w:rsid w:val="00961D28"/>
    <w:rsid w:val="009621ED"/>
    <w:rsid w:val="009624C1"/>
    <w:rsid w:val="00962714"/>
    <w:rsid w:val="00962CA2"/>
    <w:rsid w:val="00962EEA"/>
    <w:rsid w:val="009639D0"/>
    <w:rsid w:val="0096431A"/>
    <w:rsid w:val="009649F7"/>
    <w:rsid w:val="00965262"/>
    <w:rsid w:val="0096530A"/>
    <w:rsid w:val="00965C90"/>
    <w:rsid w:val="00966238"/>
    <w:rsid w:val="009666AE"/>
    <w:rsid w:val="009667DE"/>
    <w:rsid w:val="00966810"/>
    <w:rsid w:val="00966CC8"/>
    <w:rsid w:val="009678C3"/>
    <w:rsid w:val="009708B3"/>
    <w:rsid w:val="009708FF"/>
    <w:rsid w:val="00970B76"/>
    <w:rsid w:val="009720E9"/>
    <w:rsid w:val="009721BA"/>
    <w:rsid w:val="00972DA3"/>
    <w:rsid w:val="00972ECB"/>
    <w:rsid w:val="009732B9"/>
    <w:rsid w:val="009734A7"/>
    <w:rsid w:val="00973922"/>
    <w:rsid w:val="00973E04"/>
    <w:rsid w:val="009745FE"/>
    <w:rsid w:val="0097498A"/>
    <w:rsid w:val="00974B2F"/>
    <w:rsid w:val="00974C9B"/>
    <w:rsid w:val="00974E21"/>
    <w:rsid w:val="00974F0B"/>
    <w:rsid w:val="009756B5"/>
    <w:rsid w:val="009759A0"/>
    <w:rsid w:val="00975BF9"/>
    <w:rsid w:val="009762BC"/>
    <w:rsid w:val="009767CE"/>
    <w:rsid w:val="00976DCA"/>
    <w:rsid w:val="00980043"/>
    <w:rsid w:val="0098068D"/>
    <w:rsid w:val="0098184D"/>
    <w:rsid w:val="009823A2"/>
    <w:rsid w:val="0098271A"/>
    <w:rsid w:val="00982ADA"/>
    <w:rsid w:val="00982E2F"/>
    <w:rsid w:val="0098347B"/>
    <w:rsid w:val="00983DE8"/>
    <w:rsid w:val="00984CE8"/>
    <w:rsid w:val="00984E2F"/>
    <w:rsid w:val="00985205"/>
    <w:rsid w:val="00985331"/>
    <w:rsid w:val="00985942"/>
    <w:rsid w:val="00986EA2"/>
    <w:rsid w:val="009870D2"/>
    <w:rsid w:val="009871BB"/>
    <w:rsid w:val="00987254"/>
    <w:rsid w:val="00987506"/>
    <w:rsid w:val="00987802"/>
    <w:rsid w:val="00990A4E"/>
    <w:rsid w:val="00990ED1"/>
    <w:rsid w:val="00991805"/>
    <w:rsid w:val="00991EDB"/>
    <w:rsid w:val="009926AB"/>
    <w:rsid w:val="00992851"/>
    <w:rsid w:val="00993765"/>
    <w:rsid w:val="00994B1D"/>
    <w:rsid w:val="00994C56"/>
    <w:rsid w:val="00994EFA"/>
    <w:rsid w:val="00995E65"/>
    <w:rsid w:val="00995EE9"/>
    <w:rsid w:val="00996342"/>
    <w:rsid w:val="00996792"/>
    <w:rsid w:val="00997172"/>
    <w:rsid w:val="00997E49"/>
    <w:rsid w:val="009A08D4"/>
    <w:rsid w:val="009A161D"/>
    <w:rsid w:val="009A1A5F"/>
    <w:rsid w:val="009A1CE2"/>
    <w:rsid w:val="009A2C71"/>
    <w:rsid w:val="009A3314"/>
    <w:rsid w:val="009A34EB"/>
    <w:rsid w:val="009A4233"/>
    <w:rsid w:val="009A4A2D"/>
    <w:rsid w:val="009A4F68"/>
    <w:rsid w:val="009A52B7"/>
    <w:rsid w:val="009A616B"/>
    <w:rsid w:val="009A637B"/>
    <w:rsid w:val="009A6525"/>
    <w:rsid w:val="009A6564"/>
    <w:rsid w:val="009A69B4"/>
    <w:rsid w:val="009A6C94"/>
    <w:rsid w:val="009A74F0"/>
    <w:rsid w:val="009A757B"/>
    <w:rsid w:val="009A7977"/>
    <w:rsid w:val="009A7AB4"/>
    <w:rsid w:val="009A7B34"/>
    <w:rsid w:val="009A7F8A"/>
    <w:rsid w:val="009B0095"/>
    <w:rsid w:val="009B0F14"/>
    <w:rsid w:val="009B151D"/>
    <w:rsid w:val="009B1A64"/>
    <w:rsid w:val="009B1BD9"/>
    <w:rsid w:val="009B21E9"/>
    <w:rsid w:val="009B2B4E"/>
    <w:rsid w:val="009B37F9"/>
    <w:rsid w:val="009B3B8B"/>
    <w:rsid w:val="009B408D"/>
    <w:rsid w:val="009B4A34"/>
    <w:rsid w:val="009B4AEA"/>
    <w:rsid w:val="009B53C5"/>
    <w:rsid w:val="009B547F"/>
    <w:rsid w:val="009B57B4"/>
    <w:rsid w:val="009B7678"/>
    <w:rsid w:val="009C0B79"/>
    <w:rsid w:val="009C1697"/>
    <w:rsid w:val="009C231A"/>
    <w:rsid w:val="009C2CA1"/>
    <w:rsid w:val="009C2E9C"/>
    <w:rsid w:val="009C3330"/>
    <w:rsid w:val="009C3A81"/>
    <w:rsid w:val="009C3C52"/>
    <w:rsid w:val="009C44E1"/>
    <w:rsid w:val="009C5456"/>
    <w:rsid w:val="009C547A"/>
    <w:rsid w:val="009C5DCA"/>
    <w:rsid w:val="009C65AF"/>
    <w:rsid w:val="009C6C37"/>
    <w:rsid w:val="009C7332"/>
    <w:rsid w:val="009C7941"/>
    <w:rsid w:val="009C7FF0"/>
    <w:rsid w:val="009D0A8D"/>
    <w:rsid w:val="009D110B"/>
    <w:rsid w:val="009D1B8C"/>
    <w:rsid w:val="009D20D6"/>
    <w:rsid w:val="009D2203"/>
    <w:rsid w:val="009D222F"/>
    <w:rsid w:val="009D2A4F"/>
    <w:rsid w:val="009D41A1"/>
    <w:rsid w:val="009D4D74"/>
    <w:rsid w:val="009D52E2"/>
    <w:rsid w:val="009D5773"/>
    <w:rsid w:val="009D61E9"/>
    <w:rsid w:val="009D6343"/>
    <w:rsid w:val="009D647C"/>
    <w:rsid w:val="009D6FF0"/>
    <w:rsid w:val="009D730F"/>
    <w:rsid w:val="009D77A1"/>
    <w:rsid w:val="009D7CC0"/>
    <w:rsid w:val="009E036C"/>
    <w:rsid w:val="009E19EB"/>
    <w:rsid w:val="009E1D39"/>
    <w:rsid w:val="009E1D88"/>
    <w:rsid w:val="009E1FC4"/>
    <w:rsid w:val="009E2238"/>
    <w:rsid w:val="009E3450"/>
    <w:rsid w:val="009E39F2"/>
    <w:rsid w:val="009E425F"/>
    <w:rsid w:val="009E4BDA"/>
    <w:rsid w:val="009E512D"/>
    <w:rsid w:val="009E573F"/>
    <w:rsid w:val="009E6A81"/>
    <w:rsid w:val="009E6FA7"/>
    <w:rsid w:val="009E7446"/>
    <w:rsid w:val="009E7713"/>
    <w:rsid w:val="009E771B"/>
    <w:rsid w:val="009E7B3A"/>
    <w:rsid w:val="009E7BDA"/>
    <w:rsid w:val="009F003C"/>
    <w:rsid w:val="009F01CF"/>
    <w:rsid w:val="009F0912"/>
    <w:rsid w:val="009F1287"/>
    <w:rsid w:val="009F194B"/>
    <w:rsid w:val="009F1C2C"/>
    <w:rsid w:val="009F270C"/>
    <w:rsid w:val="009F2D89"/>
    <w:rsid w:val="009F2FC1"/>
    <w:rsid w:val="009F35D9"/>
    <w:rsid w:val="009F3CE7"/>
    <w:rsid w:val="009F47E6"/>
    <w:rsid w:val="009F547C"/>
    <w:rsid w:val="009F54CD"/>
    <w:rsid w:val="009F6328"/>
    <w:rsid w:val="009F6453"/>
    <w:rsid w:val="009F7717"/>
    <w:rsid w:val="00A001BB"/>
    <w:rsid w:val="00A002A0"/>
    <w:rsid w:val="00A00552"/>
    <w:rsid w:val="00A00BFD"/>
    <w:rsid w:val="00A00F8C"/>
    <w:rsid w:val="00A01269"/>
    <w:rsid w:val="00A014B3"/>
    <w:rsid w:val="00A01E5B"/>
    <w:rsid w:val="00A020F1"/>
    <w:rsid w:val="00A02295"/>
    <w:rsid w:val="00A02B20"/>
    <w:rsid w:val="00A02F9B"/>
    <w:rsid w:val="00A0492D"/>
    <w:rsid w:val="00A049C5"/>
    <w:rsid w:val="00A04C01"/>
    <w:rsid w:val="00A05451"/>
    <w:rsid w:val="00A05B3E"/>
    <w:rsid w:val="00A063CB"/>
    <w:rsid w:val="00A069E0"/>
    <w:rsid w:val="00A06B70"/>
    <w:rsid w:val="00A07A47"/>
    <w:rsid w:val="00A07EA6"/>
    <w:rsid w:val="00A1013A"/>
    <w:rsid w:val="00A114B9"/>
    <w:rsid w:val="00A11EEF"/>
    <w:rsid w:val="00A1251D"/>
    <w:rsid w:val="00A1257F"/>
    <w:rsid w:val="00A12E08"/>
    <w:rsid w:val="00A145DF"/>
    <w:rsid w:val="00A14E6E"/>
    <w:rsid w:val="00A15AD8"/>
    <w:rsid w:val="00A15DF0"/>
    <w:rsid w:val="00A16175"/>
    <w:rsid w:val="00A16559"/>
    <w:rsid w:val="00A16E66"/>
    <w:rsid w:val="00A2107D"/>
    <w:rsid w:val="00A2183C"/>
    <w:rsid w:val="00A226D3"/>
    <w:rsid w:val="00A227D8"/>
    <w:rsid w:val="00A22937"/>
    <w:rsid w:val="00A22E58"/>
    <w:rsid w:val="00A2374C"/>
    <w:rsid w:val="00A240B7"/>
    <w:rsid w:val="00A25246"/>
    <w:rsid w:val="00A269C7"/>
    <w:rsid w:val="00A26B9E"/>
    <w:rsid w:val="00A27051"/>
    <w:rsid w:val="00A276EB"/>
    <w:rsid w:val="00A2787F"/>
    <w:rsid w:val="00A27C5F"/>
    <w:rsid w:val="00A27CFC"/>
    <w:rsid w:val="00A27E42"/>
    <w:rsid w:val="00A27FE3"/>
    <w:rsid w:val="00A30049"/>
    <w:rsid w:val="00A300DF"/>
    <w:rsid w:val="00A3174C"/>
    <w:rsid w:val="00A31DD6"/>
    <w:rsid w:val="00A32F2A"/>
    <w:rsid w:val="00A32F4B"/>
    <w:rsid w:val="00A32FFD"/>
    <w:rsid w:val="00A33403"/>
    <w:rsid w:val="00A3375F"/>
    <w:rsid w:val="00A3387A"/>
    <w:rsid w:val="00A33A23"/>
    <w:rsid w:val="00A33BF9"/>
    <w:rsid w:val="00A34C22"/>
    <w:rsid w:val="00A34D7E"/>
    <w:rsid w:val="00A351F5"/>
    <w:rsid w:val="00A36717"/>
    <w:rsid w:val="00A37159"/>
    <w:rsid w:val="00A37628"/>
    <w:rsid w:val="00A379C8"/>
    <w:rsid w:val="00A37B0C"/>
    <w:rsid w:val="00A37D76"/>
    <w:rsid w:val="00A37D9F"/>
    <w:rsid w:val="00A37E27"/>
    <w:rsid w:val="00A40127"/>
    <w:rsid w:val="00A410EB"/>
    <w:rsid w:val="00A42777"/>
    <w:rsid w:val="00A42877"/>
    <w:rsid w:val="00A43037"/>
    <w:rsid w:val="00A436EE"/>
    <w:rsid w:val="00A443A9"/>
    <w:rsid w:val="00A4451D"/>
    <w:rsid w:val="00A44E8E"/>
    <w:rsid w:val="00A45F61"/>
    <w:rsid w:val="00A479A6"/>
    <w:rsid w:val="00A47A50"/>
    <w:rsid w:val="00A502B2"/>
    <w:rsid w:val="00A503E1"/>
    <w:rsid w:val="00A50634"/>
    <w:rsid w:val="00A5096C"/>
    <w:rsid w:val="00A50FD4"/>
    <w:rsid w:val="00A51989"/>
    <w:rsid w:val="00A51D18"/>
    <w:rsid w:val="00A520B2"/>
    <w:rsid w:val="00A52682"/>
    <w:rsid w:val="00A52D6B"/>
    <w:rsid w:val="00A5323F"/>
    <w:rsid w:val="00A532DF"/>
    <w:rsid w:val="00A53D04"/>
    <w:rsid w:val="00A53DE9"/>
    <w:rsid w:val="00A542DA"/>
    <w:rsid w:val="00A54E2C"/>
    <w:rsid w:val="00A54E64"/>
    <w:rsid w:val="00A551E4"/>
    <w:rsid w:val="00A55995"/>
    <w:rsid w:val="00A56016"/>
    <w:rsid w:val="00A564CC"/>
    <w:rsid w:val="00A5681E"/>
    <w:rsid w:val="00A5698D"/>
    <w:rsid w:val="00A56F6A"/>
    <w:rsid w:val="00A5794C"/>
    <w:rsid w:val="00A57D34"/>
    <w:rsid w:val="00A603A5"/>
    <w:rsid w:val="00A60666"/>
    <w:rsid w:val="00A61375"/>
    <w:rsid w:val="00A61709"/>
    <w:rsid w:val="00A6235C"/>
    <w:rsid w:val="00A6262C"/>
    <w:rsid w:val="00A62685"/>
    <w:rsid w:val="00A63C1C"/>
    <w:rsid w:val="00A63DDF"/>
    <w:rsid w:val="00A64369"/>
    <w:rsid w:val="00A64907"/>
    <w:rsid w:val="00A64FCB"/>
    <w:rsid w:val="00A657C5"/>
    <w:rsid w:val="00A66E4A"/>
    <w:rsid w:val="00A677AB"/>
    <w:rsid w:val="00A6794D"/>
    <w:rsid w:val="00A67E43"/>
    <w:rsid w:val="00A7047D"/>
    <w:rsid w:val="00A71516"/>
    <w:rsid w:val="00A7180A"/>
    <w:rsid w:val="00A71B66"/>
    <w:rsid w:val="00A72693"/>
    <w:rsid w:val="00A73F71"/>
    <w:rsid w:val="00A74AF4"/>
    <w:rsid w:val="00A755FE"/>
    <w:rsid w:val="00A75821"/>
    <w:rsid w:val="00A75DBB"/>
    <w:rsid w:val="00A76112"/>
    <w:rsid w:val="00A769EA"/>
    <w:rsid w:val="00A77A76"/>
    <w:rsid w:val="00A77FEE"/>
    <w:rsid w:val="00A801ED"/>
    <w:rsid w:val="00A80633"/>
    <w:rsid w:val="00A806F4"/>
    <w:rsid w:val="00A80866"/>
    <w:rsid w:val="00A81239"/>
    <w:rsid w:val="00A81A40"/>
    <w:rsid w:val="00A81EBB"/>
    <w:rsid w:val="00A822F2"/>
    <w:rsid w:val="00A8249F"/>
    <w:rsid w:val="00A82586"/>
    <w:rsid w:val="00A826E4"/>
    <w:rsid w:val="00A837AF"/>
    <w:rsid w:val="00A83B12"/>
    <w:rsid w:val="00A84DA5"/>
    <w:rsid w:val="00A84DC0"/>
    <w:rsid w:val="00A84F37"/>
    <w:rsid w:val="00A855DC"/>
    <w:rsid w:val="00A85E8A"/>
    <w:rsid w:val="00A869A2"/>
    <w:rsid w:val="00A8716D"/>
    <w:rsid w:val="00A87EB8"/>
    <w:rsid w:val="00A900B2"/>
    <w:rsid w:val="00A90466"/>
    <w:rsid w:val="00A9046A"/>
    <w:rsid w:val="00A905B6"/>
    <w:rsid w:val="00A90D26"/>
    <w:rsid w:val="00A90D87"/>
    <w:rsid w:val="00A90DBE"/>
    <w:rsid w:val="00A9186B"/>
    <w:rsid w:val="00A92056"/>
    <w:rsid w:val="00A92339"/>
    <w:rsid w:val="00A92972"/>
    <w:rsid w:val="00A92A42"/>
    <w:rsid w:val="00A94ABE"/>
    <w:rsid w:val="00A95814"/>
    <w:rsid w:val="00A95C2D"/>
    <w:rsid w:val="00A97095"/>
    <w:rsid w:val="00A97435"/>
    <w:rsid w:val="00A9797A"/>
    <w:rsid w:val="00A97D4D"/>
    <w:rsid w:val="00A97E1A"/>
    <w:rsid w:val="00AA079B"/>
    <w:rsid w:val="00AA0E54"/>
    <w:rsid w:val="00AA13A8"/>
    <w:rsid w:val="00AA25BB"/>
    <w:rsid w:val="00AA2F39"/>
    <w:rsid w:val="00AA371B"/>
    <w:rsid w:val="00AA3B49"/>
    <w:rsid w:val="00AA4179"/>
    <w:rsid w:val="00AA43AF"/>
    <w:rsid w:val="00AA49AC"/>
    <w:rsid w:val="00AA5041"/>
    <w:rsid w:val="00AA5147"/>
    <w:rsid w:val="00AA52F8"/>
    <w:rsid w:val="00AA5948"/>
    <w:rsid w:val="00AA7193"/>
    <w:rsid w:val="00AA7676"/>
    <w:rsid w:val="00AA7C50"/>
    <w:rsid w:val="00AB0E39"/>
    <w:rsid w:val="00AB0F5D"/>
    <w:rsid w:val="00AB17CE"/>
    <w:rsid w:val="00AB1FF8"/>
    <w:rsid w:val="00AB26F2"/>
    <w:rsid w:val="00AB2B84"/>
    <w:rsid w:val="00AB2D68"/>
    <w:rsid w:val="00AB483F"/>
    <w:rsid w:val="00AB55CF"/>
    <w:rsid w:val="00AB587D"/>
    <w:rsid w:val="00AB59C5"/>
    <w:rsid w:val="00AB5AE0"/>
    <w:rsid w:val="00AB60C9"/>
    <w:rsid w:val="00AB6122"/>
    <w:rsid w:val="00AB6778"/>
    <w:rsid w:val="00AB6EAB"/>
    <w:rsid w:val="00AB6ED1"/>
    <w:rsid w:val="00AB7D8F"/>
    <w:rsid w:val="00AC2E01"/>
    <w:rsid w:val="00AC31D1"/>
    <w:rsid w:val="00AC3C7B"/>
    <w:rsid w:val="00AC3F24"/>
    <w:rsid w:val="00AC4527"/>
    <w:rsid w:val="00AC4698"/>
    <w:rsid w:val="00AC4A51"/>
    <w:rsid w:val="00AC4A9D"/>
    <w:rsid w:val="00AC4DE7"/>
    <w:rsid w:val="00AC4E7D"/>
    <w:rsid w:val="00AC4F78"/>
    <w:rsid w:val="00AC5A0E"/>
    <w:rsid w:val="00AC5F6B"/>
    <w:rsid w:val="00AC6166"/>
    <w:rsid w:val="00AC6781"/>
    <w:rsid w:val="00AC790C"/>
    <w:rsid w:val="00AC7FAB"/>
    <w:rsid w:val="00AD00D1"/>
    <w:rsid w:val="00AD0EBA"/>
    <w:rsid w:val="00AD1DDD"/>
    <w:rsid w:val="00AD1FF3"/>
    <w:rsid w:val="00AD2B0C"/>
    <w:rsid w:val="00AD3153"/>
    <w:rsid w:val="00AD3BFA"/>
    <w:rsid w:val="00AD4136"/>
    <w:rsid w:val="00AD5239"/>
    <w:rsid w:val="00AD5F53"/>
    <w:rsid w:val="00AD66A0"/>
    <w:rsid w:val="00AD79C0"/>
    <w:rsid w:val="00AD7E49"/>
    <w:rsid w:val="00AD7E81"/>
    <w:rsid w:val="00AE0891"/>
    <w:rsid w:val="00AE132A"/>
    <w:rsid w:val="00AE17A1"/>
    <w:rsid w:val="00AE2B18"/>
    <w:rsid w:val="00AE41AF"/>
    <w:rsid w:val="00AE49B2"/>
    <w:rsid w:val="00AE52F4"/>
    <w:rsid w:val="00AE59E8"/>
    <w:rsid w:val="00AE5D68"/>
    <w:rsid w:val="00AE66D0"/>
    <w:rsid w:val="00AE7591"/>
    <w:rsid w:val="00AE7947"/>
    <w:rsid w:val="00AE7F03"/>
    <w:rsid w:val="00AF0D67"/>
    <w:rsid w:val="00AF14D5"/>
    <w:rsid w:val="00AF1C42"/>
    <w:rsid w:val="00AF232C"/>
    <w:rsid w:val="00AF2F08"/>
    <w:rsid w:val="00AF338D"/>
    <w:rsid w:val="00AF3513"/>
    <w:rsid w:val="00AF390E"/>
    <w:rsid w:val="00AF3A35"/>
    <w:rsid w:val="00AF4360"/>
    <w:rsid w:val="00AF60AD"/>
    <w:rsid w:val="00AF6B96"/>
    <w:rsid w:val="00AF6F84"/>
    <w:rsid w:val="00AF6FF3"/>
    <w:rsid w:val="00AF73D8"/>
    <w:rsid w:val="00AF7C7D"/>
    <w:rsid w:val="00B0123D"/>
    <w:rsid w:val="00B02213"/>
    <w:rsid w:val="00B02771"/>
    <w:rsid w:val="00B02B05"/>
    <w:rsid w:val="00B02DCC"/>
    <w:rsid w:val="00B03BDB"/>
    <w:rsid w:val="00B0403C"/>
    <w:rsid w:val="00B0423F"/>
    <w:rsid w:val="00B04917"/>
    <w:rsid w:val="00B058CD"/>
    <w:rsid w:val="00B06005"/>
    <w:rsid w:val="00B06257"/>
    <w:rsid w:val="00B062E8"/>
    <w:rsid w:val="00B0686B"/>
    <w:rsid w:val="00B07559"/>
    <w:rsid w:val="00B1100B"/>
    <w:rsid w:val="00B11710"/>
    <w:rsid w:val="00B11AFF"/>
    <w:rsid w:val="00B11D69"/>
    <w:rsid w:val="00B123E9"/>
    <w:rsid w:val="00B12AF8"/>
    <w:rsid w:val="00B135BC"/>
    <w:rsid w:val="00B136CA"/>
    <w:rsid w:val="00B13FC1"/>
    <w:rsid w:val="00B14497"/>
    <w:rsid w:val="00B14A49"/>
    <w:rsid w:val="00B15958"/>
    <w:rsid w:val="00B17E86"/>
    <w:rsid w:val="00B217EA"/>
    <w:rsid w:val="00B2205D"/>
    <w:rsid w:val="00B23432"/>
    <w:rsid w:val="00B23B48"/>
    <w:rsid w:val="00B23DC3"/>
    <w:rsid w:val="00B23FD2"/>
    <w:rsid w:val="00B240D3"/>
    <w:rsid w:val="00B2410C"/>
    <w:rsid w:val="00B2438B"/>
    <w:rsid w:val="00B243A9"/>
    <w:rsid w:val="00B24439"/>
    <w:rsid w:val="00B24E82"/>
    <w:rsid w:val="00B2514A"/>
    <w:rsid w:val="00B25A23"/>
    <w:rsid w:val="00B25B25"/>
    <w:rsid w:val="00B25C7D"/>
    <w:rsid w:val="00B27629"/>
    <w:rsid w:val="00B27A75"/>
    <w:rsid w:val="00B27E54"/>
    <w:rsid w:val="00B307BB"/>
    <w:rsid w:val="00B30CB6"/>
    <w:rsid w:val="00B3157E"/>
    <w:rsid w:val="00B3205F"/>
    <w:rsid w:val="00B323AE"/>
    <w:rsid w:val="00B32416"/>
    <w:rsid w:val="00B32546"/>
    <w:rsid w:val="00B32BFA"/>
    <w:rsid w:val="00B33BCB"/>
    <w:rsid w:val="00B33C06"/>
    <w:rsid w:val="00B33E54"/>
    <w:rsid w:val="00B3410E"/>
    <w:rsid w:val="00B35B33"/>
    <w:rsid w:val="00B369BF"/>
    <w:rsid w:val="00B376C2"/>
    <w:rsid w:val="00B376EE"/>
    <w:rsid w:val="00B378AD"/>
    <w:rsid w:val="00B37C43"/>
    <w:rsid w:val="00B37C7B"/>
    <w:rsid w:val="00B37C83"/>
    <w:rsid w:val="00B40870"/>
    <w:rsid w:val="00B41334"/>
    <w:rsid w:val="00B41385"/>
    <w:rsid w:val="00B417E4"/>
    <w:rsid w:val="00B42280"/>
    <w:rsid w:val="00B4330B"/>
    <w:rsid w:val="00B4346E"/>
    <w:rsid w:val="00B43514"/>
    <w:rsid w:val="00B45172"/>
    <w:rsid w:val="00B45537"/>
    <w:rsid w:val="00B45B87"/>
    <w:rsid w:val="00B463BB"/>
    <w:rsid w:val="00B46984"/>
    <w:rsid w:val="00B46A28"/>
    <w:rsid w:val="00B476A5"/>
    <w:rsid w:val="00B47826"/>
    <w:rsid w:val="00B5002D"/>
    <w:rsid w:val="00B50540"/>
    <w:rsid w:val="00B505C2"/>
    <w:rsid w:val="00B50945"/>
    <w:rsid w:val="00B51042"/>
    <w:rsid w:val="00B5139E"/>
    <w:rsid w:val="00B51475"/>
    <w:rsid w:val="00B51ACE"/>
    <w:rsid w:val="00B54238"/>
    <w:rsid w:val="00B546AF"/>
    <w:rsid w:val="00B54752"/>
    <w:rsid w:val="00B54B1D"/>
    <w:rsid w:val="00B54FC7"/>
    <w:rsid w:val="00B55A2E"/>
    <w:rsid w:val="00B5603D"/>
    <w:rsid w:val="00B5636C"/>
    <w:rsid w:val="00B56450"/>
    <w:rsid w:val="00B569C9"/>
    <w:rsid w:val="00B572EC"/>
    <w:rsid w:val="00B57E15"/>
    <w:rsid w:val="00B602DF"/>
    <w:rsid w:val="00B60570"/>
    <w:rsid w:val="00B617CD"/>
    <w:rsid w:val="00B61E23"/>
    <w:rsid w:val="00B621AF"/>
    <w:rsid w:val="00B62814"/>
    <w:rsid w:val="00B6308A"/>
    <w:rsid w:val="00B6321C"/>
    <w:rsid w:val="00B6381F"/>
    <w:rsid w:val="00B648A0"/>
    <w:rsid w:val="00B6660E"/>
    <w:rsid w:val="00B6675F"/>
    <w:rsid w:val="00B6749D"/>
    <w:rsid w:val="00B67ACB"/>
    <w:rsid w:val="00B70A85"/>
    <w:rsid w:val="00B710D6"/>
    <w:rsid w:val="00B71F2B"/>
    <w:rsid w:val="00B7221B"/>
    <w:rsid w:val="00B724D9"/>
    <w:rsid w:val="00B72632"/>
    <w:rsid w:val="00B73C06"/>
    <w:rsid w:val="00B73C40"/>
    <w:rsid w:val="00B73F4A"/>
    <w:rsid w:val="00B73F53"/>
    <w:rsid w:val="00B74C7C"/>
    <w:rsid w:val="00B751EC"/>
    <w:rsid w:val="00B752A0"/>
    <w:rsid w:val="00B7536A"/>
    <w:rsid w:val="00B76392"/>
    <w:rsid w:val="00B76866"/>
    <w:rsid w:val="00B76D44"/>
    <w:rsid w:val="00B77B99"/>
    <w:rsid w:val="00B77FFE"/>
    <w:rsid w:val="00B803EA"/>
    <w:rsid w:val="00B819A2"/>
    <w:rsid w:val="00B846D5"/>
    <w:rsid w:val="00B84756"/>
    <w:rsid w:val="00B8500A"/>
    <w:rsid w:val="00B85348"/>
    <w:rsid w:val="00B8615F"/>
    <w:rsid w:val="00B86B17"/>
    <w:rsid w:val="00B87A0B"/>
    <w:rsid w:val="00B87FED"/>
    <w:rsid w:val="00B900E1"/>
    <w:rsid w:val="00B90C2D"/>
    <w:rsid w:val="00B91FE8"/>
    <w:rsid w:val="00B92A5C"/>
    <w:rsid w:val="00B92B47"/>
    <w:rsid w:val="00B937DA"/>
    <w:rsid w:val="00B939BB"/>
    <w:rsid w:val="00B940FA"/>
    <w:rsid w:val="00B94672"/>
    <w:rsid w:val="00B94718"/>
    <w:rsid w:val="00B94B83"/>
    <w:rsid w:val="00B9515D"/>
    <w:rsid w:val="00B9670D"/>
    <w:rsid w:val="00B97409"/>
    <w:rsid w:val="00BA0429"/>
    <w:rsid w:val="00BA0FF8"/>
    <w:rsid w:val="00BA18A5"/>
    <w:rsid w:val="00BA1B6C"/>
    <w:rsid w:val="00BA2E1B"/>
    <w:rsid w:val="00BA2EB8"/>
    <w:rsid w:val="00BA2ECF"/>
    <w:rsid w:val="00BA322C"/>
    <w:rsid w:val="00BA3406"/>
    <w:rsid w:val="00BA37FF"/>
    <w:rsid w:val="00BA3E46"/>
    <w:rsid w:val="00BA405B"/>
    <w:rsid w:val="00BA429D"/>
    <w:rsid w:val="00BA4CBD"/>
    <w:rsid w:val="00BA4CE4"/>
    <w:rsid w:val="00BA4E01"/>
    <w:rsid w:val="00BA562D"/>
    <w:rsid w:val="00BA5BB5"/>
    <w:rsid w:val="00BA5D8C"/>
    <w:rsid w:val="00BA5DDA"/>
    <w:rsid w:val="00BA6D40"/>
    <w:rsid w:val="00BA73AF"/>
    <w:rsid w:val="00BA755E"/>
    <w:rsid w:val="00BA7715"/>
    <w:rsid w:val="00BA792E"/>
    <w:rsid w:val="00BB04D8"/>
    <w:rsid w:val="00BB099E"/>
    <w:rsid w:val="00BB0BE1"/>
    <w:rsid w:val="00BB1311"/>
    <w:rsid w:val="00BB2943"/>
    <w:rsid w:val="00BB2E7E"/>
    <w:rsid w:val="00BB38ED"/>
    <w:rsid w:val="00BB3A5E"/>
    <w:rsid w:val="00BB3D31"/>
    <w:rsid w:val="00BB47CE"/>
    <w:rsid w:val="00BB4CF0"/>
    <w:rsid w:val="00BB5F8F"/>
    <w:rsid w:val="00BB6567"/>
    <w:rsid w:val="00BB7F0E"/>
    <w:rsid w:val="00BC065E"/>
    <w:rsid w:val="00BC0AC7"/>
    <w:rsid w:val="00BC0F5E"/>
    <w:rsid w:val="00BC1140"/>
    <w:rsid w:val="00BC1862"/>
    <w:rsid w:val="00BC1CF6"/>
    <w:rsid w:val="00BC25B3"/>
    <w:rsid w:val="00BC2B31"/>
    <w:rsid w:val="00BC3857"/>
    <w:rsid w:val="00BC3C4F"/>
    <w:rsid w:val="00BC421E"/>
    <w:rsid w:val="00BC465A"/>
    <w:rsid w:val="00BC57DF"/>
    <w:rsid w:val="00BC64D5"/>
    <w:rsid w:val="00BC6866"/>
    <w:rsid w:val="00BC68ED"/>
    <w:rsid w:val="00BC7006"/>
    <w:rsid w:val="00BC72F8"/>
    <w:rsid w:val="00BC77AA"/>
    <w:rsid w:val="00BC7BAA"/>
    <w:rsid w:val="00BD00EC"/>
    <w:rsid w:val="00BD07A1"/>
    <w:rsid w:val="00BD0DBC"/>
    <w:rsid w:val="00BD0F08"/>
    <w:rsid w:val="00BD0F9A"/>
    <w:rsid w:val="00BD20FE"/>
    <w:rsid w:val="00BD2255"/>
    <w:rsid w:val="00BD379E"/>
    <w:rsid w:val="00BD3FFF"/>
    <w:rsid w:val="00BD4085"/>
    <w:rsid w:val="00BD456E"/>
    <w:rsid w:val="00BD4994"/>
    <w:rsid w:val="00BD541A"/>
    <w:rsid w:val="00BD5440"/>
    <w:rsid w:val="00BD5B3D"/>
    <w:rsid w:val="00BD5BAB"/>
    <w:rsid w:val="00BD5D20"/>
    <w:rsid w:val="00BD67D9"/>
    <w:rsid w:val="00BD6B2E"/>
    <w:rsid w:val="00BD7216"/>
    <w:rsid w:val="00BE0357"/>
    <w:rsid w:val="00BE0407"/>
    <w:rsid w:val="00BE07C8"/>
    <w:rsid w:val="00BE16F2"/>
    <w:rsid w:val="00BE2090"/>
    <w:rsid w:val="00BE2189"/>
    <w:rsid w:val="00BE2BD3"/>
    <w:rsid w:val="00BE3937"/>
    <w:rsid w:val="00BE4DDA"/>
    <w:rsid w:val="00BE5710"/>
    <w:rsid w:val="00BE58FA"/>
    <w:rsid w:val="00BE624D"/>
    <w:rsid w:val="00BE68C2"/>
    <w:rsid w:val="00BE7BE0"/>
    <w:rsid w:val="00BF0C24"/>
    <w:rsid w:val="00BF0CE7"/>
    <w:rsid w:val="00BF1265"/>
    <w:rsid w:val="00BF1C2B"/>
    <w:rsid w:val="00BF1D82"/>
    <w:rsid w:val="00BF1FD4"/>
    <w:rsid w:val="00BF2365"/>
    <w:rsid w:val="00BF2550"/>
    <w:rsid w:val="00BF2741"/>
    <w:rsid w:val="00BF3318"/>
    <w:rsid w:val="00BF3D76"/>
    <w:rsid w:val="00BF44E3"/>
    <w:rsid w:val="00BF4573"/>
    <w:rsid w:val="00BF4C1A"/>
    <w:rsid w:val="00BF4C68"/>
    <w:rsid w:val="00BF4F3D"/>
    <w:rsid w:val="00BF5BCD"/>
    <w:rsid w:val="00BF5DA5"/>
    <w:rsid w:val="00BF5DF3"/>
    <w:rsid w:val="00BF65C3"/>
    <w:rsid w:val="00BF6838"/>
    <w:rsid w:val="00BF6BDE"/>
    <w:rsid w:val="00BF7217"/>
    <w:rsid w:val="00BF7468"/>
    <w:rsid w:val="00BF7D9A"/>
    <w:rsid w:val="00C002A7"/>
    <w:rsid w:val="00C003CD"/>
    <w:rsid w:val="00C00B0B"/>
    <w:rsid w:val="00C0206C"/>
    <w:rsid w:val="00C0287F"/>
    <w:rsid w:val="00C02C10"/>
    <w:rsid w:val="00C02DED"/>
    <w:rsid w:val="00C03037"/>
    <w:rsid w:val="00C03A13"/>
    <w:rsid w:val="00C04CED"/>
    <w:rsid w:val="00C04D6D"/>
    <w:rsid w:val="00C05C24"/>
    <w:rsid w:val="00C05E32"/>
    <w:rsid w:val="00C0604D"/>
    <w:rsid w:val="00C061BF"/>
    <w:rsid w:val="00C06205"/>
    <w:rsid w:val="00C063A6"/>
    <w:rsid w:val="00C11208"/>
    <w:rsid w:val="00C1121E"/>
    <w:rsid w:val="00C124DC"/>
    <w:rsid w:val="00C12942"/>
    <w:rsid w:val="00C129DB"/>
    <w:rsid w:val="00C12B77"/>
    <w:rsid w:val="00C14EF7"/>
    <w:rsid w:val="00C14F6F"/>
    <w:rsid w:val="00C15C53"/>
    <w:rsid w:val="00C15F9E"/>
    <w:rsid w:val="00C164D7"/>
    <w:rsid w:val="00C164FC"/>
    <w:rsid w:val="00C166AB"/>
    <w:rsid w:val="00C16830"/>
    <w:rsid w:val="00C17105"/>
    <w:rsid w:val="00C203D1"/>
    <w:rsid w:val="00C20682"/>
    <w:rsid w:val="00C20B9D"/>
    <w:rsid w:val="00C217C2"/>
    <w:rsid w:val="00C21F89"/>
    <w:rsid w:val="00C22055"/>
    <w:rsid w:val="00C226BD"/>
    <w:rsid w:val="00C229E7"/>
    <w:rsid w:val="00C23A6B"/>
    <w:rsid w:val="00C24ADD"/>
    <w:rsid w:val="00C24F32"/>
    <w:rsid w:val="00C26DE7"/>
    <w:rsid w:val="00C274E7"/>
    <w:rsid w:val="00C27525"/>
    <w:rsid w:val="00C27AEB"/>
    <w:rsid w:val="00C30B3C"/>
    <w:rsid w:val="00C30B8E"/>
    <w:rsid w:val="00C317C5"/>
    <w:rsid w:val="00C3477A"/>
    <w:rsid w:val="00C34881"/>
    <w:rsid w:val="00C34ACC"/>
    <w:rsid w:val="00C36078"/>
    <w:rsid w:val="00C36391"/>
    <w:rsid w:val="00C363CA"/>
    <w:rsid w:val="00C3692A"/>
    <w:rsid w:val="00C36F76"/>
    <w:rsid w:val="00C37120"/>
    <w:rsid w:val="00C372F0"/>
    <w:rsid w:val="00C378CD"/>
    <w:rsid w:val="00C37D7A"/>
    <w:rsid w:val="00C37EF1"/>
    <w:rsid w:val="00C37F37"/>
    <w:rsid w:val="00C417CA"/>
    <w:rsid w:val="00C41B26"/>
    <w:rsid w:val="00C4242C"/>
    <w:rsid w:val="00C42F55"/>
    <w:rsid w:val="00C432DE"/>
    <w:rsid w:val="00C43354"/>
    <w:rsid w:val="00C4369B"/>
    <w:rsid w:val="00C43B57"/>
    <w:rsid w:val="00C43B91"/>
    <w:rsid w:val="00C4416D"/>
    <w:rsid w:val="00C443A3"/>
    <w:rsid w:val="00C45110"/>
    <w:rsid w:val="00C45D85"/>
    <w:rsid w:val="00C461B3"/>
    <w:rsid w:val="00C467C3"/>
    <w:rsid w:val="00C46865"/>
    <w:rsid w:val="00C47096"/>
    <w:rsid w:val="00C470D6"/>
    <w:rsid w:val="00C47D1F"/>
    <w:rsid w:val="00C502F7"/>
    <w:rsid w:val="00C50B49"/>
    <w:rsid w:val="00C51463"/>
    <w:rsid w:val="00C5281C"/>
    <w:rsid w:val="00C53642"/>
    <w:rsid w:val="00C53C1A"/>
    <w:rsid w:val="00C544D0"/>
    <w:rsid w:val="00C5460D"/>
    <w:rsid w:val="00C54698"/>
    <w:rsid w:val="00C54998"/>
    <w:rsid w:val="00C54A7F"/>
    <w:rsid w:val="00C54E9B"/>
    <w:rsid w:val="00C54F73"/>
    <w:rsid w:val="00C55C3D"/>
    <w:rsid w:val="00C56BB9"/>
    <w:rsid w:val="00C57BE5"/>
    <w:rsid w:val="00C57F70"/>
    <w:rsid w:val="00C6197A"/>
    <w:rsid w:val="00C61E7A"/>
    <w:rsid w:val="00C6318C"/>
    <w:rsid w:val="00C632DA"/>
    <w:rsid w:val="00C63D3D"/>
    <w:rsid w:val="00C64200"/>
    <w:rsid w:val="00C64739"/>
    <w:rsid w:val="00C64DBA"/>
    <w:rsid w:val="00C658EA"/>
    <w:rsid w:val="00C65F15"/>
    <w:rsid w:val="00C6621B"/>
    <w:rsid w:val="00C66459"/>
    <w:rsid w:val="00C66A8D"/>
    <w:rsid w:val="00C67459"/>
    <w:rsid w:val="00C676D7"/>
    <w:rsid w:val="00C67A8C"/>
    <w:rsid w:val="00C67AF9"/>
    <w:rsid w:val="00C67D30"/>
    <w:rsid w:val="00C67FAB"/>
    <w:rsid w:val="00C71A67"/>
    <w:rsid w:val="00C72548"/>
    <w:rsid w:val="00C729DB"/>
    <w:rsid w:val="00C72D22"/>
    <w:rsid w:val="00C74003"/>
    <w:rsid w:val="00C7437F"/>
    <w:rsid w:val="00C74FD1"/>
    <w:rsid w:val="00C75551"/>
    <w:rsid w:val="00C756F8"/>
    <w:rsid w:val="00C76028"/>
    <w:rsid w:val="00C76976"/>
    <w:rsid w:val="00C76BB9"/>
    <w:rsid w:val="00C76FB3"/>
    <w:rsid w:val="00C8028E"/>
    <w:rsid w:val="00C8073F"/>
    <w:rsid w:val="00C8088D"/>
    <w:rsid w:val="00C8100C"/>
    <w:rsid w:val="00C810B1"/>
    <w:rsid w:val="00C812BB"/>
    <w:rsid w:val="00C81BD3"/>
    <w:rsid w:val="00C8269D"/>
    <w:rsid w:val="00C82CF5"/>
    <w:rsid w:val="00C833CC"/>
    <w:rsid w:val="00C83643"/>
    <w:rsid w:val="00C83908"/>
    <w:rsid w:val="00C84237"/>
    <w:rsid w:val="00C848DA"/>
    <w:rsid w:val="00C84A92"/>
    <w:rsid w:val="00C84AF2"/>
    <w:rsid w:val="00C85653"/>
    <w:rsid w:val="00C85AD3"/>
    <w:rsid w:val="00C86BAF"/>
    <w:rsid w:val="00C870B2"/>
    <w:rsid w:val="00C87345"/>
    <w:rsid w:val="00C90264"/>
    <w:rsid w:val="00C90BE7"/>
    <w:rsid w:val="00C910AC"/>
    <w:rsid w:val="00C926E0"/>
    <w:rsid w:val="00C92761"/>
    <w:rsid w:val="00C928F2"/>
    <w:rsid w:val="00C9325C"/>
    <w:rsid w:val="00C9466A"/>
    <w:rsid w:val="00C95A9B"/>
    <w:rsid w:val="00C9620B"/>
    <w:rsid w:val="00C962E4"/>
    <w:rsid w:val="00C96E89"/>
    <w:rsid w:val="00C96F6D"/>
    <w:rsid w:val="00C97BBE"/>
    <w:rsid w:val="00CA0114"/>
    <w:rsid w:val="00CA04F9"/>
    <w:rsid w:val="00CA10FE"/>
    <w:rsid w:val="00CA1149"/>
    <w:rsid w:val="00CA207B"/>
    <w:rsid w:val="00CA236F"/>
    <w:rsid w:val="00CA2E5D"/>
    <w:rsid w:val="00CA30B9"/>
    <w:rsid w:val="00CA3269"/>
    <w:rsid w:val="00CA475C"/>
    <w:rsid w:val="00CA5A6C"/>
    <w:rsid w:val="00CA6DDF"/>
    <w:rsid w:val="00CA6F1D"/>
    <w:rsid w:val="00CA7C1D"/>
    <w:rsid w:val="00CA7D0C"/>
    <w:rsid w:val="00CA7DA6"/>
    <w:rsid w:val="00CB0405"/>
    <w:rsid w:val="00CB085D"/>
    <w:rsid w:val="00CB0AE5"/>
    <w:rsid w:val="00CB0F2D"/>
    <w:rsid w:val="00CB14C1"/>
    <w:rsid w:val="00CB15B0"/>
    <w:rsid w:val="00CB21C8"/>
    <w:rsid w:val="00CB40FA"/>
    <w:rsid w:val="00CB49CE"/>
    <w:rsid w:val="00CB4F19"/>
    <w:rsid w:val="00CB4F58"/>
    <w:rsid w:val="00CB5477"/>
    <w:rsid w:val="00CB5674"/>
    <w:rsid w:val="00CB5B4B"/>
    <w:rsid w:val="00CB5DED"/>
    <w:rsid w:val="00CB6523"/>
    <w:rsid w:val="00CB6C6B"/>
    <w:rsid w:val="00CB6D3D"/>
    <w:rsid w:val="00CC0747"/>
    <w:rsid w:val="00CC0821"/>
    <w:rsid w:val="00CC1DD1"/>
    <w:rsid w:val="00CC275F"/>
    <w:rsid w:val="00CC3145"/>
    <w:rsid w:val="00CC37A1"/>
    <w:rsid w:val="00CC3A65"/>
    <w:rsid w:val="00CC4071"/>
    <w:rsid w:val="00CC5EA0"/>
    <w:rsid w:val="00CC626F"/>
    <w:rsid w:val="00CC6799"/>
    <w:rsid w:val="00CC723D"/>
    <w:rsid w:val="00CC7EF5"/>
    <w:rsid w:val="00CC7FC5"/>
    <w:rsid w:val="00CD006E"/>
    <w:rsid w:val="00CD1656"/>
    <w:rsid w:val="00CD232C"/>
    <w:rsid w:val="00CD23DF"/>
    <w:rsid w:val="00CD3AFB"/>
    <w:rsid w:val="00CD3B2B"/>
    <w:rsid w:val="00CD44F3"/>
    <w:rsid w:val="00CD4770"/>
    <w:rsid w:val="00CD512B"/>
    <w:rsid w:val="00CD56E1"/>
    <w:rsid w:val="00CD57F9"/>
    <w:rsid w:val="00CD604D"/>
    <w:rsid w:val="00CD6499"/>
    <w:rsid w:val="00CD6888"/>
    <w:rsid w:val="00CD69CE"/>
    <w:rsid w:val="00CD7602"/>
    <w:rsid w:val="00CD796A"/>
    <w:rsid w:val="00CD7C5F"/>
    <w:rsid w:val="00CD7E1D"/>
    <w:rsid w:val="00CE0053"/>
    <w:rsid w:val="00CE0111"/>
    <w:rsid w:val="00CE1D8A"/>
    <w:rsid w:val="00CE2E09"/>
    <w:rsid w:val="00CE2F2F"/>
    <w:rsid w:val="00CE3123"/>
    <w:rsid w:val="00CE3490"/>
    <w:rsid w:val="00CE3503"/>
    <w:rsid w:val="00CE35D9"/>
    <w:rsid w:val="00CE3D2E"/>
    <w:rsid w:val="00CE4048"/>
    <w:rsid w:val="00CE5B27"/>
    <w:rsid w:val="00CE62AF"/>
    <w:rsid w:val="00CE62E6"/>
    <w:rsid w:val="00CE6763"/>
    <w:rsid w:val="00CE7979"/>
    <w:rsid w:val="00CF04AF"/>
    <w:rsid w:val="00CF085E"/>
    <w:rsid w:val="00CF086A"/>
    <w:rsid w:val="00CF0981"/>
    <w:rsid w:val="00CF17DD"/>
    <w:rsid w:val="00CF1907"/>
    <w:rsid w:val="00CF27ED"/>
    <w:rsid w:val="00CF312E"/>
    <w:rsid w:val="00CF32C6"/>
    <w:rsid w:val="00CF35FA"/>
    <w:rsid w:val="00CF38F8"/>
    <w:rsid w:val="00CF4370"/>
    <w:rsid w:val="00CF68B2"/>
    <w:rsid w:val="00CF6B88"/>
    <w:rsid w:val="00CF6F42"/>
    <w:rsid w:val="00CF77C7"/>
    <w:rsid w:val="00D00B0E"/>
    <w:rsid w:val="00D01D69"/>
    <w:rsid w:val="00D01E9D"/>
    <w:rsid w:val="00D0251C"/>
    <w:rsid w:val="00D02EBC"/>
    <w:rsid w:val="00D03146"/>
    <w:rsid w:val="00D0323A"/>
    <w:rsid w:val="00D04451"/>
    <w:rsid w:val="00D046B6"/>
    <w:rsid w:val="00D0519F"/>
    <w:rsid w:val="00D06144"/>
    <w:rsid w:val="00D06980"/>
    <w:rsid w:val="00D06E35"/>
    <w:rsid w:val="00D07129"/>
    <w:rsid w:val="00D0791C"/>
    <w:rsid w:val="00D10097"/>
    <w:rsid w:val="00D10285"/>
    <w:rsid w:val="00D10352"/>
    <w:rsid w:val="00D103C5"/>
    <w:rsid w:val="00D10F84"/>
    <w:rsid w:val="00D11F25"/>
    <w:rsid w:val="00D12342"/>
    <w:rsid w:val="00D1234A"/>
    <w:rsid w:val="00D1256C"/>
    <w:rsid w:val="00D129C3"/>
    <w:rsid w:val="00D12FEE"/>
    <w:rsid w:val="00D13662"/>
    <w:rsid w:val="00D14A62"/>
    <w:rsid w:val="00D1540C"/>
    <w:rsid w:val="00D156BD"/>
    <w:rsid w:val="00D15B45"/>
    <w:rsid w:val="00D1665D"/>
    <w:rsid w:val="00D167F6"/>
    <w:rsid w:val="00D16A6D"/>
    <w:rsid w:val="00D179E5"/>
    <w:rsid w:val="00D20926"/>
    <w:rsid w:val="00D21A36"/>
    <w:rsid w:val="00D21E9D"/>
    <w:rsid w:val="00D220FE"/>
    <w:rsid w:val="00D22E0B"/>
    <w:rsid w:val="00D22EE4"/>
    <w:rsid w:val="00D22F7E"/>
    <w:rsid w:val="00D2432E"/>
    <w:rsid w:val="00D24615"/>
    <w:rsid w:val="00D25135"/>
    <w:rsid w:val="00D25D1D"/>
    <w:rsid w:val="00D27464"/>
    <w:rsid w:val="00D27AED"/>
    <w:rsid w:val="00D27F9F"/>
    <w:rsid w:val="00D30315"/>
    <w:rsid w:val="00D3107A"/>
    <w:rsid w:val="00D31CF0"/>
    <w:rsid w:val="00D3259F"/>
    <w:rsid w:val="00D34018"/>
    <w:rsid w:val="00D341C5"/>
    <w:rsid w:val="00D34564"/>
    <w:rsid w:val="00D34657"/>
    <w:rsid w:val="00D34765"/>
    <w:rsid w:val="00D34F84"/>
    <w:rsid w:val="00D3531F"/>
    <w:rsid w:val="00D35F07"/>
    <w:rsid w:val="00D35FCD"/>
    <w:rsid w:val="00D365B2"/>
    <w:rsid w:val="00D36A6E"/>
    <w:rsid w:val="00D36BCE"/>
    <w:rsid w:val="00D3704A"/>
    <w:rsid w:val="00D370BC"/>
    <w:rsid w:val="00D373A3"/>
    <w:rsid w:val="00D37724"/>
    <w:rsid w:val="00D37971"/>
    <w:rsid w:val="00D37A89"/>
    <w:rsid w:val="00D40724"/>
    <w:rsid w:val="00D40B8A"/>
    <w:rsid w:val="00D40F6B"/>
    <w:rsid w:val="00D41762"/>
    <w:rsid w:val="00D41D38"/>
    <w:rsid w:val="00D4228E"/>
    <w:rsid w:val="00D427DE"/>
    <w:rsid w:val="00D42E73"/>
    <w:rsid w:val="00D42F0E"/>
    <w:rsid w:val="00D4307B"/>
    <w:rsid w:val="00D43EC3"/>
    <w:rsid w:val="00D44004"/>
    <w:rsid w:val="00D44132"/>
    <w:rsid w:val="00D4456C"/>
    <w:rsid w:val="00D446BB"/>
    <w:rsid w:val="00D455C4"/>
    <w:rsid w:val="00D46884"/>
    <w:rsid w:val="00D46A4F"/>
    <w:rsid w:val="00D46D69"/>
    <w:rsid w:val="00D47020"/>
    <w:rsid w:val="00D47C45"/>
    <w:rsid w:val="00D52096"/>
    <w:rsid w:val="00D52BE9"/>
    <w:rsid w:val="00D531CC"/>
    <w:rsid w:val="00D535B1"/>
    <w:rsid w:val="00D53ABE"/>
    <w:rsid w:val="00D53D85"/>
    <w:rsid w:val="00D54825"/>
    <w:rsid w:val="00D54C0B"/>
    <w:rsid w:val="00D54D51"/>
    <w:rsid w:val="00D565D2"/>
    <w:rsid w:val="00D575EE"/>
    <w:rsid w:val="00D57FFA"/>
    <w:rsid w:val="00D61210"/>
    <w:rsid w:val="00D61D03"/>
    <w:rsid w:val="00D62293"/>
    <w:rsid w:val="00D62748"/>
    <w:rsid w:val="00D62A21"/>
    <w:rsid w:val="00D63CAF"/>
    <w:rsid w:val="00D63E9B"/>
    <w:rsid w:val="00D64915"/>
    <w:rsid w:val="00D64FEB"/>
    <w:rsid w:val="00D65F50"/>
    <w:rsid w:val="00D66619"/>
    <w:rsid w:val="00D66E44"/>
    <w:rsid w:val="00D676E9"/>
    <w:rsid w:val="00D70221"/>
    <w:rsid w:val="00D70469"/>
    <w:rsid w:val="00D7066C"/>
    <w:rsid w:val="00D70A98"/>
    <w:rsid w:val="00D70D1B"/>
    <w:rsid w:val="00D7155A"/>
    <w:rsid w:val="00D71EBC"/>
    <w:rsid w:val="00D72440"/>
    <w:rsid w:val="00D72A84"/>
    <w:rsid w:val="00D72CEE"/>
    <w:rsid w:val="00D72E28"/>
    <w:rsid w:val="00D731EC"/>
    <w:rsid w:val="00D731F5"/>
    <w:rsid w:val="00D73228"/>
    <w:rsid w:val="00D732F9"/>
    <w:rsid w:val="00D73A93"/>
    <w:rsid w:val="00D73DE2"/>
    <w:rsid w:val="00D74F6A"/>
    <w:rsid w:val="00D75246"/>
    <w:rsid w:val="00D75461"/>
    <w:rsid w:val="00D75636"/>
    <w:rsid w:val="00D75EE3"/>
    <w:rsid w:val="00D76044"/>
    <w:rsid w:val="00D76755"/>
    <w:rsid w:val="00D76848"/>
    <w:rsid w:val="00D77370"/>
    <w:rsid w:val="00D775D2"/>
    <w:rsid w:val="00D80B82"/>
    <w:rsid w:val="00D80C05"/>
    <w:rsid w:val="00D8229B"/>
    <w:rsid w:val="00D82C10"/>
    <w:rsid w:val="00D83127"/>
    <w:rsid w:val="00D837F3"/>
    <w:rsid w:val="00D8394C"/>
    <w:rsid w:val="00D8415F"/>
    <w:rsid w:val="00D8432E"/>
    <w:rsid w:val="00D843C2"/>
    <w:rsid w:val="00D845DB"/>
    <w:rsid w:val="00D8539A"/>
    <w:rsid w:val="00D853B2"/>
    <w:rsid w:val="00D85BD1"/>
    <w:rsid w:val="00D85C18"/>
    <w:rsid w:val="00D8638F"/>
    <w:rsid w:val="00D87BA0"/>
    <w:rsid w:val="00D90A5F"/>
    <w:rsid w:val="00D90D6B"/>
    <w:rsid w:val="00D91C2F"/>
    <w:rsid w:val="00D920AF"/>
    <w:rsid w:val="00D920EA"/>
    <w:rsid w:val="00D924E2"/>
    <w:rsid w:val="00D928D6"/>
    <w:rsid w:val="00D930ED"/>
    <w:rsid w:val="00D94ABA"/>
    <w:rsid w:val="00D955AE"/>
    <w:rsid w:val="00D956D8"/>
    <w:rsid w:val="00D95BC5"/>
    <w:rsid w:val="00D96FCE"/>
    <w:rsid w:val="00D97862"/>
    <w:rsid w:val="00D97C1F"/>
    <w:rsid w:val="00DA060D"/>
    <w:rsid w:val="00DA0C48"/>
    <w:rsid w:val="00DA19A0"/>
    <w:rsid w:val="00DA1B5B"/>
    <w:rsid w:val="00DA1C4F"/>
    <w:rsid w:val="00DA1F7A"/>
    <w:rsid w:val="00DA2932"/>
    <w:rsid w:val="00DA3266"/>
    <w:rsid w:val="00DA3981"/>
    <w:rsid w:val="00DA39DC"/>
    <w:rsid w:val="00DA584C"/>
    <w:rsid w:val="00DA5FB2"/>
    <w:rsid w:val="00DA712D"/>
    <w:rsid w:val="00DA7DC9"/>
    <w:rsid w:val="00DB104F"/>
    <w:rsid w:val="00DB1CAE"/>
    <w:rsid w:val="00DB23EF"/>
    <w:rsid w:val="00DB2D26"/>
    <w:rsid w:val="00DB2E03"/>
    <w:rsid w:val="00DB37EF"/>
    <w:rsid w:val="00DB4E1F"/>
    <w:rsid w:val="00DB539C"/>
    <w:rsid w:val="00DB65BC"/>
    <w:rsid w:val="00DB6696"/>
    <w:rsid w:val="00DB708F"/>
    <w:rsid w:val="00DB73E2"/>
    <w:rsid w:val="00DB748E"/>
    <w:rsid w:val="00DB74F6"/>
    <w:rsid w:val="00DC02E5"/>
    <w:rsid w:val="00DC0473"/>
    <w:rsid w:val="00DC0630"/>
    <w:rsid w:val="00DC070D"/>
    <w:rsid w:val="00DC07D7"/>
    <w:rsid w:val="00DC09D3"/>
    <w:rsid w:val="00DC0B11"/>
    <w:rsid w:val="00DC107B"/>
    <w:rsid w:val="00DC159C"/>
    <w:rsid w:val="00DC2070"/>
    <w:rsid w:val="00DC23A9"/>
    <w:rsid w:val="00DC250A"/>
    <w:rsid w:val="00DC2588"/>
    <w:rsid w:val="00DC267D"/>
    <w:rsid w:val="00DC274B"/>
    <w:rsid w:val="00DC2C01"/>
    <w:rsid w:val="00DC2D37"/>
    <w:rsid w:val="00DC30E8"/>
    <w:rsid w:val="00DC324B"/>
    <w:rsid w:val="00DC3275"/>
    <w:rsid w:val="00DC3305"/>
    <w:rsid w:val="00DC33DE"/>
    <w:rsid w:val="00DC3483"/>
    <w:rsid w:val="00DC36F5"/>
    <w:rsid w:val="00DC4B6F"/>
    <w:rsid w:val="00DC4DDE"/>
    <w:rsid w:val="00DC50A2"/>
    <w:rsid w:val="00DC537B"/>
    <w:rsid w:val="00DC5468"/>
    <w:rsid w:val="00DC56CB"/>
    <w:rsid w:val="00DC5C0F"/>
    <w:rsid w:val="00DC6491"/>
    <w:rsid w:val="00DC6BEF"/>
    <w:rsid w:val="00DC6D2B"/>
    <w:rsid w:val="00DC70AC"/>
    <w:rsid w:val="00DC768A"/>
    <w:rsid w:val="00DC7D74"/>
    <w:rsid w:val="00DD28CE"/>
    <w:rsid w:val="00DD2C51"/>
    <w:rsid w:val="00DD2F07"/>
    <w:rsid w:val="00DD30EB"/>
    <w:rsid w:val="00DD344D"/>
    <w:rsid w:val="00DD4800"/>
    <w:rsid w:val="00DD4909"/>
    <w:rsid w:val="00DD4A29"/>
    <w:rsid w:val="00DD4BF5"/>
    <w:rsid w:val="00DD4E7C"/>
    <w:rsid w:val="00DD54CB"/>
    <w:rsid w:val="00DD5E5D"/>
    <w:rsid w:val="00DD5ED2"/>
    <w:rsid w:val="00DD637C"/>
    <w:rsid w:val="00DD63AE"/>
    <w:rsid w:val="00DD63F8"/>
    <w:rsid w:val="00DD64FD"/>
    <w:rsid w:val="00DD6895"/>
    <w:rsid w:val="00DD6FAD"/>
    <w:rsid w:val="00DE01A1"/>
    <w:rsid w:val="00DE0848"/>
    <w:rsid w:val="00DE11D1"/>
    <w:rsid w:val="00DE17E4"/>
    <w:rsid w:val="00DE1D92"/>
    <w:rsid w:val="00DE1E75"/>
    <w:rsid w:val="00DE3037"/>
    <w:rsid w:val="00DE362F"/>
    <w:rsid w:val="00DE41A6"/>
    <w:rsid w:val="00DE46AB"/>
    <w:rsid w:val="00DE483B"/>
    <w:rsid w:val="00DE4F24"/>
    <w:rsid w:val="00DE4F38"/>
    <w:rsid w:val="00DE4FFA"/>
    <w:rsid w:val="00DE5918"/>
    <w:rsid w:val="00DE64F0"/>
    <w:rsid w:val="00DE66B9"/>
    <w:rsid w:val="00DF09DA"/>
    <w:rsid w:val="00DF18FE"/>
    <w:rsid w:val="00DF2454"/>
    <w:rsid w:val="00DF2DDD"/>
    <w:rsid w:val="00DF3337"/>
    <w:rsid w:val="00DF3843"/>
    <w:rsid w:val="00DF38F0"/>
    <w:rsid w:val="00DF39CC"/>
    <w:rsid w:val="00DF3D2D"/>
    <w:rsid w:val="00DF439A"/>
    <w:rsid w:val="00DF44EC"/>
    <w:rsid w:val="00DF49E9"/>
    <w:rsid w:val="00DF4B1C"/>
    <w:rsid w:val="00DF4EB3"/>
    <w:rsid w:val="00DF5AF4"/>
    <w:rsid w:val="00DF5B07"/>
    <w:rsid w:val="00DF7361"/>
    <w:rsid w:val="00E00189"/>
    <w:rsid w:val="00E001BF"/>
    <w:rsid w:val="00E002F5"/>
    <w:rsid w:val="00E00EB1"/>
    <w:rsid w:val="00E02722"/>
    <w:rsid w:val="00E03511"/>
    <w:rsid w:val="00E03707"/>
    <w:rsid w:val="00E03EF4"/>
    <w:rsid w:val="00E04266"/>
    <w:rsid w:val="00E046EC"/>
    <w:rsid w:val="00E069EE"/>
    <w:rsid w:val="00E06A58"/>
    <w:rsid w:val="00E075C2"/>
    <w:rsid w:val="00E07B73"/>
    <w:rsid w:val="00E104D1"/>
    <w:rsid w:val="00E105C2"/>
    <w:rsid w:val="00E11A25"/>
    <w:rsid w:val="00E126C6"/>
    <w:rsid w:val="00E13332"/>
    <w:rsid w:val="00E135BD"/>
    <w:rsid w:val="00E14590"/>
    <w:rsid w:val="00E145EE"/>
    <w:rsid w:val="00E14CAB"/>
    <w:rsid w:val="00E151D9"/>
    <w:rsid w:val="00E15CE6"/>
    <w:rsid w:val="00E168BF"/>
    <w:rsid w:val="00E16913"/>
    <w:rsid w:val="00E172C1"/>
    <w:rsid w:val="00E173A3"/>
    <w:rsid w:val="00E174F9"/>
    <w:rsid w:val="00E17F84"/>
    <w:rsid w:val="00E202C9"/>
    <w:rsid w:val="00E205AF"/>
    <w:rsid w:val="00E20978"/>
    <w:rsid w:val="00E2115C"/>
    <w:rsid w:val="00E21663"/>
    <w:rsid w:val="00E21DE3"/>
    <w:rsid w:val="00E21DF6"/>
    <w:rsid w:val="00E22462"/>
    <w:rsid w:val="00E2275A"/>
    <w:rsid w:val="00E2318B"/>
    <w:rsid w:val="00E23838"/>
    <w:rsid w:val="00E25355"/>
    <w:rsid w:val="00E2565D"/>
    <w:rsid w:val="00E26293"/>
    <w:rsid w:val="00E262F6"/>
    <w:rsid w:val="00E264A1"/>
    <w:rsid w:val="00E26AD9"/>
    <w:rsid w:val="00E27029"/>
    <w:rsid w:val="00E2716A"/>
    <w:rsid w:val="00E27847"/>
    <w:rsid w:val="00E27AD8"/>
    <w:rsid w:val="00E27FCD"/>
    <w:rsid w:val="00E30285"/>
    <w:rsid w:val="00E30483"/>
    <w:rsid w:val="00E30D1B"/>
    <w:rsid w:val="00E316A2"/>
    <w:rsid w:val="00E32B11"/>
    <w:rsid w:val="00E34477"/>
    <w:rsid w:val="00E347AF"/>
    <w:rsid w:val="00E34909"/>
    <w:rsid w:val="00E34D76"/>
    <w:rsid w:val="00E34FE2"/>
    <w:rsid w:val="00E35978"/>
    <w:rsid w:val="00E35D49"/>
    <w:rsid w:val="00E36996"/>
    <w:rsid w:val="00E369EA"/>
    <w:rsid w:val="00E37333"/>
    <w:rsid w:val="00E40DE6"/>
    <w:rsid w:val="00E41AD2"/>
    <w:rsid w:val="00E41CE6"/>
    <w:rsid w:val="00E42473"/>
    <w:rsid w:val="00E426EE"/>
    <w:rsid w:val="00E4275D"/>
    <w:rsid w:val="00E4290E"/>
    <w:rsid w:val="00E43197"/>
    <w:rsid w:val="00E4390B"/>
    <w:rsid w:val="00E45989"/>
    <w:rsid w:val="00E45FFC"/>
    <w:rsid w:val="00E468A4"/>
    <w:rsid w:val="00E46AC3"/>
    <w:rsid w:val="00E4769A"/>
    <w:rsid w:val="00E50029"/>
    <w:rsid w:val="00E50643"/>
    <w:rsid w:val="00E51079"/>
    <w:rsid w:val="00E51A05"/>
    <w:rsid w:val="00E5244D"/>
    <w:rsid w:val="00E530AD"/>
    <w:rsid w:val="00E530C2"/>
    <w:rsid w:val="00E541ED"/>
    <w:rsid w:val="00E54944"/>
    <w:rsid w:val="00E54D6B"/>
    <w:rsid w:val="00E54E3F"/>
    <w:rsid w:val="00E54F2F"/>
    <w:rsid w:val="00E55223"/>
    <w:rsid w:val="00E56A03"/>
    <w:rsid w:val="00E56B1D"/>
    <w:rsid w:val="00E56DFD"/>
    <w:rsid w:val="00E56F98"/>
    <w:rsid w:val="00E57404"/>
    <w:rsid w:val="00E60240"/>
    <w:rsid w:val="00E6155F"/>
    <w:rsid w:val="00E62D69"/>
    <w:rsid w:val="00E638DF"/>
    <w:rsid w:val="00E63A93"/>
    <w:rsid w:val="00E63F9F"/>
    <w:rsid w:val="00E64B94"/>
    <w:rsid w:val="00E654F3"/>
    <w:rsid w:val="00E660A2"/>
    <w:rsid w:val="00E66BC3"/>
    <w:rsid w:val="00E67071"/>
    <w:rsid w:val="00E672F4"/>
    <w:rsid w:val="00E676BB"/>
    <w:rsid w:val="00E678B7"/>
    <w:rsid w:val="00E679BE"/>
    <w:rsid w:val="00E71990"/>
    <w:rsid w:val="00E723BA"/>
    <w:rsid w:val="00E72455"/>
    <w:rsid w:val="00E7273C"/>
    <w:rsid w:val="00E74323"/>
    <w:rsid w:val="00E74E7A"/>
    <w:rsid w:val="00E74FA6"/>
    <w:rsid w:val="00E75481"/>
    <w:rsid w:val="00E75B49"/>
    <w:rsid w:val="00E77008"/>
    <w:rsid w:val="00E7714F"/>
    <w:rsid w:val="00E77C1B"/>
    <w:rsid w:val="00E77CA7"/>
    <w:rsid w:val="00E8100E"/>
    <w:rsid w:val="00E81B23"/>
    <w:rsid w:val="00E81BE6"/>
    <w:rsid w:val="00E826C7"/>
    <w:rsid w:val="00E82A2D"/>
    <w:rsid w:val="00E82A80"/>
    <w:rsid w:val="00E832D9"/>
    <w:rsid w:val="00E83AF9"/>
    <w:rsid w:val="00E83D10"/>
    <w:rsid w:val="00E83DC0"/>
    <w:rsid w:val="00E842E4"/>
    <w:rsid w:val="00E847C0"/>
    <w:rsid w:val="00E84A7F"/>
    <w:rsid w:val="00E84C7D"/>
    <w:rsid w:val="00E84CC6"/>
    <w:rsid w:val="00E855E0"/>
    <w:rsid w:val="00E85DB4"/>
    <w:rsid w:val="00E85EC1"/>
    <w:rsid w:val="00E86D24"/>
    <w:rsid w:val="00E871A8"/>
    <w:rsid w:val="00E872EF"/>
    <w:rsid w:val="00E873B8"/>
    <w:rsid w:val="00E87C28"/>
    <w:rsid w:val="00E901B0"/>
    <w:rsid w:val="00E91B12"/>
    <w:rsid w:val="00E92623"/>
    <w:rsid w:val="00E92779"/>
    <w:rsid w:val="00E933C0"/>
    <w:rsid w:val="00E9392B"/>
    <w:rsid w:val="00E94645"/>
    <w:rsid w:val="00E9513C"/>
    <w:rsid w:val="00E952CF"/>
    <w:rsid w:val="00E9639D"/>
    <w:rsid w:val="00E97086"/>
    <w:rsid w:val="00E97DDB"/>
    <w:rsid w:val="00EA0469"/>
    <w:rsid w:val="00EA0785"/>
    <w:rsid w:val="00EA0FC6"/>
    <w:rsid w:val="00EA1161"/>
    <w:rsid w:val="00EA122D"/>
    <w:rsid w:val="00EA1E21"/>
    <w:rsid w:val="00EA1E7C"/>
    <w:rsid w:val="00EA2254"/>
    <w:rsid w:val="00EA2992"/>
    <w:rsid w:val="00EA31ED"/>
    <w:rsid w:val="00EA4543"/>
    <w:rsid w:val="00EA4C50"/>
    <w:rsid w:val="00EA51D3"/>
    <w:rsid w:val="00EA5524"/>
    <w:rsid w:val="00EA6252"/>
    <w:rsid w:val="00EA642D"/>
    <w:rsid w:val="00EA6670"/>
    <w:rsid w:val="00EA72C0"/>
    <w:rsid w:val="00EA7516"/>
    <w:rsid w:val="00EA7770"/>
    <w:rsid w:val="00EA785A"/>
    <w:rsid w:val="00EA7DBD"/>
    <w:rsid w:val="00EB0284"/>
    <w:rsid w:val="00EB068A"/>
    <w:rsid w:val="00EB2214"/>
    <w:rsid w:val="00EB25AD"/>
    <w:rsid w:val="00EB2E7C"/>
    <w:rsid w:val="00EB3633"/>
    <w:rsid w:val="00EB419E"/>
    <w:rsid w:val="00EB55C8"/>
    <w:rsid w:val="00EB5631"/>
    <w:rsid w:val="00EB617B"/>
    <w:rsid w:val="00EB6628"/>
    <w:rsid w:val="00EB7020"/>
    <w:rsid w:val="00EB76C0"/>
    <w:rsid w:val="00EB76DB"/>
    <w:rsid w:val="00EC0500"/>
    <w:rsid w:val="00EC08DF"/>
    <w:rsid w:val="00EC1833"/>
    <w:rsid w:val="00EC18C9"/>
    <w:rsid w:val="00EC193E"/>
    <w:rsid w:val="00EC1989"/>
    <w:rsid w:val="00EC1C7D"/>
    <w:rsid w:val="00EC2605"/>
    <w:rsid w:val="00EC262B"/>
    <w:rsid w:val="00EC2750"/>
    <w:rsid w:val="00EC2D0A"/>
    <w:rsid w:val="00EC3A9D"/>
    <w:rsid w:val="00EC3B10"/>
    <w:rsid w:val="00EC3FE9"/>
    <w:rsid w:val="00EC45ED"/>
    <w:rsid w:val="00EC4C5A"/>
    <w:rsid w:val="00EC4FB1"/>
    <w:rsid w:val="00EC5A6E"/>
    <w:rsid w:val="00EC5C7D"/>
    <w:rsid w:val="00EC6095"/>
    <w:rsid w:val="00EC6313"/>
    <w:rsid w:val="00EC6346"/>
    <w:rsid w:val="00EC695C"/>
    <w:rsid w:val="00EC7B48"/>
    <w:rsid w:val="00EC7F8A"/>
    <w:rsid w:val="00ED0946"/>
    <w:rsid w:val="00ED130B"/>
    <w:rsid w:val="00ED1453"/>
    <w:rsid w:val="00ED2FD7"/>
    <w:rsid w:val="00ED33FC"/>
    <w:rsid w:val="00ED3826"/>
    <w:rsid w:val="00ED4013"/>
    <w:rsid w:val="00ED4C27"/>
    <w:rsid w:val="00ED5DAB"/>
    <w:rsid w:val="00ED65BE"/>
    <w:rsid w:val="00ED6A00"/>
    <w:rsid w:val="00ED7341"/>
    <w:rsid w:val="00ED7A97"/>
    <w:rsid w:val="00EE0633"/>
    <w:rsid w:val="00EE0B22"/>
    <w:rsid w:val="00EE100F"/>
    <w:rsid w:val="00EE162F"/>
    <w:rsid w:val="00EE1800"/>
    <w:rsid w:val="00EE2C8E"/>
    <w:rsid w:val="00EE37E6"/>
    <w:rsid w:val="00EE38CA"/>
    <w:rsid w:val="00EE3D20"/>
    <w:rsid w:val="00EE3E02"/>
    <w:rsid w:val="00EE3E28"/>
    <w:rsid w:val="00EE4841"/>
    <w:rsid w:val="00EE5AAE"/>
    <w:rsid w:val="00EE60BB"/>
    <w:rsid w:val="00EE6140"/>
    <w:rsid w:val="00EE76DA"/>
    <w:rsid w:val="00EE798C"/>
    <w:rsid w:val="00EE7BBB"/>
    <w:rsid w:val="00EF016D"/>
    <w:rsid w:val="00EF0F93"/>
    <w:rsid w:val="00EF1167"/>
    <w:rsid w:val="00EF13EA"/>
    <w:rsid w:val="00EF15D7"/>
    <w:rsid w:val="00EF16E9"/>
    <w:rsid w:val="00EF1F2A"/>
    <w:rsid w:val="00EF20E1"/>
    <w:rsid w:val="00EF27D4"/>
    <w:rsid w:val="00EF2B16"/>
    <w:rsid w:val="00EF2FD3"/>
    <w:rsid w:val="00EF32C7"/>
    <w:rsid w:val="00EF37E9"/>
    <w:rsid w:val="00EF3F0E"/>
    <w:rsid w:val="00EF5BEC"/>
    <w:rsid w:val="00EF5D99"/>
    <w:rsid w:val="00EF622D"/>
    <w:rsid w:val="00EF7780"/>
    <w:rsid w:val="00F00CBE"/>
    <w:rsid w:val="00F011C5"/>
    <w:rsid w:val="00F0156C"/>
    <w:rsid w:val="00F0189B"/>
    <w:rsid w:val="00F0205E"/>
    <w:rsid w:val="00F039F7"/>
    <w:rsid w:val="00F03DD0"/>
    <w:rsid w:val="00F04642"/>
    <w:rsid w:val="00F04C3B"/>
    <w:rsid w:val="00F0590C"/>
    <w:rsid w:val="00F05FEB"/>
    <w:rsid w:val="00F065F3"/>
    <w:rsid w:val="00F066D8"/>
    <w:rsid w:val="00F06A4D"/>
    <w:rsid w:val="00F0730E"/>
    <w:rsid w:val="00F0768B"/>
    <w:rsid w:val="00F07D38"/>
    <w:rsid w:val="00F102E6"/>
    <w:rsid w:val="00F10878"/>
    <w:rsid w:val="00F10A12"/>
    <w:rsid w:val="00F10C6A"/>
    <w:rsid w:val="00F1109B"/>
    <w:rsid w:val="00F12788"/>
    <w:rsid w:val="00F12944"/>
    <w:rsid w:val="00F12C87"/>
    <w:rsid w:val="00F12F8C"/>
    <w:rsid w:val="00F13D10"/>
    <w:rsid w:val="00F14B34"/>
    <w:rsid w:val="00F14CBB"/>
    <w:rsid w:val="00F14F45"/>
    <w:rsid w:val="00F1517B"/>
    <w:rsid w:val="00F1523B"/>
    <w:rsid w:val="00F1536B"/>
    <w:rsid w:val="00F15A0B"/>
    <w:rsid w:val="00F15CDE"/>
    <w:rsid w:val="00F1781B"/>
    <w:rsid w:val="00F202C0"/>
    <w:rsid w:val="00F21675"/>
    <w:rsid w:val="00F22F29"/>
    <w:rsid w:val="00F2349C"/>
    <w:rsid w:val="00F23EC6"/>
    <w:rsid w:val="00F24B97"/>
    <w:rsid w:val="00F24F0A"/>
    <w:rsid w:val="00F251FD"/>
    <w:rsid w:val="00F257B9"/>
    <w:rsid w:val="00F2593F"/>
    <w:rsid w:val="00F27C9E"/>
    <w:rsid w:val="00F27D15"/>
    <w:rsid w:val="00F27E9E"/>
    <w:rsid w:val="00F30576"/>
    <w:rsid w:val="00F30907"/>
    <w:rsid w:val="00F31B17"/>
    <w:rsid w:val="00F32C79"/>
    <w:rsid w:val="00F33B6F"/>
    <w:rsid w:val="00F33B89"/>
    <w:rsid w:val="00F34258"/>
    <w:rsid w:val="00F34289"/>
    <w:rsid w:val="00F3456A"/>
    <w:rsid w:val="00F3492E"/>
    <w:rsid w:val="00F3653C"/>
    <w:rsid w:val="00F36FF2"/>
    <w:rsid w:val="00F371E9"/>
    <w:rsid w:val="00F37925"/>
    <w:rsid w:val="00F40D39"/>
    <w:rsid w:val="00F41866"/>
    <w:rsid w:val="00F43F0C"/>
    <w:rsid w:val="00F43FB8"/>
    <w:rsid w:val="00F440DA"/>
    <w:rsid w:val="00F45286"/>
    <w:rsid w:val="00F46406"/>
    <w:rsid w:val="00F4683F"/>
    <w:rsid w:val="00F4777E"/>
    <w:rsid w:val="00F47D81"/>
    <w:rsid w:val="00F47F48"/>
    <w:rsid w:val="00F50129"/>
    <w:rsid w:val="00F50637"/>
    <w:rsid w:val="00F50D00"/>
    <w:rsid w:val="00F511A0"/>
    <w:rsid w:val="00F52254"/>
    <w:rsid w:val="00F531B0"/>
    <w:rsid w:val="00F53526"/>
    <w:rsid w:val="00F53A07"/>
    <w:rsid w:val="00F53C46"/>
    <w:rsid w:val="00F53E3E"/>
    <w:rsid w:val="00F5586A"/>
    <w:rsid w:val="00F55B3E"/>
    <w:rsid w:val="00F55C1D"/>
    <w:rsid w:val="00F55FF5"/>
    <w:rsid w:val="00F56326"/>
    <w:rsid w:val="00F56569"/>
    <w:rsid w:val="00F5683A"/>
    <w:rsid w:val="00F5741C"/>
    <w:rsid w:val="00F601F6"/>
    <w:rsid w:val="00F6021F"/>
    <w:rsid w:val="00F60267"/>
    <w:rsid w:val="00F60E9F"/>
    <w:rsid w:val="00F61099"/>
    <w:rsid w:val="00F616F4"/>
    <w:rsid w:val="00F61A06"/>
    <w:rsid w:val="00F61D67"/>
    <w:rsid w:val="00F62102"/>
    <w:rsid w:val="00F6218D"/>
    <w:rsid w:val="00F6293B"/>
    <w:rsid w:val="00F62C72"/>
    <w:rsid w:val="00F62ECF"/>
    <w:rsid w:val="00F6372E"/>
    <w:rsid w:val="00F64AC0"/>
    <w:rsid w:val="00F65A0E"/>
    <w:rsid w:val="00F65E5F"/>
    <w:rsid w:val="00F66CE0"/>
    <w:rsid w:val="00F676E5"/>
    <w:rsid w:val="00F67A7C"/>
    <w:rsid w:val="00F67DEB"/>
    <w:rsid w:val="00F7009A"/>
    <w:rsid w:val="00F70AB5"/>
    <w:rsid w:val="00F72269"/>
    <w:rsid w:val="00F724E0"/>
    <w:rsid w:val="00F72584"/>
    <w:rsid w:val="00F727BF"/>
    <w:rsid w:val="00F734A4"/>
    <w:rsid w:val="00F734AF"/>
    <w:rsid w:val="00F7384C"/>
    <w:rsid w:val="00F73B22"/>
    <w:rsid w:val="00F73C76"/>
    <w:rsid w:val="00F73D5E"/>
    <w:rsid w:val="00F742AE"/>
    <w:rsid w:val="00F74A96"/>
    <w:rsid w:val="00F75849"/>
    <w:rsid w:val="00F75EE9"/>
    <w:rsid w:val="00F76599"/>
    <w:rsid w:val="00F76935"/>
    <w:rsid w:val="00F77068"/>
    <w:rsid w:val="00F77131"/>
    <w:rsid w:val="00F772B9"/>
    <w:rsid w:val="00F77F1B"/>
    <w:rsid w:val="00F80003"/>
    <w:rsid w:val="00F81DBD"/>
    <w:rsid w:val="00F81FD0"/>
    <w:rsid w:val="00F82441"/>
    <w:rsid w:val="00F82D7E"/>
    <w:rsid w:val="00F82FC6"/>
    <w:rsid w:val="00F83155"/>
    <w:rsid w:val="00F83A78"/>
    <w:rsid w:val="00F83CF4"/>
    <w:rsid w:val="00F84EE6"/>
    <w:rsid w:val="00F85313"/>
    <w:rsid w:val="00F85AC4"/>
    <w:rsid w:val="00F85C8D"/>
    <w:rsid w:val="00F862A4"/>
    <w:rsid w:val="00F864E1"/>
    <w:rsid w:val="00F86882"/>
    <w:rsid w:val="00F872B1"/>
    <w:rsid w:val="00F87B70"/>
    <w:rsid w:val="00F87D4A"/>
    <w:rsid w:val="00F900BC"/>
    <w:rsid w:val="00F90223"/>
    <w:rsid w:val="00F9022E"/>
    <w:rsid w:val="00F90DDC"/>
    <w:rsid w:val="00F91AB7"/>
    <w:rsid w:val="00F91CE5"/>
    <w:rsid w:val="00F91F91"/>
    <w:rsid w:val="00F9244A"/>
    <w:rsid w:val="00F9285E"/>
    <w:rsid w:val="00F929ED"/>
    <w:rsid w:val="00F93522"/>
    <w:rsid w:val="00F93B20"/>
    <w:rsid w:val="00F93E0E"/>
    <w:rsid w:val="00F93EE8"/>
    <w:rsid w:val="00F94100"/>
    <w:rsid w:val="00F94358"/>
    <w:rsid w:val="00F946D5"/>
    <w:rsid w:val="00F94FC5"/>
    <w:rsid w:val="00F9531A"/>
    <w:rsid w:val="00F95BCC"/>
    <w:rsid w:val="00F9696A"/>
    <w:rsid w:val="00F96C59"/>
    <w:rsid w:val="00F97100"/>
    <w:rsid w:val="00F97BAC"/>
    <w:rsid w:val="00F97DFB"/>
    <w:rsid w:val="00FA0A5D"/>
    <w:rsid w:val="00FA0BB9"/>
    <w:rsid w:val="00FA0F3E"/>
    <w:rsid w:val="00FA125C"/>
    <w:rsid w:val="00FA1698"/>
    <w:rsid w:val="00FA1745"/>
    <w:rsid w:val="00FA18C0"/>
    <w:rsid w:val="00FA1A0C"/>
    <w:rsid w:val="00FA1B8E"/>
    <w:rsid w:val="00FA21BE"/>
    <w:rsid w:val="00FA28F2"/>
    <w:rsid w:val="00FA2B93"/>
    <w:rsid w:val="00FA2DB5"/>
    <w:rsid w:val="00FA3048"/>
    <w:rsid w:val="00FA3B2B"/>
    <w:rsid w:val="00FA47E5"/>
    <w:rsid w:val="00FA5896"/>
    <w:rsid w:val="00FA5CDA"/>
    <w:rsid w:val="00FA6073"/>
    <w:rsid w:val="00FA643C"/>
    <w:rsid w:val="00FA6C4D"/>
    <w:rsid w:val="00FA72C4"/>
    <w:rsid w:val="00FA7502"/>
    <w:rsid w:val="00FA7770"/>
    <w:rsid w:val="00FA7F2D"/>
    <w:rsid w:val="00FB032A"/>
    <w:rsid w:val="00FB0B71"/>
    <w:rsid w:val="00FB0E79"/>
    <w:rsid w:val="00FB1138"/>
    <w:rsid w:val="00FB1158"/>
    <w:rsid w:val="00FB133F"/>
    <w:rsid w:val="00FB176C"/>
    <w:rsid w:val="00FB1E86"/>
    <w:rsid w:val="00FB21A4"/>
    <w:rsid w:val="00FB260D"/>
    <w:rsid w:val="00FB3A20"/>
    <w:rsid w:val="00FB4D18"/>
    <w:rsid w:val="00FB5A04"/>
    <w:rsid w:val="00FB6DF8"/>
    <w:rsid w:val="00FB77E9"/>
    <w:rsid w:val="00FB79E1"/>
    <w:rsid w:val="00FB7B2A"/>
    <w:rsid w:val="00FC01D9"/>
    <w:rsid w:val="00FC0646"/>
    <w:rsid w:val="00FC0E34"/>
    <w:rsid w:val="00FC12CB"/>
    <w:rsid w:val="00FC1503"/>
    <w:rsid w:val="00FC1904"/>
    <w:rsid w:val="00FC1F30"/>
    <w:rsid w:val="00FC2189"/>
    <w:rsid w:val="00FC2672"/>
    <w:rsid w:val="00FC27CF"/>
    <w:rsid w:val="00FC43F4"/>
    <w:rsid w:val="00FC4407"/>
    <w:rsid w:val="00FC4459"/>
    <w:rsid w:val="00FC55A3"/>
    <w:rsid w:val="00FC5C46"/>
    <w:rsid w:val="00FC6BB9"/>
    <w:rsid w:val="00FC71A4"/>
    <w:rsid w:val="00FC74BD"/>
    <w:rsid w:val="00FC78AF"/>
    <w:rsid w:val="00FD01BA"/>
    <w:rsid w:val="00FD0680"/>
    <w:rsid w:val="00FD10E4"/>
    <w:rsid w:val="00FD1C0C"/>
    <w:rsid w:val="00FD1C92"/>
    <w:rsid w:val="00FD2412"/>
    <w:rsid w:val="00FD2759"/>
    <w:rsid w:val="00FD4151"/>
    <w:rsid w:val="00FD4472"/>
    <w:rsid w:val="00FD4B7E"/>
    <w:rsid w:val="00FD501F"/>
    <w:rsid w:val="00FD5911"/>
    <w:rsid w:val="00FD6187"/>
    <w:rsid w:val="00FD6943"/>
    <w:rsid w:val="00FD7CE6"/>
    <w:rsid w:val="00FE0310"/>
    <w:rsid w:val="00FE1612"/>
    <w:rsid w:val="00FE24ED"/>
    <w:rsid w:val="00FE2962"/>
    <w:rsid w:val="00FE2DFB"/>
    <w:rsid w:val="00FE2E69"/>
    <w:rsid w:val="00FE3010"/>
    <w:rsid w:val="00FE319C"/>
    <w:rsid w:val="00FE4814"/>
    <w:rsid w:val="00FE52EF"/>
    <w:rsid w:val="00FE53DA"/>
    <w:rsid w:val="00FE5622"/>
    <w:rsid w:val="00FE59BD"/>
    <w:rsid w:val="00FE5AE7"/>
    <w:rsid w:val="00FE5D60"/>
    <w:rsid w:val="00FE6365"/>
    <w:rsid w:val="00FE69EB"/>
    <w:rsid w:val="00FE6C70"/>
    <w:rsid w:val="00FE72A2"/>
    <w:rsid w:val="00FE7666"/>
    <w:rsid w:val="00FE78A5"/>
    <w:rsid w:val="00FE79FE"/>
    <w:rsid w:val="00FE7D75"/>
    <w:rsid w:val="00FE7F9C"/>
    <w:rsid w:val="00FF0A4C"/>
    <w:rsid w:val="00FF1391"/>
    <w:rsid w:val="00FF16D0"/>
    <w:rsid w:val="00FF19E5"/>
    <w:rsid w:val="00FF1F45"/>
    <w:rsid w:val="00FF1F5F"/>
    <w:rsid w:val="00FF2444"/>
    <w:rsid w:val="00FF2804"/>
    <w:rsid w:val="00FF2A97"/>
    <w:rsid w:val="00FF2BB9"/>
    <w:rsid w:val="00FF34E5"/>
    <w:rsid w:val="00FF3B87"/>
    <w:rsid w:val="00FF3B8E"/>
    <w:rsid w:val="00FF3EB9"/>
    <w:rsid w:val="00FF4007"/>
    <w:rsid w:val="00FF44D8"/>
    <w:rsid w:val="00FF49E9"/>
    <w:rsid w:val="00FF4A59"/>
    <w:rsid w:val="00FF4F3D"/>
    <w:rsid w:val="00FF560A"/>
    <w:rsid w:val="00FF612E"/>
    <w:rsid w:val="00FF68B4"/>
    <w:rsid w:val="00FF6F92"/>
    <w:rsid w:val="00FF73B8"/>
    <w:rsid w:val="02796E95"/>
    <w:rsid w:val="02A05F0C"/>
    <w:rsid w:val="04746650"/>
    <w:rsid w:val="0566089D"/>
    <w:rsid w:val="05A406F4"/>
    <w:rsid w:val="05C42A28"/>
    <w:rsid w:val="072E296D"/>
    <w:rsid w:val="085030A0"/>
    <w:rsid w:val="096704F0"/>
    <w:rsid w:val="0A643CDA"/>
    <w:rsid w:val="0AE37318"/>
    <w:rsid w:val="0BAD6DB5"/>
    <w:rsid w:val="0C093A5F"/>
    <w:rsid w:val="0D423522"/>
    <w:rsid w:val="0DC87032"/>
    <w:rsid w:val="0DF86C5A"/>
    <w:rsid w:val="0E5A5F65"/>
    <w:rsid w:val="0E8146CD"/>
    <w:rsid w:val="0F2868DE"/>
    <w:rsid w:val="0F7B6EAD"/>
    <w:rsid w:val="100C4722"/>
    <w:rsid w:val="11025D89"/>
    <w:rsid w:val="11AE5546"/>
    <w:rsid w:val="12352EED"/>
    <w:rsid w:val="123D730E"/>
    <w:rsid w:val="12B61F29"/>
    <w:rsid w:val="130453E1"/>
    <w:rsid w:val="1311579A"/>
    <w:rsid w:val="13A650DD"/>
    <w:rsid w:val="13CB5D7E"/>
    <w:rsid w:val="147C1681"/>
    <w:rsid w:val="14AE1EE3"/>
    <w:rsid w:val="15104A07"/>
    <w:rsid w:val="151633FD"/>
    <w:rsid w:val="158238AA"/>
    <w:rsid w:val="15986C01"/>
    <w:rsid w:val="15E83EDB"/>
    <w:rsid w:val="164E0C82"/>
    <w:rsid w:val="16686C72"/>
    <w:rsid w:val="16BC0007"/>
    <w:rsid w:val="177635D5"/>
    <w:rsid w:val="184A072B"/>
    <w:rsid w:val="18D71ACA"/>
    <w:rsid w:val="18F834E8"/>
    <w:rsid w:val="19C90757"/>
    <w:rsid w:val="1A10108F"/>
    <w:rsid w:val="1BF16BBE"/>
    <w:rsid w:val="1D2651F3"/>
    <w:rsid w:val="1D442CBC"/>
    <w:rsid w:val="1D964518"/>
    <w:rsid w:val="1D9A0DEA"/>
    <w:rsid w:val="1DEC75B0"/>
    <w:rsid w:val="1E654EDF"/>
    <w:rsid w:val="20940DBE"/>
    <w:rsid w:val="2174591B"/>
    <w:rsid w:val="23AF342E"/>
    <w:rsid w:val="24E26052"/>
    <w:rsid w:val="24E70199"/>
    <w:rsid w:val="253A63EE"/>
    <w:rsid w:val="25453BD7"/>
    <w:rsid w:val="25BC7BF5"/>
    <w:rsid w:val="25D73A8B"/>
    <w:rsid w:val="26230371"/>
    <w:rsid w:val="274F5042"/>
    <w:rsid w:val="27837A8D"/>
    <w:rsid w:val="2793263A"/>
    <w:rsid w:val="29323377"/>
    <w:rsid w:val="29B3120A"/>
    <w:rsid w:val="29E43F9B"/>
    <w:rsid w:val="2A6E626B"/>
    <w:rsid w:val="2AAA79A3"/>
    <w:rsid w:val="2B2D12AD"/>
    <w:rsid w:val="2C693154"/>
    <w:rsid w:val="2CA062E2"/>
    <w:rsid w:val="2D497C42"/>
    <w:rsid w:val="2DB247C5"/>
    <w:rsid w:val="2E032FE5"/>
    <w:rsid w:val="2E290C96"/>
    <w:rsid w:val="2EF51B4E"/>
    <w:rsid w:val="2F5C2E57"/>
    <w:rsid w:val="2F6C0937"/>
    <w:rsid w:val="30423345"/>
    <w:rsid w:val="30523D74"/>
    <w:rsid w:val="33365689"/>
    <w:rsid w:val="3392591B"/>
    <w:rsid w:val="33DB1402"/>
    <w:rsid w:val="33FE71A1"/>
    <w:rsid w:val="349E333C"/>
    <w:rsid w:val="34F56E50"/>
    <w:rsid w:val="3566670C"/>
    <w:rsid w:val="356B3789"/>
    <w:rsid w:val="360F72A6"/>
    <w:rsid w:val="372323A3"/>
    <w:rsid w:val="38DB1469"/>
    <w:rsid w:val="38F833DD"/>
    <w:rsid w:val="39F42ECC"/>
    <w:rsid w:val="3A937E8D"/>
    <w:rsid w:val="3CB91772"/>
    <w:rsid w:val="3CBD67AD"/>
    <w:rsid w:val="3D436545"/>
    <w:rsid w:val="3DBC563F"/>
    <w:rsid w:val="3E382BCB"/>
    <w:rsid w:val="412D1777"/>
    <w:rsid w:val="416F325F"/>
    <w:rsid w:val="42FF37F8"/>
    <w:rsid w:val="43AA6B56"/>
    <w:rsid w:val="44422AF8"/>
    <w:rsid w:val="444852E5"/>
    <w:rsid w:val="44B005A9"/>
    <w:rsid w:val="450D1BBA"/>
    <w:rsid w:val="45C955E8"/>
    <w:rsid w:val="46290948"/>
    <w:rsid w:val="46A70DA0"/>
    <w:rsid w:val="46CB016A"/>
    <w:rsid w:val="472F7E96"/>
    <w:rsid w:val="47A63AEF"/>
    <w:rsid w:val="47F71CEF"/>
    <w:rsid w:val="488D5B16"/>
    <w:rsid w:val="488F3825"/>
    <w:rsid w:val="488F5100"/>
    <w:rsid w:val="48DA711A"/>
    <w:rsid w:val="49160200"/>
    <w:rsid w:val="49B668D7"/>
    <w:rsid w:val="4B3E5154"/>
    <w:rsid w:val="4B4D12C1"/>
    <w:rsid w:val="4C10064B"/>
    <w:rsid w:val="4C9F3B5C"/>
    <w:rsid w:val="4EC47309"/>
    <w:rsid w:val="4EE35BBC"/>
    <w:rsid w:val="509E4487"/>
    <w:rsid w:val="50CA5EA1"/>
    <w:rsid w:val="51303ED5"/>
    <w:rsid w:val="519174EC"/>
    <w:rsid w:val="53373FB4"/>
    <w:rsid w:val="544D668F"/>
    <w:rsid w:val="554104DD"/>
    <w:rsid w:val="55D63427"/>
    <w:rsid w:val="564E64AE"/>
    <w:rsid w:val="57851063"/>
    <w:rsid w:val="593F1555"/>
    <w:rsid w:val="5AD472AD"/>
    <w:rsid w:val="5B2E6092"/>
    <w:rsid w:val="5C443CCC"/>
    <w:rsid w:val="5C49658D"/>
    <w:rsid w:val="5CB76499"/>
    <w:rsid w:val="5D982C0B"/>
    <w:rsid w:val="5DFE5987"/>
    <w:rsid w:val="5E436ABD"/>
    <w:rsid w:val="5E5F5F24"/>
    <w:rsid w:val="5F7601A3"/>
    <w:rsid w:val="60387885"/>
    <w:rsid w:val="61911DAE"/>
    <w:rsid w:val="61F657CB"/>
    <w:rsid w:val="61FB4C4E"/>
    <w:rsid w:val="62A82D70"/>
    <w:rsid w:val="637E6350"/>
    <w:rsid w:val="640E1732"/>
    <w:rsid w:val="64B009B4"/>
    <w:rsid w:val="656A65EA"/>
    <w:rsid w:val="65E24BA7"/>
    <w:rsid w:val="66A43E3E"/>
    <w:rsid w:val="696F69E5"/>
    <w:rsid w:val="69E5025F"/>
    <w:rsid w:val="6A080C36"/>
    <w:rsid w:val="6AB85171"/>
    <w:rsid w:val="6B0064F1"/>
    <w:rsid w:val="6C017D7E"/>
    <w:rsid w:val="6C9818DC"/>
    <w:rsid w:val="6CD46E1C"/>
    <w:rsid w:val="6CDE0F00"/>
    <w:rsid w:val="6D913F23"/>
    <w:rsid w:val="6DE37AB7"/>
    <w:rsid w:val="6EDF4A53"/>
    <w:rsid w:val="6FE64991"/>
    <w:rsid w:val="70257A51"/>
    <w:rsid w:val="71A96B77"/>
    <w:rsid w:val="722E35E6"/>
    <w:rsid w:val="7234739A"/>
    <w:rsid w:val="72BA1FB8"/>
    <w:rsid w:val="72C401EB"/>
    <w:rsid w:val="72F63C2D"/>
    <w:rsid w:val="73834C0E"/>
    <w:rsid w:val="73BA6B7C"/>
    <w:rsid w:val="74B13EE9"/>
    <w:rsid w:val="74F53236"/>
    <w:rsid w:val="75386CBB"/>
    <w:rsid w:val="75A25FEE"/>
    <w:rsid w:val="75F00BAA"/>
    <w:rsid w:val="760D394F"/>
    <w:rsid w:val="76763726"/>
    <w:rsid w:val="76940580"/>
    <w:rsid w:val="76EC20A9"/>
    <w:rsid w:val="770B4B5C"/>
    <w:rsid w:val="771F1D9C"/>
    <w:rsid w:val="772F0252"/>
    <w:rsid w:val="786B0D25"/>
    <w:rsid w:val="78A51CA1"/>
    <w:rsid w:val="79520926"/>
    <w:rsid w:val="795E20CA"/>
    <w:rsid w:val="7AC21415"/>
    <w:rsid w:val="7B1A17F1"/>
    <w:rsid w:val="7BAA6167"/>
    <w:rsid w:val="7C564DA5"/>
    <w:rsid w:val="7CB87699"/>
    <w:rsid w:val="7CEA7F5A"/>
    <w:rsid w:val="7E4501B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iPriority="0" w:semiHidden="0" w:name="heading 3"/>
    <w:lsdException w:qFormat="1" w:unhideWhenUsed="0"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nhideWhenUsed="0" w:uiPriority="0" w:semiHidden="0" w:name="Normal Indent"/>
    <w:lsdException w:qFormat="1" w:unhideWhenUsed="0" w:uiPriority="99" w:semiHidden="0" w:name="footnote text"/>
    <w:lsdException w:qFormat="1" w:unhideWhenUsed="0" w:uiPriority="0" w:semiHidden="0" w:name="annotation text"/>
    <w:lsdException w:qFormat="1" w:unhideWhenUsed="0" w:uiPriority="99" w:semiHidden="0" w:name="header"/>
    <w:lsdException w:qFormat="1" w:unhideWhenUsed="0" w:uiPriority="99" w:semiHidden="0" w:name="footer"/>
    <w:lsdException w:unhideWhenUsed="0" w:uiPriority="0" w:semiHidden="0" w:name="index heading"/>
    <w:lsdException w:qFormat="1" w:unhideWhenUsed="0" w:uiPriority="35" w:semiHidden="0" w:name="caption"/>
    <w:lsdException w:unhideWhenUsed="0" w:uiPriority="0" w:semiHidden="0" w:name="table of figures"/>
    <w:lsdException w:unhideWhenUsed="0" w:uiPriority="0" w:semiHidden="0" w:name="envelope address"/>
    <w:lsdException w:unhideWhenUsed="0" w:uiPriority="0" w:semiHidden="0" w:name="envelope return"/>
    <w:lsdException w:qFormat="1" w:unhideWhenUsed="0" w:uiPriority="99" w:semiHidden="0" w:name="footnote reference"/>
    <w:lsdException w:qFormat="1"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qFormat="1" w:uiPriority="99"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iPriority="99" w:semiHidden="0" w:name="Plain Text"/>
    <w:lsdException w:unhideWhenUsed="0" w:uiPriority="0" w:semiHidden="0" w:name="E-mail Signature"/>
    <w:lsdException w:qFormat="1"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iPriority="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9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line="500" w:lineRule="exact"/>
      <w:ind w:firstLine="200" w:firstLineChars="200"/>
    </w:pPr>
    <w:rPr>
      <w:rFonts w:ascii="Times New Roman" w:hAnsi="Times New Roman" w:eastAsia="仿宋" w:cs="Times New Roman"/>
      <w:kern w:val="2"/>
      <w:sz w:val="28"/>
      <w:lang w:val="en-US" w:eastAsia="zh-CN" w:bidi="ar-SA"/>
    </w:rPr>
  </w:style>
  <w:style w:type="paragraph" w:styleId="2">
    <w:name w:val="heading 1"/>
    <w:basedOn w:val="1"/>
    <w:next w:val="1"/>
    <w:link w:val="36"/>
    <w:qFormat/>
    <w:uiPriority w:val="0"/>
    <w:pPr>
      <w:keepNext/>
      <w:keepLines/>
      <w:numPr>
        <w:ilvl w:val="0"/>
        <w:numId w:val="1"/>
      </w:numPr>
      <w:adjustRightInd w:val="0"/>
      <w:snapToGrid w:val="0"/>
      <w:spacing w:after="100" w:afterLines="100" w:line="560" w:lineRule="exact"/>
      <w:ind w:firstLineChars="0"/>
      <w:jc w:val="center"/>
      <w:outlineLvl w:val="0"/>
    </w:pPr>
    <w:rPr>
      <w:rFonts w:eastAsia="黑体"/>
      <w:kern w:val="44"/>
      <w:sz w:val="32"/>
    </w:rPr>
  </w:style>
  <w:style w:type="paragraph" w:styleId="3">
    <w:name w:val="heading 2"/>
    <w:basedOn w:val="1"/>
    <w:next w:val="1"/>
    <w:link w:val="37"/>
    <w:qFormat/>
    <w:uiPriority w:val="0"/>
    <w:pPr>
      <w:keepNext/>
      <w:keepLines/>
      <w:spacing w:before="260" w:after="260" w:line="415" w:lineRule="auto"/>
      <w:ind w:firstLine="0" w:firstLineChars="0"/>
      <w:outlineLvl w:val="1"/>
    </w:pPr>
    <w:rPr>
      <w:rFonts w:ascii="Arial" w:hAnsi="Arial" w:eastAsia="黑体"/>
      <w:b/>
      <w:bCs/>
      <w:sz w:val="32"/>
      <w:szCs w:val="32"/>
    </w:rPr>
  </w:style>
  <w:style w:type="paragraph" w:styleId="4">
    <w:name w:val="heading 3"/>
    <w:basedOn w:val="1"/>
    <w:next w:val="1"/>
    <w:link w:val="38"/>
    <w:unhideWhenUsed/>
    <w:qFormat/>
    <w:uiPriority w:val="0"/>
    <w:pPr>
      <w:keepNext/>
      <w:keepLines/>
      <w:spacing w:before="260" w:after="260" w:line="416" w:lineRule="atLeast"/>
      <w:outlineLvl w:val="2"/>
    </w:pPr>
    <w:rPr>
      <w:b/>
      <w:bCs/>
      <w:sz w:val="32"/>
      <w:szCs w:val="32"/>
    </w:rPr>
  </w:style>
  <w:style w:type="paragraph" w:styleId="5">
    <w:name w:val="heading 4"/>
    <w:basedOn w:val="1"/>
    <w:next w:val="1"/>
    <w:link w:val="39"/>
    <w:qFormat/>
    <w:uiPriority w:val="0"/>
    <w:pPr>
      <w:keepNext/>
      <w:keepLines/>
      <w:spacing w:before="280" w:after="290" w:line="376" w:lineRule="atLeast"/>
      <w:outlineLvl w:val="3"/>
    </w:pPr>
    <w:rPr>
      <w:rFonts w:ascii="等线 Light" w:hAnsi="等线 Light" w:eastAsia="等线 Light"/>
      <w:b/>
      <w:bCs/>
      <w:szCs w:val="28"/>
    </w:rPr>
  </w:style>
  <w:style w:type="character" w:default="1" w:styleId="30">
    <w:name w:val="Default Paragraph Font"/>
    <w:semiHidden/>
    <w:unhideWhenUsed/>
    <w:qFormat/>
    <w:uiPriority w:val="1"/>
  </w:style>
  <w:style w:type="table" w:default="1" w:styleId="28">
    <w:name w:val="Normal Table"/>
    <w:semiHidden/>
    <w:unhideWhenUsed/>
    <w:qFormat/>
    <w:uiPriority w:val="99"/>
    <w:tblPr>
      <w:tblCellMar>
        <w:top w:w="0" w:type="dxa"/>
        <w:left w:w="108" w:type="dxa"/>
        <w:bottom w:w="0" w:type="dxa"/>
        <w:right w:w="108" w:type="dxa"/>
      </w:tblCellMar>
    </w:tblPr>
  </w:style>
  <w:style w:type="paragraph" w:styleId="6">
    <w:name w:val="toc 7"/>
    <w:basedOn w:val="1"/>
    <w:next w:val="1"/>
    <w:unhideWhenUsed/>
    <w:qFormat/>
    <w:uiPriority w:val="39"/>
    <w:pPr>
      <w:widowControl w:val="0"/>
      <w:spacing w:line="240" w:lineRule="auto"/>
      <w:ind w:left="2520" w:leftChars="1200" w:firstLine="0" w:firstLineChars="0"/>
      <w:jc w:val="both"/>
    </w:pPr>
    <w:rPr>
      <w:rFonts w:asciiTheme="minorHAnsi" w:hAnsiTheme="minorHAnsi" w:eastAsiaTheme="minorEastAsia" w:cstheme="minorBidi"/>
      <w:sz w:val="21"/>
      <w:szCs w:val="22"/>
    </w:rPr>
  </w:style>
  <w:style w:type="paragraph" w:styleId="7">
    <w:name w:val="caption"/>
    <w:basedOn w:val="1"/>
    <w:next w:val="8"/>
    <w:link w:val="40"/>
    <w:qFormat/>
    <w:uiPriority w:val="35"/>
    <w:pPr>
      <w:widowControl w:val="0"/>
      <w:snapToGrid w:val="0"/>
      <w:spacing w:line="360" w:lineRule="auto"/>
      <w:ind w:firstLine="0" w:firstLineChars="0"/>
      <w:jc w:val="center"/>
    </w:pPr>
    <w:rPr>
      <w:rFonts w:eastAsia="宋体" w:cs="Arial"/>
      <w:b/>
      <w:sz w:val="21"/>
    </w:rPr>
  </w:style>
  <w:style w:type="paragraph" w:customStyle="1" w:styleId="8">
    <w:name w:val="正文-论文"/>
    <w:basedOn w:val="1"/>
    <w:qFormat/>
    <w:uiPriority w:val="99"/>
    <w:pPr>
      <w:widowControl w:val="0"/>
      <w:spacing w:line="360" w:lineRule="auto"/>
      <w:jc w:val="both"/>
    </w:pPr>
    <w:rPr>
      <w:rFonts w:eastAsia="宋体"/>
      <w:color w:val="000000"/>
      <w:sz w:val="24"/>
      <w:szCs w:val="24"/>
    </w:rPr>
  </w:style>
  <w:style w:type="paragraph" w:styleId="9">
    <w:name w:val="Document Map"/>
    <w:basedOn w:val="1"/>
    <w:link w:val="41"/>
    <w:qFormat/>
    <w:uiPriority w:val="0"/>
    <w:rPr>
      <w:rFonts w:ascii="宋体"/>
      <w:sz w:val="18"/>
      <w:szCs w:val="18"/>
    </w:rPr>
  </w:style>
  <w:style w:type="paragraph" w:styleId="10">
    <w:name w:val="annotation text"/>
    <w:basedOn w:val="1"/>
    <w:link w:val="42"/>
    <w:qFormat/>
    <w:uiPriority w:val="0"/>
  </w:style>
  <w:style w:type="paragraph" w:styleId="11">
    <w:name w:val="Body Text"/>
    <w:basedOn w:val="1"/>
    <w:qFormat/>
    <w:uiPriority w:val="0"/>
  </w:style>
  <w:style w:type="paragraph" w:styleId="12">
    <w:name w:val="toc 5"/>
    <w:basedOn w:val="1"/>
    <w:next w:val="1"/>
    <w:unhideWhenUsed/>
    <w:qFormat/>
    <w:uiPriority w:val="39"/>
    <w:pPr>
      <w:widowControl w:val="0"/>
      <w:spacing w:line="240" w:lineRule="auto"/>
      <w:ind w:left="1680" w:leftChars="800" w:firstLine="0" w:firstLineChars="0"/>
      <w:jc w:val="both"/>
    </w:pPr>
    <w:rPr>
      <w:rFonts w:asciiTheme="minorHAnsi" w:hAnsiTheme="minorHAnsi" w:eastAsiaTheme="minorEastAsia" w:cstheme="minorBidi"/>
      <w:sz w:val="21"/>
      <w:szCs w:val="22"/>
    </w:rPr>
  </w:style>
  <w:style w:type="paragraph" w:styleId="13">
    <w:name w:val="toc 3"/>
    <w:basedOn w:val="1"/>
    <w:next w:val="1"/>
    <w:qFormat/>
    <w:uiPriority w:val="39"/>
    <w:pPr>
      <w:ind w:left="840" w:leftChars="400"/>
    </w:pPr>
  </w:style>
  <w:style w:type="paragraph" w:styleId="14">
    <w:name w:val="Plain Text"/>
    <w:basedOn w:val="1"/>
    <w:link w:val="43"/>
    <w:unhideWhenUsed/>
    <w:qFormat/>
    <w:uiPriority w:val="99"/>
    <w:pPr>
      <w:widowControl w:val="0"/>
      <w:spacing w:line="240" w:lineRule="auto"/>
      <w:ind w:firstLine="0" w:firstLineChars="0"/>
      <w:jc w:val="both"/>
    </w:pPr>
    <w:rPr>
      <w:rFonts w:ascii="宋体" w:hAnsi="Courier New" w:eastAsia="宋体" w:cs="Courier New"/>
      <w:sz w:val="21"/>
      <w:szCs w:val="21"/>
    </w:rPr>
  </w:style>
  <w:style w:type="paragraph" w:styleId="15">
    <w:name w:val="toc 8"/>
    <w:basedOn w:val="1"/>
    <w:next w:val="1"/>
    <w:unhideWhenUsed/>
    <w:qFormat/>
    <w:uiPriority w:val="39"/>
    <w:pPr>
      <w:widowControl w:val="0"/>
      <w:spacing w:line="240" w:lineRule="auto"/>
      <w:ind w:left="2940" w:leftChars="1400" w:firstLine="0" w:firstLineChars="0"/>
      <w:jc w:val="both"/>
    </w:pPr>
    <w:rPr>
      <w:rFonts w:asciiTheme="minorHAnsi" w:hAnsiTheme="minorHAnsi" w:eastAsiaTheme="minorEastAsia" w:cstheme="minorBidi"/>
      <w:sz w:val="21"/>
      <w:szCs w:val="22"/>
    </w:rPr>
  </w:style>
  <w:style w:type="paragraph" w:styleId="16">
    <w:name w:val="Balloon Text"/>
    <w:basedOn w:val="1"/>
    <w:link w:val="44"/>
    <w:qFormat/>
    <w:uiPriority w:val="0"/>
    <w:pPr>
      <w:spacing w:line="240" w:lineRule="auto"/>
    </w:pPr>
    <w:rPr>
      <w:sz w:val="18"/>
      <w:szCs w:val="18"/>
    </w:rPr>
  </w:style>
  <w:style w:type="paragraph" w:styleId="17">
    <w:name w:val="footer"/>
    <w:basedOn w:val="1"/>
    <w:link w:val="45"/>
    <w:qFormat/>
    <w:uiPriority w:val="99"/>
    <w:pPr>
      <w:tabs>
        <w:tab w:val="center" w:pos="4153"/>
        <w:tab w:val="right" w:pos="8306"/>
      </w:tabs>
      <w:snapToGrid w:val="0"/>
    </w:pPr>
    <w:rPr>
      <w:sz w:val="18"/>
    </w:rPr>
  </w:style>
  <w:style w:type="paragraph" w:styleId="18">
    <w:name w:val="header"/>
    <w:basedOn w:val="1"/>
    <w:link w:val="46"/>
    <w:qFormat/>
    <w:uiPriority w:val="99"/>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pPr>
    <w:rPr>
      <w:sz w:val="18"/>
    </w:rPr>
  </w:style>
  <w:style w:type="paragraph" w:styleId="19">
    <w:name w:val="toc 1"/>
    <w:basedOn w:val="1"/>
    <w:next w:val="1"/>
    <w:qFormat/>
    <w:uiPriority w:val="39"/>
    <w:pPr>
      <w:spacing w:line="360" w:lineRule="auto"/>
      <w:ind w:firstLine="0" w:firstLineChars="0"/>
    </w:pPr>
    <w:rPr>
      <w:rFonts w:eastAsia="黑体"/>
      <w:sz w:val="32"/>
    </w:rPr>
  </w:style>
  <w:style w:type="paragraph" w:styleId="20">
    <w:name w:val="toc 4"/>
    <w:basedOn w:val="1"/>
    <w:next w:val="1"/>
    <w:unhideWhenUsed/>
    <w:qFormat/>
    <w:uiPriority w:val="39"/>
    <w:pPr>
      <w:widowControl w:val="0"/>
      <w:spacing w:line="240" w:lineRule="auto"/>
      <w:ind w:left="1260" w:leftChars="600" w:firstLine="0" w:firstLineChars="0"/>
      <w:jc w:val="both"/>
    </w:pPr>
    <w:rPr>
      <w:rFonts w:asciiTheme="minorHAnsi" w:hAnsiTheme="minorHAnsi" w:eastAsiaTheme="minorEastAsia" w:cstheme="minorBidi"/>
      <w:sz w:val="21"/>
      <w:szCs w:val="22"/>
    </w:rPr>
  </w:style>
  <w:style w:type="paragraph" w:styleId="21">
    <w:name w:val="Subtitle"/>
    <w:basedOn w:val="1"/>
    <w:next w:val="1"/>
    <w:link w:val="47"/>
    <w:qFormat/>
    <w:uiPriority w:val="0"/>
    <w:pPr>
      <w:spacing w:before="240" w:after="60" w:line="312" w:lineRule="atLeast"/>
      <w:ind w:left="280" w:leftChars="100" w:right="280" w:rightChars="100" w:firstLine="0" w:firstLineChars="0"/>
      <w:outlineLvl w:val="1"/>
    </w:pPr>
    <w:rPr>
      <w:rFonts w:ascii="Cambria" w:hAnsi="Cambria" w:eastAsia="黑体"/>
      <w:bCs/>
      <w:kern w:val="28"/>
      <w:sz w:val="32"/>
      <w:szCs w:val="32"/>
    </w:rPr>
  </w:style>
  <w:style w:type="paragraph" w:styleId="22">
    <w:name w:val="footnote text"/>
    <w:basedOn w:val="1"/>
    <w:link w:val="48"/>
    <w:qFormat/>
    <w:uiPriority w:val="99"/>
    <w:pPr>
      <w:snapToGrid w:val="0"/>
      <w:spacing w:line="360" w:lineRule="auto"/>
      <w:ind w:firstLine="0" w:firstLineChars="0"/>
    </w:pPr>
    <w:rPr>
      <w:rFonts w:eastAsia="宋体"/>
      <w:sz w:val="18"/>
      <w:szCs w:val="18"/>
    </w:rPr>
  </w:style>
  <w:style w:type="paragraph" w:styleId="23">
    <w:name w:val="toc 6"/>
    <w:basedOn w:val="1"/>
    <w:next w:val="1"/>
    <w:unhideWhenUsed/>
    <w:qFormat/>
    <w:uiPriority w:val="39"/>
    <w:pPr>
      <w:widowControl w:val="0"/>
      <w:spacing w:line="240" w:lineRule="auto"/>
      <w:ind w:left="2100" w:leftChars="1000" w:firstLine="0" w:firstLineChars="0"/>
      <w:jc w:val="both"/>
    </w:pPr>
    <w:rPr>
      <w:rFonts w:asciiTheme="minorHAnsi" w:hAnsiTheme="minorHAnsi" w:eastAsiaTheme="minorEastAsia" w:cstheme="minorBidi"/>
      <w:sz w:val="21"/>
      <w:szCs w:val="22"/>
    </w:rPr>
  </w:style>
  <w:style w:type="paragraph" w:styleId="24">
    <w:name w:val="toc 2"/>
    <w:basedOn w:val="1"/>
    <w:next w:val="1"/>
    <w:qFormat/>
    <w:uiPriority w:val="39"/>
    <w:pPr>
      <w:spacing w:line="360" w:lineRule="auto"/>
      <w:ind w:firstLine="100" w:firstLineChars="100"/>
    </w:pPr>
    <w:rPr>
      <w:rFonts w:ascii="楷体" w:hAnsi="楷体" w:eastAsia="楷体"/>
      <w:sz w:val="32"/>
    </w:rPr>
  </w:style>
  <w:style w:type="paragraph" w:styleId="25">
    <w:name w:val="toc 9"/>
    <w:basedOn w:val="1"/>
    <w:next w:val="1"/>
    <w:unhideWhenUsed/>
    <w:qFormat/>
    <w:uiPriority w:val="39"/>
    <w:pPr>
      <w:widowControl w:val="0"/>
      <w:spacing w:line="240" w:lineRule="auto"/>
      <w:ind w:left="3360" w:leftChars="1600" w:firstLine="0" w:firstLineChars="0"/>
      <w:jc w:val="both"/>
    </w:pPr>
    <w:rPr>
      <w:rFonts w:asciiTheme="minorHAnsi" w:hAnsiTheme="minorHAnsi" w:eastAsiaTheme="minorEastAsia" w:cstheme="minorBidi"/>
      <w:sz w:val="21"/>
      <w:szCs w:val="22"/>
    </w:rPr>
  </w:style>
  <w:style w:type="paragraph" w:styleId="26">
    <w:name w:val="Normal (Web)"/>
    <w:basedOn w:val="1"/>
    <w:unhideWhenUsed/>
    <w:qFormat/>
    <w:uiPriority w:val="99"/>
    <w:pPr>
      <w:spacing w:before="100" w:beforeAutospacing="1" w:after="100" w:afterAutospacing="1" w:line="240" w:lineRule="auto"/>
      <w:ind w:firstLine="0" w:firstLineChars="0"/>
    </w:pPr>
    <w:rPr>
      <w:rFonts w:ascii="宋体" w:hAnsi="宋体" w:eastAsia="宋体" w:cs="宋体"/>
      <w:kern w:val="0"/>
      <w:sz w:val="24"/>
      <w:szCs w:val="24"/>
    </w:rPr>
  </w:style>
  <w:style w:type="paragraph" w:styleId="27">
    <w:name w:val="annotation subject"/>
    <w:basedOn w:val="10"/>
    <w:next w:val="10"/>
    <w:link w:val="49"/>
    <w:unhideWhenUsed/>
    <w:qFormat/>
    <w:uiPriority w:val="0"/>
    <w:rPr>
      <w:b/>
      <w:bCs/>
    </w:rPr>
  </w:style>
  <w:style w:type="table" w:styleId="29">
    <w:name w:val="Table Grid"/>
    <w:basedOn w:val="28"/>
    <w:qFormat/>
    <w:uiPriority w:val="99"/>
    <w:rPr>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1">
    <w:name w:val="Strong"/>
    <w:qFormat/>
    <w:uiPriority w:val="0"/>
    <w:rPr>
      <w:b/>
      <w:bCs/>
    </w:rPr>
  </w:style>
  <w:style w:type="character" w:styleId="32">
    <w:name w:val="FollowedHyperlink"/>
    <w:basedOn w:val="30"/>
    <w:unhideWhenUsed/>
    <w:qFormat/>
    <w:uiPriority w:val="99"/>
    <w:rPr>
      <w:color w:val="954F72"/>
      <w:u w:val="single"/>
    </w:rPr>
  </w:style>
  <w:style w:type="character" w:styleId="33">
    <w:name w:val="Hyperlink"/>
    <w:unhideWhenUsed/>
    <w:qFormat/>
    <w:uiPriority w:val="99"/>
    <w:rPr>
      <w:color w:val="0000FF"/>
      <w:u w:val="single"/>
    </w:rPr>
  </w:style>
  <w:style w:type="character" w:styleId="34">
    <w:name w:val="annotation reference"/>
    <w:qFormat/>
    <w:uiPriority w:val="0"/>
    <w:rPr>
      <w:sz w:val="21"/>
      <w:szCs w:val="21"/>
    </w:rPr>
  </w:style>
  <w:style w:type="character" w:styleId="35">
    <w:name w:val="footnote reference"/>
    <w:qFormat/>
    <w:uiPriority w:val="99"/>
    <w:rPr>
      <w:vertAlign w:val="superscript"/>
    </w:rPr>
  </w:style>
  <w:style w:type="character" w:customStyle="1" w:styleId="36">
    <w:name w:val="标题 1 字符"/>
    <w:basedOn w:val="30"/>
    <w:link w:val="2"/>
    <w:qFormat/>
    <w:uiPriority w:val="0"/>
    <w:rPr>
      <w:rFonts w:eastAsia="黑体"/>
      <w:kern w:val="44"/>
      <w:sz w:val="32"/>
    </w:rPr>
  </w:style>
  <w:style w:type="character" w:customStyle="1" w:styleId="37">
    <w:name w:val="标题 2 字符"/>
    <w:link w:val="3"/>
    <w:qFormat/>
    <w:uiPriority w:val="0"/>
    <w:rPr>
      <w:rFonts w:ascii="Arial" w:hAnsi="Arial" w:eastAsia="黑体"/>
      <w:b/>
      <w:bCs/>
      <w:kern w:val="2"/>
      <w:sz w:val="32"/>
      <w:szCs w:val="32"/>
    </w:rPr>
  </w:style>
  <w:style w:type="character" w:customStyle="1" w:styleId="38">
    <w:name w:val="标题 3 字符"/>
    <w:basedOn w:val="30"/>
    <w:link w:val="4"/>
    <w:qFormat/>
    <w:uiPriority w:val="0"/>
    <w:rPr>
      <w:rFonts w:eastAsia="仿宋"/>
      <w:b/>
      <w:bCs/>
      <w:kern w:val="2"/>
      <w:sz w:val="32"/>
      <w:szCs w:val="32"/>
    </w:rPr>
  </w:style>
  <w:style w:type="character" w:customStyle="1" w:styleId="39">
    <w:name w:val="标题 4 字符"/>
    <w:link w:val="5"/>
    <w:qFormat/>
    <w:uiPriority w:val="0"/>
    <w:rPr>
      <w:rFonts w:ascii="等线 Light" w:hAnsi="等线 Light" w:eastAsia="等线 Light" w:cs="Times New Roman"/>
      <w:b/>
      <w:bCs/>
      <w:kern w:val="2"/>
      <w:sz w:val="28"/>
      <w:szCs w:val="28"/>
    </w:rPr>
  </w:style>
  <w:style w:type="character" w:customStyle="1" w:styleId="40">
    <w:name w:val="题注 字符"/>
    <w:link w:val="7"/>
    <w:qFormat/>
    <w:locked/>
    <w:uiPriority w:val="35"/>
    <w:rPr>
      <w:rFonts w:ascii="Times New Roman" w:hAnsi="Times New Roman" w:eastAsia="宋体" w:cs="Arial"/>
      <w:b/>
      <w:kern w:val="2"/>
      <w:sz w:val="21"/>
    </w:rPr>
  </w:style>
  <w:style w:type="character" w:customStyle="1" w:styleId="41">
    <w:name w:val="文档结构图 字符"/>
    <w:link w:val="9"/>
    <w:qFormat/>
    <w:uiPriority w:val="0"/>
    <w:rPr>
      <w:rFonts w:ascii="宋体" w:hAnsi="Times New Roman" w:eastAsia="宋体"/>
      <w:kern w:val="2"/>
      <w:sz w:val="18"/>
      <w:szCs w:val="18"/>
    </w:rPr>
  </w:style>
  <w:style w:type="character" w:customStyle="1" w:styleId="42">
    <w:name w:val="批注文字 字符"/>
    <w:link w:val="10"/>
    <w:qFormat/>
    <w:uiPriority w:val="0"/>
    <w:rPr>
      <w:rFonts w:ascii="Times New Roman" w:hAnsi="Times New Roman" w:eastAsia="仿宋" w:cs="Times New Roman"/>
      <w:kern w:val="2"/>
      <w:sz w:val="28"/>
    </w:rPr>
  </w:style>
  <w:style w:type="character" w:customStyle="1" w:styleId="43">
    <w:name w:val="纯文本 字符"/>
    <w:link w:val="14"/>
    <w:qFormat/>
    <w:uiPriority w:val="99"/>
    <w:rPr>
      <w:rFonts w:ascii="宋体" w:hAnsi="Courier New" w:eastAsia="宋体" w:cs="Courier New"/>
      <w:kern w:val="2"/>
      <w:sz w:val="21"/>
      <w:szCs w:val="21"/>
    </w:rPr>
  </w:style>
  <w:style w:type="character" w:customStyle="1" w:styleId="44">
    <w:name w:val="批注框文本 字符"/>
    <w:link w:val="16"/>
    <w:qFormat/>
    <w:uiPriority w:val="0"/>
    <w:rPr>
      <w:rFonts w:ascii="Times New Roman" w:hAnsi="Times New Roman" w:eastAsia="仿宋"/>
      <w:kern w:val="2"/>
      <w:sz w:val="18"/>
      <w:szCs w:val="18"/>
    </w:rPr>
  </w:style>
  <w:style w:type="character" w:customStyle="1" w:styleId="45">
    <w:name w:val="页脚 字符"/>
    <w:link w:val="17"/>
    <w:qFormat/>
    <w:uiPriority w:val="99"/>
    <w:rPr>
      <w:rFonts w:ascii="Times New Roman" w:hAnsi="Times New Roman" w:eastAsia="仿宋"/>
      <w:kern w:val="2"/>
      <w:sz w:val="18"/>
    </w:rPr>
  </w:style>
  <w:style w:type="character" w:customStyle="1" w:styleId="46">
    <w:name w:val="页眉 字符"/>
    <w:link w:val="18"/>
    <w:qFormat/>
    <w:uiPriority w:val="99"/>
    <w:rPr>
      <w:rFonts w:ascii="Times New Roman" w:hAnsi="Times New Roman" w:eastAsia="仿宋"/>
      <w:kern w:val="2"/>
      <w:sz w:val="18"/>
    </w:rPr>
  </w:style>
  <w:style w:type="character" w:customStyle="1" w:styleId="47">
    <w:name w:val="副标题 字符"/>
    <w:link w:val="21"/>
    <w:qFormat/>
    <w:uiPriority w:val="0"/>
    <w:rPr>
      <w:rFonts w:ascii="Cambria" w:hAnsi="Cambria" w:eastAsia="黑体"/>
      <w:bCs/>
      <w:kern w:val="28"/>
      <w:sz w:val="32"/>
      <w:szCs w:val="32"/>
    </w:rPr>
  </w:style>
  <w:style w:type="character" w:customStyle="1" w:styleId="48">
    <w:name w:val="脚注文本 字符"/>
    <w:link w:val="22"/>
    <w:qFormat/>
    <w:uiPriority w:val="99"/>
    <w:rPr>
      <w:rFonts w:ascii="Times New Roman" w:hAnsi="Times New Roman" w:eastAsia="宋体"/>
      <w:kern w:val="2"/>
      <w:sz w:val="18"/>
      <w:szCs w:val="18"/>
    </w:rPr>
  </w:style>
  <w:style w:type="character" w:customStyle="1" w:styleId="49">
    <w:name w:val="批注主题 字符"/>
    <w:link w:val="27"/>
    <w:semiHidden/>
    <w:qFormat/>
    <w:uiPriority w:val="0"/>
    <w:rPr>
      <w:rFonts w:ascii="Times New Roman" w:hAnsi="Times New Roman" w:eastAsia="仿宋" w:cs="Times New Roman"/>
      <w:b/>
      <w:bCs/>
      <w:kern w:val="2"/>
      <w:sz w:val="28"/>
    </w:rPr>
  </w:style>
  <w:style w:type="paragraph" w:customStyle="1" w:styleId="50">
    <w:name w:val="正文首行缩进1"/>
    <w:basedOn w:val="11"/>
    <w:semiHidden/>
    <w:qFormat/>
    <w:uiPriority w:val="0"/>
    <w:pPr>
      <w:widowControl w:val="0"/>
      <w:spacing w:line="360" w:lineRule="auto"/>
      <w:ind w:firstLine="420" w:firstLineChars="100"/>
      <w:jc w:val="both"/>
    </w:pPr>
    <w:rPr>
      <w:rFonts w:ascii="宋体" w:hAnsi="宋体"/>
      <w:szCs w:val="28"/>
    </w:rPr>
  </w:style>
  <w:style w:type="paragraph" w:customStyle="1" w:styleId="51">
    <w:name w:val="列表段落1"/>
    <w:basedOn w:val="1"/>
    <w:qFormat/>
    <w:uiPriority w:val="34"/>
    <w:pPr>
      <w:ind w:firstLine="420"/>
    </w:pPr>
    <w:rPr>
      <w:rFonts w:eastAsia="宋体"/>
      <w:szCs w:val="24"/>
    </w:rPr>
  </w:style>
  <w:style w:type="paragraph" w:customStyle="1" w:styleId="52">
    <w:name w:val="列表段落2"/>
    <w:basedOn w:val="1"/>
    <w:qFormat/>
    <w:uiPriority w:val="34"/>
    <w:pPr>
      <w:ind w:firstLine="420"/>
    </w:pPr>
  </w:style>
  <w:style w:type="paragraph" w:customStyle="1" w:styleId="53">
    <w:name w:val="TOC 标题1"/>
    <w:basedOn w:val="2"/>
    <w:next w:val="1"/>
    <w:unhideWhenUsed/>
    <w:qFormat/>
    <w:uiPriority w:val="39"/>
    <w:pPr>
      <w:spacing w:before="480" w:after="0" w:line="276" w:lineRule="auto"/>
      <w:outlineLvl w:val="9"/>
    </w:pPr>
    <w:rPr>
      <w:rFonts w:ascii="Cambria" w:hAnsi="Cambria" w:eastAsia="宋体"/>
      <w:bCs/>
      <w:color w:val="365F91"/>
      <w:kern w:val="0"/>
      <w:sz w:val="28"/>
      <w:szCs w:val="28"/>
    </w:rPr>
  </w:style>
  <w:style w:type="paragraph" w:customStyle="1" w:styleId="54">
    <w:name w:val="表标题 Char"/>
    <w:qFormat/>
    <w:uiPriority w:val="0"/>
    <w:pPr>
      <w:tabs>
        <w:tab w:val="left" w:pos="5278"/>
      </w:tabs>
      <w:snapToGrid w:val="0"/>
      <w:spacing w:after="120" w:line="520" w:lineRule="exact"/>
      <w:jc w:val="center"/>
    </w:pPr>
    <w:rPr>
      <w:rFonts w:ascii="宋体" w:hAnsi="宋体" w:eastAsia="黑体" w:cs="Times New Roman"/>
      <w:szCs w:val="24"/>
      <w:lang w:val="en-US" w:eastAsia="zh-CN" w:bidi="ar-SA"/>
    </w:rPr>
  </w:style>
  <w:style w:type="paragraph" w:customStyle="1" w:styleId="55">
    <w:name w:val="列出段落1"/>
    <w:basedOn w:val="1"/>
    <w:qFormat/>
    <w:uiPriority w:val="0"/>
    <w:pPr>
      <w:widowControl w:val="0"/>
      <w:spacing w:line="240" w:lineRule="auto"/>
      <w:ind w:firstLine="420"/>
      <w:jc w:val="both"/>
    </w:pPr>
    <w:rPr>
      <w:rFonts w:ascii="Calibri" w:hAnsi="Calibri" w:eastAsia="宋体"/>
      <w:sz w:val="21"/>
      <w:szCs w:val="22"/>
    </w:rPr>
  </w:style>
  <w:style w:type="paragraph" w:customStyle="1" w:styleId="56">
    <w:name w:val="修订2"/>
    <w:semiHidden/>
    <w:qFormat/>
    <w:uiPriority w:val="99"/>
    <w:rPr>
      <w:rFonts w:ascii="Times New Roman" w:hAnsi="Times New Roman" w:eastAsia="仿宋" w:cs="Times New Roman"/>
      <w:kern w:val="2"/>
      <w:sz w:val="28"/>
      <w:lang w:val="en-US" w:eastAsia="zh-CN" w:bidi="ar-SA"/>
    </w:rPr>
  </w:style>
  <w:style w:type="paragraph" w:customStyle="1" w:styleId="57">
    <w:name w:val="列表段落3"/>
    <w:basedOn w:val="1"/>
    <w:qFormat/>
    <w:uiPriority w:val="99"/>
    <w:pPr>
      <w:ind w:firstLine="420"/>
    </w:pPr>
  </w:style>
  <w:style w:type="paragraph" w:customStyle="1" w:styleId="58">
    <w:name w:val="_Style 1"/>
    <w:basedOn w:val="1"/>
    <w:qFormat/>
    <w:uiPriority w:val="34"/>
    <w:pPr>
      <w:ind w:firstLine="420"/>
    </w:pPr>
  </w:style>
  <w:style w:type="paragraph" w:customStyle="1" w:styleId="59">
    <w:name w:val="列表段落4"/>
    <w:basedOn w:val="1"/>
    <w:qFormat/>
    <w:uiPriority w:val="99"/>
    <w:pPr>
      <w:ind w:firstLine="420"/>
    </w:pPr>
  </w:style>
  <w:style w:type="paragraph" w:customStyle="1" w:styleId="60">
    <w:name w:val="修订3"/>
    <w:semiHidden/>
    <w:qFormat/>
    <w:uiPriority w:val="99"/>
    <w:rPr>
      <w:rFonts w:ascii="Times New Roman" w:hAnsi="Times New Roman" w:eastAsia="仿宋" w:cs="Times New Roman"/>
      <w:kern w:val="2"/>
      <w:sz w:val="28"/>
      <w:lang w:val="en-US" w:eastAsia="zh-CN" w:bidi="ar-SA"/>
    </w:rPr>
  </w:style>
  <w:style w:type="paragraph" w:customStyle="1" w:styleId="61">
    <w:name w:val="目录 21"/>
    <w:basedOn w:val="1"/>
    <w:next w:val="1"/>
    <w:qFormat/>
    <w:uiPriority w:val="39"/>
    <w:pPr>
      <w:ind w:left="420" w:leftChars="200"/>
    </w:pPr>
  </w:style>
  <w:style w:type="paragraph" w:customStyle="1" w:styleId="62">
    <w:name w:val="Table Paragraph"/>
    <w:basedOn w:val="1"/>
    <w:qFormat/>
    <w:uiPriority w:val="1"/>
    <w:pPr>
      <w:widowControl w:val="0"/>
      <w:autoSpaceDE w:val="0"/>
      <w:autoSpaceDN w:val="0"/>
      <w:adjustRightInd w:val="0"/>
      <w:spacing w:line="240" w:lineRule="auto"/>
      <w:ind w:firstLine="0" w:firstLineChars="0"/>
    </w:pPr>
    <w:rPr>
      <w:rFonts w:ascii="宋体" w:eastAsia="宋体" w:cs="宋体"/>
      <w:kern w:val="0"/>
      <w:sz w:val="24"/>
      <w:szCs w:val="24"/>
    </w:rPr>
  </w:style>
  <w:style w:type="paragraph" w:customStyle="1" w:styleId="63">
    <w:name w:val="_Style 2"/>
    <w:qFormat/>
    <w:uiPriority w:val="1"/>
    <w:pPr>
      <w:widowControl w:val="0"/>
      <w:jc w:val="both"/>
    </w:pPr>
    <w:rPr>
      <w:rFonts w:ascii="Times New Roman" w:hAnsi="Times New Roman" w:eastAsia="宋体" w:cs="Times New Roman"/>
      <w:kern w:val="2"/>
      <w:sz w:val="21"/>
      <w:szCs w:val="22"/>
      <w:lang w:val="en-US" w:eastAsia="zh-CN" w:bidi="ar-SA"/>
    </w:rPr>
  </w:style>
  <w:style w:type="paragraph" w:customStyle="1" w:styleId="64">
    <w:name w:val="目录 31"/>
    <w:basedOn w:val="1"/>
    <w:next w:val="1"/>
    <w:qFormat/>
    <w:uiPriority w:val="39"/>
    <w:pPr>
      <w:ind w:left="840" w:leftChars="400"/>
    </w:pPr>
  </w:style>
  <w:style w:type="paragraph" w:customStyle="1" w:styleId="65">
    <w:name w:val="PlainText"/>
    <w:basedOn w:val="1"/>
    <w:qFormat/>
    <w:uiPriority w:val="0"/>
    <w:rPr>
      <w:rFonts w:ascii="宋体" w:hAnsi="Courier New"/>
    </w:rPr>
  </w:style>
  <w:style w:type="paragraph" w:customStyle="1" w:styleId="66">
    <w:name w:val="修订1"/>
    <w:semiHidden/>
    <w:qFormat/>
    <w:uiPriority w:val="99"/>
    <w:rPr>
      <w:rFonts w:ascii="Times New Roman" w:hAnsi="Times New Roman" w:eastAsia="仿宋" w:cs="Times New Roman"/>
      <w:kern w:val="2"/>
      <w:sz w:val="28"/>
      <w:lang w:val="en-US" w:eastAsia="zh-CN" w:bidi="ar-SA"/>
    </w:rPr>
  </w:style>
  <w:style w:type="paragraph" w:customStyle="1" w:styleId="67">
    <w:name w:val="Normal New New"/>
    <w:qFormat/>
    <w:uiPriority w:val="0"/>
    <w:pPr>
      <w:widowControl w:val="0"/>
      <w:ind w:firstLine="200" w:firstLineChars="200"/>
      <w:jc w:val="both"/>
    </w:pPr>
    <w:rPr>
      <w:rFonts w:hint="eastAsia" w:ascii="Times New Roman" w:hAnsi="Times New Roman" w:eastAsia="宋体" w:cs="Times New Roman"/>
      <w:kern w:val="2"/>
      <w:sz w:val="28"/>
      <w:lang w:val="en-US" w:eastAsia="zh-CN" w:bidi="ar-SA"/>
    </w:rPr>
  </w:style>
  <w:style w:type="character" w:customStyle="1" w:styleId="68">
    <w:name w:val="bjh-p"/>
    <w:basedOn w:val="30"/>
    <w:qFormat/>
    <w:uiPriority w:val="0"/>
  </w:style>
  <w:style w:type="character" w:customStyle="1" w:styleId="69">
    <w:name w:val="bjh-strong"/>
    <w:basedOn w:val="30"/>
    <w:qFormat/>
    <w:uiPriority w:val="0"/>
  </w:style>
  <w:style w:type="table" w:customStyle="1" w:styleId="70">
    <w:name w:val="网格型1"/>
    <w:basedOn w:val="28"/>
    <w:qFormat/>
    <w:uiPriority w:val="99"/>
    <w:rPr>
      <w:rFonts w:ascii="等线" w:hAnsi="等线" w:eastAsia="等线"/>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71">
    <w:name w:val="样式1"/>
    <w:basedOn w:val="1"/>
    <w:link w:val="72"/>
    <w:qFormat/>
    <w:uiPriority w:val="0"/>
    <w:pPr>
      <w:widowControl w:val="0"/>
      <w:spacing w:line="560" w:lineRule="exact"/>
      <w:ind w:firstLine="600"/>
      <w:jc w:val="both"/>
    </w:pPr>
    <w:rPr>
      <w:rFonts w:hAnsi="方正仿宋简体" w:eastAsia="方正仿宋简体"/>
      <w:sz w:val="30"/>
      <w:szCs w:val="30"/>
    </w:rPr>
  </w:style>
  <w:style w:type="character" w:customStyle="1" w:styleId="72">
    <w:name w:val="样式1 字符"/>
    <w:basedOn w:val="30"/>
    <w:link w:val="71"/>
    <w:qFormat/>
    <w:uiPriority w:val="0"/>
    <w:rPr>
      <w:rFonts w:hAnsi="方正仿宋简体" w:eastAsia="方正仿宋简体"/>
      <w:kern w:val="2"/>
      <w:sz w:val="30"/>
      <w:szCs w:val="30"/>
    </w:rPr>
  </w:style>
  <w:style w:type="paragraph" w:styleId="73">
    <w:name w:val="List Paragraph"/>
    <w:basedOn w:val="1"/>
    <w:qFormat/>
    <w:uiPriority w:val="99"/>
    <w:pPr>
      <w:ind w:firstLine="420"/>
    </w:pPr>
  </w:style>
  <w:style w:type="character" w:customStyle="1" w:styleId="74">
    <w:name w:val="文字主体 Char Char"/>
    <w:link w:val="75"/>
    <w:qFormat/>
    <w:uiPriority w:val="0"/>
    <w:rPr>
      <w:rFonts w:ascii="宋体" w:hAnsi="宋体"/>
      <w:kern w:val="2"/>
      <w:sz w:val="28"/>
      <w:szCs w:val="28"/>
    </w:rPr>
  </w:style>
  <w:style w:type="paragraph" w:customStyle="1" w:styleId="75">
    <w:name w:val="文字主体"/>
    <w:link w:val="74"/>
    <w:qFormat/>
    <w:uiPriority w:val="0"/>
    <w:pPr>
      <w:spacing w:line="360" w:lineRule="auto"/>
      <w:ind w:firstLine="560" w:firstLineChars="200"/>
    </w:pPr>
    <w:rPr>
      <w:rFonts w:ascii="宋体" w:hAnsi="宋体" w:eastAsia="宋体" w:cs="Times New Roman"/>
      <w:kern w:val="2"/>
      <w:sz w:val="28"/>
      <w:szCs w:val="28"/>
      <w:lang w:val="en-US" w:eastAsia="zh-CN" w:bidi="ar-SA"/>
    </w:rPr>
  </w:style>
  <w:style w:type="paragraph" w:customStyle="1" w:styleId="76">
    <w:name w:val="msonormal"/>
    <w:basedOn w:val="1"/>
    <w:qFormat/>
    <w:uiPriority w:val="0"/>
    <w:pPr>
      <w:spacing w:before="100" w:beforeAutospacing="1" w:after="100" w:afterAutospacing="1" w:line="240" w:lineRule="auto"/>
      <w:ind w:firstLine="0" w:firstLineChars="0"/>
    </w:pPr>
    <w:rPr>
      <w:rFonts w:ascii="宋体" w:hAnsi="宋体" w:eastAsia="宋体" w:cs="宋体"/>
      <w:kern w:val="0"/>
      <w:sz w:val="24"/>
      <w:szCs w:val="24"/>
    </w:rPr>
  </w:style>
  <w:style w:type="paragraph" w:customStyle="1" w:styleId="77">
    <w:name w:val="font5"/>
    <w:basedOn w:val="1"/>
    <w:qFormat/>
    <w:uiPriority w:val="0"/>
    <w:pPr>
      <w:spacing w:before="100" w:beforeAutospacing="1" w:after="100" w:afterAutospacing="1" w:line="240" w:lineRule="auto"/>
      <w:ind w:firstLine="0" w:firstLineChars="0"/>
    </w:pPr>
    <w:rPr>
      <w:rFonts w:ascii="宋体" w:hAnsi="宋体" w:eastAsia="宋体" w:cs="宋体"/>
      <w:kern w:val="0"/>
      <w:sz w:val="18"/>
      <w:szCs w:val="18"/>
    </w:rPr>
  </w:style>
  <w:style w:type="paragraph" w:customStyle="1" w:styleId="78">
    <w:name w:val="font6"/>
    <w:basedOn w:val="1"/>
    <w:qFormat/>
    <w:uiPriority w:val="0"/>
    <w:pPr>
      <w:spacing w:before="100" w:beforeAutospacing="1" w:after="100" w:afterAutospacing="1" w:line="240" w:lineRule="auto"/>
      <w:ind w:firstLine="0" w:firstLineChars="0"/>
    </w:pPr>
    <w:rPr>
      <w:rFonts w:ascii="宋体" w:hAnsi="宋体" w:eastAsia="宋体" w:cs="宋体"/>
      <w:b/>
      <w:bCs/>
      <w:color w:val="000000"/>
      <w:kern w:val="0"/>
      <w:sz w:val="20"/>
    </w:rPr>
  </w:style>
  <w:style w:type="paragraph" w:customStyle="1" w:styleId="79">
    <w:name w:val="font7"/>
    <w:basedOn w:val="1"/>
    <w:qFormat/>
    <w:uiPriority w:val="0"/>
    <w:pPr>
      <w:spacing w:before="100" w:beforeAutospacing="1" w:after="100" w:afterAutospacing="1" w:line="240" w:lineRule="auto"/>
      <w:ind w:firstLine="0" w:firstLineChars="0"/>
    </w:pPr>
    <w:rPr>
      <w:rFonts w:ascii="宋体" w:hAnsi="宋体" w:eastAsia="宋体" w:cs="宋体"/>
      <w:b/>
      <w:bCs/>
      <w:color w:val="000000"/>
      <w:kern w:val="0"/>
      <w:sz w:val="21"/>
      <w:szCs w:val="21"/>
    </w:rPr>
  </w:style>
  <w:style w:type="paragraph" w:customStyle="1" w:styleId="80">
    <w:name w:val="font8"/>
    <w:basedOn w:val="1"/>
    <w:qFormat/>
    <w:uiPriority w:val="0"/>
    <w:pPr>
      <w:spacing w:before="100" w:beforeAutospacing="1" w:after="100" w:afterAutospacing="1" w:line="240" w:lineRule="auto"/>
      <w:ind w:firstLine="0" w:firstLineChars="0"/>
    </w:pPr>
    <w:rPr>
      <w:rFonts w:eastAsia="宋体"/>
      <w:b/>
      <w:bCs/>
      <w:color w:val="000000"/>
      <w:kern w:val="0"/>
      <w:sz w:val="21"/>
      <w:szCs w:val="21"/>
    </w:rPr>
  </w:style>
  <w:style w:type="paragraph" w:customStyle="1" w:styleId="81">
    <w:name w:val="font9"/>
    <w:basedOn w:val="1"/>
    <w:qFormat/>
    <w:uiPriority w:val="0"/>
    <w:pPr>
      <w:spacing w:before="100" w:beforeAutospacing="1" w:after="100" w:afterAutospacing="1" w:line="240" w:lineRule="auto"/>
      <w:ind w:firstLine="0" w:firstLineChars="0"/>
    </w:pPr>
    <w:rPr>
      <w:rFonts w:eastAsia="宋体"/>
      <w:b/>
      <w:bCs/>
      <w:color w:val="000000"/>
      <w:kern w:val="0"/>
      <w:sz w:val="20"/>
    </w:rPr>
  </w:style>
  <w:style w:type="paragraph" w:customStyle="1" w:styleId="82">
    <w:name w:val="font10"/>
    <w:basedOn w:val="1"/>
    <w:qFormat/>
    <w:uiPriority w:val="0"/>
    <w:pPr>
      <w:spacing w:before="100" w:beforeAutospacing="1" w:after="100" w:afterAutospacing="1" w:line="240" w:lineRule="auto"/>
      <w:ind w:firstLine="0" w:firstLineChars="0"/>
    </w:pPr>
    <w:rPr>
      <w:rFonts w:eastAsia="宋体"/>
      <w:color w:val="000000"/>
      <w:kern w:val="0"/>
      <w:sz w:val="20"/>
    </w:rPr>
  </w:style>
  <w:style w:type="paragraph" w:customStyle="1" w:styleId="83">
    <w:name w:val="font11"/>
    <w:basedOn w:val="1"/>
    <w:qFormat/>
    <w:uiPriority w:val="0"/>
    <w:pPr>
      <w:spacing w:before="100" w:beforeAutospacing="1" w:after="100" w:afterAutospacing="1" w:line="240" w:lineRule="auto"/>
      <w:ind w:firstLine="0" w:firstLineChars="0"/>
    </w:pPr>
    <w:rPr>
      <w:rFonts w:ascii="宋体" w:hAnsi="宋体" w:eastAsia="宋体" w:cs="宋体"/>
      <w:color w:val="000000"/>
      <w:kern w:val="0"/>
      <w:sz w:val="20"/>
    </w:rPr>
  </w:style>
  <w:style w:type="paragraph" w:customStyle="1" w:styleId="84">
    <w:name w:val="font12"/>
    <w:basedOn w:val="1"/>
    <w:qFormat/>
    <w:uiPriority w:val="0"/>
    <w:pPr>
      <w:spacing w:before="100" w:beforeAutospacing="1" w:after="100" w:afterAutospacing="1" w:line="240" w:lineRule="auto"/>
      <w:ind w:firstLine="0" w:firstLineChars="0"/>
    </w:pPr>
    <w:rPr>
      <w:rFonts w:eastAsia="宋体"/>
      <w:b/>
      <w:bCs/>
      <w:color w:val="000000"/>
      <w:kern w:val="0"/>
      <w:sz w:val="20"/>
    </w:rPr>
  </w:style>
  <w:style w:type="paragraph" w:customStyle="1" w:styleId="85">
    <w:name w:val="font13"/>
    <w:basedOn w:val="1"/>
    <w:qFormat/>
    <w:uiPriority w:val="0"/>
    <w:pPr>
      <w:spacing w:before="100" w:beforeAutospacing="1" w:after="100" w:afterAutospacing="1" w:line="240" w:lineRule="auto"/>
      <w:ind w:firstLine="0" w:firstLineChars="0"/>
    </w:pPr>
    <w:rPr>
      <w:rFonts w:eastAsia="宋体"/>
      <w:color w:val="000000"/>
      <w:kern w:val="0"/>
      <w:sz w:val="20"/>
    </w:rPr>
  </w:style>
  <w:style w:type="paragraph" w:customStyle="1" w:styleId="86">
    <w:name w:val="font14"/>
    <w:basedOn w:val="1"/>
    <w:qFormat/>
    <w:uiPriority w:val="0"/>
    <w:pPr>
      <w:spacing w:before="100" w:beforeAutospacing="1" w:after="100" w:afterAutospacing="1" w:line="240" w:lineRule="auto"/>
      <w:ind w:firstLine="0" w:firstLineChars="0"/>
    </w:pPr>
    <w:rPr>
      <w:rFonts w:ascii="宋体" w:hAnsi="宋体" w:eastAsia="宋体" w:cs="宋体"/>
      <w:color w:val="000000"/>
      <w:kern w:val="0"/>
      <w:sz w:val="20"/>
    </w:rPr>
  </w:style>
  <w:style w:type="paragraph" w:customStyle="1" w:styleId="87">
    <w:name w:val="xl65"/>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宋体" w:hAnsi="宋体" w:eastAsia="宋体" w:cs="宋体"/>
      <w:b/>
      <w:bCs/>
      <w:color w:val="000000"/>
      <w:kern w:val="0"/>
      <w:sz w:val="20"/>
    </w:rPr>
  </w:style>
  <w:style w:type="paragraph" w:customStyle="1" w:styleId="88">
    <w:name w:val="xl66"/>
    <w:basedOn w:val="1"/>
    <w:qFormat/>
    <w:uiPriority w:val="0"/>
    <w:pPr>
      <w:pBdr>
        <w:top w:val="single" w:color="auto" w:sz="4" w:space="0"/>
        <w:left w:val="single" w:color="auto" w:sz="4" w:space="0"/>
        <w:bottom w:val="single" w:color="auto" w:sz="4" w:space="0"/>
        <w:right w:val="single" w:color="auto" w:sz="4" w:space="0"/>
      </w:pBdr>
      <w:shd w:val="clear" w:color="000000" w:fill="BFBFBF"/>
      <w:spacing w:before="100" w:beforeAutospacing="1" w:after="100" w:afterAutospacing="1" w:line="240" w:lineRule="auto"/>
      <w:ind w:firstLine="0" w:firstLineChars="0"/>
      <w:jc w:val="center"/>
    </w:pPr>
    <w:rPr>
      <w:rFonts w:eastAsia="宋体"/>
      <w:b/>
      <w:bCs/>
      <w:color w:val="000000"/>
      <w:kern w:val="0"/>
      <w:sz w:val="21"/>
      <w:szCs w:val="21"/>
    </w:rPr>
  </w:style>
  <w:style w:type="paragraph" w:customStyle="1" w:styleId="89">
    <w:name w:val="xl67"/>
    <w:basedOn w:val="1"/>
    <w:qFormat/>
    <w:uiPriority w:val="0"/>
    <w:pPr>
      <w:pBdr>
        <w:top w:val="single" w:color="auto" w:sz="4" w:space="0"/>
        <w:left w:val="single" w:color="auto" w:sz="4" w:space="0"/>
        <w:bottom w:val="single" w:color="auto" w:sz="4" w:space="0"/>
        <w:right w:val="single" w:color="auto" w:sz="4" w:space="0"/>
      </w:pBdr>
      <w:shd w:val="clear" w:color="000000" w:fill="BFBFBF"/>
      <w:spacing w:before="100" w:beforeAutospacing="1" w:after="100" w:afterAutospacing="1" w:line="240" w:lineRule="auto"/>
      <w:ind w:firstLine="0" w:firstLineChars="0"/>
    </w:pPr>
    <w:rPr>
      <w:rFonts w:ascii="宋体" w:hAnsi="宋体" w:eastAsia="宋体" w:cs="宋体"/>
      <w:color w:val="000000"/>
      <w:kern w:val="0"/>
      <w:sz w:val="21"/>
      <w:szCs w:val="21"/>
    </w:rPr>
  </w:style>
  <w:style w:type="paragraph" w:customStyle="1" w:styleId="90">
    <w:name w:val="xl68"/>
    <w:basedOn w:val="1"/>
    <w:qFormat/>
    <w:uiPriority w:val="0"/>
    <w:pPr>
      <w:pBdr>
        <w:top w:val="single" w:color="auto" w:sz="4" w:space="0"/>
        <w:left w:val="single" w:color="auto" w:sz="4" w:space="0"/>
        <w:bottom w:val="single" w:color="auto" w:sz="4" w:space="0"/>
        <w:right w:val="single" w:color="auto" w:sz="4" w:space="0"/>
      </w:pBdr>
      <w:shd w:val="clear" w:color="000000" w:fill="BFBFBF"/>
      <w:spacing w:before="100" w:beforeAutospacing="1" w:after="100" w:afterAutospacing="1" w:line="240" w:lineRule="auto"/>
      <w:ind w:firstLine="0" w:firstLineChars="0"/>
      <w:jc w:val="both"/>
    </w:pPr>
    <w:rPr>
      <w:rFonts w:ascii="宋体" w:hAnsi="宋体" w:eastAsia="宋体" w:cs="宋体"/>
      <w:color w:val="000000"/>
      <w:kern w:val="0"/>
      <w:sz w:val="21"/>
      <w:szCs w:val="21"/>
    </w:rPr>
  </w:style>
  <w:style w:type="paragraph" w:customStyle="1" w:styleId="91">
    <w:name w:val="xl69"/>
    <w:basedOn w:val="1"/>
    <w:qFormat/>
    <w:uiPriority w:val="0"/>
    <w:pPr>
      <w:pBdr>
        <w:top w:val="single" w:color="auto" w:sz="4" w:space="0"/>
        <w:left w:val="single" w:color="auto" w:sz="4" w:space="0"/>
        <w:bottom w:val="single" w:color="auto" w:sz="4" w:space="0"/>
        <w:right w:val="single" w:color="auto" w:sz="4" w:space="0"/>
      </w:pBdr>
      <w:shd w:val="clear" w:color="000000" w:fill="BFBFBF"/>
      <w:spacing w:before="100" w:beforeAutospacing="1" w:after="100" w:afterAutospacing="1" w:line="240" w:lineRule="auto"/>
      <w:ind w:firstLine="0" w:firstLineChars="0"/>
      <w:jc w:val="center"/>
    </w:pPr>
    <w:rPr>
      <w:rFonts w:eastAsia="宋体"/>
      <w:b/>
      <w:bCs/>
      <w:color w:val="000000"/>
      <w:kern w:val="0"/>
      <w:sz w:val="20"/>
    </w:rPr>
  </w:style>
  <w:style w:type="paragraph" w:customStyle="1" w:styleId="92">
    <w:name w:val="xl70"/>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eastAsia="宋体"/>
      <w:b/>
      <w:bCs/>
      <w:color w:val="000000"/>
      <w:kern w:val="0"/>
      <w:sz w:val="20"/>
    </w:rPr>
  </w:style>
  <w:style w:type="paragraph" w:customStyle="1" w:styleId="93">
    <w:name w:val="xl71"/>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eastAsia="宋体"/>
      <w:color w:val="000000"/>
      <w:kern w:val="0"/>
      <w:sz w:val="20"/>
    </w:rPr>
  </w:style>
  <w:style w:type="paragraph" w:customStyle="1" w:styleId="94">
    <w:name w:val="xl72"/>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宋体" w:hAnsi="宋体" w:eastAsia="宋体" w:cs="宋体"/>
      <w:color w:val="000000"/>
      <w:kern w:val="0"/>
      <w:sz w:val="20"/>
    </w:rPr>
  </w:style>
  <w:style w:type="paragraph" w:customStyle="1" w:styleId="95">
    <w:name w:val="xl73"/>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pPr>
    <w:rPr>
      <w:rFonts w:eastAsia="宋体"/>
      <w:color w:val="000000"/>
      <w:kern w:val="0"/>
      <w:sz w:val="21"/>
      <w:szCs w:val="21"/>
    </w:rPr>
  </w:style>
  <w:style w:type="paragraph" w:customStyle="1" w:styleId="96">
    <w:name w:val="xl74"/>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both"/>
    </w:pPr>
    <w:rPr>
      <w:rFonts w:eastAsia="宋体"/>
      <w:color w:val="000000"/>
      <w:kern w:val="0"/>
      <w:sz w:val="21"/>
      <w:szCs w:val="21"/>
    </w:rPr>
  </w:style>
  <w:style w:type="paragraph" w:customStyle="1" w:styleId="97">
    <w:name w:val="xl75"/>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eastAsia="宋体"/>
      <w:color w:val="000000"/>
      <w:kern w:val="0"/>
      <w:sz w:val="20"/>
    </w:rPr>
  </w:style>
  <w:style w:type="paragraph" w:customStyle="1" w:styleId="98">
    <w:name w:val="xl76"/>
    <w:basedOn w:val="1"/>
    <w:qFormat/>
    <w:uiPriority w:val="0"/>
    <w:pPr>
      <w:pBdr>
        <w:top w:val="single" w:color="auto" w:sz="4" w:space="0"/>
        <w:left w:val="single" w:color="auto" w:sz="4" w:space="0"/>
        <w:bottom w:val="single" w:color="auto" w:sz="4" w:space="0"/>
        <w:right w:val="single" w:color="auto" w:sz="4" w:space="0"/>
      </w:pBdr>
      <w:shd w:val="clear" w:color="000000" w:fill="BFBFBF"/>
      <w:spacing w:before="100" w:beforeAutospacing="1" w:after="100" w:afterAutospacing="1" w:line="240" w:lineRule="auto"/>
      <w:ind w:firstLine="0" w:firstLineChars="0"/>
      <w:jc w:val="center"/>
    </w:pPr>
    <w:rPr>
      <w:rFonts w:ascii="宋体" w:hAnsi="宋体" w:eastAsia="宋体" w:cs="宋体"/>
      <w:b/>
      <w:bCs/>
      <w:color w:val="000000"/>
      <w:kern w:val="0"/>
      <w:sz w:val="20"/>
    </w:rPr>
  </w:style>
  <w:style w:type="paragraph" w:customStyle="1" w:styleId="99">
    <w:name w:val="xl77"/>
    <w:basedOn w:val="1"/>
    <w:qFormat/>
    <w:uiPriority w:val="0"/>
    <w:pPr>
      <w:pBdr>
        <w:top w:val="single" w:color="auto" w:sz="4" w:space="0"/>
        <w:left w:val="single" w:color="auto" w:sz="4" w:space="0"/>
        <w:bottom w:val="single" w:color="auto" w:sz="4" w:space="0"/>
        <w:right w:val="single" w:color="auto" w:sz="4" w:space="0"/>
      </w:pBdr>
      <w:shd w:val="clear" w:color="000000" w:fill="BFBFBF"/>
      <w:spacing w:before="100" w:beforeAutospacing="1" w:after="100" w:afterAutospacing="1" w:line="240" w:lineRule="auto"/>
      <w:ind w:firstLine="0" w:firstLineChars="0"/>
      <w:jc w:val="center"/>
    </w:pPr>
    <w:rPr>
      <w:rFonts w:ascii="宋体" w:hAnsi="宋体" w:eastAsia="宋体" w:cs="宋体"/>
      <w:b/>
      <w:bCs/>
      <w:color w:val="000000"/>
      <w:kern w:val="0"/>
      <w:sz w:val="21"/>
      <w:szCs w:val="21"/>
    </w:rPr>
  </w:style>
  <w:style w:type="paragraph" w:customStyle="1" w:styleId="100">
    <w:name w:val="xl78"/>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eastAsia="宋体"/>
      <w:color w:val="000000"/>
      <w:kern w:val="0"/>
      <w:sz w:val="20"/>
    </w:rPr>
  </w:style>
  <w:style w:type="paragraph" w:customStyle="1" w:styleId="101">
    <w:name w:val="xl79"/>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eastAsia="宋体"/>
      <w:color w:val="000000"/>
      <w:kern w:val="0"/>
      <w:sz w:val="20"/>
    </w:rPr>
  </w:style>
  <w:style w:type="character" w:customStyle="1" w:styleId="102">
    <w:name w:val="文字主体 Char"/>
    <w:qFormat/>
    <w:uiPriority w:val="0"/>
    <w:rPr>
      <w:rFonts w:ascii="Arial" w:hAnsi="Arial" w:eastAsia="仿宋_GB2312" w:cs="Arial"/>
      <w:kern w:val="2"/>
      <w:sz w:val="28"/>
      <w:szCs w:val="28"/>
      <w:lang w:val="en-US" w:eastAsia="zh-CN" w:bidi="ar-SA"/>
    </w:rPr>
  </w:style>
  <w:style w:type="paragraph" w:customStyle="1" w:styleId="103">
    <w:name w:val="修订4"/>
    <w:hidden/>
    <w:semiHidden/>
    <w:qFormat/>
    <w:uiPriority w:val="99"/>
    <w:rPr>
      <w:rFonts w:ascii="Times New Roman" w:hAnsi="Times New Roman" w:eastAsia="仿宋" w:cs="Times New Roman"/>
      <w:kern w:val="2"/>
      <w:sz w:val="28"/>
      <w:lang w:val="en-US" w:eastAsia="zh-CN" w:bidi="ar-SA"/>
    </w:rPr>
  </w:style>
  <w:style w:type="paragraph" w:customStyle="1" w:styleId="104">
    <w:name w:val="xl121"/>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b/>
      <w:bCs/>
      <w:kern w:val="0"/>
      <w:sz w:val="24"/>
      <w:szCs w:val="24"/>
    </w:rPr>
  </w:style>
  <w:style w:type="paragraph" w:customStyle="1" w:styleId="105">
    <w:name w:val="xl122"/>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pPr>
    <w:rPr>
      <w:rFonts w:ascii="宋体" w:hAnsi="宋体" w:eastAsia="宋体" w:cs="宋体"/>
      <w:kern w:val="0"/>
      <w:sz w:val="24"/>
      <w:szCs w:val="24"/>
    </w:rPr>
  </w:style>
  <w:style w:type="paragraph" w:customStyle="1" w:styleId="106">
    <w:name w:val="xl123"/>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kern w:val="0"/>
      <w:sz w:val="24"/>
      <w:szCs w:val="24"/>
    </w:rPr>
  </w:style>
  <w:style w:type="paragraph" w:customStyle="1" w:styleId="107">
    <w:name w:val="xl124"/>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kern w:val="0"/>
      <w:szCs w:val="28"/>
    </w:rPr>
  </w:style>
  <w:style w:type="paragraph" w:customStyle="1" w:styleId="108">
    <w:name w:val="xl125"/>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b/>
      <w:bCs/>
      <w:kern w:val="0"/>
      <w:szCs w:val="28"/>
    </w:rPr>
  </w:style>
  <w:style w:type="paragraph" w:customStyle="1" w:styleId="109">
    <w:name w:val="xl126"/>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textAlignment w:val="center"/>
    </w:pPr>
    <w:rPr>
      <w:rFonts w:ascii="宋体" w:hAnsi="宋体" w:eastAsia="宋体" w:cs="宋体"/>
      <w:kern w:val="0"/>
      <w:sz w:val="24"/>
      <w:szCs w:val="24"/>
    </w:rPr>
  </w:style>
  <w:style w:type="paragraph" w:customStyle="1" w:styleId="110">
    <w:name w:val="xl127"/>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b/>
      <w:bCs/>
      <w:kern w:val="0"/>
      <w:sz w:val="24"/>
      <w:szCs w:val="24"/>
    </w:rPr>
  </w:style>
  <w:style w:type="paragraph" w:customStyle="1" w:styleId="111">
    <w:name w:val="xl128"/>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仿宋_GB2312" w:hAnsi="宋体" w:eastAsia="仿宋_GB2312" w:cs="宋体"/>
      <w:color w:val="000000"/>
      <w:kern w:val="0"/>
      <w:sz w:val="21"/>
      <w:szCs w:val="21"/>
    </w:rPr>
  </w:style>
  <w:style w:type="paragraph" w:customStyle="1" w:styleId="112">
    <w:name w:val="xl129"/>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textAlignment w:val="center"/>
    </w:pPr>
    <w:rPr>
      <w:rFonts w:ascii="仿宋_GB2312" w:hAnsi="宋体" w:eastAsia="仿宋_GB2312" w:cs="宋体"/>
      <w:color w:val="000000"/>
      <w:kern w:val="0"/>
      <w:sz w:val="21"/>
      <w:szCs w:val="21"/>
    </w:rPr>
  </w:style>
  <w:style w:type="paragraph" w:customStyle="1" w:styleId="113">
    <w:name w:val="xl130"/>
    <w:basedOn w:val="1"/>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ind w:firstLine="0" w:firstLineChars="0"/>
      <w:jc w:val="center"/>
      <w:textAlignment w:val="center"/>
    </w:pPr>
    <w:rPr>
      <w:rFonts w:ascii="宋体" w:hAnsi="宋体" w:eastAsia="宋体" w:cs="宋体"/>
      <w:b/>
      <w:bCs/>
      <w:kern w:val="0"/>
      <w:sz w:val="24"/>
      <w:szCs w:val="24"/>
    </w:rPr>
  </w:style>
  <w:style w:type="paragraph" w:customStyle="1" w:styleId="114">
    <w:name w:val="xl131"/>
    <w:basedOn w:val="1"/>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ind w:firstLine="0" w:firstLineChars="0"/>
      <w:textAlignment w:val="center"/>
    </w:pPr>
    <w:rPr>
      <w:rFonts w:ascii="仿宋_GB2312" w:hAnsi="宋体" w:eastAsia="仿宋_GB2312" w:cs="宋体"/>
      <w:color w:val="000000"/>
      <w:kern w:val="0"/>
      <w:sz w:val="21"/>
      <w:szCs w:val="21"/>
    </w:rPr>
  </w:style>
  <w:style w:type="paragraph" w:customStyle="1" w:styleId="115">
    <w:name w:val="xl132"/>
    <w:basedOn w:val="1"/>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ind w:firstLine="0" w:firstLineChars="0"/>
      <w:jc w:val="center"/>
      <w:textAlignment w:val="center"/>
    </w:pPr>
    <w:rPr>
      <w:rFonts w:ascii="仿宋_GB2312" w:hAnsi="宋体" w:eastAsia="仿宋_GB2312" w:cs="宋体"/>
      <w:color w:val="000000"/>
      <w:kern w:val="0"/>
      <w:sz w:val="21"/>
      <w:szCs w:val="21"/>
    </w:rPr>
  </w:style>
  <w:style w:type="paragraph" w:customStyle="1" w:styleId="116">
    <w:name w:val="xl133"/>
    <w:basedOn w:val="1"/>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ind w:firstLine="0" w:firstLineChars="0"/>
      <w:jc w:val="center"/>
      <w:textAlignment w:val="center"/>
    </w:pPr>
    <w:rPr>
      <w:rFonts w:ascii="宋体" w:hAnsi="宋体" w:eastAsia="宋体" w:cs="宋体"/>
      <w:kern w:val="0"/>
      <w:sz w:val="24"/>
      <w:szCs w:val="24"/>
    </w:rPr>
  </w:style>
  <w:style w:type="paragraph" w:customStyle="1" w:styleId="117">
    <w:name w:val="xl134"/>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textAlignment w:val="center"/>
    </w:pPr>
    <w:rPr>
      <w:rFonts w:ascii="宋体" w:hAnsi="宋体" w:eastAsia="宋体" w:cs="宋体"/>
      <w:kern w:val="0"/>
      <w:sz w:val="24"/>
      <w:szCs w:val="24"/>
    </w:rPr>
  </w:style>
  <w:style w:type="paragraph" w:customStyle="1" w:styleId="118">
    <w:name w:val="xl135"/>
    <w:basedOn w:val="1"/>
    <w:qFormat/>
    <w:uiPriority w:val="0"/>
    <w:pPr>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ind w:firstLine="0" w:firstLineChars="0"/>
      <w:jc w:val="center"/>
      <w:textAlignment w:val="center"/>
    </w:pPr>
    <w:rPr>
      <w:rFonts w:ascii="仿宋_GB2312" w:hAnsi="宋体" w:eastAsia="仿宋_GB2312" w:cs="宋体"/>
      <w:color w:val="000000"/>
      <w:kern w:val="0"/>
      <w:sz w:val="21"/>
      <w:szCs w:val="21"/>
    </w:rPr>
  </w:style>
  <w:style w:type="paragraph" w:customStyle="1" w:styleId="119">
    <w:name w:val="xl136"/>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color w:val="000000"/>
      <w:kern w:val="0"/>
      <w:sz w:val="20"/>
    </w:rPr>
  </w:style>
  <w:style w:type="paragraph" w:customStyle="1" w:styleId="120">
    <w:name w:val="xl137"/>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仿宋_GB2312" w:hAnsi="宋体" w:eastAsia="仿宋_GB2312" w:cs="宋体"/>
      <w:color w:val="000000"/>
      <w:kern w:val="0"/>
      <w:sz w:val="24"/>
      <w:szCs w:val="24"/>
    </w:rPr>
  </w:style>
  <w:style w:type="paragraph" w:customStyle="1" w:styleId="121">
    <w:name w:val="xl138"/>
    <w:basedOn w:val="1"/>
    <w:qFormat/>
    <w:uiPriority w:val="0"/>
    <w:pPr>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ind w:firstLine="0" w:firstLineChars="0"/>
      <w:jc w:val="center"/>
      <w:textAlignment w:val="center"/>
    </w:pPr>
    <w:rPr>
      <w:rFonts w:ascii="仿宋_GB2312" w:hAnsi="宋体" w:eastAsia="仿宋_GB2312" w:cs="宋体"/>
      <w:color w:val="000000"/>
      <w:kern w:val="0"/>
      <w:sz w:val="24"/>
      <w:szCs w:val="24"/>
    </w:rPr>
  </w:style>
  <w:style w:type="paragraph" w:customStyle="1" w:styleId="122">
    <w:name w:val="xl139"/>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color w:val="000000"/>
      <w:kern w:val="0"/>
      <w:sz w:val="24"/>
      <w:szCs w:val="24"/>
    </w:rPr>
  </w:style>
  <w:style w:type="paragraph" w:customStyle="1" w:styleId="123">
    <w:name w:val="xl140"/>
    <w:basedOn w:val="1"/>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ind w:firstLine="0" w:firstLineChars="0"/>
      <w:jc w:val="center"/>
      <w:textAlignment w:val="center"/>
    </w:pPr>
    <w:rPr>
      <w:rFonts w:ascii="仿宋_GB2312" w:hAnsi="宋体" w:eastAsia="仿宋_GB2312" w:cs="宋体"/>
      <w:color w:val="000000"/>
      <w:kern w:val="0"/>
      <w:sz w:val="24"/>
      <w:szCs w:val="24"/>
    </w:rPr>
  </w:style>
  <w:style w:type="paragraph" w:customStyle="1" w:styleId="124">
    <w:name w:val="xl141"/>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仿宋_GB2312" w:hAnsi="宋体" w:eastAsia="仿宋_GB2312" w:cs="宋体"/>
      <w:b/>
      <w:bCs/>
      <w:color w:val="000000"/>
      <w:kern w:val="0"/>
      <w:sz w:val="24"/>
      <w:szCs w:val="24"/>
    </w:rPr>
  </w:style>
  <w:style w:type="paragraph" w:customStyle="1" w:styleId="125">
    <w:name w:val="xl142"/>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仿宋_GB2312" w:hAnsi="宋体" w:eastAsia="仿宋_GB2312" w:cs="宋体"/>
      <w:color w:val="000000"/>
      <w:kern w:val="0"/>
      <w:sz w:val="24"/>
      <w:szCs w:val="24"/>
    </w:rPr>
  </w:style>
  <w:style w:type="paragraph" w:customStyle="1" w:styleId="126">
    <w:name w:val="xl143"/>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仿宋_GB2312" w:hAnsi="宋体" w:eastAsia="仿宋_GB2312" w:cs="宋体"/>
      <w:b/>
      <w:bCs/>
      <w:color w:val="000000"/>
      <w:kern w:val="0"/>
      <w:sz w:val="24"/>
      <w:szCs w:val="24"/>
    </w:rPr>
  </w:style>
  <w:style w:type="paragraph" w:customStyle="1" w:styleId="127">
    <w:name w:val="xl144"/>
    <w:basedOn w:val="1"/>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ind w:firstLine="0" w:firstLineChars="0"/>
      <w:textAlignment w:val="center"/>
    </w:pPr>
    <w:rPr>
      <w:rFonts w:ascii="仿宋_GB2312" w:hAnsi="宋体" w:eastAsia="仿宋_GB2312" w:cs="宋体"/>
      <w:color w:val="000000"/>
      <w:kern w:val="0"/>
      <w:sz w:val="21"/>
      <w:szCs w:val="21"/>
    </w:rPr>
  </w:style>
  <w:style w:type="paragraph" w:customStyle="1" w:styleId="128">
    <w:name w:val="xl145"/>
    <w:basedOn w:val="1"/>
    <w:qFormat/>
    <w:uiPriority w:val="0"/>
    <w:pPr>
      <w:pBdr>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b/>
      <w:bCs/>
      <w:kern w:val="0"/>
      <w:sz w:val="36"/>
      <w:szCs w:val="36"/>
    </w:rPr>
  </w:style>
  <w:style w:type="paragraph" w:customStyle="1" w:styleId="129">
    <w:name w:val="xl146"/>
    <w:basedOn w:val="1"/>
    <w:qFormat/>
    <w:uiPriority w:val="0"/>
    <w:pPr>
      <w:pBdr>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b/>
      <w:bCs/>
      <w:kern w:val="0"/>
      <w:sz w:val="36"/>
      <w:szCs w:val="36"/>
    </w:rPr>
  </w:style>
  <w:style w:type="paragraph" w:customStyle="1" w:styleId="130">
    <w:name w:val="xl147"/>
    <w:basedOn w:val="1"/>
    <w:qFormat/>
    <w:uiPriority w:val="0"/>
    <w:pPr>
      <w:pBdr>
        <w:top w:val="single" w:color="auto" w:sz="4" w:space="0"/>
        <w:left w:val="single" w:color="auto" w:sz="4" w:space="0"/>
        <w:bottom w:val="single" w:color="auto" w:sz="4" w:space="0"/>
      </w:pBdr>
      <w:spacing w:before="100" w:beforeAutospacing="1" w:after="100" w:afterAutospacing="1" w:line="240" w:lineRule="auto"/>
      <w:ind w:firstLine="0" w:firstLineChars="0"/>
      <w:textAlignment w:val="center"/>
    </w:pPr>
    <w:rPr>
      <w:rFonts w:ascii="宋体" w:hAnsi="宋体" w:eastAsia="宋体" w:cs="宋体"/>
      <w:b/>
      <w:bCs/>
      <w:kern w:val="0"/>
      <w:sz w:val="24"/>
      <w:szCs w:val="24"/>
    </w:rPr>
  </w:style>
  <w:style w:type="paragraph" w:customStyle="1" w:styleId="131">
    <w:name w:val="xl148"/>
    <w:basedOn w:val="1"/>
    <w:qFormat/>
    <w:uiPriority w:val="0"/>
    <w:pPr>
      <w:pBdr>
        <w:top w:val="single" w:color="auto" w:sz="4" w:space="0"/>
        <w:bottom w:val="single" w:color="auto" w:sz="4" w:space="0"/>
      </w:pBdr>
      <w:spacing w:before="100" w:beforeAutospacing="1" w:after="100" w:afterAutospacing="1" w:line="240" w:lineRule="auto"/>
      <w:ind w:firstLine="0" w:firstLineChars="0"/>
      <w:textAlignment w:val="center"/>
    </w:pPr>
    <w:rPr>
      <w:rFonts w:ascii="宋体" w:hAnsi="宋体" w:eastAsia="宋体" w:cs="宋体"/>
      <w:b/>
      <w:bCs/>
      <w:kern w:val="0"/>
      <w:sz w:val="24"/>
      <w:szCs w:val="24"/>
    </w:rPr>
  </w:style>
  <w:style w:type="paragraph" w:customStyle="1" w:styleId="132">
    <w:name w:val="xl149"/>
    <w:basedOn w:val="1"/>
    <w:qFormat/>
    <w:uiPriority w:val="0"/>
    <w:pPr>
      <w:pBdr>
        <w:top w:val="single" w:color="auto" w:sz="4" w:space="0"/>
        <w:bottom w:val="single" w:color="auto" w:sz="4" w:space="0"/>
        <w:right w:val="single" w:color="auto" w:sz="4" w:space="0"/>
      </w:pBdr>
      <w:spacing w:before="100" w:beforeAutospacing="1" w:after="100" w:afterAutospacing="1" w:line="240" w:lineRule="auto"/>
      <w:ind w:firstLine="0" w:firstLineChars="0"/>
      <w:textAlignment w:val="center"/>
    </w:pPr>
    <w:rPr>
      <w:rFonts w:ascii="宋体" w:hAnsi="宋体" w:eastAsia="宋体" w:cs="宋体"/>
      <w:b/>
      <w:bCs/>
      <w:kern w:val="0"/>
      <w:sz w:val="24"/>
      <w:szCs w:val="24"/>
    </w:rPr>
  </w:style>
  <w:style w:type="paragraph" w:customStyle="1" w:styleId="133">
    <w:name w:val="xl150"/>
    <w:basedOn w:val="1"/>
    <w:qFormat/>
    <w:uiPriority w:val="0"/>
    <w:pPr>
      <w:pBdr>
        <w:top w:val="single" w:color="auto" w:sz="4" w:space="0"/>
        <w:left w:val="single" w:color="auto" w:sz="4" w:space="0"/>
        <w:bottom w:val="single" w:color="auto" w:sz="4" w:space="0"/>
      </w:pBdr>
      <w:spacing w:before="100" w:beforeAutospacing="1" w:after="100" w:afterAutospacing="1" w:line="240" w:lineRule="auto"/>
      <w:ind w:firstLine="0" w:firstLineChars="0"/>
      <w:textAlignment w:val="center"/>
    </w:pPr>
    <w:rPr>
      <w:rFonts w:ascii="仿宋_GB2312" w:hAnsi="宋体" w:eastAsia="仿宋_GB2312" w:cs="宋体"/>
      <w:b/>
      <w:bCs/>
      <w:color w:val="000000"/>
      <w:kern w:val="0"/>
      <w:sz w:val="21"/>
      <w:szCs w:val="21"/>
    </w:rPr>
  </w:style>
  <w:style w:type="paragraph" w:customStyle="1" w:styleId="134">
    <w:name w:val="xl151"/>
    <w:basedOn w:val="1"/>
    <w:qFormat/>
    <w:uiPriority w:val="0"/>
    <w:pPr>
      <w:pBdr>
        <w:top w:val="single" w:color="auto" w:sz="4" w:space="0"/>
        <w:bottom w:val="single" w:color="auto" w:sz="4" w:space="0"/>
      </w:pBdr>
      <w:spacing w:before="100" w:beforeAutospacing="1" w:after="100" w:afterAutospacing="1" w:line="240" w:lineRule="auto"/>
      <w:ind w:firstLine="0" w:firstLineChars="0"/>
      <w:textAlignment w:val="center"/>
    </w:pPr>
    <w:rPr>
      <w:rFonts w:ascii="仿宋_GB2312" w:hAnsi="宋体" w:eastAsia="仿宋_GB2312" w:cs="宋体"/>
      <w:b/>
      <w:bCs/>
      <w:color w:val="000000"/>
      <w:kern w:val="0"/>
      <w:sz w:val="21"/>
      <w:szCs w:val="21"/>
    </w:rPr>
  </w:style>
  <w:style w:type="paragraph" w:customStyle="1" w:styleId="135">
    <w:name w:val="xl152"/>
    <w:basedOn w:val="1"/>
    <w:qFormat/>
    <w:uiPriority w:val="0"/>
    <w:pPr>
      <w:pBdr>
        <w:top w:val="single" w:color="auto" w:sz="4" w:space="0"/>
        <w:bottom w:val="single" w:color="auto" w:sz="4" w:space="0"/>
        <w:right w:val="single" w:color="auto" w:sz="4" w:space="0"/>
      </w:pBdr>
      <w:spacing w:before="100" w:beforeAutospacing="1" w:after="100" w:afterAutospacing="1" w:line="240" w:lineRule="auto"/>
      <w:ind w:firstLine="0" w:firstLineChars="0"/>
      <w:textAlignment w:val="center"/>
    </w:pPr>
    <w:rPr>
      <w:rFonts w:ascii="仿宋_GB2312" w:hAnsi="宋体" w:eastAsia="仿宋_GB2312" w:cs="宋体"/>
      <w:b/>
      <w:bCs/>
      <w:color w:val="000000"/>
      <w:kern w:val="0"/>
      <w:sz w:val="21"/>
      <w:szCs w:val="21"/>
    </w:rPr>
  </w:style>
  <w:style w:type="paragraph" w:customStyle="1" w:styleId="136">
    <w:name w:val="xl153"/>
    <w:basedOn w:val="1"/>
    <w:qFormat/>
    <w:uiPriority w:val="0"/>
    <w:pPr>
      <w:pBdr>
        <w:top w:val="single" w:color="auto" w:sz="4" w:space="0"/>
        <w:left w:val="single" w:color="auto" w:sz="4" w:space="0"/>
        <w:bottom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b/>
      <w:bCs/>
      <w:kern w:val="0"/>
      <w:sz w:val="24"/>
      <w:szCs w:val="24"/>
    </w:rPr>
  </w:style>
  <w:style w:type="paragraph" w:customStyle="1" w:styleId="137">
    <w:name w:val="xl154"/>
    <w:basedOn w:val="1"/>
    <w:qFormat/>
    <w:uiPriority w:val="0"/>
    <w:pPr>
      <w:pBdr>
        <w:top w:val="single" w:color="auto" w:sz="4" w:space="0"/>
        <w:bottom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b/>
      <w:bCs/>
      <w:kern w:val="0"/>
      <w:sz w:val="24"/>
      <w:szCs w:val="24"/>
    </w:rPr>
  </w:style>
  <w:style w:type="paragraph" w:customStyle="1" w:styleId="138">
    <w:name w:val="xl155"/>
    <w:basedOn w:val="1"/>
    <w:qFormat/>
    <w:uiPriority w:val="0"/>
    <w:pPr>
      <w:pBdr>
        <w:top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eastAsia="宋体" w:cs="宋体"/>
      <w:b/>
      <w:bCs/>
      <w:kern w:val="0"/>
      <w:sz w:val="24"/>
      <w:szCs w:val="24"/>
    </w:rPr>
  </w:style>
  <w:style w:type="paragraph" w:customStyle="1" w:styleId="139">
    <w:name w:val="xl156"/>
    <w:basedOn w:val="1"/>
    <w:qFormat/>
    <w:uiPriority w:val="0"/>
    <w:pPr>
      <w:pBdr>
        <w:top w:val="single" w:color="auto" w:sz="4" w:space="0"/>
        <w:left w:val="single" w:color="auto" w:sz="4" w:space="0"/>
        <w:bottom w:val="single" w:color="auto" w:sz="4" w:space="0"/>
      </w:pBdr>
      <w:shd w:val="clear" w:color="000000" w:fill="FFFFFF"/>
      <w:spacing w:before="100" w:beforeAutospacing="1" w:after="100" w:afterAutospacing="1" w:line="240" w:lineRule="auto"/>
      <w:ind w:firstLine="0" w:firstLineChars="0"/>
      <w:textAlignment w:val="center"/>
    </w:pPr>
    <w:rPr>
      <w:rFonts w:ascii="仿宋_GB2312" w:hAnsi="宋体" w:eastAsia="仿宋_GB2312" w:cs="宋体"/>
      <w:b/>
      <w:bCs/>
      <w:color w:val="000000"/>
      <w:kern w:val="0"/>
      <w:sz w:val="21"/>
      <w:szCs w:val="21"/>
    </w:rPr>
  </w:style>
  <w:style w:type="paragraph" w:customStyle="1" w:styleId="140">
    <w:name w:val="xl157"/>
    <w:basedOn w:val="1"/>
    <w:qFormat/>
    <w:uiPriority w:val="0"/>
    <w:pPr>
      <w:pBdr>
        <w:top w:val="single" w:color="auto" w:sz="4" w:space="0"/>
        <w:bottom w:val="single" w:color="auto" w:sz="4" w:space="0"/>
      </w:pBdr>
      <w:shd w:val="clear" w:color="000000" w:fill="FFFFFF"/>
      <w:spacing w:before="100" w:beforeAutospacing="1" w:after="100" w:afterAutospacing="1" w:line="240" w:lineRule="auto"/>
      <w:ind w:firstLine="0" w:firstLineChars="0"/>
      <w:textAlignment w:val="center"/>
    </w:pPr>
    <w:rPr>
      <w:rFonts w:ascii="仿宋_GB2312" w:hAnsi="宋体" w:eastAsia="仿宋_GB2312" w:cs="宋体"/>
      <w:b/>
      <w:bCs/>
      <w:color w:val="000000"/>
      <w:kern w:val="0"/>
      <w:sz w:val="21"/>
      <w:szCs w:val="21"/>
    </w:rPr>
  </w:style>
  <w:style w:type="paragraph" w:customStyle="1" w:styleId="141">
    <w:name w:val="xl158"/>
    <w:basedOn w:val="1"/>
    <w:qFormat/>
    <w:uiPriority w:val="0"/>
    <w:pPr>
      <w:pBdr>
        <w:top w:val="single" w:color="auto" w:sz="4" w:space="0"/>
        <w:bottom w:val="single" w:color="auto" w:sz="4" w:space="0"/>
        <w:right w:val="single" w:color="auto" w:sz="4" w:space="0"/>
      </w:pBdr>
      <w:shd w:val="clear" w:color="000000" w:fill="FFFFFF"/>
      <w:spacing w:before="100" w:beforeAutospacing="1" w:after="100" w:afterAutospacing="1" w:line="240" w:lineRule="auto"/>
      <w:ind w:firstLine="0" w:firstLineChars="0"/>
      <w:textAlignment w:val="center"/>
    </w:pPr>
    <w:rPr>
      <w:rFonts w:ascii="仿宋_GB2312" w:hAnsi="宋体" w:eastAsia="仿宋_GB2312" w:cs="宋体"/>
      <w:b/>
      <w:bCs/>
      <w:color w:val="000000"/>
      <w:kern w:val="0"/>
      <w:sz w:val="21"/>
      <w:szCs w:val="21"/>
    </w:rPr>
  </w:style>
  <w:style w:type="paragraph" w:customStyle="1" w:styleId="142">
    <w:name w:val="xl159"/>
    <w:basedOn w:val="1"/>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ind w:firstLine="0" w:firstLineChars="0"/>
      <w:jc w:val="center"/>
      <w:textAlignment w:val="center"/>
    </w:pPr>
    <w:rPr>
      <w:rFonts w:ascii="仿宋_GB2312" w:hAnsi="宋体" w:eastAsia="仿宋_GB2312" w:cs="宋体"/>
      <w:b/>
      <w:bCs/>
      <w:color w:val="000000"/>
      <w:kern w:val="0"/>
      <w:sz w:val="24"/>
      <w:szCs w:val="24"/>
    </w:rPr>
  </w:style>
  <w:style w:type="paragraph" w:customStyle="1" w:styleId="143">
    <w:name w:val="二级标题"/>
    <w:basedOn w:val="1"/>
    <w:link w:val="145"/>
    <w:qFormat/>
    <w:uiPriority w:val="0"/>
    <w:pPr>
      <w:keepNext/>
      <w:keepLines/>
      <w:widowControl w:val="0"/>
      <w:numPr>
        <w:ilvl w:val="1"/>
        <w:numId w:val="1"/>
      </w:numPr>
      <w:adjustRightInd w:val="0"/>
      <w:snapToGrid w:val="0"/>
      <w:spacing w:line="560" w:lineRule="exact"/>
      <w:ind w:firstLineChars="0"/>
      <w:outlineLvl w:val="1"/>
    </w:pPr>
    <w:rPr>
      <w:rFonts w:ascii="黑体" w:hAnsi="黑体" w:eastAsia="楷体" w:cs="华文中宋"/>
      <w:bCs/>
      <w:sz w:val="32"/>
      <w:szCs w:val="30"/>
      <w:lang w:val="zh-CN"/>
    </w:rPr>
  </w:style>
  <w:style w:type="paragraph" w:customStyle="1" w:styleId="144">
    <w:name w:val="三级标题"/>
    <w:basedOn w:val="143"/>
    <w:link w:val="147"/>
    <w:qFormat/>
    <w:uiPriority w:val="0"/>
    <w:pPr>
      <w:numPr>
        <w:ilvl w:val="2"/>
      </w:numPr>
      <w:outlineLvl w:val="2"/>
    </w:pPr>
    <w:rPr>
      <w:rFonts w:ascii="仿宋" w:hAnsi="仿宋" w:eastAsia="仿宋"/>
    </w:rPr>
  </w:style>
  <w:style w:type="character" w:customStyle="1" w:styleId="145">
    <w:name w:val="二级标题 字符"/>
    <w:basedOn w:val="30"/>
    <w:link w:val="143"/>
    <w:qFormat/>
    <w:uiPriority w:val="0"/>
    <w:rPr>
      <w:rFonts w:ascii="黑体" w:hAnsi="黑体" w:eastAsia="楷体" w:cs="华文中宋"/>
      <w:bCs/>
      <w:kern w:val="2"/>
      <w:sz w:val="32"/>
      <w:szCs w:val="30"/>
      <w:lang w:val="zh-CN"/>
    </w:rPr>
  </w:style>
  <w:style w:type="paragraph" w:customStyle="1" w:styleId="146">
    <w:name w:val="表号"/>
    <w:basedOn w:val="7"/>
    <w:link w:val="149"/>
    <w:qFormat/>
    <w:uiPriority w:val="0"/>
    <w:pPr>
      <w:keepNext/>
      <w:adjustRightInd w:val="0"/>
      <w:spacing w:line="240" w:lineRule="auto"/>
      <w:outlineLvl w:val="3"/>
    </w:pPr>
    <w:rPr>
      <w:rFonts w:ascii="黑体" w:hAnsi="黑体" w:eastAsia="黑体"/>
      <w:b w:val="0"/>
      <w:sz w:val="32"/>
    </w:rPr>
  </w:style>
  <w:style w:type="character" w:customStyle="1" w:styleId="147">
    <w:name w:val="三级标题 字符"/>
    <w:basedOn w:val="145"/>
    <w:link w:val="144"/>
    <w:qFormat/>
    <w:uiPriority w:val="0"/>
    <w:rPr>
      <w:rFonts w:ascii="仿宋" w:hAnsi="仿宋" w:eastAsia="仿宋" w:cs="华文中宋"/>
      <w:kern w:val="2"/>
      <w:sz w:val="32"/>
      <w:szCs w:val="30"/>
      <w:lang w:val="zh-CN"/>
    </w:rPr>
  </w:style>
  <w:style w:type="paragraph" w:customStyle="1" w:styleId="148">
    <w:name w:val="图号"/>
    <w:basedOn w:val="1"/>
    <w:link w:val="150"/>
    <w:qFormat/>
    <w:uiPriority w:val="0"/>
    <w:pPr>
      <w:widowControl w:val="0"/>
      <w:adjustRightInd w:val="0"/>
      <w:snapToGrid w:val="0"/>
      <w:spacing w:line="240" w:lineRule="auto"/>
      <w:ind w:firstLine="0" w:firstLineChars="0"/>
      <w:jc w:val="center"/>
      <w:outlineLvl w:val="3"/>
    </w:pPr>
    <w:rPr>
      <w:rFonts w:ascii="黑体" w:hAnsi="黑体" w:eastAsia="黑体"/>
      <w:sz w:val="32"/>
      <w:szCs w:val="32"/>
    </w:rPr>
  </w:style>
  <w:style w:type="character" w:customStyle="1" w:styleId="149">
    <w:name w:val="表号 字符"/>
    <w:basedOn w:val="40"/>
    <w:link w:val="146"/>
    <w:qFormat/>
    <w:uiPriority w:val="0"/>
    <w:rPr>
      <w:rFonts w:ascii="黑体" w:hAnsi="黑体" w:eastAsia="黑体" w:cs="Arial"/>
      <w:b w:val="0"/>
      <w:kern w:val="2"/>
      <w:sz w:val="32"/>
    </w:rPr>
  </w:style>
  <w:style w:type="character" w:customStyle="1" w:styleId="150">
    <w:name w:val="图号 字符"/>
    <w:basedOn w:val="30"/>
    <w:link w:val="148"/>
    <w:qFormat/>
    <w:uiPriority w:val="0"/>
    <w:rPr>
      <w:rFonts w:ascii="黑体" w:hAnsi="黑体" w:eastAsia="黑体"/>
      <w:kern w:val="2"/>
      <w:sz w:val="32"/>
      <w:szCs w:val="32"/>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4" Type="http://schemas.openxmlformats.org/officeDocument/2006/relationships/fontTable" Target="fontTable.xml"/><Relationship Id="rId33" Type="http://schemas.openxmlformats.org/officeDocument/2006/relationships/customXml" Target="../customXml/item1.xml"/><Relationship Id="rId32" Type="http://schemas.openxmlformats.org/officeDocument/2006/relationships/numbering" Target="numbering.xml"/><Relationship Id="rId31" Type="http://schemas.openxmlformats.org/officeDocument/2006/relationships/image" Target="media/image15.jpeg"/><Relationship Id="rId30" Type="http://schemas.openxmlformats.org/officeDocument/2006/relationships/image" Target="media/image14.jpeg"/><Relationship Id="rId3" Type="http://schemas.openxmlformats.org/officeDocument/2006/relationships/footnotes" Target="footnotes.xml"/><Relationship Id="rId29" Type="http://schemas.openxmlformats.org/officeDocument/2006/relationships/image" Target="media/image13.jpeg"/><Relationship Id="rId28" Type="http://schemas.openxmlformats.org/officeDocument/2006/relationships/image" Target="media/image12.jpeg"/><Relationship Id="rId27" Type="http://schemas.openxmlformats.org/officeDocument/2006/relationships/image" Target="media/image11.jpeg"/><Relationship Id="rId26" Type="http://schemas.openxmlformats.org/officeDocument/2006/relationships/image" Target="media/image10.jpeg"/><Relationship Id="rId25" Type="http://schemas.openxmlformats.org/officeDocument/2006/relationships/image" Target="media/image9.jpeg"/><Relationship Id="rId24" Type="http://schemas.openxmlformats.org/officeDocument/2006/relationships/image" Target="media/image8.jpeg"/><Relationship Id="rId23" Type="http://schemas.openxmlformats.org/officeDocument/2006/relationships/image" Target="media/image7.jpeg"/><Relationship Id="rId22" Type="http://schemas.openxmlformats.org/officeDocument/2006/relationships/image" Target="media/image6.jpeg"/><Relationship Id="rId21" Type="http://schemas.openxmlformats.org/officeDocument/2006/relationships/image" Target="media/image5.jpeg"/><Relationship Id="rId20" Type="http://schemas.openxmlformats.org/officeDocument/2006/relationships/image" Target="media/image4.jpeg"/><Relationship Id="rId2" Type="http://schemas.openxmlformats.org/officeDocument/2006/relationships/settings" Target="settings.xml"/><Relationship Id="rId19" Type="http://schemas.openxmlformats.org/officeDocument/2006/relationships/image" Target="media/image3.jpeg"/><Relationship Id="rId18" Type="http://schemas.openxmlformats.org/officeDocument/2006/relationships/image" Target="media/image2.jpeg"/><Relationship Id="rId17" Type="http://schemas.openxmlformats.org/officeDocument/2006/relationships/image" Target="media/image1.jpeg"/><Relationship Id="rId16" Type="http://schemas.openxmlformats.org/officeDocument/2006/relationships/theme" Target="theme/theme1.xml"/><Relationship Id="rId15" Type="http://schemas.openxmlformats.org/officeDocument/2006/relationships/footer" Target="footer7.xml"/><Relationship Id="rId14" Type="http://schemas.openxmlformats.org/officeDocument/2006/relationships/footer" Target="footer6.xml"/><Relationship Id="rId13" Type="http://schemas.openxmlformats.org/officeDocument/2006/relationships/footer" Target="footer5.xml"/><Relationship Id="rId12" Type="http://schemas.openxmlformats.org/officeDocument/2006/relationships/footer" Target="footer4.xml"/><Relationship Id="rId11" Type="http://schemas.openxmlformats.org/officeDocument/2006/relationships/header" Target="header4.xml"/><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9C088E-3C3B-4944-A73F-E29B89AE9FB3}">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70</Pages>
  <Words>4619</Words>
  <Characters>26329</Characters>
  <Lines>219</Lines>
  <Paragraphs>61</Paragraphs>
  <TotalTime>39</TotalTime>
  <ScaleCrop>false</ScaleCrop>
  <LinksUpToDate>false</LinksUpToDate>
  <CharactersWithSpaces>30887</CharactersWithSpaces>
  <Application>WPS Office_11.8.2.11716_F1E327BC-269C-435d-A152-05C5408002CA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2023-05-17T08:00:00Z</dcterms:created>
  <dc:creator>xtzj</dc:creator>
  <cp:lastModifiedBy>郭寅飞</cp:lastModifiedBy>
  <cp:lastPrinted>2023-06-26T06:31:00Z</cp:lastPrinted>
  <dcterms:modified xsi:type="dcterms:W3CDTF">2024-01-04T06:24:21Z</dcterms:modified>
  <cp:revision>73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2052-11.8.2.11716</vt:lpwstr>
  </property>
  <property fmtid="{D5CDD505-2E9C-101B-9397-08002B2CF9AE}" pid="3" name="ICV">
    <vt:lpwstr>8D12128A37294677AA6CE547B5E6D233</vt:lpwstr>
  </property>
</Properties>
</file>