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关于部分检验项目的说明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center"/>
        <w:textAlignment w:val="auto"/>
        <w:rPr>
          <w:rFonts w:hint="eastAsia" w:ascii="黑体" w:hAnsi="黑体" w:eastAsia="黑体" w:cs="黑体"/>
          <w:b w:val="0"/>
          <w:bCs w:val="0"/>
          <w:sz w:val="32"/>
          <w:szCs w:val="32"/>
          <w:lang w:val="en-US" w:eastAsia="zh-CN"/>
        </w:rPr>
      </w:pPr>
    </w:p>
    <w:p>
      <w:pPr>
        <w:pStyle w:val="4"/>
        <w:widowControl/>
        <w:spacing w:before="0" w:beforeAutospacing="0" w:after="0" w:afterAutospacing="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kern w:val="2"/>
          <w:sz w:val="32"/>
          <w:szCs w:val="32"/>
          <w:lang w:bidi="ar"/>
        </w:rPr>
        <w:t>恩诺沙星：</w:t>
      </w:r>
      <w:r>
        <w:rPr>
          <w:rFonts w:hint="eastAsia" w:ascii="仿宋_GB2312" w:hAnsi="仿宋_GB2312" w:eastAsia="仿宋_GB2312" w:cs="仿宋_GB2312"/>
          <w:sz w:val="32"/>
          <w:szCs w:val="32"/>
          <w:lang w:bidi="ar"/>
        </w:rPr>
        <w:t>恩诺沙星属第三代喹诺酮类药物，是一类人工合成的广谱抗菌药，用于治疗动物的皮肤感染、呼吸道感染等，是动物专属用药。《食品安全国家标准</w:t>
      </w:r>
      <w:r>
        <w:rPr>
          <w:rFonts w:ascii="仿宋_GB2312" w:hAnsi="仿宋_GB2312" w:eastAsia="仿宋_GB2312" w:cs="仿宋_GB2312"/>
          <w:sz w:val="32"/>
          <w:szCs w:val="32"/>
          <w:lang w:bidi="ar"/>
        </w:rPr>
        <w:t xml:space="preserve"> </w:t>
      </w:r>
      <w:r>
        <w:rPr>
          <w:rFonts w:hint="eastAsia" w:ascii="仿宋_GB2312" w:hAnsi="仿宋_GB2312" w:eastAsia="仿宋_GB2312" w:cs="仿宋_GB2312"/>
          <w:sz w:val="32"/>
          <w:szCs w:val="32"/>
          <w:lang w:bidi="ar"/>
        </w:rPr>
        <w:t>食品中兽药最大残留限量》（</w:t>
      </w:r>
      <w:r>
        <w:rPr>
          <w:rFonts w:ascii="仿宋_GB2312" w:hAnsi="仿宋_GB2312" w:eastAsia="仿宋_GB2312" w:cs="仿宋_GB2312"/>
          <w:sz w:val="32"/>
          <w:szCs w:val="32"/>
          <w:lang w:bidi="ar"/>
        </w:rPr>
        <w:t>GB 31650</w:t>
      </w:r>
      <w:r>
        <w:rPr>
          <w:rFonts w:hint="eastAsia" w:ascii="仿宋_GB2312" w:hAnsi="仿宋_GB2312" w:eastAsia="仿宋_GB2312" w:cs="仿宋_GB2312"/>
          <w:sz w:val="32"/>
          <w:szCs w:val="32"/>
          <w:lang w:bidi="ar"/>
        </w:rPr>
        <w:t>-</w:t>
      </w:r>
      <w:r>
        <w:rPr>
          <w:rFonts w:ascii="仿宋_GB2312" w:hAnsi="仿宋_GB2312" w:eastAsia="仿宋_GB2312" w:cs="仿宋_GB2312"/>
          <w:sz w:val="32"/>
          <w:szCs w:val="32"/>
          <w:lang w:bidi="ar"/>
        </w:rPr>
        <w:t>20</w:t>
      </w:r>
      <w:r>
        <w:rPr>
          <w:rFonts w:hint="eastAsia" w:ascii="仿宋_GB2312" w:hAnsi="仿宋_GB2312" w:eastAsia="仿宋_GB2312" w:cs="仿宋_GB2312"/>
          <w:sz w:val="32"/>
          <w:szCs w:val="32"/>
          <w:lang w:bidi="ar"/>
        </w:rPr>
        <w:t>19）中规定，恩诺沙星在鱼的皮和肉中最大残留限量值为</w:t>
      </w:r>
      <w:r>
        <w:rPr>
          <w:rFonts w:ascii="仿宋_GB2312" w:hAnsi="仿宋_GB2312" w:eastAsia="仿宋_GB2312" w:cs="仿宋_GB2312"/>
          <w:sz w:val="32"/>
          <w:szCs w:val="32"/>
          <w:lang w:bidi="ar"/>
        </w:rPr>
        <w:t>100μg/kg</w:t>
      </w:r>
      <w:r>
        <w:rPr>
          <w:rFonts w:hint="eastAsia" w:ascii="仿宋_GB2312" w:hAnsi="仿宋_GB2312" w:eastAsia="仿宋_GB2312" w:cs="仿宋_GB2312"/>
          <w:sz w:val="32"/>
          <w:szCs w:val="32"/>
          <w:lang w:bidi="ar"/>
        </w:rPr>
        <w:t>。淡水鱼中恩诺沙星超标的原因，可能是在养殖过程中为快速控制疫病，违规加大用药量或不遵守休药期规定，致使产品上市销售时的药物残留量超标。</w:t>
      </w:r>
    </w:p>
    <w:p>
      <w:pPr>
        <w:pStyle w:val="4"/>
        <w:widowControl/>
        <w:spacing w:before="0" w:beforeAutospacing="0" w:after="0" w:afterAutospacing="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氯氟氰菊酯和高效氯氟氰菊酯：氯氟氰菊酯又叫三氟氯氰菊酯，中等毒杀虫剂，对眼睛和皮肤有刺激作用。具有杀虫广谱、高效、速度快、持效期长的特点。高效氯氰菊酯是农业杀虫剂，主要防治农作物上发生的鳞翅目害虫，具有杀虫谱广，活性较高，药效迅速，喷洒后耐雨水冲刷，但长期使用易对其产生抗性，对刺吸式口器的害虫及害螨有一定防效，强毒性。水果、蔬菜中氯氟氰菊酯和高效氯氟氰菊酯的超标主要是在喷洒使用农药配比含量过高、喷洒后雨水淋洗时间短、降解周期未到及采摘周期短造成农药的残留量过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3.</w:t>
      </w:r>
      <w:bookmarkStart w:id="0" w:name="_GoBack"/>
      <w:bookmarkEnd w:id="0"/>
      <w:r>
        <w:rPr>
          <w:rFonts w:hint="eastAsia" w:ascii="仿宋_GB2312" w:hAnsi="仿宋_GB2312" w:eastAsia="仿宋_GB2312" w:cs="仿宋_GB2312"/>
          <w:kern w:val="2"/>
          <w:sz w:val="32"/>
          <w:szCs w:val="32"/>
          <w:lang w:bidi="ar"/>
        </w:rPr>
        <w:t>尼卡巴嗪：</w:t>
      </w:r>
      <w:r>
        <w:rPr>
          <w:rFonts w:hint="eastAsia" w:ascii="仿宋_GB2312" w:hAnsi="仿宋_GB2312" w:eastAsia="仿宋_GB2312" w:cs="仿宋_GB2312"/>
          <w:sz w:val="32"/>
          <w:szCs w:val="32"/>
          <w:lang w:bidi="ar"/>
        </w:rPr>
        <w:t>尼卡巴嗪对鸡的多种艾美耳球虫病有良好的防治效果，具有易吸收、长效等特点。长期食用尼卡巴嗪残留超标的食品，可能导致在人体内蓄积，对人体健康有一定影响。《食品安全国家标准 食品中兽药最大残留限量》（GB 31650—2019）中规定，尼卡巴嗪在鸡肌肉中的最大残留限量值为200μg/kg。鸡肉中尼卡巴嗪超标的原因，可能是在养殖过程中为快速控制疫病，违规加大用药量或不遵守休药期规定，致使上市销售时产品中的药物残留量超标</w:t>
      </w:r>
      <w:r>
        <w:rPr>
          <w:rFonts w:hint="eastAsia" w:ascii="仿宋_GB2312" w:hAnsi="仿宋_GB2312" w:eastAsia="仿宋_GB2312" w:cs="仿宋_GB2312"/>
          <w:sz w:val="32"/>
          <w:szCs w:val="32"/>
          <w:lang w:eastAsia="zh-CN" w:bidi="ar"/>
        </w:rPr>
        <w:t>。</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ODNhZDRlODAwY2FiNWYzMTNmNTY0NGM3OTZkMGQifQ=="/>
  </w:docVars>
  <w:rsids>
    <w:rsidRoot w:val="00000000"/>
    <w:rsid w:val="1D481CF1"/>
    <w:rsid w:val="338A7393"/>
    <w:rsid w:val="495431C7"/>
    <w:rsid w:val="4EF56AD3"/>
    <w:rsid w:val="66AC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ody Text First Indent 2"/>
    <w:basedOn w:val="3"/>
    <w:next w:val="1"/>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616</Words>
  <Characters>659</Characters>
  <Lines>0</Lines>
  <Paragraphs>0</Paragraphs>
  <TotalTime>0</TotalTime>
  <ScaleCrop>false</ScaleCrop>
  <LinksUpToDate>false</LinksUpToDate>
  <CharactersWithSpaces>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2023-08-11T07:16:39Z</dcterms:created>
  <dc:creator>Administrator</dc:creator>
  <cp:lastModifiedBy>晓彬</cp:lastModifiedBy>
  <dcterms:modified xsi:type="dcterms:W3CDTF">2023-12-25T08:21:42Z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AD5E252A52D24EC8880ABEC18C844BA0</vt:lpwstr>
  </property>
</Properties>
</file>