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多功能激光光电平台（红蓝光）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招标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  <w:t>参数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．基本要求：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1适用于阵痛消炎、促进组织修复、促进新生上皮细胞组织再生、促进新生血管的形成及生长、治疗过敏性皮炎盒炎症痤疮。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技术性能要求：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▲1：波长：450nm±10nm、 633nm±5nm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光源组成：蓝光240颗、红光400颗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▲2：具有可升级功能，可选配以下光疗模块：Derma-590、 Derma-633、 Derma-UVAI 、Derma-670 、Derma-830。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▲3：输出强度：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蓝光60~90mW/cm2 可调，误差≤±20%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红光50~80mW/cm2 可调，误差≤±20%具有可升级功能，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▲4： 可选配以下光疗模块：Derma-590、 Derma-633、 Derma-UVAI 、Derma-670 、Derma-830。</w:t>
      </w:r>
    </w:p>
    <w:p>
      <w:pPr>
        <w:spacing w:line="360" w:lineRule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5：脉冲频率：2Hz±1Hz 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6：脉冲宽度：250ms±10ms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7：整机全保≥3年。</w:t>
      </w:r>
    </w:p>
    <w:p>
      <w:pPr>
        <w:tabs>
          <w:tab w:val="left" w:pos="1191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注：打▲的为重要技术参数，但不作废标依据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312303AF"/>
    <w:rsid w:val="342C1BF8"/>
    <w:rsid w:val="39753A1D"/>
    <w:rsid w:val="40E817FB"/>
    <w:rsid w:val="48F757DA"/>
    <w:rsid w:val="53112F38"/>
    <w:rsid w:val="69C1109A"/>
    <w:rsid w:val="6C2450C3"/>
    <w:rsid w:val="79E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2023-09-12T01:05:00Z</dcterms:created>
  <dc:creator>Administrator</dc:creator>
  <cp:lastModifiedBy>刘福强</cp:lastModifiedBy>
  <cp:lastPrinted>2023-11-03T02:22:00Z</cp:lastPrinted>
  <dcterms:modified xsi:type="dcterms:W3CDTF">2023-12-18T03:54:17Z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927284F94FDD4888B39D5DE93B2DBD56_13</vt:lpwstr>
  </property>
</Properties>
</file>