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1" w:line="220" w:lineRule="auto"/>
        <w:ind w:left="3394"/>
        <w:rPr>
          <w:rFonts w:ascii="微软雅黑" w:hAnsi="微软雅黑" w:eastAsia="微软雅黑" w:cs="微软雅黑"/>
          <w:sz w:val="43"/>
          <w:szCs w:val="43"/>
        </w:rPr>
      </w:pPr>
      <w:r>
        <w:rPr>
          <w:rFonts w:hint="eastAsia" w:ascii="微软雅黑" w:hAnsi="微软雅黑" w:eastAsia="微软雅黑" w:cs="微软雅黑"/>
          <w:spacing w:val="9"/>
          <w:sz w:val="43"/>
          <w:szCs w:val="43"/>
          <w:lang w:eastAsia="zh-CN"/>
        </w:rPr>
        <w:t>项目</w:t>
      </w:r>
      <w:r>
        <w:rPr>
          <w:rFonts w:ascii="微软雅黑" w:hAnsi="微软雅黑" w:eastAsia="微软雅黑" w:cs="微软雅黑"/>
          <w:spacing w:val="9"/>
          <w:sz w:val="43"/>
          <w:szCs w:val="43"/>
        </w:rPr>
        <w:t>榜</w:t>
      </w:r>
      <w:r>
        <w:rPr>
          <w:rFonts w:ascii="微软雅黑" w:hAnsi="微软雅黑" w:eastAsia="微软雅黑" w:cs="微软雅黑"/>
          <w:spacing w:val="8"/>
          <w:sz w:val="43"/>
          <w:szCs w:val="43"/>
        </w:rPr>
        <w:t>单</w:t>
      </w:r>
    </w:p>
    <w:p>
      <w:pPr>
        <w:spacing w:line="30" w:lineRule="exact"/>
      </w:pPr>
    </w:p>
    <w:tbl>
      <w:tblPr>
        <w:tblStyle w:val="7"/>
        <w:tblW w:w="89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3"/>
        <w:gridCol w:w="3066"/>
        <w:gridCol w:w="1593"/>
        <w:gridCol w:w="28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4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榜单名称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机器人智能伺服驱控技术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4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专业领域及方向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000000" w:themeColor="text1"/>
                <w:spacing w:val="-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智能机器人领域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4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启动时间</w:t>
            </w:r>
          </w:p>
        </w:tc>
        <w:tc>
          <w:tcPr>
            <w:tcW w:w="30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15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ascii="宋体" w:hAnsi="宋体" w:eastAsia="宋体" w:cs="宋体"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计划完成时间</w:t>
            </w:r>
          </w:p>
        </w:tc>
        <w:tc>
          <w:tcPr>
            <w:tcW w:w="28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hanging="6" w:firstLineChars="0"/>
              <w:jc w:val="center"/>
              <w:textAlignment w:val="baseline"/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2026年6月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4" w:hRule="atLeast"/>
        </w:trPr>
        <w:tc>
          <w:tcPr>
            <w:tcW w:w="14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/>
              <w:jc w:val="center"/>
              <w:textAlignment w:val="baseline"/>
              <w:rPr>
                <w:rFonts w:ascii="Arial"/>
                <w:b/>
                <w:bCs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hanging="420"/>
              <w:jc w:val="center"/>
              <w:textAlignment w:val="baseline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榜单具体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内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容</w:t>
            </w:r>
          </w:p>
        </w:tc>
        <w:tc>
          <w:tcPr>
            <w:tcW w:w="7513" w:type="dxa"/>
            <w:gridSpan w:val="3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通过开发高响应机器人专用伺服，将最高转速提升至7000~8000rpm，以满足机器人性能进一步的提升需求。而伺服驱动方面，通过逆变器非线性补偿和电流预测控制等技术，有望达到电流环零拍差，零静差，高频响特性，实现电流环带宽3kHz。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2、针对定位精度和重复定位精度较低的问题，通过自研的光电编码器和安装校准工艺、工装，使得编码器分辨率可以达到25位，重复点各位精度小于40角秒，将大大改善机器人的定位精度和重复定位精度。提升的编码器分辨率，将降低运行中的电流和速度环噪声，将间接提升其带宽和控制节拍。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3、针对机器人变负载、变姿态、变惯量的高带宽区间要求问题，通过自适应在线惯量辨识，将动态辨识误差缩小到电机惯量的10%，低加速度实际辨识误差从30%降低到3%，进而通过模型在线观测，简化机器人的参数调谐问题。在较高精度惯量辨识的基础上，通过速度、转矩前馈指令控制，降低控制噪音。并通过构建负载、轴矩扰动观测器，提升系统的干扰性和稳定性，解决机器人的末端抖动问题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4、针对机器人的故障针对问题基本控制的基础上，通过采集伺服驱动器的电流并通过数字化处理，对安装在机器人系统上的伺服电机轴承故障、安装故障、以及齿轮和带传动故障环节进行诊断分析，有效提升运行中的故障诊断效率和提前量。对电机轴承、齿轮传动，采取谱峭度分析技术，提取冲击分量，辨识故障频率，并通过控制算法，实现预降噪处理。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主要设施设备及配套条件：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1、主要设备清单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伺服同步性能测试设备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高精密测功机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激光干涉仪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高低温测试箱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高精度示波器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对拖平台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群脉冲发生器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能量回馈装置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高精度扭矩转速传感器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高精度红外热成像仪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静电测试仪器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精密温度采集设备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动平衡测试仪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电机综合测试台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可调程控电源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2、研发团队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default" w:ascii="宋体" w:hAnsi="宋体" w:eastAsia="宋体" w:cs="宋体"/>
                <w:color w:val="000000" w:themeColor="text1"/>
                <w:spacing w:val="4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研发经理一名，伺服硬件工程师2人，伺服软件工程师4人，结构工程师1人，工艺工程师1人，电机工程师2人，测试工程师2人。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2" w:hRule="atLeast"/>
        </w:trPr>
        <w:tc>
          <w:tcPr>
            <w:tcW w:w="145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hanging="418"/>
              <w:jc w:val="right"/>
              <w:textAlignment w:val="baseline"/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榜单效益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pacing w:val="-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</w:t>
            </w:r>
            <w:r>
              <w:rPr>
                <w:rFonts w:ascii="宋体" w:hAnsi="宋体" w:eastAsia="宋体" w:cs="宋体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7513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1" w:firstLineChars="200"/>
              <w:jc w:val="left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一、项目社会效益：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420" w:firstLineChars="200"/>
              <w:jc w:val="left"/>
              <w:textAlignment w:val="baseline"/>
              <w:rPr>
                <w:rFonts w:hint="default" w:ascii="宋体" w:hAnsi="宋体" w:eastAsia="宋体" w:cs="宋体"/>
                <w:color w:val="000000" w:themeColor="text1"/>
                <w:spacing w:val="4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"/>
              </w:rPr>
              <w:t>通过研究“机器人智能伺服驱控技术”开发高响应机器人专用伺服，实现电流环零拍差，零静差，高频响特性，实现电流环带宽3khz 满足机器人提升需求，提升机器人定位精度，有效提升机器人的节拍、 精度和易用性。 该伺服驱控技术将在制造业中广泛应用，在机器人工作中，对其实 现高精度控制和高速位置自动调节，将在智能家居、智能医疗、自动化 物流、机床、精密焊接等领域得到广泛引用；该技术将成为工业智能化 的重要支撑，推动自动化生产和物流系统的不断进步。</w:t>
            </w:r>
          </w:p>
        </w:tc>
      </w:tr>
    </w:tbl>
    <w:p>
      <w:pPr>
        <w:rPr>
          <w:rFonts w:ascii="Arial"/>
          <w:sz w:val="21"/>
        </w:rPr>
      </w:pPr>
      <w:bookmarkStart w:id="0" w:name="_GoBack"/>
      <w:bookmarkEnd w:id="0"/>
    </w:p>
    <w:sectPr>
      <w:footerReference r:id="rId5" w:type="default"/>
      <w:pgSz w:w="11907" w:h="16839"/>
      <w:pgMar w:top="1235" w:right="1413" w:bottom="1146" w:left="1521" w:header="0" w:footer="85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9" w:lineRule="auto"/>
      <w:ind w:right="411"/>
      <w:jc w:val="right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true"/>
  <w:bordersDoNotSurroundHeader w:val="false"/>
  <w:bordersDoNotSurroundFooter w:val="false"/>
  <w:documentProtection w:enforcement="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TVhMWM3MzE3NzMyZjY5ZWRmYTM1ZThkYzZjZTM0NWUifQ=="/>
  </w:docVars>
  <w:rsids>
    <w:rsidRoot w:val="00000000"/>
    <w:rsid w:val="0B537F25"/>
    <w:rsid w:val="0BFE9420"/>
    <w:rsid w:val="2F1E43F4"/>
    <w:rsid w:val="31200CA6"/>
    <w:rsid w:val="3E3B1A4E"/>
    <w:rsid w:val="664D9C28"/>
    <w:rsid w:val="B9ED77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qFormat/>
    <w:uiPriority w:val="0"/>
  </w:style>
  <w:style w:type="table" w:default="1" w:styleId="4">
    <w:name w:val="Normal Table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4154</Words>
  <Characters>4273</Characters>
  <Paragraphs>146</Paragraphs>
  <TotalTime>22</TotalTime>
  <ScaleCrop>false</ScaleCrop>
  <LinksUpToDate>false</LinksUpToDate>
  <CharactersWithSpaces>4277</CharactersWithSpaces>
  <Application>WPS Office_11.8.2.10125_F1E327BC-269C-435d-A152-05C5408002CA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2023-08-05T16:24:00Z</dcterms:created>
  <dc:creator>Lenovo User</dc:creator>
  <cp:lastModifiedBy>禤维强</cp:lastModifiedBy>
  <dcterms:modified xsi:type="dcterms:W3CDTF">2023-10-26T19:14:22Z</dcterms:modified>
  <dc:title>办文〔2006〕5号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2023-08-04T16:24:30Z</vt:filetime>
  </property>
  <property fmtid="{D5CDD505-2E9C-101B-9397-08002B2CF9AE}" pid="4" name="KSOProductBuildVer">
    <vt:lpwstr>2052-11.8.2.10125</vt:lpwstr>
  </property>
  <property fmtid="{D5CDD505-2E9C-101B-9397-08002B2CF9AE}" pid="5" name="ICV">
    <vt:lpwstr>C50C231B5D124136863E9F67F122A77B_13</vt:lpwstr>
  </property>
</Properties>
</file>