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eastAsia="CESI楷体-GB2312"/>
          <w:sz w:val="32"/>
          <w:szCs w:val="32"/>
        </w:rPr>
      </w:pPr>
      <w:r>
        <w:rPr>
          <w:rFonts w:hint="eastAsia" w:eastAsia="方正小标宋简体"/>
          <w:sz w:val="44"/>
          <w:szCs w:val="44"/>
          <w:lang w:eastAsia="zh-CN"/>
        </w:rPr>
        <w:t>项目</w:t>
      </w:r>
      <w:r>
        <w:rPr>
          <w:rFonts w:eastAsia="方正小标宋简体"/>
          <w:sz w:val="44"/>
          <w:szCs w:val="44"/>
        </w:rPr>
        <w:t>榜单</w:t>
      </w:r>
    </w:p>
    <w:tbl>
      <w:tblPr>
        <w:tblStyle w:val="3"/>
        <w:tblW w:w="89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190"/>
        <w:gridCol w:w="3326"/>
        <w:gridCol w:w="1594"/>
        <w:gridCol w:w="2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9" w:hRule="atLeast"/>
          <w:jc w:val="center"/>
        </w:trPr>
        <w:tc>
          <w:tcPr>
            <w:tcW w:w="1190" w:type="dxa"/>
            <w:tcBorders>
              <w:top w:val="single" w:color="auto" w:sz="4" w:space="0"/>
              <w:left w:val="single" w:color="auto" w:sz="4" w:space="0"/>
              <w:bottom w:val="single" w:color="auto" w:sz="4" w:space="0"/>
              <w:right w:val="single" w:color="auto" w:sz="4" w:space="0"/>
            </w:tcBorders>
            <w:noWrap w:val="0"/>
            <w:vAlign w:val="center"/>
          </w:tcPr>
          <w:p>
            <w:pPr>
              <w:jc w:val="center"/>
              <w:rPr>
                <w:szCs w:val="21"/>
              </w:rPr>
            </w:pPr>
            <w:r>
              <w:rPr>
                <w:szCs w:val="21"/>
              </w:rPr>
              <w:t>榜单名称</w:t>
            </w:r>
          </w:p>
        </w:tc>
        <w:tc>
          <w:tcPr>
            <w:tcW w:w="7771" w:type="dxa"/>
            <w:gridSpan w:val="3"/>
            <w:tcBorders>
              <w:top w:val="single" w:color="auto" w:sz="4" w:space="0"/>
              <w:left w:val="nil"/>
              <w:bottom w:val="single" w:color="auto" w:sz="4" w:space="0"/>
              <w:right w:val="single" w:color="auto" w:sz="4" w:space="0"/>
            </w:tcBorders>
            <w:noWrap w:val="0"/>
            <w:vAlign w:val="center"/>
          </w:tcPr>
          <w:p>
            <w:pPr>
              <w:jc w:val="center"/>
              <w:rPr>
                <w:rFonts w:hint="eastAsia"/>
                <w:szCs w:val="21"/>
              </w:rPr>
            </w:pPr>
            <w:r>
              <w:rPr>
                <w:rFonts w:hint="eastAsia"/>
                <w:szCs w:val="21"/>
              </w:rPr>
              <w:t>二氧化碳捕集、运输、封存利用商业化攻关技术研究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09" w:hRule="atLeast"/>
          <w:jc w:val="center"/>
        </w:trPr>
        <w:tc>
          <w:tcPr>
            <w:tcW w:w="1190" w:type="dxa"/>
            <w:tcBorders>
              <w:top w:val="single" w:color="auto" w:sz="4" w:space="0"/>
              <w:left w:val="single" w:color="auto" w:sz="4" w:space="0"/>
              <w:bottom w:val="single" w:color="auto" w:sz="4" w:space="0"/>
              <w:right w:val="single" w:color="auto" w:sz="4" w:space="0"/>
            </w:tcBorders>
            <w:noWrap w:val="0"/>
            <w:vAlign w:val="center"/>
          </w:tcPr>
          <w:p>
            <w:pPr>
              <w:jc w:val="center"/>
              <w:rPr>
                <w:szCs w:val="21"/>
              </w:rPr>
            </w:pPr>
            <w:r>
              <w:rPr>
                <w:szCs w:val="21"/>
              </w:rPr>
              <w:t>专业领域及方向</w:t>
            </w:r>
          </w:p>
        </w:tc>
        <w:tc>
          <w:tcPr>
            <w:tcW w:w="7771" w:type="dxa"/>
            <w:gridSpan w:val="3"/>
            <w:tcBorders>
              <w:top w:val="single" w:color="auto" w:sz="4" w:space="0"/>
              <w:left w:val="nil"/>
              <w:bottom w:val="single" w:color="auto" w:sz="4" w:space="0"/>
              <w:right w:val="single" w:color="auto" w:sz="4" w:space="0"/>
            </w:tcBorders>
            <w:noWrap w:val="0"/>
            <w:vAlign w:val="center"/>
          </w:tcPr>
          <w:p>
            <w:pPr>
              <w:jc w:val="center"/>
              <w:rPr>
                <w:rFonts w:hint="eastAsia"/>
                <w:szCs w:val="21"/>
              </w:rPr>
            </w:pPr>
            <w:r>
              <w:rPr>
                <w:rFonts w:hint="eastAsia"/>
                <w:szCs w:val="21"/>
              </w:rPr>
              <w:t>碳达峰碳中和领域 2.碳达峰碳中和方案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09" w:hRule="atLeast"/>
          <w:jc w:val="center"/>
        </w:trPr>
        <w:tc>
          <w:tcPr>
            <w:tcW w:w="1190" w:type="dxa"/>
            <w:tcBorders>
              <w:top w:val="single" w:color="auto" w:sz="4" w:space="0"/>
              <w:left w:val="single" w:color="auto" w:sz="4" w:space="0"/>
              <w:bottom w:val="single" w:color="auto" w:sz="4" w:space="0"/>
              <w:right w:val="single" w:color="auto" w:sz="4" w:space="0"/>
            </w:tcBorders>
            <w:noWrap w:val="0"/>
            <w:vAlign w:val="center"/>
          </w:tcPr>
          <w:p>
            <w:pPr>
              <w:jc w:val="center"/>
            </w:pPr>
            <w:r>
              <w:rPr>
                <w:szCs w:val="21"/>
              </w:rPr>
              <w:t>启动时间</w:t>
            </w:r>
          </w:p>
        </w:tc>
        <w:tc>
          <w:tcPr>
            <w:tcW w:w="3326" w:type="dxa"/>
            <w:tcBorders>
              <w:top w:val="single" w:color="auto" w:sz="4" w:space="0"/>
              <w:left w:val="nil"/>
              <w:bottom w:val="single" w:color="auto" w:sz="4" w:space="0"/>
              <w:right w:val="single" w:color="auto" w:sz="4" w:space="0"/>
            </w:tcBorders>
            <w:noWrap w:val="0"/>
            <w:vAlign w:val="center"/>
          </w:tcPr>
          <w:p>
            <w:pPr>
              <w:jc w:val="center"/>
              <w:rPr>
                <w:rFonts w:hint="eastAsia"/>
                <w:szCs w:val="21"/>
              </w:rPr>
            </w:pPr>
            <w:r>
              <w:rPr>
                <w:rFonts w:hint="eastAsia"/>
                <w:szCs w:val="21"/>
              </w:rPr>
              <w:t>2023年10月</w:t>
            </w:r>
          </w:p>
        </w:tc>
        <w:tc>
          <w:tcPr>
            <w:tcW w:w="1594" w:type="dxa"/>
            <w:tcBorders>
              <w:top w:val="single" w:color="auto" w:sz="4" w:space="0"/>
              <w:left w:val="nil"/>
              <w:bottom w:val="single" w:color="auto" w:sz="4" w:space="0"/>
              <w:right w:val="single" w:color="auto" w:sz="4" w:space="0"/>
            </w:tcBorders>
            <w:noWrap w:val="0"/>
            <w:vAlign w:val="center"/>
          </w:tcPr>
          <w:p>
            <w:pPr>
              <w:jc w:val="center"/>
            </w:pPr>
            <w:r>
              <w:rPr>
                <w:szCs w:val="21"/>
                <w:lang w:val="en" w:eastAsia="en"/>
              </w:rPr>
              <w:t>计划完成</w:t>
            </w:r>
            <w:r>
              <w:rPr>
                <w:szCs w:val="21"/>
              </w:rPr>
              <w:t>时间</w:t>
            </w:r>
          </w:p>
        </w:tc>
        <w:tc>
          <w:tcPr>
            <w:tcW w:w="2851" w:type="dxa"/>
            <w:tcBorders>
              <w:top w:val="single" w:color="auto" w:sz="4" w:space="0"/>
              <w:left w:val="nil"/>
              <w:bottom w:val="single" w:color="auto" w:sz="4" w:space="0"/>
              <w:right w:val="single" w:color="auto" w:sz="4" w:space="0"/>
            </w:tcBorders>
            <w:noWrap w:val="0"/>
            <w:vAlign w:val="center"/>
          </w:tcPr>
          <w:p>
            <w:pPr>
              <w:jc w:val="center"/>
              <w:rPr>
                <w:rFonts w:hint="eastAsia"/>
                <w:szCs w:val="21"/>
              </w:rPr>
            </w:pPr>
            <w:r>
              <w:rPr>
                <w:rFonts w:hint="eastAsia"/>
                <w:szCs w:val="21"/>
              </w:rPr>
              <w:t>2026年9月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79" w:hRule="atLeast"/>
          <w:jc w:val="center"/>
        </w:trPr>
        <w:tc>
          <w:tcPr>
            <w:tcW w:w="119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szCs w:val="21"/>
              </w:rPr>
            </w:pPr>
            <w:r>
              <w:rPr>
                <w:szCs w:val="21"/>
              </w:rPr>
              <w:t>榜单具体</w:t>
            </w:r>
          </w:p>
          <w:p>
            <w:pPr>
              <w:jc w:val="center"/>
              <w:rPr>
                <w:szCs w:val="21"/>
              </w:rPr>
            </w:pPr>
            <w:r>
              <w:rPr>
                <w:szCs w:val="21"/>
              </w:rPr>
              <w:t>内容</w:t>
            </w:r>
          </w:p>
        </w:tc>
        <w:tc>
          <w:tcPr>
            <w:tcW w:w="7771" w:type="dxa"/>
            <w:gridSpan w:val="3"/>
            <w:tcBorders>
              <w:top w:val="single" w:color="auto" w:sz="4" w:space="0"/>
              <w:left w:val="single" w:color="auto" w:sz="4" w:space="0"/>
              <w:bottom w:val="single" w:color="auto" w:sz="4" w:space="0"/>
              <w:right w:val="single" w:color="auto" w:sz="4" w:space="0"/>
            </w:tcBorders>
            <w:noWrap w:val="0"/>
            <w:vAlign w:val="center"/>
          </w:tcPr>
          <w:p>
            <w:pPr>
              <w:ind w:firstLine="428" w:firstLineChars="204"/>
              <w:rPr>
                <w:szCs w:val="21"/>
              </w:rPr>
            </w:pPr>
            <w:r>
              <w:rPr>
                <w:rFonts w:hint="eastAsia"/>
                <w:szCs w:val="21"/>
              </w:rPr>
              <w:t>针对二氧化碳的捕集、运输和利用，提出的技术途径包括：二氧化碳燃烧后混合胺吸收捕集技术，基于岩石扩容效应的二氧化碳提升油藏采收率技术以及二氧化碳的管道运输技术。</w:t>
            </w:r>
          </w:p>
          <w:p>
            <w:pPr>
              <w:ind w:firstLine="428" w:firstLineChars="204"/>
              <w:rPr>
                <w:szCs w:val="21"/>
              </w:rPr>
            </w:pPr>
            <w:r>
              <w:rPr>
                <w:rFonts w:hint="eastAsia"/>
                <w:szCs w:val="21"/>
              </w:rPr>
              <w:t>二氧化碳燃烧后混合胺吸收捕集技术，目前</w:t>
            </w:r>
            <w:r>
              <w:rPr>
                <w:szCs w:val="21"/>
              </w:rPr>
              <w:t>CO</w:t>
            </w:r>
            <w:r>
              <w:rPr>
                <w:szCs w:val="21"/>
                <w:vertAlign w:val="subscript"/>
              </w:rPr>
              <w:t>2</w:t>
            </w:r>
            <w:r>
              <w:rPr>
                <w:rFonts w:hint="eastAsia"/>
                <w:szCs w:val="21"/>
              </w:rPr>
              <w:t>捕集潜力最大的燃烧后化学吸收法，国际上已经处于商业化应用阶段，我国仍停留在工业示范阶段。吸收剂是化学吸收法的核心，理想的吸收剂应具备吸收速率快，吸收容量大，再生能耗低等特点，目前化学胺类吸收法普遍采用的胺吸收剂为乙醇胺（MEA），其脱碳效率可超过90%，但是该技术方案的运行能耗过高，吸收剂的再生能耗占到整个系统能耗的70%左右。基于单一MEA吸收剂的缺点，研发多种有机氨混合的吸收剂，弥补单一吸收剂MEA能耗过高的缺点，通过混合胺类吸收剂来达成：吸收速率快、吸收容量大、再生能耗低的特点。技术目标为：新的混合吸收剂的再生能耗比MEA降低50%；产业化目标为：规模化应用于火力发电二氧化碳捕集的成本降低至每吨80元，设备捕集产能应用规模不低于50万吨/每年。</w:t>
            </w:r>
          </w:p>
          <w:p>
            <w:pPr>
              <w:ind w:firstLine="428" w:firstLineChars="204"/>
              <w:rPr>
                <w:rFonts w:hint="eastAsia"/>
                <w:szCs w:val="21"/>
              </w:rPr>
            </w:pPr>
            <w:r>
              <w:rPr>
                <w:rFonts w:hint="eastAsia"/>
                <w:szCs w:val="21"/>
              </w:rPr>
              <w:t>基于岩石扩容效应的二氧化碳提升油藏采收率技术，目前</w:t>
            </w:r>
            <w:r>
              <w:rPr>
                <w:szCs w:val="21"/>
              </w:rPr>
              <w:t>CO</w:t>
            </w:r>
            <w:r>
              <w:rPr>
                <w:szCs w:val="21"/>
                <w:vertAlign w:val="subscript"/>
              </w:rPr>
              <w:t>2</w:t>
            </w:r>
            <w:r>
              <w:rPr>
                <w:rFonts w:hint="eastAsia"/>
                <w:szCs w:val="21"/>
              </w:rPr>
              <w:t>-EOR技术核心在于实现对油藏储层的改造，研发技术内容包括：储层岩土弹塑性力学变形的理论研究、二氧化碳对于储层原油渗透率、基于岩土力学的二氧化碳注入压力和工艺流程的控制、二氧化碳海陆储存设备和增压配套设备的研发。</w:t>
            </w:r>
          </w:p>
          <w:p>
            <w:pPr>
              <w:ind w:firstLine="428" w:firstLineChars="204"/>
              <w:rPr>
                <w:rFonts w:hint="eastAsia"/>
                <w:szCs w:val="21"/>
              </w:rPr>
            </w:pPr>
            <w:r>
              <w:rPr>
                <w:rFonts w:hint="eastAsia"/>
                <w:szCs w:val="21"/>
              </w:rPr>
              <w:t>技术目标为：</w:t>
            </w:r>
          </w:p>
          <w:p>
            <w:pPr>
              <w:ind w:firstLine="428" w:firstLineChars="204"/>
              <w:rPr>
                <w:rFonts w:hint="eastAsia"/>
                <w:szCs w:val="21"/>
              </w:rPr>
            </w:pPr>
            <w:r>
              <w:rPr>
                <w:rFonts w:hint="eastAsia"/>
                <w:szCs w:val="21"/>
              </w:rPr>
              <w:t>（1）形成二氧化碳提升油藏采收率技术工艺；</w:t>
            </w:r>
          </w:p>
          <w:p>
            <w:pPr>
              <w:ind w:firstLine="428" w:firstLineChars="204"/>
              <w:rPr>
                <w:rFonts w:hint="eastAsia"/>
                <w:szCs w:val="21"/>
              </w:rPr>
            </w:pPr>
            <w:r>
              <w:rPr>
                <w:rFonts w:hint="eastAsia"/>
                <w:szCs w:val="21"/>
              </w:rPr>
              <w:t>（2）二氧化碳每吨注入成本不超过50元；</w:t>
            </w:r>
          </w:p>
          <w:p>
            <w:pPr>
              <w:ind w:firstLine="428" w:firstLineChars="204"/>
              <w:rPr>
                <w:rFonts w:hint="eastAsia"/>
                <w:szCs w:val="21"/>
              </w:rPr>
            </w:pPr>
            <w:r>
              <w:rPr>
                <w:rFonts w:hint="eastAsia"/>
                <w:szCs w:val="21"/>
              </w:rPr>
              <w:t>（3）适用于超临界二氧化碳流态的带压混砂设备；</w:t>
            </w:r>
          </w:p>
          <w:p>
            <w:pPr>
              <w:ind w:firstLine="428" w:firstLineChars="204"/>
              <w:rPr>
                <w:szCs w:val="21"/>
              </w:rPr>
            </w:pPr>
            <w:r>
              <w:rPr>
                <w:rFonts w:hint="eastAsia"/>
                <w:szCs w:val="21"/>
              </w:rPr>
              <w:t>（4）远程操控设备。产业化目标为：产业化应用规模不低于50万吨/年，换油率为0.2-0.5。</w:t>
            </w:r>
          </w:p>
          <w:p>
            <w:pPr>
              <w:ind w:firstLine="428" w:firstLineChars="204"/>
              <w:rPr>
                <w:rFonts w:hint="eastAsia"/>
                <w:szCs w:val="21"/>
              </w:rPr>
            </w:pPr>
            <w:r>
              <w:rPr>
                <w:rFonts w:hint="eastAsia"/>
                <w:szCs w:val="21"/>
              </w:rPr>
              <w:t>二氧化碳管道运输技术，当</w:t>
            </w:r>
            <w:r>
              <w:rPr>
                <w:szCs w:val="21"/>
              </w:rPr>
              <w:t>CO</w:t>
            </w:r>
            <w:r>
              <w:rPr>
                <w:szCs w:val="21"/>
                <w:vertAlign w:val="subscript"/>
              </w:rPr>
              <w:t>2</w:t>
            </w:r>
            <w:r>
              <w:rPr>
                <w:rFonts w:hint="eastAsia"/>
                <w:szCs w:val="21"/>
              </w:rPr>
              <w:t>在管道输送中压力和温度都高于临界值时，</w:t>
            </w:r>
            <w:r>
              <w:rPr>
                <w:szCs w:val="21"/>
              </w:rPr>
              <w:t>CO</w:t>
            </w:r>
            <w:r>
              <w:rPr>
                <w:szCs w:val="21"/>
                <w:vertAlign w:val="subscript"/>
              </w:rPr>
              <w:t>2</w:t>
            </w:r>
            <w:r>
              <w:rPr>
                <w:rFonts w:hint="eastAsia"/>
                <w:szCs w:val="21"/>
              </w:rPr>
              <w:t>处于超临界输送状态，此时的</w:t>
            </w:r>
            <w:r>
              <w:rPr>
                <w:szCs w:val="21"/>
              </w:rPr>
              <w:t>CO</w:t>
            </w:r>
            <w:r>
              <w:rPr>
                <w:szCs w:val="21"/>
                <w:vertAlign w:val="subscript"/>
              </w:rPr>
              <w:t>2</w:t>
            </w:r>
            <w:r>
              <w:rPr>
                <w:rFonts w:hint="eastAsia"/>
                <w:szCs w:val="21"/>
              </w:rPr>
              <w:t>的密度很高，接近液态</w:t>
            </w:r>
            <w:r>
              <w:rPr>
                <w:szCs w:val="21"/>
              </w:rPr>
              <w:t>CO</w:t>
            </w:r>
            <w:r>
              <w:rPr>
                <w:szCs w:val="21"/>
                <w:vertAlign w:val="subscript"/>
              </w:rPr>
              <w:t>2</w:t>
            </w:r>
            <w:r>
              <w:rPr>
                <w:rFonts w:hint="eastAsia"/>
                <w:szCs w:val="21"/>
              </w:rPr>
              <w:t>，同时黏度很低，接近气态</w:t>
            </w:r>
            <w:r>
              <w:rPr>
                <w:szCs w:val="21"/>
              </w:rPr>
              <w:t>CO</w:t>
            </w:r>
            <w:r>
              <w:rPr>
                <w:szCs w:val="21"/>
                <w:vertAlign w:val="subscript"/>
              </w:rPr>
              <w:t>2</w:t>
            </w:r>
            <w:r>
              <w:rPr>
                <w:rFonts w:hint="eastAsia"/>
                <w:szCs w:val="21"/>
              </w:rPr>
              <w:t>。同样管径单位时间下，超临界输送和气态输送相比，可以输送更大量的</w:t>
            </w:r>
            <w:r>
              <w:rPr>
                <w:szCs w:val="21"/>
              </w:rPr>
              <w:t>CO</w:t>
            </w:r>
            <w:r>
              <w:rPr>
                <w:szCs w:val="21"/>
                <w:vertAlign w:val="subscript"/>
              </w:rPr>
              <w:t>2</w:t>
            </w:r>
            <w:r>
              <w:rPr>
                <w:rFonts w:hint="eastAsia"/>
                <w:szCs w:val="21"/>
              </w:rPr>
              <w:t>。</w:t>
            </w:r>
          </w:p>
          <w:p>
            <w:pPr>
              <w:ind w:firstLine="428" w:firstLineChars="204"/>
              <w:rPr>
                <w:rFonts w:hint="eastAsia"/>
                <w:szCs w:val="21"/>
              </w:rPr>
            </w:pPr>
            <w:r>
              <w:rPr>
                <w:rFonts w:hint="eastAsia"/>
                <w:szCs w:val="21"/>
              </w:rPr>
              <w:t>研发技术内容包括：</w:t>
            </w:r>
          </w:p>
          <w:p>
            <w:pPr>
              <w:ind w:firstLine="428" w:firstLineChars="204"/>
              <w:rPr>
                <w:rFonts w:hint="eastAsia"/>
                <w:szCs w:val="21"/>
              </w:rPr>
            </w:pPr>
            <w:r>
              <w:rPr>
                <w:rFonts w:hint="eastAsia"/>
                <w:szCs w:val="21"/>
              </w:rPr>
              <w:t>（1）开展</w:t>
            </w:r>
            <w:r>
              <w:rPr>
                <w:szCs w:val="21"/>
              </w:rPr>
              <w:t>CO</w:t>
            </w:r>
            <w:r>
              <w:rPr>
                <w:szCs w:val="21"/>
                <w:vertAlign w:val="subscript"/>
              </w:rPr>
              <w:t>2</w:t>
            </w:r>
            <w:r>
              <w:rPr>
                <w:rFonts w:hint="eastAsia"/>
                <w:szCs w:val="21"/>
              </w:rPr>
              <w:t>管道输送材料的选择、输送相态变化、腐蚀、裂纹扩展控制研究；</w:t>
            </w:r>
          </w:p>
          <w:p>
            <w:pPr>
              <w:ind w:firstLine="428" w:firstLineChars="204"/>
              <w:rPr>
                <w:rFonts w:hint="eastAsia"/>
                <w:szCs w:val="21"/>
              </w:rPr>
            </w:pPr>
            <w:r>
              <w:rPr>
                <w:rFonts w:hint="eastAsia"/>
                <w:szCs w:val="21"/>
              </w:rPr>
              <w:t>（2）管道材料的选择和制备；</w:t>
            </w:r>
          </w:p>
          <w:p>
            <w:pPr>
              <w:ind w:firstLine="428" w:firstLineChars="204"/>
              <w:rPr>
                <w:rFonts w:hint="eastAsia"/>
                <w:szCs w:val="21"/>
              </w:rPr>
            </w:pPr>
            <w:r>
              <w:rPr>
                <w:rFonts w:hint="eastAsia"/>
                <w:szCs w:val="21"/>
              </w:rPr>
              <w:t>（3）增压设备开发；</w:t>
            </w:r>
          </w:p>
          <w:p>
            <w:pPr>
              <w:ind w:firstLine="428" w:firstLineChars="204"/>
              <w:rPr>
                <w:rFonts w:hint="eastAsia"/>
                <w:szCs w:val="21"/>
              </w:rPr>
            </w:pPr>
            <w:r>
              <w:rPr>
                <w:rFonts w:hint="eastAsia"/>
                <w:szCs w:val="21"/>
              </w:rPr>
              <w:t>（4）</w:t>
            </w:r>
            <w:r>
              <w:rPr>
                <w:szCs w:val="21"/>
              </w:rPr>
              <w:t>CO</w:t>
            </w:r>
            <w:r>
              <w:rPr>
                <w:szCs w:val="21"/>
                <w:vertAlign w:val="subscript"/>
              </w:rPr>
              <w:t>2</w:t>
            </w:r>
            <w:r>
              <w:rPr>
                <w:rFonts w:hint="eastAsia"/>
                <w:szCs w:val="21"/>
              </w:rPr>
              <w:t>管道输送过程控制技术；</w:t>
            </w:r>
          </w:p>
          <w:p>
            <w:pPr>
              <w:ind w:firstLine="428" w:firstLineChars="204"/>
              <w:rPr>
                <w:rFonts w:hint="eastAsia"/>
                <w:szCs w:val="21"/>
              </w:rPr>
            </w:pPr>
            <w:r>
              <w:rPr>
                <w:rFonts w:hint="eastAsia"/>
                <w:szCs w:val="21"/>
              </w:rPr>
              <w:t>（5）管道剩余壁厚设计。</w:t>
            </w:r>
          </w:p>
          <w:p>
            <w:pPr>
              <w:ind w:firstLine="428" w:firstLineChars="204"/>
              <w:rPr>
                <w:rFonts w:hint="eastAsia"/>
                <w:szCs w:val="21"/>
              </w:rPr>
            </w:pPr>
            <w:r>
              <w:rPr>
                <w:rFonts w:hint="eastAsia"/>
                <w:szCs w:val="21"/>
              </w:rPr>
              <w:t>技术目标为：</w:t>
            </w:r>
          </w:p>
          <w:p>
            <w:pPr>
              <w:ind w:firstLine="428" w:firstLineChars="204"/>
              <w:rPr>
                <w:rFonts w:hint="eastAsia"/>
                <w:szCs w:val="21"/>
              </w:rPr>
            </w:pPr>
            <w:r>
              <w:rPr>
                <w:rFonts w:hint="eastAsia"/>
                <w:szCs w:val="21"/>
              </w:rPr>
              <w:t>（1）管道适用运输入口条件不低于50°C/15MPa，出口条件不低于35°C/10MPa；</w:t>
            </w:r>
          </w:p>
          <w:p>
            <w:pPr>
              <w:ind w:firstLine="428" w:firstLineChars="204"/>
              <w:rPr>
                <w:rFonts w:hint="eastAsia"/>
                <w:szCs w:val="21"/>
              </w:rPr>
            </w:pPr>
            <w:r>
              <w:rPr>
                <w:rFonts w:hint="eastAsia"/>
                <w:szCs w:val="21"/>
              </w:rPr>
              <w:t>（2）管道使用寿命不低于60年。</w:t>
            </w:r>
          </w:p>
          <w:p>
            <w:pPr>
              <w:ind w:firstLine="428" w:firstLineChars="204"/>
              <w:rPr>
                <w:rFonts w:hint="eastAsia"/>
                <w:szCs w:val="21"/>
              </w:rPr>
            </w:pPr>
            <w:r>
              <w:rPr>
                <w:rFonts w:hint="eastAsia"/>
                <w:szCs w:val="21"/>
              </w:rPr>
              <w:t>产业化目标为：</w:t>
            </w:r>
          </w:p>
          <w:p>
            <w:pPr>
              <w:ind w:firstLine="428" w:firstLineChars="204"/>
              <w:rPr>
                <w:rFonts w:hint="eastAsia"/>
                <w:szCs w:val="21"/>
              </w:rPr>
            </w:pPr>
            <w:r>
              <w:rPr>
                <w:rFonts w:hint="eastAsia"/>
                <w:szCs w:val="21"/>
              </w:rPr>
              <w:t>（1）产业化应用管道规模不低于100km；</w:t>
            </w:r>
          </w:p>
          <w:p>
            <w:pPr>
              <w:ind w:firstLine="428" w:firstLineChars="204"/>
              <w:rPr>
                <w:szCs w:val="21"/>
              </w:rPr>
            </w:pPr>
            <w:r>
              <w:rPr>
                <w:rFonts w:hint="eastAsia"/>
                <w:szCs w:val="21"/>
              </w:rPr>
              <w:t>（2）每吨二氧化碳运输成本不高于20元/100km。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0" w:hRule="atLeast"/>
          <w:jc w:val="center"/>
        </w:trPr>
        <w:tc>
          <w:tcPr>
            <w:tcW w:w="119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szCs w:val="21"/>
              </w:rPr>
            </w:pPr>
            <w:r>
              <w:rPr>
                <w:szCs w:val="21"/>
              </w:rPr>
              <w:t>榜单效益</w:t>
            </w:r>
          </w:p>
          <w:p>
            <w:pPr>
              <w:jc w:val="center"/>
              <w:rPr>
                <w:szCs w:val="21"/>
              </w:rPr>
            </w:pPr>
            <w:r>
              <w:rPr>
                <w:szCs w:val="21"/>
              </w:rPr>
              <w:t>目标</w:t>
            </w:r>
          </w:p>
        </w:tc>
        <w:tc>
          <w:tcPr>
            <w:tcW w:w="7771" w:type="dxa"/>
            <w:gridSpan w:val="3"/>
            <w:tcBorders>
              <w:top w:val="single" w:color="auto" w:sz="4" w:space="0"/>
              <w:left w:val="single" w:color="auto" w:sz="4" w:space="0"/>
              <w:bottom w:val="single" w:color="auto" w:sz="4" w:space="0"/>
              <w:right w:val="single" w:color="auto" w:sz="4" w:space="0"/>
            </w:tcBorders>
            <w:noWrap w:val="0"/>
            <w:vAlign w:val="center"/>
          </w:tcPr>
          <w:p>
            <w:pPr>
              <w:ind w:firstLine="428" w:firstLineChars="204"/>
              <w:rPr>
                <w:rFonts w:hint="eastAsia"/>
                <w:szCs w:val="21"/>
              </w:rPr>
            </w:pPr>
            <w:r>
              <w:rPr>
                <w:rFonts w:hint="eastAsia"/>
                <w:szCs w:val="21"/>
              </w:rPr>
              <w:t>榜单问题解决后产生的成果能直接应用于二氧化碳捕集、运输和地质利用，推动产业的商业化进程。广东省碳排放具有点源分布较集中的特征，主要分布于珠江三角洲及海岸带区域，近海有珠江口盆地、北部湾盆地两大封存区域，开展CCUS集群源汇匹配的必要性显著，发展CCUS产业集群的规模优势明显。根据中英CCUS中心的报告，广东省的四个碳排放集群：广佛肇-深莞惠集群、珠江口西岸（珠中江）集群、粤东（汕揭潮）集群和粤西（湛茂阳）集群，每年碳排放量约2.8亿吨，且可在珠江口和北部湾的盆地开展</w:t>
            </w:r>
            <w:r>
              <w:rPr>
                <w:szCs w:val="21"/>
              </w:rPr>
              <w:t>CO</w:t>
            </w:r>
            <w:r>
              <w:rPr>
                <w:szCs w:val="21"/>
                <w:vertAlign w:val="subscript"/>
              </w:rPr>
              <w:t>2</w:t>
            </w:r>
            <w:r>
              <w:rPr>
                <w:rFonts w:hint="eastAsia"/>
                <w:szCs w:val="21"/>
              </w:rPr>
              <w:t>的封存和提升油田采收率利用。若二氧化碳的捕集、运输和油田利用技术得以商业化攻关，可撬动广东省CCUS产业商业化发展，潜在产业的市场规模有望超过600亿元/年，每年减少碳排达到3亿吨，创造税收100亿元/年，新增就业岗位超过6万个。</w:t>
            </w:r>
          </w:p>
        </w:tc>
      </w:tr>
    </w:tbl>
    <w:p>
      <w:pPr>
        <w:spacing w:line="560" w:lineRule="exact"/>
        <w:rPr>
          <w:rFonts w:hint="eastAsia" w:eastAsia="黑体"/>
          <w:bCs/>
          <w:sz w:val="32"/>
          <w:szCs w:val="32"/>
        </w:rPr>
      </w:pPr>
      <w:bookmarkStart w:id="0" w:name="_GoBack"/>
      <w:bookmarkEnd w:id="0"/>
    </w:p>
    <w:p/>
    <w:sectPr>
      <w:pgSz w:w="11906" w:h="16838"/>
      <w:pgMar w:top="1440" w:right="1474" w:bottom="1440"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Cambria">
    <w:altName w:val="FreeSerif"/>
    <w:panose1 w:val="02040503050406030204"/>
    <w:charset w:val="00"/>
    <w:family w:val="auto"/>
    <w:pitch w:val="default"/>
    <w:sig w:usb0="00000000" w:usb1="00000000" w:usb2="02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CESI楷体-GB2312">
    <w:panose1 w:val="02000500000000000000"/>
    <w:charset w:val="86"/>
    <w:family w:val="auto"/>
    <w:pitch w:val="default"/>
    <w:sig w:usb0="800002BF" w:usb1="184F6CF8" w:usb2="00000012" w:usb3="00000000" w:csb0="0004000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FreeSerif">
    <w:panose1 w:val="02020603050405020304"/>
    <w:charset w:val="00"/>
    <w:family w:val="auto"/>
    <w:pitch w:val="default"/>
    <w:sig w:usb0="E59FAFFF" w:usb1="C200FDFF" w:usb2="43501B29" w:usb3="04000043" w:csb0="6001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dkZjMwZDBjYjhjN2YzNmMwMzVjZWVjZDUzMmQwZGEifQ=="/>
  </w:docVars>
  <w:rsids>
    <w:rsidRoot w:val="4FF73F88"/>
    <w:rsid w:val="3F7D136B"/>
    <w:rsid w:val="4FF73F88"/>
    <w:rsid w:val="56653AB5"/>
    <w:rsid w:val="DEDD68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6"/>
    <w:basedOn w:val="1"/>
    <w:next w:val="1"/>
    <w:qFormat/>
    <w:uiPriority w:val="0"/>
    <w:pPr>
      <w:keepNext/>
      <w:keepLines/>
      <w:spacing w:before="240" w:after="64" w:line="320" w:lineRule="auto"/>
      <w:outlineLvl w:val="5"/>
    </w:pPr>
    <w:rPr>
      <w:rFonts w:ascii="Cambria" w:hAnsi="Cambria" w:eastAsia="宋体" w:cs="Times New Roman"/>
      <w:b/>
      <w:bCs/>
      <w:sz w:val="24"/>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2023-10-20T00:59:00Z</dcterms:created>
  <dc:creator>Michael</dc:creator>
  <cp:lastModifiedBy>禤维强</cp:lastModifiedBy>
  <dcterms:modified xsi:type="dcterms:W3CDTF">2023-10-26T18:48:47Z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289AC9FBEC3E4CEFB4DC44531A79E3E3_11</vt:lpwstr>
  </property>
</Properties>
</file>