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方正小标宋简体"/>
          <w:sz w:val="44"/>
          <w:szCs w:val="44"/>
        </w:rPr>
      </w:pPr>
      <w:r>
        <w:rPr>
          <w:rFonts w:hint="eastAsia" w:eastAsia="方正小标宋简体"/>
          <w:sz w:val="44"/>
          <w:szCs w:val="44"/>
        </w:rPr>
        <w:t>项目</w:t>
      </w:r>
      <w:r>
        <w:rPr>
          <w:rFonts w:eastAsia="方正小标宋简体"/>
          <w:sz w:val="44"/>
          <w:szCs w:val="44"/>
        </w:rPr>
        <w:t>榜单</w:t>
      </w:r>
    </w:p>
    <w:tbl>
      <w:tblPr>
        <w:tblStyle w:val="7"/>
        <w:tblW w:w="50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78"/>
        <w:gridCol w:w="3282"/>
        <w:gridCol w:w="1576"/>
        <w:gridCol w:w="2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榜单名称</w:t>
            </w:r>
          </w:p>
        </w:tc>
        <w:tc>
          <w:tcPr>
            <w:tcW w:w="7687" w:type="dxa"/>
            <w:gridSpan w:val="3"/>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江门市新会区五金制品（不锈钢）产业集群数字化转型项目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专业领域及方向</w:t>
            </w:r>
          </w:p>
        </w:tc>
        <w:tc>
          <w:tcPr>
            <w:tcW w:w="7687" w:type="dxa"/>
            <w:gridSpan w:val="3"/>
            <w:tcBorders>
              <w:top w:val="single" w:color="auto" w:sz="4" w:space="0"/>
              <w:left w:val="nil"/>
              <w:bottom w:val="single" w:color="auto" w:sz="4" w:space="0"/>
              <w:right w:val="single" w:color="auto" w:sz="4" w:space="0"/>
            </w:tcBorders>
            <w:vAlign w:val="center"/>
          </w:tcPr>
          <w:p>
            <w:pPr>
              <w:ind w:firstLine="420" w:firstLineChars="200"/>
              <w:jc w:val="center"/>
              <w:rPr>
                <w:rFonts w:eastAsia="仿宋_GB2312"/>
                <w:sz w:val="28"/>
                <w:szCs w:val="21"/>
                <w:lang w:val="zh-CN"/>
              </w:rPr>
            </w:pPr>
            <w:r>
              <w:rPr>
                <w:rFonts w:hint="eastAsia"/>
                <w:szCs w:val="21"/>
              </w:rPr>
              <w:t>制造业数字化转型领域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启动时间</w:t>
            </w:r>
          </w:p>
        </w:tc>
        <w:tc>
          <w:tcPr>
            <w:tcW w:w="3279" w:type="dxa"/>
            <w:tcBorders>
              <w:top w:val="single" w:color="auto" w:sz="4" w:space="0"/>
              <w:left w:val="nil"/>
              <w:bottom w:val="single" w:color="auto" w:sz="4" w:space="0"/>
              <w:right w:val="single" w:color="auto" w:sz="4" w:space="0"/>
            </w:tcBorders>
            <w:vAlign w:val="center"/>
          </w:tcPr>
          <w:p>
            <w:pPr>
              <w:jc w:val="center"/>
              <w:rPr>
                <w:rFonts w:hint="eastAsia" w:eastAsia="宋体"/>
                <w:szCs w:val="21"/>
                <w:lang w:eastAsia="zh-CN"/>
              </w:rPr>
            </w:pPr>
            <w:r>
              <w:rPr>
                <w:rFonts w:hint="eastAsia"/>
                <w:szCs w:val="21"/>
              </w:rPr>
              <w:t>2023</w:t>
            </w:r>
            <w:r>
              <w:rPr>
                <w:rFonts w:hint="eastAsia"/>
                <w:szCs w:val="21"/>
                <w:lang w:eastAsia="zh-CN"/>
              </w:rPr>
              <w:t>年</w:t>
            </w:r>
            <w:r>
              <w:rPr>
                <w:rFonts w:hint="eastAsia"/>
                <w:szCs w:val="21"/>
              </w:rPr>
              <w:t>6</w:t>
            </w:r>
            <w:r>
              <w:rPr>
                <w:rFonts w:hint="eastAsia"/>
                <w:szCs w:val="21"/>
                <w:lang w:eastAsia="zh-CN"/>
              </w:rPr>
              <w:t>月</w:t>
            </w:r>
          </w:p>
        </w:tc>
        <w:tc>
          <w:tcPr>
            <w:tcW w:w="1574" w:type="dxa"/>
            <w:tcBorders>
              <w:top w:val="single" w:color="auto" w:sz="4" w:space="0"/>
              <w:left w:val="nil"/>
              <w:bottom w:val="single" w:color="auto" w:sz="4" w:space="0"/>
              <w:right w:val="single" w:color="auto" w:sz="4" w:space="0"/>
            </w:tcBorders>
            <w:vAlign w:val="center"/>
          </w:tcPr>
          <w:p>
            <w:pPr>
              <w:jc w:val="center"/>
            </w:pPr>
            <w:r>
              <w:rPr>
                <w:szCs w:val="21"/>
                <w:lang w:val="en" w:eastAsia="en"/>
              </w:rPr>
              <w:t>计划完成</w:t>
            </w:r>
            <w:r>
              <w:rPr>
                <w:szCs w:val="21"/>
              </w:rPr>
              <w:t>时间</w:t>
            </w:r>
          </w:p>
        </w:tc>
        <w:tc>
          <w:tcPr>
            <w:tcW w:w="2834" w:type="dxa"/>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2024</w:t>
            </w:r>
            <w:r>
              <w:rPr>
                <w:rFonts w:hint="eastAsia"/>
                <w:szCs w:val="21"/>
                <w:lang w:eastAsia="zh-CN"/>
              </w:rPr>
              <w:t>年</w:t>
            </w:r>
            <w:r>
              <w:rPr>
                <w:rFonts w:hint="eastAsia"/>
                <w:szCs w:val="21"/>
              </w:rPr>
              <w:t>12</w:t>
            </w:r>
            <w:r>
              <w:rPr>
                <w:rFonts w:hint="eastAsia"/>
                <w:szCs w:val="21"/>
                <w:lang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60"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项目内容</w:t>
            </w:r>
          </w:p>
        </w:tc>
        <w:tc>
          <w:tcPr>
            <w:tcW w:w="7687" w:type="dxa"/>
            <w:gridSpan w:val="3"/>
            <w:tcBorders>
              <w:top w:val="single" w:color="auto" w:sz="4" w:space="0"/>
              <w:left w:val="single" w:color="auto" w:sz="4" w:space="0"/>
              <w:bottom w:val="single" w:color="auto" w:sz="4" w:space="0"/>
              <w:right w:val="single" w:color="auto" w:sz="4" w:space="0"/>
            </w:tcBorders>
            <w:vAlign w:val="center"/>
          </w:tcPr>
          <w:p>
            <w:pPr>
              <w:ind w:firstLine="421" w:firstLineChars="200"/>
              <w:rPr>
                <w:b/>
                <w:bCs/>
              </w:rPr>
            </w:pPr>
            <w:r>
              <w:rPr>
                <w:rFonts w:hint="eastAsia"/>
                <w:b/>
                <w:bCs/>
              </w:rPr>
              <w:t>制定项目建设方案</w:t>
            </w:r>
          </w:p>
          <w:p>
            <w:pPr>
              <w:ind w:firstLine="421" w:firstLineChars="200"/>
              <w:rPr>
                <w:b/>
                <w:bCs/>
              </w:rPr>
            </w:pPr>
            <w:r>
              <w:rPr>
                <w:rFonts w:hint="eastAsia"/>
                <w:b/>
                <w:bCs/>
              </w:rPr>
              <w:t>1、分析产业集群未来发展趋势</w:t>
            </w:r>
          </w:p>
          <w:p>
            <w:pPr>
              <w:ind w:firstLine="420" w:firstLineChars="200"/>
            </w:pPr>
            <w:r>
              <w:rPr>
                <w:rFonts w:hint="eastAsia"/>
              </w:rPr>
              <w:t>“懂行人</w:t>
            </w:r>
            <w:bookmarkStart w:id="0" w:name="_GoBack"/>
            <w:bookmarkEnd w:id="0"/>
            <w:r>
              <w:rPr>
                <w:rFonts w:hint="eastAsia"/>
              </w:rPr>
              <w:t>”应围绕五金制品产业集群转型升级的总体实施目标，对产业集群发展趋势做深度调研分析，通过对五金不锈钢产业传统生产要素进行改造、整合、提升，以数字化赋能产业升级转型，从而助力集群企业完成国内外中高端市场突破。</w:t>
            </w:r>
          </w:p>
          <w:p>
            <w:pPr>
              <w:ind w:firstLine="421" w:firstLineChars="200"/>
              <w:rPr>
                <w:b/>
                <w:bCs/>
              </w:rPr>
            </w:pPr>
            <w:r>
              <w:rPr>
                <w:rFonts w:hint="eastAsia"/>
                <w:b/>
                <w:bCs/>
              </w:rPr>
              <w:t>2、洞察产业集群瓶颈突破领域</w:t>
            </w:r>
          </w:p>
          <w:p>
            <w:pPr>
              <w:ind w:firstLine="420" w:firstLineChars="200"/>
            </w:pPr>
            <w:r>
              <w:rPr>
                <w:rFonts w:hint="eastAsia"/>
              </w:rPr>
              <w:t>“懂行人”应对五金不锈钢产业传统生产要素进行改造、整合、提升，打通行业适配、信息壁垒、改善落地、要素整合等瓶颈，通过模式创新帮助产业链完成数字化升级转型。</w:t>
            </w:r>
          </w:p>
          <w:p>
            <w:pPr>
              <w:ind w:firstLine="421" w:firstLineChars="200"/>
              <w:rPr>
                <w:b/>
                <w:bCs/>
              </w:rPr>
            </w:pPr>
            <w:r>
              <w:rPr>
                <w:rFonts w:hint="eastAsia"/>
                <w:b/>
                <w:bCs/>
              </w:rPr>
              <w:t>3、提炼产业集群关键成功因素</w:t>
            </w:r>
          </w:p>
          <w:p>
            <w:pPr>
              <w:ind w:firstLine="525" w:firstLineChars="250"/>
            </w:pPr>
            <w:r>
              <w:rPr>
                <w:rFonts w:hint="eastAsia"/>
              </w:rPr>
              <w:t>围绕五金制品产业集群数字化转型，深入提炼以“诊断先行、对症下药”、“生态多样、融合服务”、“本地支撑、数字化协同”等关键成功因素，通过升级产业集群数字化平台，让集群产业链企业从无序竞争、烟囱式管理、依赖人工干预、无视浪费等旧业态变成到新生态。</w:t>
            </w:r>
          </w:p>
          <w:p>
            <w:pPr>
              <w:ind w:firstLine="421" w:firstLineChars="200"/>
              <w:rPr>
                <w:b/>
                <w:bCs/>
              </w:rPr>
            </w:pPr>
            <w:r>
              <w:rPr>
                <w:b/>
                <w:bCs/>
              </w:rPr>
              <w:t>4</w:t>
            </w:r>
            <w:r>
              <w:rPr>
                <w:rFonts w:hint="eastAsia"/>
                <w:b/>
                <w:bCs/>
              </w:rPr>
              <w:t xml:space="preserve">、完成集群数字化转型解决方案顶层设计 </w:t>
            </w:r>
          </w:p>
          <w:p>
            <w:pPr>
              <w:ind w:firstLine="420" w:firstLineChars="200"/>
            </w:pPr>
            <w:r>
              <w:rPr>
                <w:rFonts w:hint="eastAsia"/>
              </w:rPr>
              <w:t>（1）解决方案顶层设计</w:t>
            </w:r>
          </w:p>
          <w:p>
            <w:pPr>
              <w:ind w:firstLine="420" w:firstLineChars="200"/>
            </w:pPr>
            <w:r>
              <w:rPr>
                <w:rFonts w:hint="eastAsia"/>
              </w:rPr>
              <w:t>通过升级产业集群平台，将集群企业业务量化后，通过管理数字进行内部管理。将企业内各个部门都联系起来，改变传统组织工作形式，打破企业内部“数据孤岛”，在数字化企业里，科学高效的管理流程极大程度地降低工作冗余。</w:t>
            </w:r>
          </w:p>
          <w:p>
            <w:pPr>
              <w:ind w:firstLine="420" w:firstLineChars="200"/>
            </w:pPr>
            <w:r>
              <w:rPr>
                <w:rFonts w:hint="eastAsia"/>
              </w:rPr>
              <w:t>通过升级产业集群平台，驱动五金制品产业链数字化转型。五金制品产业链数字化转型不是简单的数字技术的革新，而是整个产业链的组织形态、业务流程、商业模式、技术能力体系的全面变革；产业链的数字化转型计划关乎企业在数字化时代生存发展的战略性决策和行动。因此必须“懂行人”牵头、联合企业的最高层领导CEO、行业、产业链专家等共同挂帅制定产业链数字化转型的战略和行动计划。</w:t>
            </w:r>
          </w:p>
          <w:p>
            <w:pPr>
              <w:ind w:firstLine="420" w:firstLineChars="200"/>
            </w:pPr>
            <w:r>
              <w:rPr>
                <w:rFonts w:hint="eastAsia"/>
              </w:rPr>
              <w:t>升级产业集群平台建设由“懂行人”牵头负责，通过实现产业链全周期优化，以事前预警、事中监控、事后分析为流程，利用数据分析和算法模型优势，根据企业销售、计划、采购、仓储、物流、物料、资金、人才等相关数据规划算法，进行模型构建，实现数字化决策增强供应链协同性，实现数据可视化数据化智能化，实现运营场景全周期洞察。</w:t>
            </w:r>
          </w:p>
          <w:p>
            <w:pPr>
              <w:ind w:firstLine="420" w:firstLineChars="200"/>
            </w:pPr>
            <w:r>
              <w:rPr>
                <w:rFonts w:hint="eastAsia"/>
              </w:rPr>
              <w:t>（2）解决方案设计</w:t>
            </w:r>
          </w:p>
          <w:p>
            <w:pPr>
              <w:ind w:firstLine="420" w:firstLineChars="200"/>
            </w:pPr>
            <w:r>
              <w:rPr>
                <w:rFonts w:hint="eastAsia"/>
              </w:rPr>
              <w:t>第一，适配五金不锈钢行业应用的协同平台，聚合生态产品，优势互补形成合力。利用“懂行人”沉淀的核心技术帮助产业链上下游合作伙伴形成优势互补，提升集群企业产能效率。</w:t>
            </w:r>
          </w:p>
          <w:p>
            <w:pPr>
              <w:ind w:firstLine="420" w:firstLineChars="200"/>
            </w:pPr>
            <w:r>
              <w:rPr>
                <w:rFonts w:hint="eastAsia"/>
              </w:rPr>
              <w:t>第二，整合五金不锈钢企业的设备、模具、人员、材料、工艺等生产要素，形成一套高效运作的生产控制体系，建立集群企业内IT/OT异构系统的互联，实现从需求、研发、制造到服务全价值链的转型升级。</w:t>
            </w:r>
          </w:p>
          <w:p>
            <w:pPr>
              <w:ind w:firstLine="420" w:firstLineChars="200"/>
            </w:pPr>
            <w:r>
              <w:rPr>
                <w:rFonts w:hint="eastAsia"/>
              </w:rPr>
              <w:t>第三，消除供应商、生产、配件配套厂商之间的信息鸿沟，形成快速核算体系，降低集群企业成本。这是聚焦五金不锈钢行业的供应链，将集群企业的传统供应链转型为敏捷精益的新型供应网，提升产业链供应链韧性，提高资源配置效率。</w:t>
            </w:r>
          </w:p>
          <w:p>
            <w:pPr>
              <w:ind w:firstLine="421" w:firstLineChars="200"/>
              <w:rPr>
                <w:b/>
                <w:bCs/>
              </w:rPr>
            </w:pPr>
            <w:r>
              <w:rPr>
                <w:rFonts w:hint="eastAsia"/>
                <w:b/>
                <w:bCs/>
              </w:rPr>
              <w:t>5、带领团队完成</w:t>
            </w:r>
            <w:r>
              <w:rPr>
                <w:b/>
                <w:bCs/>
              </w:rPr>
              <w:t>重点任务内容</w:t>
            </w:r>
          </w:p>
          <w:p>
            <w:pPr>
              <w:ind w:firstLine="420" w:firstLineChars="200"/>
              <w:rPr>
                <w:szCs w:val="21"/>
              </w:rPr>
            </w:pPr>
            <w:r>
              <w:rPr>
                <w:rFonts w:hint="eastAsia"/>
                <w:szCs w:val="21"/>
              </w:rPr>
              <w:t>（1）完成集群数字化转型升级方案设计</w:t>
            </w:r>
          </w:p>
          <w:p>
            <w:pPr>
              <w:ind w:firstLine="420" w:firstLineChars="200"/>
              <w:rPr>
                <w:szCs w:val="21"/>
              </w:rPr>
            </w:pPr>
            <w:r>
              <w:rPr>
                <w:rFonts w:hint="eastAsia"/>
                <w:szCs w:val="21"/>
              </w:rPr>
              <w:t>（</w:t>
            </w:r>
            <w:r>
              <w:rPr>
                <w:szCs w:val="21"/>
              </w:rPr>
              <w:t>2</w:t>
            </w:r>
            <w:r>
              <w:rPr>
                <w:rFonts w:hint="eastAsia"/>
                <w:szCs w:val="21"/>
              </w:rPr>
              <w:t>）完成2</w:t>
            </w:r>
            <w:r>
              <w:rPr>
                <w:szCs w:val="21"/>
              </w:rPr>
              <w:t>0</w:t>
            </w:r>
            <w:r>
              <w:rPr>
                <w:rFonts w:hint="eastAsia"/>
                <w:szCs w:val="21"/>
              </w:rPr>
              <w:t>家集群企业数字化项目落地</w:t>
            </w:r>
          </w:p>
          <w:p>
            <w:pPr>
              <w:ind w:firstLine="420" w:firstLineChars="200"/>
              <w:rPr>
                <w:szCs w:val="21"/>
              </w:rPr>
            </w:pPr>
            <w:r>
              <w:rPr>
                <w:rFonts w:hint="eastAsia"/>
                <w:szCs w:val="21"/>
              </w:rPr>
              <w:t>（</w:t>
            </w:r>
            <w:r>
              <w:rPr>
                <w:szCs w:val="21"/>
              </w:rPr>
              <w:t>3</w:t>
            </w:r>
            <w:r>
              <w:rPr>
                <w:rFonts w:hint="eastAsia"/>
                <w:szCs w:val="21"/>
              </w:rPr>
              <w:t>）完成8</w:t>
            </w:r>
            <w:r>
              <w:rPr>
                <w:szCs w:val="21"/>
              </w:rPr>
              <w:t>00</w:t>
            </w:r>
            <w:r>
              <w:rPr>
                <w:rFonts w:hint="eastAsia"/>
                <w:szCs w:val="21"/>
              </w:rPr>
              <w:t>人次数字化人次培训</w:t>
            </w:r>
          </w:p>
          <w:p>
            <w:pPr>
              <w:ind w:firstLine="420" w:firstLineChars="200"/>
              <w:rPr>
                <w:szCs w:val="21"/>
              </w:rPr>
            </w:pPr>
            <w:r>
              <w:rPr>
                <w:rFonts w:hint="eastAsia"/>
                <w:szCs w:val="21"/>
              </w:rPr>
              <w:t>（</w:t>
            </w:r>
            <w:r>
              <w:rPr>
                <w:szCs w:val="21"/>
              </w:rPr>
              <w:t>4</w:t>
            </w:r>
            <w:r>
              <w:rPr>
                <w:rFonts w:hint="eastAsia"/>
                <w:szCs w:val="21"/>
              </w:rPr>
              <w:t>）数字化平台上线不小于3个核心应用场景</w:t>
            </w:r>
          </w:p>
          <w:p>
            <w:pPr>
              <w:ind w:firstLine="420" w:firstLineChars="200"/>
              <w:rPr>
                <w:szCs w:val="21"/>
              </w:rPr>
            </w:pPr>
            <w:r>
              <w:rPr>
                <w:rFonts w:hint="eastAsia"/>
                <w:szCs w:val="21"/>
              </w:rPr>
              <w:t>（</w:t>
            </w:r>
            <w:r>
              <w:rPr>
                <w:szCs w:val="21"/>
              </w:rPr>
              <w:t>5</w:t>
            </w:r>
            <w:r>
              <w:rPr>
                <w:rFonts w:hint="eastAsia"/>
                <w:szCs w:val="21"/>
              </w:rPr>
              <w:t>）搭建不少于1</w:t>
            </w:r>
            <w:r>
              <w:rPr>
                <w:szCs w:val="21"/>
              </w:rPr>
              <w:t>0</w:t>
            </w:r>
            <w:r>
              <w:rPr>
                <w:rFonts w:hint="eastAsia"/>
                <w:szCs w:val="21"/>
              </w:rPr>
              <w:t>家生态伙伴合作平台</w:t>
            </w:r>
          </w:p>
          <w:p>
            <w:pPr>
              <w:ind w:firstLine="421" w:firstLineChars="200"/>
            </w:pPr>
            <w:r>
              <w:rPr>
                <w:b/>
                <w:bCs/>
              </w:rPr>
              <w:t>6</w:t>
            </w:r>
            <w:r>
              <w:rPr>
                <w:rFonts w:hint="eastAsia"/>
                <w:b/>
                <w:bCs/>
              </w:rPr>
              <w:t>、产业集群研发和推广的主要产品</w:t>
            </w:r>
          </w:p>
          <w:p>
            <w:pPr>
              <w:ind w:firstLine="420" w:firstLineChars="200"/>
            </w:pPr>
            <w:r>
              <w:rPr>
                <w:rFonts w:hint="eastAsia"/>
              </w:rPr>
              <w:t>在“懂行人”组织和推动下，集群数字化平台拟进行以下领域的产品研发和推广：</w:t>
            </w:r>
          </w:p>
          <w:p>
            <w:pPr>
              <w:ind w:firstLine="420" w:firstLineChars="200"/>
              <w:rPr>
                <w:szCs w:val="21"/>
              </w:rPr>
            </w:pPr>
            <w:r>
              <w:rPr>
                <w:rFonts w:hint="eastAsia"/>
                <w:szCs w:val="21"/>
              </w:rPr>
              <w:t>（1）生产协同领域</w:t>
            </w:r>
          </w:p>
          <w:p>
            <w:pPr>
              <w:ind w:firstLine="420" w:firstLineChars="200"/>
              <w:rPr>
                <w:szCs w:val="21"/>
              </w:rPr>
            </w:pPr>
            <w:r>
              <w:rPr>
                <w:rFonts w:hint="eastAsia"/>
                <w:szCs w:val="21"/>
              </w:rPr>
              <w:t>（</w:t>
            </w:r>
            <w:r>
              <w:rPr>
                <w:szCs w:val="21"/>
              </w:rPr>
              <w:t>2</w:t>
            </w:r>
            <w:r>
              <w:rPr>
                <w:rFonts w:hint="eastAsia"/>
                <w:szCs w:val="21"/>
              </w:rPr>
              <w:t>）设备管理领域、质量管理领域</w:t>
            </w:r>
          </w:p>
          <w:p>
            <w:pPr>
              <w:ind w:firstLine="420" w:firstLineChars="200"/>
              <w:rPr>
                <w:szCs w:val="21"/>
              </w:rPr>
            </w:pPr>
            <w:r>
              <w:rPr>
                <w:rFonts w:hint="eastAsia"/>
                <w:szCs w:val="21"/>
              </w:rPr>
              <w:t>（</w:t>
            </w:r>
            <w:r>
              <w:rPr>
                <w:szCs w:val="21"/>
              </w:rPr>
              <w:t>3</w:t>
            </w:r>
            <w:r>
              <w:rPr>
                <w:rFonts w:hint="eastAsia"/>
                <w:szCs w:val="21"/>
              </w:rPr>
              <w:t>）供应链协同：领域</w:t>
            </w:r>
          </w:p>
          <w:p>
            <w:pPr>
              <w:ind w:firstLine="420" w:firstLineChars="200"/>
            </w:pPr>
            <w:r>
              <w:rPr>
                <w:rFonts w:hint="eastAsia"/>
                <w:szCs w:val="21"/>
              </w:rPr>
              <w:t>（</w:t>
            </w:r>
            <w:r>
              <w:rPr>
                <w:szCs w:val="21"/>
              </w:rPr>
              <w:t>4</w:t>
            </w:r>
            <w:r>
              <w:rPr>
                <w:rFonts w:hint="eastAsia"/>
                <w:szCs w:val="21"/>
              </w:rPr>
              <w:t>）5</w:t>
            </w:r>
            <w:r>
              <w:rPr>
                <w:szCs w:val="21"/>
              </w:rPr>
              <w:t>G</w:t>
            </w:r>
            <w:r>
              <w:rPr>
                <w:rFonts w:hint="eastAsia"/>
                <w:szCs w:val="21"/>
              </w:rPr>
              <w:t>应用、5G+数据采集领域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0"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项目目标</w:t>
            </w:r>
          </w:p>
        </w:tc>
        <w:tc>
          <w:tcPr>
            <w:tcW w:w="7687"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szCs w:val="21"/>
              </w:rPr>
            </w:pPr>
            <w:r>
              <w:rPr>
                <w:rFonts w:hint="eastAsia"/>
                <w:szCs w:val="21"/>
              </w:rPr>
              <w:t>1、帮助集群企业实现订单交付周期缩短20%以上，生产流程内库存下降30%以上，人均效率提升20%以上。</w:t>
            </w:r>
          </w:p>
          <w:p>
            <w:pPr>
              <w:ind w:firstLine="420" w:firstLineChars="200"/>
              <w:rPr>
                <w:szCs w:val="21"/>
              </w:rPr>
            </w:pPr>
            <w:r>
              <w:rPr>
                <w:rFonts w:hint="eastAsia"/>
                <w:szCs w:val="21"/>
              </w:rPr>
              <w:t>2、在集群内打造3 个以上不同类型、各具特色的转型标杆案例；帮助不少于20家企业在开料、成型环节至少降低15%的材料损耗，实现开料、成型核心设备效率提升20%以上。</w:t>
            </w:r>
          </w:p>
          <w:p>
            <w:pPr>
              <w:ind w:firstLine="420" w:firstLineChars="200"/>
              <w:rPr>
                <w:szCs w:val="21"/>
              </w:rPr>
            </w:pPr>
            <w:r>
              <w:rPr>
                <w:rFonts w:hint="eastAsia"/>
                <w:szCs w:val="21"/>
              </w:rPr>
              <w:t>3、建成1个区域级集群数字化服务中心，提供平台的推广、运营及支持服务；通过服务中心的软硬件环境，为用户提供一站式应用体验。</w:t>
            </w:r>
          </w:p>
        </w:tc>
      </w:tr>
    </w:tbl>
    <w:p/>
    <w:sectPr>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4MGJhNDE3ZmNlZTA4ZmIwMTdjMDk3ZTFjNTFiZDYifQ=="/>
  </w:docVars>
  <w:rsids>
    <w:rsidRoot w:val="BFFBE3D6"/>
    <w:rsid w:val="000215C2"/>
    <w:rsid w:val="00037661"/>
    <w:rsid w:val="000436F0"/>
    <w:rsid w:val="000A0CD3"/>
    <w:rsid w:val="00137AD9"/>
    <w:rsid w:val="00171FBE"/>
    <w:rsid w:val="00216415"/>
    <w:rsid w:val="00221EF5"/>
    <w:rsid w:val="00270769"/>
    <w:rsid w:val="002B195B"/>
    <w:rsid w:val="00325621"/>
    <w:rsid w:val="0037295E"/>
    <w:rsid w:val="004353B8"/>
    <w:rsid w:val="004A25ED"/>
    <w:rsid w:val="004B13D0"/>
    <w:rsid w:val="004B43F8"/>
    <w:rsid w:val="004C394B"/>
    <w:rsid w:val="004D47AB"/>
    <w:rsid w:val="005744B8"/>
    <w:rsid w:val="00596E93"/>
    <w:rsid w:val="005A55E2"/>
    <w:rsid w:val="005D1C41"/>
    <w:rsid w:val="005F6A4F"/>
    <w:rsid w:val="006033AC"/>
    <w:rsid w:val="00654601"/>
    <w:rsid w:val="00677619"/>
    <w:rsid w:val="006C291A"/>
    <w:rsid w:val="006E382A"/>
    <w:rsid w:val="007249A0"/>
    <w:rsid w:val="00736645"/>
    <w:rsid w:val="0074458B"/>
    <w:rsid w:val="0077203A"/>
    <w:rsid w:val="0079181F"/>
    <w:rsid w:val="00822C9E"/>
    <w:rsid w:val="0086471C"/>
    <w:rsid w:val="008807FA"/>
    <w:rsid w:val="008825FF"/>
    <w:rsid w:val="008B749D"/>
    <w:rsid w:val="008D5113"/>
    <w:rsid w:val="00922583"/>
    <w:rsid w:val="00946F21"/>
    <w:rsid w:val="009858AB"/>
    <w:rsid w:val="009A27E3"/>
    <w:rsid w:val="009F0AA0"/>
    <w:rsid w:val="00A06E72"/>
    <w:rsid w:val="00A077A5"/>
    <w:rsid w:val="00A164C4"/>
    <w:rsid w:val="00A2249A"/>
    <w:rsid w:val="00A328F1"/>
    <w:rsid w:val="00A67579"/>
    <w:rsid w:val="00A91029"/>
    <w:rsid w:val="00A974AA"/>
    <w:rsid w:val="00AC0D9A"/>
    <w:rsid w:val="00AC570C"/>
    <w:rsid w:val="00AD493E"/>
    <w:rsid w:val="00AE5765"/>
    <w:rsid w:val="00B07F53"/>
    <w:rsid w:val="00B878AA"/>
    <w:rsid w:val="00B9385C"/>
    <w:rsid w:val="00B956E0"/>
    <w:rsid w:val="00BB6AE9"/>
    <w:rsid w:val="00BC01CA"/>
    <w:rsid w:val="00BF51F1"/>
    <w:rsid w:val="00C065D0"/>
    <w:rsid w:val="00CA3D06"/>
    <w:rsid w:val="00CF29E6"/>
    <w:rsid w:val="00CF50E8"/>
    <w:rsid w:val="00CF5C08"/>
    <w:rsid w:val="00CF7977"/>
    <w:rsid w:val="00D10936"/>
    <w:rsid w:val="00D1361B"/>
    <w:rsid w:val="00D240FD"/>
    <w:rsid w:val="00D3433D"/>
    <w:rsid w:val="00DD0813"/>
    <w:rsid w:val="00DD095A"/>
    <w:rsid w:val="00DE051D"/>
    <w:rsid w:val="00DF3017"/>
    <w:rsid w:val="00E25E36"/>
    <w:rsid w:val="00E465A9"/>
    <w:rsid w:val="00E470BC"/>
    <w:rsid w:val="00E73446"/>
    <w:rsid w:val="00E77962"/>
    <w:rsid w:val="00EE2785"/>
    <w:rsid w:val="00F672EE"/>
    <w:rsid w:val="00FB3697"/>
    <w:rsid w:val="00FC0873"/>
    <w:rsid w:val="00FE51C5"/>
    <w:rsid w:val="00FE605A"/>
    <w:rsid w:val="35FEB90F"/>
    <w:rsid w:val="39FF5149"/>
    <w:rsid w:val="3B4976D0"/>
    <w:rsid w:val="4C404D93"/>
    <w:rsid w:val="53FB0B3A"/>
    <w:rsid w:val="57BF9196"/>
    <w:rsid w:val="6AEB3EAC"/>
    <w:rsid w:val="7665D9C4"/>
    <w:rsid w:val="77EFEEBB"/>
    <w:rsid w:val="BA7B23C6"/>
    <w:rsid w:val="BFFBE3D6"/>
    <w:rsid w:val="DBAF89E8"/>
    <w:rsid w:val="DDBD916D"/>
    <w:rsid w:val="DF9E4E39"/>
    <w:rsid w:val="DFEF4303"/>
    <w:rsid w:val="EBDC89B1"/>
    <w:rsid w:val="F471E975"/>
    <w:rsid w:val="FBF79A04"/>
    <w:rsid w:val="FE734873"/>
    <w:rsid w:val="FF338391"/>
    <w:rsid w:val="FF5D2BA3"/>
    <w:rsid w:val="FFBB5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jc w:val="left"/>
      <w:outlineLvl w:val="1"/>
    </w:pPr>
    <w:rPr>
      <w:rFonts w:eastAsia="楷体_GB2312" w:cs="黑体"/>
      <w:bCs/>
      <w:color w:val="000000"/>
      <w:szCs w:val="32"/>
    </w:rPr>
  </w:style>
  <w:style w:type="paragraph" w:styleId="4">
    <w:name w:val="heading 3"/>
    <w:basedOn w:val="1"/>
    <w:next w:val="1"/>
    <w:link w:val="11"/>
    <w:unhideWhenUsed/>
    <w:qFormat/>
    <w:uiPriority w:val="9"/>
    <w:pPr>
      <w:keepNext/>
      <w:keepLines/>
      <w:spacing w:before="260" w:after="260" w:line="416" w:lineRule="atLeast"/>
      <w:ind w:firstLine="200" w:firstLineChars="200"/>
      <w:outlineLvl w:val="2"/>
    </w:pPr>
    <w:rPr>
      <w:rFonts w:eastAsia="仿宋_GB2312" w:cs="黑体"/>
      <w:b/>
      <w:bCs/>
      <w:sz w:val="32"/>
      <w:szCs w:val="32"/>
    </w:rPr>
  </w:style>
  <w:style w:type="paragraph" w:styleId="2">
    <w:name w:val="heading 6"/>
    <w:basedOn w:val="1"/>
    <w:next w:val="1"/>
    <w:unhideWhenUsed/>
    <w:qFormat/>
    <w:uiPriority w:val="0"/>
    <w:pPr>
      <w:keepNext/>
      <w:keepLines/>
      <w:spacing w:before="240" w:after="64" w:line="320" w:lineRule="auto"/>
      <w:outlineLvl w:val="5"/>
    </w:pPr>
    <w:rPr>
      <w:rFonts w:ascii="Cambria" w:hAnsi="Cambria"/>
      <w:b/>
      <w:bCs/>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ind w:firstLine="640" w:firstLineChars="200"/>
    </w:p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10">
    <w:name w:val="List Paragraph"/>
    <w:basedOn w:val="1"/>
    <w:unhideWhenUsed/>
    <w:qFormat/>
    <w:uiPriority w:val="99"/>
    <w:pPr>
      <w:ind w:firstLine="420" w:firstLineChars="200"/>
    </w:pPr>
  </w:style>
  <w:style w:type="character" w:customStyle="1" w:styleId="11">
    <w:name w:val="标题 3 字符"/>
    <w:basedOn w:val="8"/>
    <w:link w:val="4"/>
    <w:qFormat/>
    <w:uiPriority w:val="9"/>
    <w:rPr>
      <w:rFonts w:ascii="Times New Roman" w:hAnsi="Times New Roman" w:eastAsia="仿宋_GB2312" w:cs="黑体"/>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483</Words>
  <Characters>2757</Characters>
  <Lines>22</Lines>
  <Paragraphs>6</Paragraphs>
  <TotalTime>0</TotalTime>
  <ScaleCrop>false</ScaleCrop>
  <LinksUpToDate>false</LinksUpToDate>
  <CharactersWithSpaces>3234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2023-09-12T15:35:00Z</dcterms:created>
  <dc:creator>禤维强</dc:creator>
  <cp:lastModifiedBy>greatwall</cp:lastModifiedBy>
  <dcterms:modified xsi:type="dcterms:W3CDTF">2023-10-26T19:10:48Z</dcterms:modified>
  <dc:title>附件1</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E5C36478A03B4774B4E38924766911E1_12</vt:lpwstr>
  </property>
</Properties>
</file>