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both"/>
        <w:rPr>
          <w:rFonts w:ascii="方正公文小标宋" w:hAnsi="方正公文小标宋" w:eastAsia="方正公文小标宋" w:cs="宋体"/>
          <w:sz w:val="72"/>
          <w:szCs w:val="44"/>
        </w:rPr>
      </w:pPr>
    </w:p>
    <w:p/>
    <w:p/>
    <w:p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>
      <w:pPr>
        <w:jc w:val="center"/>
        <w:rPr>
          <w:rFonts w:hint="eastAsia" w:ascii="黑体" w:hAnsi="黑体" w:eastAsia="黑体" w:cs="宋体"/>
          <w:sz w:val="72"/>
          <w:szCs w:val="44"/>
          <w:lang w:eastAsia="zh-CN"/>
        </w:rPr>
      </w:pPr>
      <w:r>
        <w:rPr>
          <w:rFonts w:hint="eastAsia" w:ascii="黑体" w:hAnsi="黑体" w:eastAsia="黑体" w:cs="宋体"/>
          <w:sz w:val="72"/>
          <w:szCs w:val="44"/>
        </w:rPr>
        <w:t>采</w:t>
      </w:r>
      <w:r>
        <w:rPr>
          <w:rFonts w:hint="eastAsia" w:ascii="黑体" w:hAnsi="黑体" w:eastAsia="黑体" w:cs="宋体"/>
          <w:sz w:val="72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72"/>
          <w:szCs w:val="44"/>
        </w:rPr>
        <w:t>购</w:t>
      </w:r>
      <w:r>
        <w:rPr>
          <w:rFonts w:hint="eastAsia" w:ascii="黑体" w:hAnsi="黑体" w:eastAsia="黑体" w:cs="宋体"/>
          <w:sz w:val="72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72"/>
          <w:szCs w:val="44"/>
        </w:rPr>
        <w:t>需</w:t>
      </w:r>
      <w:r>
        <w:rPr>
          <w:rFonts w:hint="eastAsia" w:ascii="黑体" w:hAnsi="黑体" w:eastAsia="黑体" w:cs="宋体"/>
          <w:sz w:val="72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72"/>
          <w:szCs w:val="44"/>
        </w:rPr>
        <w:t>求</w:t>
      </w:r>
    </w:p>
    <w:p/>
    <w:p>
      <w:pPr>
        <w:pStyle w:val="19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hanging="1600" w:hanging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>曲江区农村生活污水处理设施巡查评估及提升改造技术服务项目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hanging="1600" w:hanging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</w:rPr>
        <w:t>韶关市生态环境局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曲江</w:t>
      </w:r>
      <w:r>
        <w:rPr>
          <w:rFonts w:hint="eastAsia" w:ascii="黑体" w:hAnsi="黑体" w:eastAsia="黑体"/>
          <w:sz w:val="32"/>
          <w:szCs w:val="32"/>
          <w:u w:val="single"/>
        </w:rPr>
        <w:t>分局</w:t>
      </w:r>
    </w:p>
    <w:p>
      <w:pPr>
        <w:rPr>
          <w:rFonts w:ascii="方正公文小标宋" w:hAnsi="方正公文小标宋" w:eastAsia="方正公文小标宋"/>
          <w:sz w:val="44"/>
          <w:szCs w:val="44"/>
        </w:rPr>
      </w:pPr>
    </w:p>
    <w:p>
      <w:pPr>
        <w:rPr>
          <w:rFonts w:ascii="方正公文小标宋" w:hAnsi="方正公文小标宋" w:eastAsia="方正公文小标宋"/>
          <w:sz w:val="44"/>
          <w:szCs w:val="44"/>
        </w:rPr>
      </w:pPr>
    </w:p>
    <w:p>
      <w:pPr>
        <w:rPr>
          <w:rFonts w:ascii="方正公文小标宋" w:hAnsi="方正公文小标宋" w:eastAsia="方正公文小标宋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 年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br w:type="page"/>
      </w:r>
    </w:p>
    <w:p>
      <w:pPr>
        <w:pStyle w:val="4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编 制 说 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一、采购单位可以自行组织编制采购需求，也可以委托采购代理机构或者其他第三方机构编制。</w:t>
      </w:r>
    </w:p>
    <w:p>
      <w:pPr>
        <w:ind w:firstLine="640" w:firstLineChars="200"/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二、编制的采购需求应当符合《财政部关于印发政府采购需求管理办法的通知》（财库〔2021〕22号）要求及政府采购的相关规定。</w:t>
      </w: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采购需求编制</w:t>
      </w:r>
    </w:p>
    <w:p>
      <w:pPr>
        <w:pStyle w:val="2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3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曲江区农村生活污水处理设施巡查评估及提升改造技术服务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项目预算（单位：万元）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采购人单位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韶关市生态环境局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曲江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负责人/联系电话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刘工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0751-6669401</w:t>
            </w:r>
          </w:p>
        </w:tc>
      </w:tr>
    </w:tbl>
    <w:p>
      <w:pPr>
        <w:pStyle w:val="2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（一）采购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项目概况</w:t>
      </w:r>
    </w:p>
    <w:p>
      <w:pPr>
        <w:pStyle w:val="19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农村生活污水治理是实施乡村振兴战略、深入打好污染防治攻坚战的重要内容。为贯彻落实《广东省人民政府办公厅印发关于贯彻“百县千镇万村高质量发展工程”高水平推动农村生活污水治理的工作方案》(粤办函〔2023〕70号)和韶关市污染防治攻坚战指挥部办公室关于印发《关于“贯彻落实百县千镇万村高质量发展工程”高水平推动农村生活污水治理的实施方案》的通知（韶环〔2023〕27号）有关精神，有效提高我区农村生活污水治理成效，需对曲江区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水灾损毁的污水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处理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设施及早期建成由于处理工艺不适用、工程质量差、管网覆盖率偏低的设施分类开展修复或整治提升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，因此，我区启动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曲江区农村生活污水处理设施巡查评估及提升改造技术服务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（二）项目属性：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是否适宜由中小企业提供，并专门面向中小企业采购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□是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☑</w:t>
      </w:r>
      <w:r>
        <w:rPr>
          <w:rFonts w:hint="eastAsia" w:ascii="仿宋" w:hAnsi="仿宋" w:eastAsia="仿宋"/>
          <w:sz w:val="32"/>
          <w:szCs w:val="32"/>
        </w:rPr>
        <w:t>否，原因说明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按照本办法规定预留采购份额无法确保充分供应、充分竞争，或者存在可能影响政府采购目标实现的情形；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（三）采购标的汇总表</w:t>
      </w:r>
    </w:p>
    <w:tbl>
      <w:tblPr>
        <w:tblStyle w:val="12"/>
        <w:tblW w:w="10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62"/>
        <w:gridCol w:w="1545"/>
        <w:gridCol w:w="930"/>
        <w:gridCol w:w="945"/>
        <w:gridCol w:w="1920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86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62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政府采购品目分类编码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786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62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曲江区农村生活污水处理设施巡查评估及提升改造技术服务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C07019900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500,000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Cabin-Regular"/>
                <w:color w:val="5E6B87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Style w:val="30"/>
          <w:rFonts w:hint="eastAsia" w:ascii="仿宋" w:hAnsi="仿宋" w:eastAsia="仿宋" w:cs="仿宋"/>
          <w:sz w:val="28"/>
          <w:szCs w:val="28"/>
        </w:rPr>
      </w:pPr>
      <w:r>
        <w:rPr>
          <w:rStyle w:val="30"/>
          <w:rFonts w:hint="eastAsia" w:ascii="仿宋" w:hAnsi="仿宋" w:eastAsia="仿宋" w:cs="仿宋"/>
          <w:sz w:val="28"/>
          <w:szCs w:val="28"/>
        </w:rPr>
        <w:t>注：1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.</w:t>
      </w:r>
      <w:r>
        <w:rPr>
          <w:rStyle w:val="30"/>
          <w:rFonts w:hint="eastAsia" w:ascii="仿宋" w:hAnsi="仿宋" w:eastAsia="仿宋" w:cs="仿宋"/>
          <w:sz w:val="28"/>
          <w:szCs w:val="28"/>
        </w:rPr>
        <w:t>报价超出预算金额的列为无效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响应</w:t>
      </w:r>
      <w:r>
        <w:rPr>
          <w:rStyle w:val="30"/>
          <w:rFonts w:hint="eastAsia" w:ascii="仿宋" w:hAnsi="仿宋" w:eastAsia="仿宋" w:cs="仿宋"/>
          <w:sz w:val="28"/>
          <w:szCs w:val="28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baseline"/>
        <w:rPr>
          <w:rStyle w:val="30"/>
          <w:rFonts w:hint="eastAsia" w:ascii="仿宋" w:hAnsi="仿宋" w:eastAsia="仿宋" w:cs="仿宋"/>
          <w:sz w:val="28"/>
          <w:szCs w:val="28"/>
        </w:rPr>
      </w:pP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2.供应商</w:t>
      </w:r>
      <w:r>
        <w:rPr>
          <w:rStyle w:val="30"/>
          <w:rFonts w:hint="eastAsia" w:ascii="仿宋" w:hAnsi="仿宋" w:eastAsia="仿宋" w:cs="仿宋"/>
          <w:sz w:val="28"/>
          <w:szCs w:val="28"/>
        </w:rPr>
        <w:t>必须对本项目的全部内容进行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响应</w:t>
      </w:r>
      <w:r>
        <w:rPr>
          <w:rStyle w:val="30"/>
          <w:rFonts w:hint="eastAsia" w:ascii="仿宋" w:hAnsi="仿宋" w:eastAsia="仿宋" w:cs="仿宋"/>
          <w:sz w:val="28"/>
          <w:szCs w:val="28"/>
        </w:rPr>
        <w:t>报价，如有缺漏，将导致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响应</w:t>
      </w:r>
      <w:r>
        <w:rPr>
          <w:rStyle w:val="30"/>
          <w:rFonts w:hint="eastAsia" w:ascii="仿宋" w:hAnsi="仿宋" w:eastAsia="仿宋" w:cs="仿宋"/>
          <w:sz w:val="28"/>
          <w:szCs w:val="28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baseline"/>
        <w:rPr>
          <w:rStyle w:val="30"/>
          <w:rFonts w:hint="eastAsia" w:ascii="仿宋" w:hAnsi="仿宋" w:eastAsia="仿宋" w:cs="仿宋"/>
          <w:sz w:val="28"/>
          <w:szCs w:val="28"/>
        </w:rPr>
      </w:pPr>
      <w:r>
        <w:rPr>
          <w:rStyle w:val="30"/>
          <w:rFonts w:hint="eastAsia" w:ascii="仿宋" w:hAnsi="仿宋" w:eastAsia="仿宋" w:cs="仿宋"/>
          <w:sz w:val="28"/>
          <w:szCs w:val="28"/>
        </w:rPr>
        <w:t>3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.响应</w:t>
      </w:r>
      <w:r>
        <w:rPr>
          <w:rStyle w:val="30"/>
          <w:rFonts w:hint="eastAsia" w:ascii="仿宋" w:hAnsi="仿宋" w:eastAsia="仿宋" w:cs="仿宋"/>
          <w:sz w:val="28"/>
          <w:szCs w:val="28"/>
        </w:rPr>
        <w:t>报价应为人民币含税全包价，包括测试、运输、安装调试、验收、培训等一切费用。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Cabin-Regula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30"/>
          <w:rFonts w:hint="eastAsia" w:ascii="仿宋" w:hAnsi="仿宋" w:eastAsia="仿宋" w:cs="仿宋"/>
          <w:sz w:val="28"/>
          <w:szCs w:val="28"/>
        </w:rPr>
        <w:t>4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.磋商小组</w:t>
      </w:r>
      <w:r>
        <w:rPr>
          <w:rStyle w:val="30"/>
          <w:rFonts w:hint="eastAsia" w:ascii="仿宋" w:hAnsi="仿宋" w:eastAsia="仿宋" w:cs="仿宋"/>
          <w:sz w:val="28"/>
          <w:szCs w:val="28"/>
        </w:rPr>
        <w:t>认为供应商的报价明显低于其他通过符合性审查供应商的报价，有可能影响产品质量或者不能诚信履约的，应当要求其在评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审</w:t>
      </w:r>
      <w:r>
        <w:rPr>
          <w:rStyle w:val="30"/>
          <w:rFonts w:hint="eastAsia" w:ascii="仿宋" w:hAnsi="仿宋" w:eastAsia="仿宋" w:cs="仿宋"/>
          <w:sz w:val="28"/>
          <w:szCs w:val="28"/>
        </w:rPr>
        <w:t>现场合理的时间内提供书面说明，必要时提交相关证明材料；供应商不能证明其报价合理性的，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磋商小组</w:t>
      </w:r>
      <w:r>
        <w:rPr>
          <w:rStyle w:val="30"/>
          <w:rFonts w:hint="eastAsia" w:ascii="仿宋" w:hAnsi="仿宋" w:eastAsia="仿宋" w:cs="仿宋"/>
          <w:sz w:val="28"/>
          <w:szCs w:val="28"/>
        </w:rPr>
        <w:t>应当将其作为无效</w:t>
      </w:r>
      <w:r>
        <w:rPr>
          <w:rStyle w:val="30"/>
          <w:rFonts w:hint="eastAsia" w:ascii="仿宋" w:hAnsi="仿宋" w:eastAsia="仿宋" w:cs="仿宋"/>
          <w:sz w:val="28"/>
          <w:szCs w:val="28"/>
          <w:lang w:val="en-US"/>
        </w:rPr>
        <w:t>响应</w:t>
      </w:r>
      <w:r>
        <w:rPr>
          <w:rStyle w:val="30"/>
          <w:rFonts w:hint="eastAsia" w:ascii="仿宋" w:hAnsi="仿宋" w:eastAsia="仿宋" w:cs="仿宋"/>
          <w:sz w:val="28"/>
          <w:szCs w:val="28"/>
        </w:rPr>
        <w:t>处理。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（四）技术要求与商务要求</w:t>
      </w:r>
    </w:p>
    <w:p>
      <w:pPr>
        <w:spacing w:line="360" w:lineRule="auto"/>
        <w:rPr>
          <w:rFonts w:hint="eastAsia" w:ascii="仿宋" w:hAnsi="仿宋" w:eastAsia="仿宋"/>
          <w:sz w:val="28"/>
          <w:szCs w:val="36"/>
          <w:lang w:eastAsia="zh-CN"/>
        </w:rPr>
      </w:pPr>
      <w:r>
        <w:rPr>
          <w:rFonts w:hint="eastAsia" w:ascii="仿宋" w:hAnsi="仿宋" w:eastAsia="仿宋"/>
          <w:sz w:val="28"/>
          <w:szCs w:val="36"/>
        </w:rPr>
        <w:t>1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.采购项目清单及详细技术要求</w:t>
      </w:r>
    </w:p>
    <w:tbl>
      <w:tblPr>
        <w:tblStyle w:val="12"/>
        <w:tblW w:w="10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154"/>
        <w:gridCol w:w="840"/>
        <w:gridCol w:w="810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zh-CN" w:eastAsia="zh-CN" w:bidi="ar-SA"/>
              </w:rPr>
              <w:t>序号</w:t>
            </w:r>
          </w:p>
        </w:tc>
        <w:tc>
          <w:tcPr>
            <w:tcW w:w="5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  <w:t>服务内容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zh-CN" w:eastAsia="zh-CN" w:bidi="ar-SA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6"/>
                <w:sz w:val="28"/>
                <w:szCs w:val="28"/>
                <w:lang w:val="en-US" w:eastAsia="zh-CN" w:bidi="ar-SA"/>
              </w:rPr>
              <w:t>履行期限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1</w:t>
            </w:r>
          </w:p>
        </w:tc>
        <w:tc>
          <w:tcPr>
            <w:tcW w:w="5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编制</w:t>
            </w:r>
            <w:r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曲江区农村生活污水治理问题清单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月完成项目结题验收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2</w:t>
            </w:r>
          </w:p>
        </w:tc>
        <w:tc>
          <w:tcPr>
            <w:tcW w:w="5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编制曲江区农村生活污水治理模式调整清单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月完成项目结题验收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编制《</w:t>
            </w:r>
            <w:r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曲江区农村生活污水处理设施提升改造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技术报告》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6"/>
                <w:sz w:val="28"/>
                <w:szCs w:val="28"/>
                <w:lang w:val="zh-CN" w:eastAsia="zh-CN" w:bidi="ar-SA"/>
              </w:rPr>
              <w:t>月完成项目结题验收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2.采购服务内容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（1）整理与分析治理情况数据资料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收集整理曲江区的农村生活污水治理概况资料，包括已完成治理村庄自然条件资料、涉及敏感生态环境情况、村庄基本情况，工程建设图纸及已建农村生活污水处理设施的基本信息、运行情况，通过分析统计对曲江区农村生活污水治理的情况进行分类整理，形成排查评估的基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（2）开展实地摸排调研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对曲江区农村生活污水处理设施开展全面摸排调研，设置针对性排查评估表，结合已分析基础资料，进一步深入村庄现场和设施站点调查具体情况，主要调查以下内容：结合各行政村、自然村地理位置，分析涉及敏感环境情况，现场调查了解村庄人口规模、改厕情况，排水情况。进一步调查污水收集系统的覆盖、收集情况，管网运行使用情况。了解已建农村生活污水处理设施基本情况，现场调查设施运行使用情况以及设施现状质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（3）问题分析与优化提升建议研究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梳理分析调研成果，全面总结各村庄治理情况及存在问题，按照调整治理模式类、提升改造类、运维修复类3个类别，结合治理需求，对设施进行分类，针对性的提出可行的提升改造建议，形成问题清单和模式调整清单。对列入提升改造类清单的村庄，初步确定提升改造方案，并核算工程量及费用，根据省市下达治理任务计划，制定2023-2025年提升改造计划，编制《曲江区农村生活污水处理设施提升改造技术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（1）交付时间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2023年11月底提交初步研究成果，2023年12月完成项目结题验收。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（2）地点：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按采购人指定地点交付。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（3）付款进度和方式：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1）双方签署合同且采购人收到成交供应商开具的服务发票后15个工作日内，采购人依照合同约定的具体条款，向成交供应商支付合同总额60%款项；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2）成交供应商完成方案编制并通过专家评审验收，采购人收到成交供应商开具的服务发票后20个工作日内，采购人向成交供应商支付合同额剩余40%款项。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3）本项目的每笔款项以人民币转账方式支付，成交供应商凭以下资料办理支付手续：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①合同；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②成交供应商开具的正式发票及银行共管帐户；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③成果报告（加盖采购人公章）。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（4）验收要求：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1）符合国家安全质量相关标准、环保标准或行业标准；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2）符合磋商文件和供应商报价文件的各项要求；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3）成果形式：提交《曲江区农村生活污水治理问题清单》、《曲江区农村生活污水治理模式调整清单》和《曲江区农村生活污水处理设施提升改造技术报告》原件3份，扫描件1份；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4）《曲江区农村生活污水治理问题清单》、《曲江区农村生活污水治理模式调整清单》和《曲江区农村生活污水处理设施提升改造技术报告》通过专家评审验收。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（5）报价要求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响应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报价一律以人民币报价，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响应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报价被视为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供应商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的最后报价或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成交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价，其中包括所有服务内容价格，包含税费、安装、施工、运杂费、检测费、项目措施费、施工材料上楼和办公设备搬运费、办公场所施工配套费、专业电路施工费、招标代理服务费及不可预见费用等；中标供应商投标总价为签订合同价格。在合同有效期内，合同价不受市场价格变化的影响。</w:t>
      </w:r>
    </w:p>
    <w:sectPr>
      <w:headerReference r:id="rId5" w:type="default"/>
      <w:footerReference r:id="rId6" w:type="default"/>
      <w:type w:val="continuous"/>
      <w:pgSz w:w="11900" w:h="16840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693E1-BC11-4029-9D61-DECAC8065C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D5FBE8-58AC-4D00-9136-D5D8DF4B74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37286CE-D6B6-4999-A4AB-DEA6B9DB4E42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I0MTkxNzkyMjg2ZjFiMWI3OGE5ZmRmYjUwNDg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274B5A"/>
    <w:rsid w:val="0D963232"/>
    <w:rsid w:val="0E3176E6"/>
    <w:rsid w:val="24174945"/>
    <w:rsid w:val="24CF5440"/>
    <w:rsid w:val="254F1D14"/>
    <w:rsid w:val="263B71BF"/>
    <w:rsid w:val="26E928E0"/>
    <w:rsid w:val="2A574CBB"/>
    <w:rsid w:val="2BF413EA"/>
    <w:rsid w:val="30110809"/>
    <w:rsid w:val="35F70655"/>
    <w:rsid w:val="3DE75F30"/>
    <w:rsid w:val="3E2B7B2F"/>
    <w:rsid w:val="3EA45EE2"/>
    <w:rsid w:val="442F13DF"/>
    <w:rsid w:val="45795008"/>
    <w:rsid w:val="4BE83164"/>
    <w:rsid w:val="58E34992"/>
    <w:rsid w:val="61A54544"/>
    <w:rsid w:val="656169A6"/>
    <w:rsid w:val="65FB49E1"/>
    <w:rsid w:val="6ED92188"/>
    <w:rsid w:val="71CB5E83"/>
    <w:rsid w:val="728F3D2C"/>
    <w:rsid w:val="74394FB6"/>
    <w:rsid w:val="79B51CAF"/>
    <w:rsid w:val="79ED32F3"/>
    <w:rsid w:val="7A205476"/>
    <w:rsid w:val="7BE01E7B"/>
    <w:rsid w:val="7DC7140E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uto"/>
      <w:ind w:firstLine="420"/>
      <w:jc w:val="both"/>
    </w:pPr>
    <w:rPr>
      <w:rFonts w:ascii="Times New Roman" w:hAnsi="Times New Roman" w:eastAsia="宋体"/>
      <w:sz w:val="21"/>
      <w:szCs w:val="20"/>
    </w:rPr>
  </w:style>
  <w:style w:type="paragraph" w:styleId="5">
    <w:name w:val="annotation text"/>
    <w:basedOn w:val="1"/>
    <w:link w:val="26"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楷体_GB2312" w:cs="Times New Roman"/>
      <w:sz w:val="26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9">
    <w:name w:val="正文正"/>
    <w:basedOn w:val="20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paragraph" w:customStyle="1" w:styleId="20">
    <w:name w:val="正文 New New New New New New New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customStyle="1" w:styleId="21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3">
    <w:name w:val="批注框文本 字符"/>
    <w:basedOn w:val="14"/>
    <w:link w:val="8"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4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8">
    <w:name w:val="标题 1 字符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NormalCharacter"/>
    <w:qFormat/>
    <w:uiPriority w:val="0"/>
    <w:rPr>
      <w:rFonts w:ascii="宋体" w:hAnsi="宋体" w:eastAsia="仿宋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7</Pages>
  <Words>2231</Words>
  <Characters>2319</Characters>
  <Lines>17</Lines>
  <Paragraphs>4</Paragraphs>
  <TotalTime>1</TotalTime>
  <ScaleCrop>false</ScaleCrop>
  <LinksUpToDate>false</LinksUpToDate>
  <CharactersWithSpaces>2332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Liu</cp:lastModifiedBy>
  <cp:lastPrinted>2021-08-04T06:09:00Z</cp:lastPrinted>
  <dcterms:modified xsi:type="dcterms:W3CDTF">2023-10-16T06:49:36Z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133F7374E2834C70BCB2FC67E19F03C0_13</vt:lpwstr>
  </property>
</Properties>
</file>