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bCs/>
          <w:kern w:val="36"/>
          <w:sz w:val="44"/>
          <w:szCs w:val="44"/>
        </w:rPr>
      </w:pPr>
      <w:bookmarkStart w:id="0" w:name="zhengwen"/>
      <w:r>
        <w:rPr>
          <w:rFonts w:hint="eastAsia" w:ascii="方正小标宋简体" w:eastAsia="方正小标宋简体"/>
          <w:bCs/>
          <w:kern w:val="36"/>
          <w:sz w:val="44"/>
          <w:szCs w:val="44"/>
        </w:rPr>
        <w:t>韶关市供给侧结构性改革</w:t>
      </w:r>
      <w:r>
        <w:rPr>
          <w:rFonts w:ascii="方正小标宋简体" w:eastAsia="方正小标宋简体"/>
          <w:bCs/>
          <w:kern w:val="36"/>
          <w:sz w:val="44"/>
          <w:szCs w:val="44"/>
        </w:rPr>
        <w:t>2018</w:t>
      </w:r>
      <w:r>
        <w:rPr>
          <w:rFonts w:hint="eastAsia" w:ascii="方正小标宋简体" w:eastAsia="方正小标宋简体"/>
          <w:bCs/>
          <w:kern w:val="36"/>
          <w:sz w:val="44"/>
          <w:szCs w:val="44"/>
        </w:rPr>
        <w:t>年</w:t>
      </w:r>
    </w:p>
    <w:p>
      <w:pPr>
        <w:spacing w:line="600" w:lineRule="exact"/>
        <w:jc w:val="center"/>
        <w:outlineLvl w:val="0"/>
        <w:rPr>
          <w:rFonts w:ascii="方正小标宋简体" w:eastAsia="方正小标宋简体"/>
          <w:bCs/>
          <w:kern w:val="36"/>
          <w:sz w:val="44"/>
          <w:szCs w:val="44"/>
        </w:rPr>
      </w:pPr>
      <w:r>
        <w:rPr>
          <w:rFonts w:hint="eastAsia" w:ascii="方正小标宋简体" w:eastAsia="方正小标宋简体"/>
          <w:bCs/>
          <w:kern w:val="36"/>
          <w:sz w:val="44"/>
          <w:szCs w:val="44"/>
        </w:rPr>
        <w:t>去产能工作方案</w:t>
      </w:r>
    </w:p>
    <w:p>
      <w:pPr>
        <w:autoSpaceDN w:val="0"/>
        <w:spacing w:line="560" w:lineRule="exact"/>
        <w:rPr>
          <w:color w:val="000000"/>
          <w:kern w:val="0"/>
          <w:sz w:val="21"/>
          <w:szCs w:val="21"/>
        </w:rPr>
      </w:pPr>
    </w:p>
    <w:p>
      <w:pPr>
        <w:autoSpaceDN w:val="0"/>
        <w:spacing w:line="540" w:lineRule="exact"/>
        <w:ind w:firstLine="640"/>
        <w:rPr>
          <w:color w:val="000000"/>
          <w:kern w:val="0"/>
        </w:rPr>
      </w:pPr>
      <w:r>
        <w:rPr>
          <w:rFonts w:hint="eastAsia"/>
          <w:color w:val="000000"/>
          <w:kern w:val="0"/>
        </w:rPr>
        <w:t>为深入推进供给侧结构性改革去产能工作，落实年度工作任务和责任分工，按照省的部署要求，对照《韶关市人民政府关于印发韶关市供给侧结构性改革总体方案（</w:t>
      </w:r>
      <w:r>
        <w:rPr>
          <w:color w:val="000000"/>
          <w:kern w:val="0"/>
        </w:rPr>
        <w:t>2016—2018</w:t>
      </w:r>
      <w:r>
        <w:rPr>
          <w:rFonts w:hint="eastAsia"/>
          <w:color w:val="000000"/>
          <w:kern w:val="0"/>
        </w:rPr>
        <w:t>年）及五个行动计划的通知》（韶府〔</w:t>
      </w:r>
      <w:r>
        <w:rPr>
          <w:color w:val="000000"/>
          <w:kern w:val="0"/>
        </w:rPr>
        <w:t>2016</w:t>
      </w:r>
      <w:r>
        <w:rPr>
          <w:rFonts w:hint="eastAsia"/>
          <w:color w:val="000000"/>
          <w:kern w:val="0"/>
        </w:rPr>
        <w:t>〕</w:t>
      </w:r>
      <w:r>
        <w:rPr>
          <w:color w:val="000000"/>
          <w:kern w:val="0"/>
        </w:rPr>
        <w:t>17</w:t>
      </w:r>
      <w:r>
        <w:rPr>
          <w:rFonts w:hint="eastAsia"/>
          <w:color w:val="000000"/>
          <w:kern w:val="0"/>
        </w:rPr>
        <w:t>号）中的有关目标、任务要求，现制定我市</w:t>
      </w:r>
      <w:r>
        <w:rPr>
          <w:color w:val="000000"/>
          <w:kern w:val="0"/>
        </w:rPr>
        <w:t>2018</w:t>
      </w:r>
      <w:r>
        <w:rPr>
          <w:rFonts w:hint="eastAsia"/>
          <w:color w:val="000000"/>
          <w:kern w:val="0"/>
        </w:rPr>
        <w:t>年度去产能工作方案。</w:t>
      </w:r>
    </w:p>
    <w:p>
      <w:pPr>
        <w:autoSpaceDN w:val="0"/>
        <w:spacing w:line="540" w:lineRule="exact"/>
        <w:ind w:firstLine="640"/>
        <w:rPr>
          <w:rFonts w:ascii="黑体" w:hAnsi="黑体" w:eastAsia="黑体"/>
          <w:kern w:val="0"/>
        </w:rPr>
      </w:pPr>
      <w:r>
        <w:rPr>
          <w:rFonts w:hint="eastAsia" w:ascii="黑体" w:hAnsi="黑体" w:eastAsia="黑体"/>
          <w:kern w:val="0"/>
        </w:rPr>
        <w:t>一、总体要求和目标任务</w:t>
      </w:r>
    </w:p>
    <w:p>
      <w:pPr>
        <w:autoSpaceDN w:val="0"/>
        <w:spacing w:line="540" w:lineRule="exact"/>
        <w:ind w:firstLine="640"/>
        <w:rPr>
          <w:rFonts w:ascii="楷体_GB2312" w:eastAsia="楷体_GB2312"/>
          <w:kern w:val="0"/>
        </w:rPr>
      </w:pPr>
      <w:r>
        <w:rPr>
          <w:rFonts w:hint="eastAsia" w:ascii="楷体_GB2312" w:eastAsia="楷体_GB2312"/>
          <w:kern w:val="0"/>
        </w:rPr>
        <w:t>（一）总体要求。</w:t>
      </w:r>
    </w:p>
    <w:p>
      <w:pPr>
        <w:autoSpaceDN w:val="0"/>
        <w:spacing w:line="540" w:lineRule="exact"/>
        <w:ind w:firstLine="640"/>
        <w:rPr>
          <w:color w:val="000000"/>
          <w:kern w:val="0"/>
        </w:rPr>
      </w:pPr>
      <w:r>
        <w:rPr>
          <w:rFonts w:hint="eastAsia"/>
          <w:color w:val="000000"/>
          <w:kern w:val="0"/>
        </w:rPr>
        <w:t>牢固树立和贯彻落实创新、协调、绿色、开放、共享的发展理念，主动适应和引领经济发展新常态，以实施去产能行动为契机，大力促进产业转型升级，积极承接珠三角产业转移，着力调整产业结构、优化产业布局。按照企业主体、政府推动、市场引导、依法处置、分业施策、标本兼治的原则，积极稳妥处置“僵尸企业”，积极淘汰落后产能和化解过剩产能，着力建立产能结构优化长效机制，不断提高供给体系质量和效率，加快推进产业转型升级。</w:t>
      </w:r>
    </w:p>
    <w:p>
      <w:pPr>
        <w:autoSpaceDN w:val="0"/>
        <w:spacing w:line="540" w:lineRule="exact"/>
        <w:ind w:firstLine="640"/>
        <w:rPr>
          <w:rFonts w:ascii="楷体_GB2312" w:eastAsia="楷体_GB2312"/>
          <w:bCs/>
          <w:kern w:val="0"/>
        </w:rPr>
      </w:pPr>
      <w:r>
        <w:rPr>
          <w:rFonts w:hint="eastAsia" w:ascii="楷体_GB2312" w:eastAsia="楷体_GB2312"/>
          <w:bCs/>
          <w:kern w:val="0"/>
        </w:rPr>
        <w:t>（二）目标任务。</w:t>
      </w:r>
    </w:p>
    <w:p>
      <w:pPr>
        <w:autoSpaceDN w:val="0"/>
        <w:spacing w:line="540" w:lineRule="exact"/>
        <w:ind w:firstLine="640"/>
        <w:rPr>
          <w:color w:val="000000"/>
          <w:kern w:val="0"/>
        </w:rPr>
      </w:pPr>
      <w:r>
        <w:rPr>
          <w:color w:val="000000"/>
          <w:kern w:val="0"/>
        </w:rPr>
        <w:t>1</w:t>
      </w:r>
      <w:r>
        <w:rPr>
          <w:rFonts w:hint="eastAsia"/>
          <w:color w:val="000000"/>
          <w:kern w:val="0"/>
        </w:rPr>
        <w:t>．“僵尸企业”市场出清稳步推进。到</w:t>
      </w:r>
      <w:r>
        <w:rPr>
          <w:color w:val="000000"/>
          <w:kern w:val="0"/>
        </w:rPr>
        <w:t>2018</w:t>
      </w:r>
      <w:r>
        <w:rPr>
          <w:rFonts w:hint="eastAsia"/>
          <w:color w:val="000000"/>
          <w:kern w:val="0"/>
        </w:rPr>
        <w:t>年底，基本实现“僵尸企业”市场出清，国有资本配置效率显著提高，国有经济结构明显优化。非国有“僵尸企业”经营性亏损企业亏损额显著下降，规范有序的企业退出机制进一步完善，基本实现市场出清。</w:t>
      </w:r>
    </w:p>
    <w:p>
      <w:pPr>
        <w:autoSpaceDN w:val="0"/>
        <w:spacing w:line="540" w:lineRule="exact"/>
        <w:ind w:firstLine="640"/>
        <w:rPr>
          <w:color w:val="000000"/>
          <w:kern w:val="0"/>
        </w:rPr>
      </w:pPr>
      <w:r>
        <w:rPr>
          <w:color w:val="000000"/>
          <w:kern w:val="0"/>
        </w:rPr>
        <w:t>2</w:t>
      </w:r>
      <w:r>
        <w:rPr>
          <w:rFonts w:hint="eastAsia"/>
          <w:color w:val="000000"/>
          <w:kern w:val="0"/>
        </w:rPr>
        <w:t>．落后产能和过剩产能加快退出。到</w:t>
      </w:r>
      <w:r>
        <w:rPr>
          <w:color w:val="000000"/>
          <w:kern w:val="0"/>
        </w:rPr>
        <w:t>2018</w:t>
      </w:r>
      <w:r>
        <w:rPr>
          <w:rFonts w:hint="eastAsia"/>
          <w:color w:val="000000"/>
          <w:kern w:val="0"/>
        </w:rPr>
        <w:t>年底，全面完成省下达的淘汰落后产能任务，钢铁、水泥等重点行业产能利用率达到合理水平，产品结构进一步优化，核心竞争力明显增强。通过完善综合标准体系，严格常态化执法和强制性标准实施，促使一批能耗、环保、安全技术达不到标准和生产不合格产品或淘汰类产能依法依规关停退出，环境质量得到改善。</w:t>
      </w:r>
    </w:p>
    <w:p>
      <w:pPr>
        <w:autoSpaceDN w:val="0"/>
        <w:spacing w:line="540" w:lineRule="exact"/>
        <w:ind w:firstLine="640"/>
        <w:rPr>
          <w:color w:val="000000"/>
          <w:kern w:val="0"/>
        </w:rPr>
      </w:pPr>
      <w:r>
        <w:rPr>
          <w:color w:val="000000"/>
          <w:kern w:val="0"/>
        </w:rPr>
        <w:t>3</w:t>
      </w:r>
      <w:r>
        <w:rPr>
          <w:rFonts w:hint="eastAsia"/>
          <w:color w:val="000000"/>
          <w:kern w:val="0"/>
        </w:rPr>
        <w:t>．承接产业转移成效明显。</w:t>
      </w:r>
      <w:r>
        <w:rPr>
          <w:color w:val="000000"/>
          <w:kern w:val="0"/>
        </w:rPr>
        <w:t>2018</w:t>
      </w:r>
      <w:r>
        <w:rPr>
          <w:rFonts w:hint="eastAsia"/>
          <w:color w:val="000000"/>
          <w:kern w:val="0"/>
        </w:rPr>
        <w:t>年，承接珠三角地区产业转移项目</w:t>
      </w:r>
      <w:r>
        <w:rPr>
          <w:color w:val="000000"/>
          <w:kern w:val="0"/>
        </w:rPr>
        <w:t>30</w:t>
      </w:r>
      <w:r>
        <w:rPr>
          <w:rFonts w:hint="eastAsia"/>
          <w:color w:val="000000"/>
          <w:kern w:val="0"/>
        </w:rPr>
        <w:t>个，实现产业园工业投资增长</w:t>
      </w:r>
      <w:r>
        <w:rPr>
          <w:color w:val="000000"/>
          <w:kern w:val="0"/>
        </w:rPr>
        <w:t>20%</w:t>
      </w:r>
      <w:r>
        <w:rPr>
          <w:rFonts w:hint="eastAsia"/>
          <w:color w:val="000000"/>
          <w:kern w:val="0"/>
        </w:rPr>
        <w:t>，规上工业增加值增长</w:t>
      </w:r>
      <w:r>
        <w:rPr>
          <w:color w:val="000000"/>
          <w:kern w:val="0"/>
        </w:rPr>
        <w:t>12%</w:t>
      </w:r>
      <w:r>
        <w:rPr>
          <w:rFonts w:hint="eastAsia"/>
          <w:color w:val="000000"/>
          <w:kern w:val="0"/>
        </w:rPr>
        <w:t>。</w:t>
      </w:r>
    </w:p>
    <w:p>
      <w:pPr>
        <w:autoSpaceDN w:val="0"/>
        <w:spacing w:line="540" w:lineRule="exact"/>
        <w:ind w:firstLine="640"/>
        <w:rPr>
          <w:rFonts w:ascii="黑体" w:hAnsi="黑体" w:eastAsia="黑体"/>
          <w:kern w:val="0"/>
        </w:rPr>
      </w:pPr>
      <w:r>
        <w:rPr>
          <w:rFonts w:hint="eastAsia" w:ascii="黑体" w:hAnsi="黑体" w:eastAsia="黑体"/>
          <w:kern w:val="0"/>
        </w:rPr>
        <w:t>二、工作措施和责任分工</w:t>
      </w:r>
    </w:p>
    <w:p>
      <w:pPr>
        <w:autoSpaceDN w:val="0"/>
        <w:spacing w:line="540" w:lineRule="exact"/>
        <w:ind w:firstLine="640"/>
        <w:rPr>
          <w:rFonts w:ascii="楷体_GB2312" w:eastAsia="楷体_GB2312"/>
          <w:color w:val="000000"/>
          <w:kern w:val="0"/>
        </w:rPr>
      </w:pPr>
      <w:r>
        <w:rPr>
          <w:rFonts w:hint="eastAsia" w:ascii="楷体_GB2312" w:eastAsia="楷体_GB2312"/>
          <w:color w:val="000000"/>
          <w:kern w:val="0"/>
        </w:rPr>
        <w:t>（一）有序推进国有“僵尸企业”处置。</w:t>
      </w:r>
      <w:r>
        <w:rPr>
          <w:rFonts w:hint="eastAsia" w:ascii="楷体_GB2312" w:hAnsi="黑体" w:eastAsia="楷体_GB2312"/>
          <w:color w:val="000000"/>
          <w:kern w:val="0"/>
        </w:rPr>
        <w:t>（市国资委负责）</w:t>
      </w:r>
    </w:p>
    <w:p>
      <w:pPr>
        <w:autoSpaceDN w:val="0"/>
        <w:spacing w:line="540" w:lineRule="exact"/>
        <w:ind w:firstLine="640"/>
        <w:rPr>
          <w:color w:val="000000"/>
          <w:kern w:val="0"/>
        </w:rPr>
      </w:pPr>
      <w:r>
        <w:rPr>
          <w:color w:val="000000"/>
          <w:kern w:val="0"/>
        </w:rPr>
        <w:t>1.</w:t>
      </w:r>
      <w:r>
        <w:rPr>
          <w:rFonts w:hint="eastAsia"/>
          <w:color w:val="000000"/>
          <w:kern w:val="0"/>
        </w:rPr>
        <w:t>充分发挥处置平台功能，坚持规范有序操作，积极推进纳入托管平台处置国有企业后续处置工作，巩固国有‘僵尸企业’出清成果。</w:t>
      </w:r>
    </w:p>
    <w:p>
      <w:pPr>
        <w:autoSpaceDN w:val="0"/>
        <w:spacing w:line="540" w:lineRule="exact"/>
        <w:ind w:firstLine="640"/>
        <w:rPr>
          <w:color w:val="000000"/>
          <w:kern w:val="0"/>
        </w:rPr>
      </w:pPr>
      <w:r>
        <w:rPr>
          <w:color w:val="000000"/>
          <w:kern w:val="0"/>
        </w:rPr>
        <w:t>2.</w:t>
      </w:r>
      <w:r>
        <w:rPr>
          <w:rFonts w:hint="eastAsia"/>
          <w:color w:val="000000"/>
          <w:kern w:val="0"/>
        </w:rPr>
        <w:t>分类处置非国有“僵尸企业”。</w:t>
      </w:r>
      <w:r>
        <w:rPr>
          <w:rFonts w:hint="eastAsia" w:ascii="楷体_GB2312" w:hAnsi="黑体" w:eastAsia="楷体_GB2312"/>
          <w:color w:val="000000"/>
          <w:kern w:val="0"/>
        </w:rPr>
        <w:t>（市经信局负责）</w:t>
      </w:r>
    </w:p>
    <w:p>
      <w:pPr>
        <w:autoSpaceDN w:val="0"/>
        <w:spacing w:line="540" w:lineRule="exact"/>
        <w:ind w:firstLine="640"/>
        <w:rPr>
          <w:color w:val="000000"/>
          <w:kern w:val="0"/>
        </w:rPr>
      </w:pPr>
      <w:r>
        <w:rPr>
          <w:rFonts w:hint="eastAsia"/>
          <w:color w:val="000000"/>
          <w:kern w:val="0"/>
        </w:rPr>
        <w:t>按照“企业主体、政府推动、市场引导、依法处置”的原则，统筹运用经济、行政、法律、金融等政策措施，采取市场化退出、兼并重组、扶持发展等方式，进行分类处置。</w:t>
      </w:r>
    </w:p>
    <w:p>
      <w:pPr>
        <w:autoSpaceDN w:val="0"/>
        <w:spacing w:line="540" w:lineRule="exact"/>
        <w:ind w:firstLine="640"/>
        <w:rPr>
          <w:rFonts w:ascii="楷体_GB2312" w:hAnsi="黑体" w:eastAsia="楷体_GB2312"/>
          <w:color w:val="000000"/>
          <w:kern w:val="0"/>
        </w:rPr>
      </w:pPr>
      <w:r>
        <w:rPr>
          <w:rFonts w:hint="eastAsia" w:ascii="楷体_GB2312" w:hAnsi="黑体" w:eastAsia="楷体_GB2312"/>
          <w:color w:val="000000"/>
          <w:kern w:val="0"/>
        </w:rPr>
        <w:t>（二）积极淘汰落后产能和化解过剩产能。</w:t>
      </w:r>
    </w:p>
    <w:p>
      <w:pPr>
        <w:autoSpaceDN w:val="0"/>
        <w:spacing w:line="540" w:lineRule="exact"/>
        <w:ind w:firstLine="640"/>
        <w:rPr>
          <w:color w:val="000000"/>
          <w:kern w:val="0"/>
        </w:rPr>
      </w:pPr>
      <w:r>
        <w:rPr>
          <w:color w:val="000000"/>
          <w:kern w:val="0"/>
        </w:rPr>
        <w:t>1</w:t>
      </w:r>
      <w:r>
        <w:rPr>
          <w:rFonts w:hint="eastAsia"/>
          <w:color w:val="000000"/>
          <w:kern w:val="0"/>
        </w:rPr>
        <w:t>．能耗方面。</w:t>
      </w:r>
      <w:r>
        <w:rPr>
          <w:rFonts w:hint="eastAsia" w:ascii="楷体_GB2312" w:hAnsi="黑体" w:eastAsia="楷体_GB2312"/>
          <w:color w:val="000000"/>
          <w:kern w:val="0"/>
        </w:rPr>
        <w:t>（市经信局负责）</w:t>
      </w:r>
    </w:p>
    <w:p>
      <w:pPr>
        <w:autoSpaceDN w:val="0"/>
        <w:spacing w:line="540" w:lineRule="exact"/>
        <w:ind w:firstLine="640"/>
        <w:rPr>
          <w:color w:val="000000"/>
          <w:kern w:val="0"/>
        </w:rPr>
      </w:pPr>
      <w:r>
        <w:rPr>
          <w:rFonts w:hint="eastAsia"/>
          <w:color w:val="000000"/>
          <w:kern w:val="0"/>
        </w:rPr>
        <w:t>一是开展能耗限额标准执行情况专项监察。严格执行《中华人民共和国节约能源法》，以钢铁、水泥等高耗能行业为重点，核查企业单位产品能耗水平和能耗限额标准执行情况，对达不到强制性能耗限额标准要求的产能，应在</w:t>
      </w:r>
      <w:r>
        <w:rPr>
          <w:color w:val="000000"/>
          <w:kern w:val="0"/>
        </w:rPr>
        <w:t>6</w:t>
      </w:r>
      <w:r>
        <w:rPr>
          <w:rFonts w:hint="eastAsia"/>
          <w:color w:val="000000"/>
          <w:kern w:val="0"/>
        </w:rPr>
        <w:t>个月内整改；确需延长整改期限的，可提出不超过</w:t>
      </w:r>
      <w:r>
        <w:rPr>
          <w:color w:val="000000"/>
          <w:kern w:val="0"/>
        </w:rPr>
        <w:t>3</w:t>
      </w:r>
      <w:r>
        <w:rPr>
          <w:rFonts w:hint="eastAsia"/>
          <w:color w:val="000000"/>
          <w:kern w:val="0"/>
        </w:rPr>
        <w:t>个月的延期申请；逾期未整改或经整改仍未达标的，依法关停退出。</w:t>
      </w:r>
    </w:p>
    <w:p>
      <w:pPr>
        <w:autoSpaceDN w:val="0"/>
        <w:spacing w:line="540" w:lineRule="exact"/>
        <w:ind w:firstLine="640"/>
        <w:rPr>
          <w:color w:val="000000"/>
          <w:kern w:val="0"/>
        </w:rPr>
      </w:pPr>
      <w:r>
        <w:rPr>
          <w:rFonts w:hint="eastAsia"/>
          <w:color w:val="000000"/>
          <w:kern w:val="0"/>
        </w:rPr>
        <w:t>二是开展水泥、钢铁行业阶梯电价政策执行情况专项核查。对全市水泥企业逐家现场监察，重点核查水泥产量及耗电量，严格按要求对水泥熟料及粉磨企业实施基于可比熟料（水泥）综合电耗水平的阶梯电价政策；对全市涉及粗钢生产主要工序的钢铁企业进行现场监察，内容包括钢铁企业基础情况数据，粗钢产量，烧结、球团、高炉、转炉工序产量和能耗，执行《粗钢生产主要工序单位产品能源消耗限额》（</w:t>
      </w:r>
      <w:r>
        <w:rPr>
          <w:color w:val="000000"/>
          <w:kern w:val="0"/>
        </w:rPr>
        <w:t>GB21256—2013</w:t>
      </w:r>
      <w:r>
        <w:rPr>
          <w:rFonts w:hint="eastAsia"/>
          <w:color w:val="000000"/>
          <w:kern w:val="0"/>
        </w:rPr>
        <w:t>）情况，节能管理措施情况等。对钢铁企业严格执行基于粗钢生产主要工序单位产品能耗水平的阶梯电价政策。</w:t>
      </w:r>
    </w:p>
    <w:p>
      <w:pPr>
        <w:autoSpaceDN w:val="0"/>
        <w:spacing w:line="540" w:lineRule="exact"/>
        <w:ind w:firstLine="640"/>
        <w:rPr>
          <w:color w:val="000000"/>
          <w:kern w:val="0"/>
        </w:rPr>
      </w:pPr>
      <w:r>
        <w:rPr>
          <w:color w:val="000000"/>
          <w:kern w:val="0"/>
        </w:rPr>
        <w:t>2</w:t>
      </w:r>
      <w:r>
        <w:rPr>
          <w:rFonts w:hint="eastAsia"/>
          <w:color w:val="000000"/>
          <w:kern w:val="0"/>
        </w:rPr>
        <w:t>．环保方面。</w:t>
      </w:r>
      <w:r>
        <w:rPr>
          <w:rFonts w:hint="eastAsia" w:ascii="楷体_GB2312" w:hAnsi="黑体" w:eastAsia="楷体_GB2312"/>
          <w:color w:val="000000"/>
          <w:kern w:val="0"/>
        </w:rPr>
        <w:t>（市环保局负责）</w:t>
      </w:r>
    </w:p>
    <w:p>
      <w:pPr>
        <w:autoSpaceDN w:val="0"/>
        <w:spacing w:line="540" w:lineRule="exact"/>
        <w:ind w:firstLine="640"/>
        <w:rPr>
          <w:color w:val="000000"/>
          <w:kern w:val="0"/>
        </w:rPr>
      </w:pPr>
      <w:r>
        <w:rPr>
          <w:rFonts w:hint="eastAsia"/>
          <w:color w:val="000000"/>
          <w:kern w:val="0"/>
        </w:rPr>
        <w:t>一是严格环保执法。依法依规处理环境违法行为，督促企业全面落实环保法律法规。进一步完善污染源自动监控系统，督促具备安装条件的钢铁、水泥等行业企业依法依规安装和运行污染源在线监控设备并与环保部门联网。对落后产能企业不得核发排污许可证，纳入排污许可证管理的所有企事业单位必须依法持证排污、按证排污，不得无证排污。</w:t>
      </w:r>
    </w:p>
    <w:p>
      <w:pPr>
        <w:autoSpaceDN w:val="0"/>
        <w:spacing w:line="540" w:lineRule="exact"/>
        <w:ind w:firstLine="640"/>
        <w:rPr>
          <w:color w:val="000000"/>
          <w:kern w:val="0"/>
        </w:rPr>
      </w:pPr>
      <w:r>
        <w:rPr>
          <w:rFonts w:hint="eastAsia"/>
          <w:color w:val="000000"/>
          <w:kern w:val="0"/>
        </w:rPr>
        <w:t>二是加强监督检查。结合各地实际情况，开展监督检查，对执法力度不严、落后产能退出推动不力的县（市、区）采取通报、约谈等方式进行督办。</w:t>
      </w:r>
    </w:p>
    <w:p>
      <w:pPr>
        <w:autoSpaceDN w:val="0"/>
        <w:spacing w:line="540" w:lineRule="exact"/>
        <w:ind w:firstLine="640"/>
        <w:rPr>
          <w:color w:val="000000"/>
          <w:kern w:val="0"/>
        </w:rPr>
      </w:pPr>
      <w:r>
        <w:rPr>
          <w:color w:val="000000"/>
          <w:kern w:val="0"/>
        </w:rPr>
        <w:t>3</w:t>
      </w:r>
      <w:r>
        <w:rPr>
          <w:rFonts w:hint="eastAsia"/>
          <w:color w:val="000000"/>
          <w:kern w:val="0"/>
        </w:rPr>
        <w:t>．质量方面。</w:t>
      </w:r>
      <w:r>
        <w:rPr>
          <w:rFonts w:hint="eastAsia" w:ascii="楷体_GB2312" w:hAnsi="黑体" w:eastAsia="楷体_GB2312"/>
          <w:color w:val="000000"/>
          <w:kern w:val="0"/>
        </w:rPr>
        <w:t>（市质监局负责）</w:t>
      </w:r>
    </w:p>
    <w:p>
      <w:pPr>
        <w:autoSpaceDN w:val="0"/>
        <w:spacing w:line="540" w:lineRule="exact"/>
        <w:ind w:firstLine="640"/>
        <w:rPr>
          <w:color w:val="000000"/>
          <w:kern w:val="0"/>
        </w:rPr>
      </w:pPr>
      <w:r>
        <w:rPr>
          <w:rFonts w:hint="eastAsia"/>
          <w:color w:val="000000"/>
          <w:kern w:val="0"/>
        </w:rPr>
        <w:t>一是严格生产许可。加强水泥、钢铁等行业工业产品生产许可证发放管理，公开企业获证情况；严格企业申请办理生产许可证符合性审查。加强产能严重过剩行业项目管理，对产能过剩行业新增产能项目，不得核准、备案，对使用落后产能设备（或工艺）等不符合产业政策要求的企业，一律不予受理申报（换发）生产许可证申请；加大违规无证生产企业的查处力度。</w:t>
      </w:r>
    </w:p>
    <w:p>
      <w:pPr>
        <w:autoSpaceDN w:val="0"/>
        <w:spacing w:line="540" w:lineRule="exact"/>
        <w:ind w:firstLine="640"/>
        <w:rPr>
          <w:color w:val="000000"/>
          <w:kern w:val="0"/>
        </w:rPr>
      </w:pPr>
      <w:r>
        <w:rPr>
          <w:rFonts w:hint="eastAsia"/>
          <w:color w:val="000000"/>
          <w:kern w:val="0"/>
        </w:rPr>
        <w:t>二是加大监督抽查及后处理力度。对钢铁、水泥等行业相关重点产品开展市级产品质量监督抽查，以问题为导向，对群众反映强烈和问题突出的区域、企业进行重点抽查，对监督抽查中发现的不合格产品及其生产企业百分百向社会公布，同时与社会信用体系相衔接，达到“一处违规、处处受限”的效果。</w:t>
      </w:r>
    </w:p>
    <w:p>
      <w:pPr>
        <w:autoSpaceDN w:val="0"/>
        <w:spacing w:line="540" w:lineRule="exact"/>
        <w:ind w:firstLine="641"/>
        <w:rPr>
          <w:color w:val="000000"/>
          <w:kern w:val="0"/>
        </w:rPr>
      </w:pPr>
      <w:r>
        <w:rPr>
          <w:rFonts w:hint="eastAsia"/>
          <w:color w:val="000000"/>
          <w:kern w:val="0"/>
        </w:rPr>
        <w:t>三是加强执法监督。严格执行产品质量法，对钢材、水泥等行业实施重点检查和举报投诉重点跟踪督办相结合的方式开展执法行动，对检查和举报属实的违法行为，严格按照有关规定处理。开展建材产品专项打假，重点加强建筑钢材（含地条钢）、水泥等产品的检查，对建材不合格发现率高的重点区域和突出问题开展重点整治。对相关产品质量达不到强制性标准要求的产能，依法查处并责令停产整改；在</w:t>
      </w:r>
      <w:r>
        <w:rPr>
          <w:color w:val="000000"/>
          <w:kern w:val="0"/>
        </w:rPr>
        <w:t>6</w:t>
      </w:r>
      <w:r>
        <w:rPr>
          <w:rFonts w:hint="eastAsia"/>
          <w:color w:val="000000"/>
          <w:kern w:val="0"/>
        </w:rPr>
        <w:t>个月内未整改或经整改仍未达标的，报经市人民政府依法关停退出。</w:t>
      </w:r>
    </w:p>
    <w:p>
      <w:pPr>
        <w:autoSpaceDN w:val="0"/>
        <w:spacing w:line="540" w:lineRule="exact"/>
        <w:ind w:firstLine="640"/>
        <w:rPr>
          <w:color w:val="000000"/>
          <w:kern w:val="0"/>
        </w:rPr>
      </w:pPr>
      <w:r>
        <w:rPr>
          <w:color w:val="000000"/>
          <w:kern w:val="0"/>
        </w:rPr>
        <w:t>4</w:t>
      </w:r>
      <w:r>
        <w:rPr>
          <w:rFonts w:hint="eastAsia"/>
          <w:color w:val="000000"/>
          <w:kern w:val="0"/>
        </w:rPr>
        <w:t>．安全方面。</w:t>
      </w:r>
      <w:r>
        <w:rPr>
          <w:rFonts w:hint="eastAsia" w:ascii="楷体_GB2312" w:hAnsi="黑体" w:eastAsia="楷体_GB2312"/>
          <w:color w:val="000000"/>
          <w:kern w:val="0"/>
        </w:rPr>
        <w:t>（市安监局负责）</w:t>
      </w:r>
    </w:p>
    <w:p>
      <w:pPr>
        <w:autoSpaceDN w:val="0"/>
        <w:spacing w:line="540" w:lineRule="exact"/>
        <w:ind w:firstLine="640"/>
        <w:rPr>
          <w:color w:val="000000"/>
          <w:kern w:val="0"/>
        </w:rPr>
      </w:pPr>
      <w:r>
        <w:rPr>
          <w:rFonts w:hint="eastAsia"/>
          <w:color w:val="000000"/>
          <w:kern w:val="0"/>
        </w:rPr>
        <w:t>一是建立企业监管档案。详实梳理钢铁、水泥、平板玻璃、电解铝行业企业安全生产情况，组织企业填报管理台账，建立安全监管档案，做到“一地一册、一企一表、一隐患一措施”。</w:t>
      </w:r>
    </w:p>
    <w:p>
      <w:pPr>
        <w:autoSpaceDN w:val="0"/>
        <w:spacing w:line="540" w:lineRule="exact"/>
        <w:ind w:firstLine="640"/>
        <w:rPr>
          <w:color w:val="000000"/>
          <w:kern w:val="0"/>
        </w:rPr>
      </w:pPr>
      <w:r>
        <w:rPr>
          <w:rFonts w:hint="eastAsia"/>
          <w:color w:val="000000"/>
          <w:kern w:val="0"/>
        </w:rPr>
        <w:t>二是开展专项执法。对水泥、钢铁行业重点企业逐一进行安全生产检查。一是组织集中专项执法检查，内容包括安全管理机构建设情况、《企业安全生产责任体系五落实五到位规定》落实情况、企业安全生产标准化建设情况、隐患排查治理情况、安全设施和职业病防护设施“三同时”情况、重要设备和危险物品管理等基本内容。二是依法加大对企业安全生产、职业卫生违法违规行为的监管执法力度。对安全生产条件达不到相关法律、行政法规和国家标准或行业标准要求的产能，立即停产停业整顿；经停产停业整顿仍不具备安全生产条件的，予以关闭；有关部门应当吊销其相关证照。</w:t>
      </w:r>
    </w:p>
    <w:p>
      <w:pPr>
        <w:autoSpaceDN w:val="0"/>
        <w:spacing w:line="540" w:lineRule="exact"/>
        <w:ind w:firstLine="640"/>
        <w:rPr>
          <w:color w:val="000000"/>
          <w:kern w:val="0"/>
        </w:rPr>
      </w:pPr>
      <w:r>
        <w:rPr>
          <w:rFonts w:hint="eastAsia"/>
          <w:color w:val="000000"/>
          <w:kern w:val="0"/>
        </w:rPr>
        <w:t>三是指导企业提高安全管理水平。推进企业安全生产标准化建设，强化安全培训教育，督促企业加强安全风险管控。</w:t>
      </w:r>
    </w:p>
    <w:p>
      <w:pPr>
        <w:autoSpaceDN w:val="0"/>
        <w:spacing w:line="540" w:lineRule="exact"/>
        <w:ind w:firstLine="640"/>
        <w:rPr>
          <w:rFonts w:ascii="楷体_GB2312" w:hAnsi="黑体" w:eastAsia="楷体_GB2312"/>
          <w:color w:val="000000"/>
          <w:kern w:val="0"/>
        </w:rPr>
      </w:pPr>
      <w:r>
        <w:rPr>
          <w:color w:val="000000"/>
          <w:kern w:val="0"/>
        </w:rPr>
        <w:t>5</w:t>
      </w:r>
      <w:r>
        <w:rPr>
          <w:rFonts w:hint="eastAsia"/>
          <w:color w:val="000000"/>
          <w:kern w:val="0"/>
        </w:rPr>
        <w:t>．技术方面。</w:t>
      </w:r>
      <w:r>
        <w:rPr>
          <w:rFonts w:hint="eastAsia" w:ascii="楷体_GB2312" w:hAnsi="黑体" w:eastAsia="楷体_GB2312"/>
          <w:color w:val="000000"/>
          <w:kern w:val="0"/>
        </w:rPr>
        <w:t>〔各县（市、区）政府、市发改局、市经信局、市质监局按职责分工负责〕</w:t>
      </w:r>
    </w:p>
    <w:p>
      <w:pPr>
        <w:autoSpaceDN w:val="0"/>
        <w:spacing w:line="540" w:lineRule="exact"/>
        <w:ind w:firstLine="641"/>
        <w:rPr>
          <w:color w:val="000000"/>
          <w:kern w:val="0"/>
        </w:rPr>
      </w:pPr>
      <w:r>
        <w:rPr>
          <w:rFonts w:hint="eastAsia"/>
          <w:color w:val="000000"/>
          <w:kern w:val="0"/>
        </w:rPr>
        <w:t>一是钢铁行业要按照有关规定，加强巡查，建立长效机制，严防“地条钢”死灰复燃，严厉打击违法生产和销售“地条钢”行为，做好工频炉、中频炉等专用装备的登记备案和日常监督管理工作。</w:t>
      </w:r>
    </w:p>
    <w:p>
      <w:pPr>
        <w:autoSpaceDN w:val="0"/>
        <w:spacing w:line="540" w:lineRule="exact"/>
        <w:ind w:firstLine="640"/>
        <w:rPr>
          <w:color w:val="000000"/>
          <w:kern w:val="0"/>
        </w:rPr>
      </w:pPr>
      <w:r>
        <w:rPr>
          <w:rFonts w:hint="eastAsia"/>
          <w:color w:val="000000"/>
          <w:kern w:val="0"/>
        </w:rPr>
        <w:t>二是各县（市、区）要按照有关产业政策规定，重点排查和淘汰本辖区内水泥行业落后产能相关工艺技术装备，发现落后产能要立即实施关停，列入当年落后产能淘汰名单及时报送市经信局，按时间节点和拆除要求，彻底拆除落后产能主体设备（生产线），确保不能恢复生产。</w:t>
      </w:r>
    </w:p>
    <w:p>
      <w:pPr>
        <w:autoSpaceDN w:val="0"/>
        <w:spacing w:line="540" w:lineRule="exact"/>
        <w:ind w:firstLine="640"/>
        <w:rPr>
          <w:rFonts w:ascii="楷体_GB2312" w:eastAsia="楷体_GB2312"/>
          <w:kern w:val="0"/>
        </w:rPr>
      </w:pPr>
      <w:r>
        <w:rPr>
          <w:rFonts w:hint="eastAsia" w:ascii="楷体_GB2312" w:eastAsia="楷体_GB2312"/>
          <w:kern w:val="0"/>
        </w:rPr>
        <w:t>（三）承接珠三角产业转移，优化产业布局。</w:t>
      </w:r>
    </w:p>
    <w:p>
      <w:pPr>
        <w:autoSpaceDN w:val="0"/>
        <w:spacing w:line="540" w:lineRule="exact"/>
        <w:ind w:firstLine="640"/>
        <w:rPr>
          <w:color w:val="000000"/>
          <w:kern w:val="0"/>
        </w:rPr>
      </w:pPr>
      <w:r>
        <w:rPr>
          <w:rFonts w:hint="eastAsia"/>
          <w:color w:val="000000"/>
          <w:kern w:val="0"/>
        </w:rPr>
        <w:t>一是分解下达</w:t>
      </w:r>
      <w:r>
        <w:rPr>
          <w:color w:val="000000"/>
          <w:kern w:val="0"/>
        </w:rPr>
        <w:t>2018</w:t>
      </w:r>
      <w:r>
        <w:rPr>
          <w:rFonts w:hint="eastAsia"/>
          <w:color w:val="000000"/>
          <w:kern w:val="0"/>
        </w:rPr>
        <w:t>年度承接产业梯度转移目标。加大产业园签约、动工、投产项目跟踪力度，建立健全承接珠三角产业转移指标完成情况通报机制。</w:t>
      </w:r>
      <w:r>
        <w:rPr>
          <w:rFonts w:hint="eastAsia" w:ascii="楷体_GB2312" w:hAnsi="黑体" w:eastAsia="楷体_GB2312"/>
          <w:color w:val="000000"/>
          <w:kern w:val="0"/>
        </w:rPr>
        <w:t>（市经信局负责）</w:t>
      </w:r>
    </w:p>
    <w:p>
      <w:pPr>
        <w:autoSpaceDN w:val="0"/>
        <w:spacing w:line="540" w:lineRule="exact"/>
        <w:ind w:firstLine="640"/>
        <w:rPr>
          <w:rFonts w:ascii="楷体_GB2312" w:hAnsi="黑体" w:eastAsia="楷体_GB2312"/>
          <w:color w:val="000000"/>
          <w:kern w:val="0"/>
        </w:rPr>
      </w:pPr>
      <w:r>
        <w:rPr>
          <w:rFonts w:hint="eastAsia"/>
          <w:color w:val="000000"/>
          <w:kern w:val="0"/>
        </w:rPr>
        <w:t>二是加大招商引资力度。</w:t>
      </w:r>
      <w:r>
        <w:rPr>
          <w:rFonts w:hint="eastAsia"/>
          <w:kern w:val="0"/>
        </w:rPr>
        <w:t>贯彻落实关于进一步加强全市产业园区招商引资工作的意见，坚持把招商引资作为推进园区发展的有力抓手。综合运用土地资源、市场资源、项目资源和财政资金资源等，充分发挥各级奖励政策，特别是省扶持粤东西北发展和少数民族地区等优惠政策，招引珠三角优质、重大产业项目落地建设。</w:t>
      </w:r>
      <w:r>
        <w:rPr>
          <w:rFonts w:hint="eastAsia"/>
          <w:color w:val="000000"/>
          <w:kern w:val="0"/>
        </w:rPr>
        <w:t>充分发挥园区所在地党委、政府及园区管委会的主体作用，协调推动各产业园全力开展精准招商、项目攻坚，加大园区驻点招商的工作力度，力争加快落实一批签约落地项目。</w:t>
      </w:r>
      <w:r>
        <w:rPr>
          <w:rFonts w:hint="eastAsia" w:ascii="楷体_GB2312" w:hAnsi="黑体" w:eastAsia="楷体_GB2312"/>
          <w:color w:val="000000"/>
          <w:kern w:val="0"/>
        </w:rPr>
        <w:t>〔各县（市、区）政府、莞韶园管委会负责〕</w:t>
      </w:r>
    </w:p>
    <w:p>
      <w:pPr>
        <w:autoSpaceDN w:val="0"/>
        <w:spacing w:line="540" w:lineRule="exact"/>
        <w:ind w:firstLine="641"/>
        <w:rPr>
          <w:rFonts w:ascii="楷体_GB2312" w:hAnsi="黑体" w:eastAsia="楷体_GB2312"/>
          <w:color w:val="000000"/>
          <w:kern w:val="0"/>
        </w:rPr>
      </w:pPr>
      <w:r>
        <w:rPr>
          <w:rFonts w:hint="eastAsia"/>
          <w:color w:val="000000"/>
          <w:kern w:val="0"/>
        </w:rPr>
        <w:t>三是加快平台建设。深入实施园区三年提升计划，</w:t>
      </w:r>
      <w:r>
        <w:rPr>
          <w:color w:val="000000"/>
          <w:kern w:val="0"/>
        </w:rPr>
        <w:t>2018</w:t>
      </w:r>
      <w:r>
        <w:rPr>
          <w:rFonts w:hint="eastAsia"/>
          <w:color w:val="000000"/>
          <w:kern w:val="0"/>
        </w:rPr>
        <w:t>年全市产业园完成基础设施投资</w:t>
      </w:r>
      <w:r>
        <w:rPr>
          <w:color w:val="000000"/>
          <w:kern w:val="0"/>
        </w:rPr>
        <w:t>12</w:t>
      </w:r>
      <w:r>
        <w:rPr>
          <w:rFonts w:hint="eastAsia"/>
          <w:color w:val="000000"/>
          <w:kern w:val="0"/>
        </w:rPr>
        <w:t>亿元。推进莞韶城三期开工建设。加快华南装备园土地平整、道路、污水厂等基础设施建设，推进首批入园企业项目动工建设。加快推进莞韶园创建国家级高新区进度，实现我市国家级园区的突破。</w:t>
      </w:r>
      <w:r>
        <w:rPr>
          <w:rFonts w:hint="eastAsia" w:ascii="楷体_GB2312" w:hAnsi="黑体" w:eastAsia="楷体_GB2312"/>
          <w:color w:val="000000"/>
          <w:kern w:val="0"/>
        </w:rPr>
        <w:t>（市经信局、各园区管委会负责）</w:t>
      </w:r>
    </w:p>
    <w:p>
      <w:pPr>
        <w:autoSpaceDN w:val="0"/>
        <w:spacing w:line="540" w:lineRule="exact"/>
        <w:ind w:firstLine="640"/>
        <w:rPr>
          <w:rFonts w:ascii="楷体_GB2312" w:hAnsi="黑体" w:eastAsia="楷体_GB2312"/>
          <w:color w:val="000000"/>
          <w:kern w:val="0"/>
        </w:rPr>
      </w:pPr>
      <w:r>
        <w:rPr>
          <w:rFonts w:hint="eastAsia"/>
          <w:color w:val="000000"/>
          <w:kern w:val="0"/>
        </w:rPr>
        <w:t>四是落实考核激励机制。</w:t>
      </w:r>
      <w:r>
        <w:rPr>
          <w:rFonts w:hint="eastAsia"/>
          <w:kern w:val="0"/>
        </w:rPr>
        <w:t>建立园区工作绩效考核机制，重点加强园区基础设施、招商引资及产出效益等经济指标考核，对考核结果排名靠前的园区实行资金及用地指标等奖励。</w:t>
      </w:r>
      <w:r>
        <w:rPr>
          <w:rFonts w:hint="eastAsia" w:ascii="楷体_GB2312" w:hAnsi="黑体" w:eastAsia="楷体_GB2312"/>
          <w:color w:val="000000"/>
          <w:kern w:val="0"/>
        </w:rPr>
        <w:t>（市经信局、市国土资源局、各园区管委会负责）</w:t>
      </w:r>
    </w:p>
    <w:p>
      <w:pPr>
        <w:autoSpaceDN w:val="0"/>
        <w:spacing w:line="540" w:lineRule="exact"/>
        <w:ind w:firstLine="640"/>
        <w:rPr>
          <w:rFonts w:ascii="黑体" w:hAnsi="黑体" w:eastAsia="黑体"/>
          <w:kern w:val="0"/>
        </w:rPr>
      </w:pPr>
      <w:r>
        <w:rPr>
          <w:rFonts w:hint="eastAsia" w:ascii="黑体" w:hAnsi="黑体" w:eastAsia="黑体"/>
          <w:kern w:val="0"/>
        </w:rPr>
        <w:t>三、保障措施</w:t>
      </w:r>
    </w:p>
    <w:p>
      <w:pPr>
        <w:autoSpaceDN w:val="0"/>
        <w:spacing w:line="540" w:lineRule="exact"/>
        <w:ind w:firstLine="640"/>
        <w:rPr>
          <w:color w:val="000000"/>
          <w:kern w:val="0"/>
        </w:rPr>
      </w:pPr>
      <w:r>
        <w:rPr>
          <w:rFonts w:hint="eastAsia" w:ascii="楷体_GB2312" w:eastAsia="楷体_GB2312"/>
          <w:kern w:val="0"/>
        </w:rPr>
        <w:t>（一）加强组织领导。</w:t>
      </w:r>
      <w:r>
        <w:rPr>
          <w:rFonts w:hint="eastAsia"/>
          <w:color w:val="000000"/>
          <w:kern w:val="0"/>
        </w:rPr>
        <w:t>由市经信局牵头，统筹推进行动计划的实施，市有关部门按职责分工做好各项工作。市环保局要继续强化环境监管，管好环保门槛；市质监局继续强化加强质量监管，管好质量门槛；市安监局继续加强安全生产监管，管好安全门槛。市国资委及各县（市、区）政府要根据实施方案，统筹推进国有“僵尸企业”处置工作。</w:t>
      </w:r>
    </w:p>
    <w:p>
      <w:pPr>
        <w:autoSpaceDN w:val="0"/>
        <w:spacing w:line="540" w:lineRule="exact"/>
        <w:ind w:firstLine="640"/>
        <w:rPr>
          <w:color w:val="000000"/>
          <w:kern w:val="0"/>
        </w:rPr>
      </w:pPr>
      <w:r>
        <w:rPr>
          <w:rFonts w:hint="eastAsia" w:ascii="楷体_GB2312" w:eastAsia="楷体_GB2312"/>
          <w:kern w:val="0"/>
        </w:rPr>
        <w:t>（二）完善价格政策。</w:t>
      </w:r>
      <w:r>
        <w:rPr>
          <w:rFonts w:hint="eastAsia"/>
          <w:color w:val="000000"/>
          <w:kern w:val="0"/>
        </w:rPr>
        <w:t>完善差别电价政策，对水泥、钢铁等产能严重过剩行业优惠电价政策进行清理整顿，对国家限定的钢铁、水泥、平板玻璃高耗能行业，能耗、电耗、水耗达不到标准的产能，实施差别电价和惩罚性电价、水价。</w:t>
      </w:r>
    </w:p>
    <w:p>
      <w:pPr>
        <w:autoSpaceDN w:val="0"/>
        <w:spacing w:line="540" w:lineRule="exact"/>
        <w:ind w:firstLine="641"/>
        <w:rPr>
          <w:color w:val="000000"/>
          <w:kern w:val="0"/>
        </w:rPr>
      </w:pPr>
      <w:r>
        <w:rPr>
          <w:rFonts w:hint="eastAsia" w:ascii="楷体_GB2312" w:eastAsia="楷体_GB2312"/>
          <w:kern w:val="0"/>
        </w:rPr>
        <w:t>（三）加强督查落实。</w:t>
      </w:r>
      <w:r>
        <w:rPr>
          <w:rFonts w:hint="eastAsia"/>
          <w:color w:val="000000"/>
          <w:kern w:val="0"/>
        </w:rPr>
        <w:t>各县（市、区）政府、各相关部门要将去产能工作纳入年度工作重点，认真组织实施，并于每季度结束后</w:t>
      </w:r>
      <w:r>
        <w:rPr>
          <w:color w:val="000000"/>
          <w:kern w:val="0"/>
        </w:rPr>
        <w:t>3</w:t>
      </w:r>
      <w:r>
        <w:rPr>
          <w:rFonts w:hint="eastAsia"/>
          <w:color w:val="000000"/>
          <w:kern w:val="0"/>
        </w:rPr>
        <w:t>个工作日内，将本季度推进落实去产能工作进展情况报送市经信局汇总上报。市委市政府督查室将去产能工作列为重点督查事项进行跟踪督查，确保工作落实到位。</w:t>
      </w:r>
    </w:p>
    <w:p>
      <w:pPr>
        <w:autoSpaceDN w:val="0"/>
        <w:spacing w:line="560" w:lineRule="exact"/>
        <w:jc w:val="center"/>
        <w:rPr>
          <w:kern w:val="0"/>
        </w:rPr>
      </w:pPr>
    </w:p>
    <w:p>
      <w:pPr>
        <w:autoSpaceDN w:val="0"/>
        <w:spacing w:line="560" w:lineRule="exact"/>
        <w:jc w:val="center"/>
        <w:rPr>
          <w:kern w:val="0"/>
        </w:rPr>
      </w:pPr>
    </w:p>
    <w:p>
      <w:pPr>
        <w:autoSpaceDN w:val="0"/>
        <w:spacing w:line="560" w:lineRule="exact"/>
        <w:jc w:val="center"/>
        <w:rPr>
          <w:kern w:val="0"/>
        </w:rPr>
      </w:pPr>
    </w:p>
    <w:p>
      <w:pPr>
        <w:autoSpaceDN w:val="0"/>
        <w:spacing w:line="560" w:lineRule="exact"/>
        <w:jc w:val="center"/>
        <w:rPr>
          <w:kern w:val="0"/>
        </w:rPr>
      </w:pPr>
    </w:p>
    <w:p>
      <w:pPr>
        <w:autoSpaceDN w:val="0"/>
        <w:spacing w:line="560" w:lineRule="exact"/>
        <w:jc w:val="center"/>
        <w:rPr>
          <w:kern w:val="0"/>
        </w:rPr>
      </w:pPr>
    </w:p>
    <w:p>
      <w:pPr>
        <w:autoSpaceDN w:val="0"/>
        <w:spacing w:line="560" w:lineRule="exact"/>
        <w:jc w:val="center"/>
        <w:rPr>
          <w:kern w:val="0"/>
        </w:rPr>
      </w:pPr>
    </w:p>
    <w:p>
      <w:pPr>
        <w:spacing w:line="560" w:lineRule="exact"/>
        <w:jc w:val="center"/>
        <w:outlineLvl w:val="0"/>
        <w:rPr>
          <w:rFonts w:ascii="方正小标宋简体" w:eastAsia="方正小标宋简体"/>
          <w:bCs/>
          <w:kern w:val="36"/>
          <w:sz w:val="44"/>
          <w:szCs w:val="44"/>
        </w:rPr>
      </w:pPr>
      <w:r>
        <w:rPr>
          <w:rFonts w:hint="eastAsia" w:ascii="方正小标宋简体" w:eastAsia="方正小标宋简体"/>
          <w:bCs/>
          <w:kern w:val="36"/>
          <w:sz w:val="44"/>
          <w:szCs w:val="44"/>
        </w:rPr>
        <w:t>韶关市供给侧结构性改革</w:t>
      </w:r>
      <w:r>
        <w:rPr>
          <w:rFonts w:ascii="方正小标宋简体" w:eastAsia="方正小标宋简体"/>
          <w:bCs/>
          <w:kern w:val="36"/>
          <w:sz w:val="44"/>
          <w:szCs w:val="44"/>
        </w:rPr>
        <w:t>2018</w:t>
      </w:r>
      <w:r>
        <w:rPr>
          <w:rFonts w:hint="eastAsia" w:ascii="方正小标宋简体" w:eastAsia="方正小标宋简体"/>
          <w:bCs/>
          <w:kern w:val="36"/>
          <w:sz w:val="44"/>
          <w:szCs w:val="44"/>
        </w:rPr>
        <w:t>年</w:t>
      </w:r>
    </w:p>
    <w:p>
      <w:pPr>
        <w:spacing w:line="560" w:lineRule="exact"/>
        <w:jc w:val="center"/>
        <w:outlineLvl w:val="0"/>
        <w:rPr>
          <w:rFonts w:ascii="方正小标宋简体" w:eastAsia="方正小标宋简体"/>
          <w:bCs/>
          <w:kern w:val="36"/>
          <w:sz w:val="44"/>
          <w:szCs w:val="44"/>
        </w:rPr>
      </w:pPr>
      <w:r>
        <w:rPr>
          <w:rFonts w:hint="eastAsia" w:ascii="方正小标宋简体" w:eastAsia="方正小标宋简体"/>
          <w:bCs/>
          <w:kern w:val="36"/>
          <w:sz w:val="44"/>
          <w:szCs w:val="44"/>
        </w:rPr>
        <w:t>改造提升传统产业工作方案</w:t>
      </w:r>
    </w:p>
    <w:p>
      <w:pPr>
        <w:autoSpaceDN w:val="0"/>
        <w:spacing w:line="560" w:lineRule="exact"/>
        <w:ind w:firstLine="420"/>
        <w:rPr>
          <w:kern w:val="0"/>
          <w:sz w:val="21"/>
          <w:szCs w:val="21"/>
        </w:rPr>
      </w:pPr>
    </w:p>
    <w:p>
      <w:pPr>
        <w:autoSpaceDN w:val="0"/>
        <w:adjustRightInd w:val="0"/>
        <w:spacing w:line="560" w:lineRule="exact"/>
        <w:ind w:firstLine="640"/>
        <w:rPr>
          <w:kern w:val="0"/>
        </w:rPr>
      </w:pPr>
      <w:r>
        <w:rPr>
          <w:rFonts w:hint="eastAsia"/>
          <w:kern w:val="0"/>
        </w:rPr>
        <w:t>为贯彻落实中央和省、市供给侧结构性改革工作部署，对照《韶关市人民政府关于印发韶关市供给侧结构性改革总体方案（</w:t>
      </w:r>
      <w:r>
        <w:rPr>
          <w:kern w:val="0"/>
        </w:rPr>
        <w:t>2016—2018</w:t>
      </w:r>
      <w:r>
        <w:rPr>
          <w:rFonts w:hint="eastAsia"/>
          <w:kern w:val="0"/>
        </w:rPr>
        <w:t>年）及五个行动计划的通知》（韶府〔</w:t>
      </w:r>
      <w:r>
        <w:rPr>
          <w:kern w:val="0"/>
        </w:rPr>
        <w:t>2016</w:t>
      </w:r>
      <w:r>
        <w:rPr>
          <w:rFonts w:hint="eastAsia"/>
          <w:kern w:val="0"/>
        </w:rPr>
        <w:t>〕</w:t>
      </w:r>
      <w:r>
        <w:rPr>
          <w:kern w:val="0"/>
        </w:rPr>
        <w:t>17</w:t>
      </w:r>
      <w:r>
        <w:rPr>
          <w:rFonts w:hint="eastAsia"/>
          <w:kern w:val="0"/>
        </w:rPr>
        <w:t>号）和《韶关市人民政府办公室印发关于深化供给侧结构性改革加快经济振兴发展三年行动计划及五个行动计划的通知》（韶府办〔</w:t>
      </w:r>
      <w:r>
        <w:rPr>
          <w:kern w:val="0"/>
        </w:rPr>
        <w:t>2018</w:t>
      </w:r>
      <w:r>
        <w:rPr>
          <w:rFonts w:hint="eastAsia"/>
          <w:kern w:val="0"/>
        </w:rPr>
        <w:t>〕</w:t>
      </w:r>
      <w:r>
        <w:rPr>
          <w:kern w:val="0"/>
        </w:rPr>
        <w:t>1</w:t>
      </w:r>
      <w:r>
        <w:rPr>
          <w:rFonts w:hint="eastAsia"/>
          <w:kern w:val="0"/>
        </w:rPr>
        <w:t>号），现结合实际，制定本方案。</w:t>
      </w:r>
    </w:p>
    <w:p>
      <w:pPr>
        <w:autoSpaceDN w:val="0"/>
        <w:adjustRightInd w:val="0"/>
        <w:spacing w:line="560" w:lineRule="exact"/>
        <w:ind w:firstLine="640"/>
        <w:rPr>
          <w:rFonts w:ascii="黑体" w:hAnsi="黑体" w:eastAsia="黑体" w:cs="Arial"/>
          <w:kern w:val="0"/>
        </w:rPr>
      </w:pPr>
      <w:r>
        <w:rPr>
          <w:rFonts w:hint="eastAsia" w:ascii="黑体" w:hAnsi="黑体" w:eastAsia="黑体" w:cs="Arial"/>
          <w:kern w:val="0"/>
        </w:rPr>
        <w:t>一、摸清发展方向</w:t>
      </w:r>
    </w:p>
    <w:p>
      <w:pPr>
        <w:autoSpaceDN w:val="0"/>
        <w:adjustRightInd w:val="0"/>
        <w:spacing w:line="560" w:lineRule="exact"/>
        <w:ind w:firstLine="640"/>
        <w:rPr>
          <w:rFonts w:ascii="楷体_GB2312" w:eastAsia="楷体_GB2312"/>
          <w:kern w:val="0"/>
        </w:rPr>
      </w:pPr>
      <w:r>
        <w:rPr>
          <w:rFonts w:hint="eastAsia"/>
          <w:kern w:val="0"/>
        </w:rPr>
        <w:t>做好产业调研分析，深入研究钢铁、有色金属和电力等传统支柱产业发展方向及产业链延伸，谋划传统产业转型升级对策措施。</w:t>
      </w:r>
      <w:r>
        <w:rPr>
          <w:rFonts w:hint="eastAsia" w:ascii="楷体_GB2312" w:eastAsia="楷体_GB2312"/>
          <w:kern w:val="0"/>
        </w:rPr>
        <w:t>（</w:t>
      </w:r>
      <w:r>
        <w:rPr>
          <w:rFonts w:hint="eastAsia" w:ascii="楷体_GB2312" w:hAnsi="黑体" w:eastAsia="楷体_GB2312"/>
          <w:kern w:val="0"/>
        </w:rPr>
        <w:t>责任单位</w:t>
      </w:r>
      <w:r>
        <w:rPr>
          <w:rFonts w:ascii="楷体_GB2312" w:hAnsi="黑体" w:eastAsia="楷体_GB2312"/>
          <w:kern w:val="0"/>
        </w:rPr>
        <w:t>:</w:t>
      </w:r>
      <w:r>
        <w:rPr>
          <w:rFonts w:hint="eastAsia" w:ascii="楷体_GB2312" w:hAnsi="黑体" w:eastAsia="楷体_GB2312"/>
          <w:kern w:val="0"/>
        </w:rPr>
        <w:t>市经信局</w:t>
      </w:r>
      <w:r>
        <w:rPr>
          <w:rFonts w:hint="eastAsia" w:ascii="楷体_GB2312" w:eastAsia="楷体_GB2312"/>
          <w:kern w:val="0"/>
        </w:rPr>
        <w:t>）</w:t>
      </w:r>
    </w:p>
    <w:p>
      <w:pPr>
        <w:autoSpaceDN w:val="0"/>
        <w:adjustRightInd w:val="0"/>
        <w:spacing w:line="560" w:lineRule="exact"/>
        <w:ind w:firstLine="640"/>
        <w:rPr>
          <w:rFonts w:ascii="黑体" w:hAnsi="黑体" w:eastAsia="黑体" w:cs="Arial"/>
          <w:kern w:val="0"/>
        </w:rPr>
      </w:pPr>
      <w:r>
        <w:rPr>
          <w:rFonts w:hint="eastAsia" w:ascii="黑体" w:hAnsi="黑体" w:eastAsia="黑体" w:cs="Arial"/>
          <w:kern w:val="0"/>
        </w:rPr>
        <w:t>二、盘活产业存量</w:t>
      </w:r>
    </w:p>
    <w:p>
      <w:pPr>
        <w:autoSpaceDN w:val="0"/>
        <w:adjustRightInd w:val="0"/>
        <w:spacing w:line="560" w:lineRule="exact"/>
        <w:ind w:firstLine="640"/>
        <w:rPr>
          <w:rFonts w:ascii="楷体_GB2312" w:eastAsia="楷体_GB2312"/>
          <w:kern w:val="0"/>
        </w:rPr>
      </w:pPr>
      <w:r>
        <w:rPr>
          <w:rFonts w:hint="eastAsia"/>
          <w:kern w:val="0"/>
        </w:rPr>
        <w:t>强化企业挂点帮扶，选取</w:t>
      </w:r>
      <w:r>
        <w:rPr>
          <w:kern w:val="0"/>
        </w:rPr>
        <w:t>50</w:t>
      </w:r>
      <w:r>
        <w:rPr>
          <w:rFonts w:hint="eastAsia"/>
          <w:kern w:val="0"/>
        </w:rPr>
        <w:t>家存量优势企业进行重点培育，助推企业规模和效益双提升。制定工业增长点清单。实施企业倍增计划，首批选取</w:t>
      </w:r>
      <w:r>
        <w:rPr>
          <w:kern w:val="0"/>
        </w:rPr>
        <w:t>100</w:t>
      </w:r>
      <w:r>
        <w:rPr>
          <w:rFonts w:hint="eastAsia"/>
          <w:kern w:val="0"/>
        </w:rPr>
        <w:t>家优质制造企业，引导企业加强技改、增资扩产，推进产能倍增。</w:t>
      </w:r>
      <w:r>
        <w:rPr>
          <w:rFonts w:hint="eastAsia" w:ascii="楷体_GB2312" w:eastAsia="楷体_GB2312"/>
          <w:kern w:val="0"/>
        </w:rPr>
        <w:t>（责任单位</w:t>
      </w:r>
      <w:r>
        <w:rPr>
          <w:rFonts w:ascii="楷体_GB2312" w:eastAsia="楷体_GB2312"/>
          <w:kern w:val="0"/>
        </w:rPr>
        <w:t>:</w:t>
      </w:r>
      <w:r>
        <w:rPr>
          <w:rFonts w:hint="eastAsia" w:ascii="楷体_GB2312" w:eastAsia="楷体_GB2312"/>
          <w:kern w:val="0"/>
        </w:rPr>
        <w:t>市经信局）</w:t>
      </w:r>
    </w:p>
    <w:p>
      <w:pPr>
        <w:autoSpaceDN w:val="0"/>
        <w:adjustRightInd w:val="0"/>
        <w:spacing w:line="560" w:lineRule="exact"/>
        <w:ind w:firstLine="640"/>
        <w:rPr>
          <w:rFonts w:ascii="黑体" w:hAnsi="黑体" w:eastAsia="黑体" w:cs="Arial"/>
          <w:kern w:val="0"/>
        </w:rPr>
      </w:pPr>
      <w:r>
        <w:rPr>
          <w:rFonts w:hint="eastAsia" w:ascii="黑体" w:hAnsi="黑体" w:eastAsia="黑体" w:cs="Arial"/>
          <w:kern w:val="0"/>
        </w:rPr>
        <w:t>三、拉伸传统产业链条</w:t>
      </w:r>
    </w:p>
    <w:p>
      <w:pPr>
        <w:autoSpaceDN w:val="0"/>
        <w:adjustRightInd w:val="0"/>
        <w:spacing w:line="560" w:lineRule="exact"/>
        <w:ind w:firstLine="641"/>
        <w:rPr>
          <w:rFonts w:ascii="楷体_GB2312" w:eastAsia="楷体_GB2312"/>
          <w:kern w:val="0"/>
        </w:rPr>
      </w:pPr>
      <w:r>
        <w:rPr>
          <w:rFonts w:hint="eastAsia"/>
          <w:kern w:val="0"/>
        </w:rPr>
        <w:t>大力发展特钢产业，组建特殊钢及汽车零部件产业发展联盟，打造高端优特钢生产基地。力争引进亿元以上装备制造项目</w:t>
      </w:r>
      <w:r>
        <w:rPr>
          <w:kern w:val="0"/>
        </w:rPr>
        <w:t>15</w:t>
      </w:r>
      <w:r>
        <w:rPr>
          <w:rFonts w:hint="eastAsia"/>
          <w:kern w:val="0"/>
        </w:rPr>
        <w:t>个，推动液压件、汽车零部件、发配电设备、矿山工程机械等发展成套装备及整机设备。</w:t>
      </w:r>
      <w:r>
        <w:rPr>
          <w:rFonts w:hint="eastAsia" w:ascii="楷体_GB2312" w:eastAsia="楷体_GB2312"/>
          <w:kern w:val="0"/>
        </w:rPr>
        <w:t>（</w:t>
      </w:r>
      <w:r>
        <w:rPr>
          <w:rFonts w:hint="eastAsia" w:ascii="楷体_GB2312" w:hAnsi="黑体" w:eastAsia="楷体_GB2312"/>
          <w:kern w:val="0"/>
        </w:rPr>
        <w:t>责任单位：莞韶对口帮扶指挥部、市经信局、市科技局、市商务局、华南装备园管委会、曲江区政府，排名第一的单位为牵头单位，下同</w:t>
      </w:r>
      <w:r>
        <w:rPr>
          <w:rFonts w:hint="eastAsia" w:ascii="楷体_GB2312" w:eastAsia="楷体_GB2312"/>
          <w:kern w:val="0"/>
        </w:rPr>
        <w:t>）</w:t>
      </w:r>
    </w:p>
    <w:p>
      <w:pPr>
        <w:autoSpaceDN w:val="0"/>
        <w:adjustRightInd w:val="0"/>
        <w:spacing w:line="560" w:lineRule="exact"/>
        <w:ind w:firstLine="640"/>
        <w:rPr>
          <w:rFonts w:ascii="黑体" w:hAnsi="黑体" w:eastAsia="黑体" w:cs="Arial"/>
          <w:kern w:val="0"/>
        </w:rPr>
      </w:pPr>
      <w:r>
        <w:rPr>
          <w:rFonts w:hint="eastAsia" w:ascii="黑体" w:hAnsi="黑体" w:eastAsia="黑体" w:cs="Arial"/>
          <w:kern w:val="0"/>
        </w:rPr>
        <w:t>四、着力传统产业集群发展</w:t>
      </w:r>
    </w:p>
    <w:p>
      <w:pPr>
        <w:autoSpaceDN w:val="0"/>
        <w:adjustRightInd w:val="0"/>
        <w:spacing w:line="560" w:lineRule="exact"/>
        <w:ind w:firstLine="640"/>
        <w:rPr>
          <w:rFonts w:ascii="楷体_GB2312" w:hAnsi="黑体" w:eastAsia="楷体_GB2312"/>
          <w:kern w:val="0"/>
        </w:rPr>
      </w:pPr>
      <w:r>
        <w:rPr>
          <w:rFonts w:hint="eastAsia"/>
          <w:kern w:val="0"/>
        </w:rPr>
        <w:t>引导装备制造业龙头企业开展技改；落实省珠西产业带财政扶持政策对装备制造业项目的支持；做好第四届“珠洽会”参展工作；积极配合华南装备园和乐昌产业园加快推进重点装备制造业项目进度；瞄准打造集研发、生产、销售于一体的全产业链发展目标，发挥龙头企业辐射带动作用。</w:t>
      </w:r>
      <w:r>
        <w:rPr>
          <w:rFonts w:hint="eastAsia" w:ascii="楷体_GB2312" w:hAnsi="黑体" w:eastAsia="黑体"/>
          <w:kern w:val="0"/>
        </w:rPr>
        <w:t>〔</w:t>
      </w:r>
      <w:r>
        <w:rPr>
          <w:rFonts w:hint="eastAsia" w:ascii="楷体_GB2312" w:hAnsi="黑体" w:eastAsia="楷体_GB2312"/>
          <w:kern w:val="0"/>
        </w:rPr>
        <w:t>责任单位：市经信局、莞韶园管委会、华南装备园管委会、各县（市、区）政府</w:t>
      </w:r>
      <w:r>
        <w:rPr>
          <w:rFonts w:hint="eastAsia" w:ascii="楷体_GB2312" w:hAnsi="黑体" w:eastAsia="黑体"/>
          <w:kern w:val="0"/>
        </w:rPr>
        <w:t>〕</w:t>
      </w:r>
    </w:p>
    <w:p>
      <w:pPr>
        <w:autoSpaceDN w:val="0"/>
        <w:adjustRightInd w:val="0"/>
        <w:spacing w:line="560" w:lineRule="exact"/>
        <w:ind w:firstLine="640"/>
        <w:rPr>
          <w:rFonts w:ascii="黑体" w:hAnsi="黑体" w:eastAsia="黑体" w:cs="Arial"/>
          <w:kern w:val="0"/>
        </w:rPr>
      </w:pPr>
      <w:r>
        <w:rPr>
          <w:rFonts w:hint="eastAsia" w:ascii="黑体" w:hAnsi="黑体" w:eastAsia="黑体" w:cs="Arial"/>
          <w:kern w:val="0"/>
        </w:rPr>
        <w:t>五、优化工业发展载体</w:t>
      </w:r>
    </w:p>
    <w:p>
      <w:pPr>
        <w:autoSpaceDN w:val="0"/>
        <w:adjustRightInd w:val="0"/>
        <w:spacing w:line="560" w:lineRule="exact"/>
        <w:ind w:firstLine="640"/>
        <w:rPr>
          <w:rFonts w:ascii="楷体_GB2312" w:hAnsi="黑体" w:eastAsia="楷体_GB2312"/>
          <w:kern w:val="0"/>
        </w:rPr>
      </w:pPr>
      <w:r>
        <w:rPr>
          <w:rFonts w:hint="eastAsia"/>
          <w:kern w:val="0"/>
        </w:rPr>
        <w:t>深入实施园区三年提升计划，完成基础设施投资</w:t>
      </w:r>
      <w:r>
        <w:rPr>
          <w:kern w:val="0"/>
        </w:rPr>
        <w:t>12</w:t>
      </w:r>
      <w:r>
        <w:rPr>
          <w:rFonts w:hint="eastAsia"/>
          <w:kern w:val="0"/>
        </w:rPr>
        <w:t>亿元，莞韶园、华南装备园分别完成</w:t>
      </w:r>
      <w:r>
        <w:rPr>
          <w:kern w:val="0"/>
        </w:rPr>
        <w:t>2</w:t>
      </w:r>
      <w:r>
        <w:rPr>
          <w:rFonts w:hint="eastAsia"/>
          <w:kern w:val="0"/>
        </w:rPr>
        <w:t>亿元，其他园区分别完成</w:t>
      </w:r>
      <w:r>
        <w:rPr>
          <w:kern w:val="0"/>
        </w:rPr>
        <w:t>1</w:t>
      </w:r>
      <w:r>
        <w:rPr>
          <w:rFonts w:hint="eastAsia"/>
          <w:kern w:val="0"/>
        </w:rPr>
        <w:t>亿元。实现园区工业投资增长</w:t>
      </w:r>
      <w:r>
        <w:rPr>
          <w:kern w:val="0"/>
        </w:rPr>
        <w:t>20%</w:t>
      </w:r>
      <w:r>
        <w:rPr>
          <w:rFonts w:hint="eastAsia"/>
          <w:kern w:val="0"/>
        </w:rPr>
        <w:t>，规上工业增加值增长</w:t>
      </w:r>
      <w:r>
        <w:rPr>
          <w:kern w:val="0"/>
        </w:rPr>
        <w:t>12%</w:t>
      </w:r>
      <w:r>
        <w:rPr>
          <w:rFonts w:hint="eastAsia"/>
          <w:kern w:val="0"/>
        </w:rPr>
        <w:t>，占全市工业增加值比重提升至</w:t>
      </w:r>
      <w:r>
        <w:rPr>
          <w:kern w:val="0"/>
        </w:rPr>
        <w:t>40%</w:t>
      </w:r>
      <w:r>
        <w:rPr>
          <w:rFonts w:hint="eastAsia"/>
          <w:kern w:val="0"/>
        </w:rPr>
        <w:t>以上。</w:t>
      </w:r>
      <w:r>
        <w:rPr>
          <w:rFonts w:hint="eastAsia" w:ascii="楷体_GB2312" w:hAnsi="黑体" w:eastAsia="楷体_GB2312"/>
          <w:kern w:val="0"/>
        </w:rPr>
        <w:t>〔责任单位：市经信局、莞韶对口帮扶指挥部、莞韶园管委会、华南装备园管委会，各县（市、区）政府〕</w:t>
      </w:r>
    </w:p>
    <w:p>
      <w:pPr>
        <w:autoSpaceDN w:val="0"/>
        <w:adjustRightInd w:val="0"/>
        <w:spacing w:line="560" w:lineRule="exact"/>
        <w:ind w:firstLine="640"/>
        <w:rPr>
          <w:rFonts w:ascii="黑体" w:hAnsi="黑体" w:eastAsia="黑体" w:cs="Arial"/>
          <w:kern w:val="0"/>
        </w:rPr>
      </w:pPr>
      <w:r>
        <w:rPr>
          <w:rFonts w:hint="eastAsia" w:ascii="黑体" w:hAnsi="黑体" w:eastAsia="黑体" w:cs="Arial"/>
          <w:kern w:val="0"/>
        </w:rPr>
        <w:t>六、深化产业共建</w:t>
      </w:r>
    </w:p>
    <w:p>
      <w:pPr>
        <w:autoSpaceDN w:val="0"/>
        <w:adjustRightInd w:val="0"/>
        <w:spacing w:line="560" w:lineRule="exact"/>
        <w:ind w:firstLine="640"/>
        <w:rPr>
          <w:rFonts w:ascii="楷体_GB2312" w:hAnsi="黑体" w:eastAsia="楷体_GB2312"/>
          <w:kern w:val="0"/>
        </w:rPr>
      </w:pPr>
      <w:r>
        <w:rPr>
          <w:rFonts w:hint="eastAsia"/>
          <w:kern w:val="0"/>
        </w:rPr>
        <w:t>依托莞韶产业共建，全力推动县域园区加快发展。新丰县、南雄市、仁化县、乳源县、翁源县、始兴县产业园区分别新动工项目</w:t>
      </w:r>
      <w:r>
        <w:rPr>
          <w:kern w:val="0"/>
        </w:rPr>
        <w:t>5</w:t>
      </w:r>
      <w:r>
        <w:rPr>
          <w:rFonts w:hint="eastAsia"/>
          <w:kern w:val="0"/>
        </w:rPr>
        <w:t>个，完成工业投资</w:t>
      </w:r>
      <w:r>
        <w:rPr>
          <w:kern w:val="0"/>
        </w:rPr>
        <w:t>10</w:t>
      </w:r>
      <w:r>
        <w:rPr>
          <w:rFonts w:hint="eastAsia"/>
          <w:kern w:val="0"/>
        </w:rPr>
        <w:t>亿元、基础设施投资</w:t>
      </w:r>
      <w:r>
        <w:rPr>
          <w:kern w:val="0"/>
        </w:rPr>
        <w:t>1</w:t>
      </w:r>
      <w:r>
        <w:rPr>
          <w:rFonts w:hint="eastAsia"/>
          <w:kern w:val="0"/>
        </w:rPr>
        <w:t>亿元。浈江区、武江区产业园区分别新动工项目</w:t>
      </w:r>
      <w:r>
        <w:rPr>
          <w:kern w:val="0"/>
        </w:rPr>
        <w:t>5</w:t>
      </w:r>
      <w:r>
        <w:rPr>
          <w:rFonts w:hint="eastAsia"/>
          <w:kern w:val="0"/>
        </w:rPr>
        <w:t>个，完成工业投资</w:t>
      </w:r>
      <w:r>
        <w:rPr>
          <w:kern w:val="0"/>
        </w:rPr>
        <w:t>8</w:t>
      </w:r>
      <w:r>
        <w:rPr>
          <w:rFonts w:hint="eastAsia"/>
          <w:kern w:val="0"/>
        </w:rPr>
        <w:t>亿元、基础设施投资</w:t>
      </w:r>
      <w:r>
        <w:rPr>
          <w:kern w:val="0"/>
        </w:rPr>
        <w:t>1</w:t>
      </w:r>
      <w:r>
        <w:rPr>
          <w:rFonts w:hint="eastAsia"/>
          <w:kern w:val="0"/>
        </w:rPr>
        <w:t>亿元。曲江区产业园区新动工项目</w:t>
      </w:r>
      <w:r>
        <w:rPr>
          <w:kern w:val="0"/>
        </w:rPr>
        <w:t>5</w:t>
      </w:r>
      <w:r>
        <w:rPr>
          <w:rFonts w:hint="eastAsia"/>
          <w:kern w:val="0"/>
        </w:rPr>
        <w:t>个，完成工业投资</w:t>
      </w:r>
      <w:r>
        <w:rPr>
          <w:kern w:val="0"/>
        </w:rPr>
        <w:t>9</w:t>
      </w:r>
      <w:r>
        <w:rPr>
          <w:rFonts w:hint="eastAsia"/>
          <w:kern w:val="0"/>
        </w:rPr>
        <w:t>亿元、基础设施投资</w:t>
      </w:r>
      <w:r>
        <w:rPr>
          <w:kern w:val="0"/>
        </w:rPr>
        <w:t>1</w:t>
      </w:r>
      <w:r>
        <w:rPr>
          <w:rFonts w:hint="eastAsia"/>
          <w:kern w:val="0"/>
        </w:rPr>
        <w:t>亿元。乐昌市产业园区新动工项目</w:t>
      </w:r>
      <w:r>
        <w:rPr>
          <w:kern w:val="0"/>
        </w:rPr>
        <w:t>10</w:t>
      </w:r>
      <w:r>
        <w:rPr>
          <w:rFonts w:hint="eastAsia"/>
          <w:kern w:val="0"/>
        </w:rPr>
        <w:t>个，完成工业投资</w:t>
      </w:r>
      <w:r>
        <w:rPr>
          <w:kern w:val="0"/>
        </w:rPr>
        <w:t>10</w:t>
      </w:r>
      <w:r>
        <w:rPr>
          <w:rFonts w:hint="eastAsia"/>
          <w:kern w:val="0"/>
        </w:rPr>
        <w:t>亿元、基础设施投资</w:t>
      </w:r>
      <w:r>
        <w:rPr>
          <w:kern w:val="0"/>
        </w:rPr>
        <w:t>1</w:t>
      </w:r>
      <w:r>
        <w:rPr>
          <w:rFonts w:hint="eastAsia"/>
          <w:kern w:val="0"/>
        </w:rPr>
        <w:t>亿元。深化与广州、深圳、东莞的产业合作，推进珠江东岸产业合作区建设。</w:t>
      </w:r>
      <w:r>
        <w:rPr>
          <w:rFonts w:hint="eastAsia" w:ascii="楷体_GB2312" w:hAnsi="黑体" w:eastAsia="楷体_GB2312"/>
          <w:kern w:val="0"/>
        </w:rPr>
        <w:t>（责任单位：莞韶对口帮扶指挥部、市经信局、市商务局）</w:t>
      </w:r>
    </w:p>
    <w:p>
      <w:pPr>
        <w:autoSpaceDN w:val="0"/>
        <w:adjustRightInd w:val="0"/>
        <w:spacing w:line="560" w:lineRule="exact"/>
        <w:ind w:firstLine="640"/>
        <w:rPr>
          <w:rFonts w:ascii="黑体" w:hAnsi="黑体" w:eastAsia="黑体"/>
          <w:kern w:val="0"/>
        </w:rPr>
      </w:pPr>
      <w:r>
        <w:rPr>
          <w:rFonts w:hint="eastAsia" w:ascii="黑体" w:hAnsi="黑体" w:eastAsia="黑体"/>
          <w:kern w:val="0"/>
        </w:rPr>
        <w:t>七、加快重点项目进程</w:t>
      </w:r>
    </w:p>
    <w:p>
      <w:pPr>
        <w:autoSpaceDN w:val="0"/>
        <w:adjustRightInd w:val="0"/>
        <w:spacing w:line="560" w:lineRule="exact"/>
        <w:ind w:firstLine="640"/>
        <w:rPr>
          <w:rFonts w:ascii="楷体_GB2312" w:eastAsia="楷体_GB2312"/>
          <w:kern w:val="0"/>
        </w:rPr>
      </w:pPr>
      <w:r>
        <w:rPr>
          <w:rFonts w:hint="eastAsia"/>
          <w:kern w:val="0"/>
        </w:rPr>
        <w:t>继续加强与中金岭南公司、大宝山矿的沟通，对韶冶生产及搬迁、大宝山铜冶炼涉及问题进行深入研究，制定相关方案，加快推动实施韶冶环保搬迁工程，争取大宝山铜冶炼项目立项建设。协助企业争取省相关部门支持。</w:t>
      </w:r>
      <w:r>
        <w:rPr>
          <w:rFonts w:hint="eastAsia" w:ascii="楷体_GB2312" w:eastAsia="楷体_GB2312"/>
          <w:kern w:val="0"/>
        </w:rPr>
        <w:t>（</w:t>
      </w:r>
      <w:r>
        <w:rPr>
          <w:rFonts w:hint="eastAsia" w:ascii="楷体_GB2312" w:hAnsi="黑体" w:eastAsia="楷体_GB2312"/>
          <w:kern w:val="0"/>
        </w:rPr>
        <w:t>责任单位：市经信局、市发改局、市国土资源局、市环保局、市国资委、市规划局等相关部门，仁化县政府，曲江区政府</w:t>
      </w:r>
      <w:r>
        <w:rPr>
          <w:rFonts w:hint="eastAsia" w:ascii="楷体_GB2312" w:eastAsia="楷体_GB2312"/>
          <w:kern w:val="0"/>
        </w:rPr>
        <w:t>）</w:t>
      </w:r>
    </w:p>
    <w:p>
      <w:pPr>
        <w:autoSpaceDN w:val="0"/>
        <w:adjustRightInd w:val="0"/>
        <w:spacing w:line="560" w:lineRule="exact"/>
        <w:ind w:firstLine="640"/>
        <w:rPr>
          <w:rFonts w:ascii="黑体" w:hAnsi="黑体" w:eastAsia="黑体" w:cs="Arial"/>
          <w:kern w:val="0"/>
        </w:rPr>
      </w:pPr>
      <w:r>
        <w:rPr>
          <w:rFonts w:hint="eastAsia" w:ascii="黑体" w:hAnsi="黑体" w:eastAsia="黑体" w:cs="Arial"/>
          <w:kern w:val="0"/>
        </w:rPr>
        <w:t>八、促进传统产业技改投资</w:t>
      </w:r>
    </w:p>
    <w:p>
      <w:pPr>
        <w:autoSpaceDN w:val="0"/>
        <w:adjustRightInd w:val="0"/>
        <w:spacing w:line="560" w:lineRule="exact"/>
        <w:ind w:firstLine="640"/>
        <w:rPr>
          <w:rFonts w:ascii="楷体_GB2312" w:eastAsia="楷体_GB2312"/>
          <w:kern w:val="0"/>
        </w:rPr>
      </w:pPr>
      <w:r>
        <w:rPr>
          <w:rFonts w:hint="eastAsia"/>
          <w:kern w:val="0"/>
        </w:rPr>
        <w:t>密切跟踪工业技术改造投资进展情况，及时协调解决项目遇到的困难问题，定期进行督查通报。按照“论证储备一批、改造实施一批、投产达标一批”要求，加强工业技术改造投资项目库动态管理。</w:t>
      </w:r>
      <w:r>
        <w:rPr>
          <w:rFonts w:hint="eastAsia" w:ascii="楷体_GB2312" w:eastAsia="楷体_GB2312"/>
          <w:kern w:val="0"/>
        </w:rPr>
        <w:t>〔责任单位：市经信局、市发改局、市环保局、市统计局、市规划局等相关部门，各县（市、区）政府、各产业园〕</w:t>
      </w:r>
    </w:p>
    <w:p>
      <w:pPr>
        <w:autoSpaceDN w:val="0"/>
        <w:adjustRightInd w:val="0"/>
        <w:spacing w:line="560" w:lineRule="exact"/>
        <w:ind w:firstLine="640"/>
        <w:rPr>
          <w:rFonts w:ascii="黑体" w:hAnsi="黑体" w:eastAsia="黑体" w:cs="Arial"/>
          <w:kern w:val="0"/>
        </w:rPr>
      </w:pPr>
      <w:r>
        <w:rPr>
          <w:rFonts w:hint="eastAsia" w:ascii="黑体" w:hAnsi="黑体" w:eastAsia="黑体" w:cs="Arial"/>
          <w:kern w:val="0"/>
        </w:rPr>
        <w:t>九、推动传统产业研发创新</w:t>
      </w:r>
    </w:p>
    <w:p>
      <w:pPr>
        <w:autoSpaceDN w:val="0"/>
        <w:adjustRightInd w:val="0"/>
        <w:spacing w:line="540" w:lineRule="exact"/>
        <w:ind w:firstLine="641"/>
        <w:rPr>
          <w:rFonts w:ascii="楷体_GB2312" w:eastAsia="楷体_GB2312"/>
          <w:kern w:val="0"/>
        </w:rPr>
      </w:pPr>
      <w:r>
        <w:rPr>
          <w:rFonts w:hint="eastAsia"/>
          <w:kern w:val="0"/>
        </w:rPr>
        <w:t>推动企业建立研发机构，深化政产学研合作，巩固主营业务收入</w:t>
      </w:r>
      <w:r>
        <w:rPr>
          <w:kern w:val="0"/>
        </w:rPr>
        <w:t>5</w:t>
      </w:r>
      <w:r>
        <w:rPr>
          <w:rFonts w:hint="eastAsia"/>
          <w:kern w:val="0"/>
        </w:rPr>
        <w:t>亿元以上工业企业建立研发机构全覆盖成果，</w:t>
      </w:r>
      <w:r>
        <w:rPr>
          <w:kern w:val="0"/>
        </w:rPr>
        <w:t>1</w:t>
      </w:r>
      <w:r>
        <w:rPr>
          <w:rFonts w:hint="eastAsia"/>
          <w:kern w:val="0"/>
        </w:rPr>
        <w:t>亿元以上工业企业建立研发机构达到</w:t>
      </w:r>
      <w:r>
        <w:rPr>
          <w:kern w:val="0"/>
        </w:rPr>
        <w:t>30%</w:t>
      </w:r>
      <w:r>
        <w:rPr>
          <w:rFonts w:hint="eastAsia"/>
          <w:kern w:val="0"/>
        </w:rPr>
        <w:t>，规模以上工业企业建立研发机构达到</w:t>
      </w:r>
      <w:r>
        <w:rPr>
          <w:kern w:val="0"/>
        </w:rPr>
        <w:t>25%</w:t>
      </w:r>
      <w:r>
        <w:rPr>
          <w:rFonts w:hint="eastAsia"/>
          <w:kern w:val="0"/>
        </w:rPr>
        <w:t>，全年新增企业研发机构</w:t>
      </w:r>
      <w:r>
        <w:rPr>
          <w:kern w:val="0"/>
        </w:rPr>
        <w:t>40</w:t>
      </w:r>
      <w:r>
        <w:rPr>
          <w:rFonts w:hint="eastAsia"/>
          <w:kern w:val="0"/>
        </w:rPr>
        <w:t>家以上。重点加快高品质金属材料研究院等新型研发机构建设。</w:t>
      </w:r>
      <w:r>
        <w:rPr>
          <w:rFonts w:hint="eastAsia" w:ascii="楷体_GB2312" w:eastAsia="楷体_GB2312"/>
          <w:kern w:val="0"/>
        </w:rPr>
        <w:t>（责任单位：市科技局、市经信局）</w:t>
      </w:r>
    </w:p>
    <w:p>
      <w:pPr>
        <w:autoSpaceDN w:val="0"/>
        <w:adjustRightInd w:val="0"/>
        <w:spacing w:line="540" w:lineRule="exact"/>
        <w:ind w:firstLine="641"/>
        <w:rPr>
          <w:rFonts w:ascii="黑体" w:hAnsi="黑体" w:eastAsia="黑体" w:cs="Arial"/>
          <w:kern w:val="0"/>
        </w:rPr>
      </w:pPr>
      <w:r>
        <w:rPr>
          <w:rFonts w:hint="eastAsia" w:ascii="黑体" w:hAnsi="黑体" w:eastAsia="黑体" w:cs="Arial"/>
          <w:kern w:val="0"/>
        </w:rPr>
        <w:t>十、推进传统产业增资扩产</w:t>
      </w:r>
    </w:p>
    <w:p>
      <w:pPr>
        <w:autoSpaceDN w:val="0"/>
        <w:adjustRightInd w:val="0"/>
        <w:spacing w:line="540" w:lineRule="exact"/>
        <w:ind w:firstLine="641"/>
        <w:rPr>
          <w:rFonts w:ascii="楷体_GB2312" w:eastAsia="楷体_GB2312"/>
          <w:kern w:val="0"/>
        </w:rPr>
      </w:pPr>
      <w:r>
        <w:rPr>
          <w:rFonts w:hint="eastAsia"/>
          <w:kern w:val="0"/>
        </w:rPr>
        <w:t>重点抓好韶钢废钢资源综合利用基地项目、韶钢中板产线转型工业线材技改项目、煤气高效综合循环利用之一电站、二电站改建项目和高炉鼓风机节能技改项目、东阳光环保制冷剂二期扩建项目、年产</w:t>
      </w:r>
      <w:r>
        <w:rPr>
          <w:kern w:val="0"/>
        </w:rPr>
        <w:t>1</w:t>
      </w:r>
      <w:r>
        <w:rPr>
          <w:rFonts w:hint="eastAsia"/>
          <w:kern w:val="0"/>
        </w:rPr>
        <w:t>万吨锂离子电池正极材料项目和</w:t>
      </w:r>
      <w:r>
        <w:rPr>
          <w:kern w:val="0"/>
        </w:rPr>
        <w:t>8</w:t>
      </w:r>
      <w:r>
        <w:rPr>
          <w:rFonts w:hint="eastAsia"/>
          <w:kern w:val="0"/>
        </w:rPr>
        <w:t>条低压腐蚀箔生产线项目等</w:t>
      </w:r>
      <w:r>
        <w:rPr>
          <w:kern w:val="0"/>
        </w:rPr>
        <w:t>50</w:t>
      </w:r>
      <w:r>
        <w:rPr>
          <w:rFonts w:hint="eastAsia"/>
          <w:kern w:val="0"/>
        </w:rPr>
        <w:t>个增资扩产项目，并指导帮助企业争取股权投资、贷款贴息、事后奖补等省级专项扶持。</w:t>
      </w:r>
      <w:r>
        <w:rPr>
          <w:rFonts w:hint="eastAsia" w:ascii="楷体_GB2312" w:eastAsia="楷体_GB2312"/>
          <w:kern w:val="0"/>
        </w:rPr>
        <w:t>（责任单位：市经信局、市发改局、市财政局、莞韶园管委会、市供电局、曲江区政府、韶钢公司）</w:t>
      </w:r>
    </w:p>
    <w:p>
      <w:pPr>
        <w:autoSpaceDN w:val="0"/>
        <w:adjustRightInd w:val="0"/>
        <w:spacing w:line="540" w:lineRule="exact"/>
        <w:ind w:firstLine="641"/>
        <w:rPr>
          <w:rFonts w:ascii="黑体" w:hAnsi="黑体" w:eastAsia="黑体" w:cs="Arial"/>
          <w:kern w:val="0"/>
        </w:rPr>
      </w:pPr>
      <w:r>
        <w:rPr>
          <w:rFonts w:hint="eastAsia" w:ascii="黑体" w:hAnsi="黑体" w:eastAsia="黑体" w:cs="Arial"/>
          <w:kern w:val="0"/>
        </w:rPr>
        <w:t>十一、带动传统产业绿色转型</w:t>
      </w:r>
    </w:p>
    <w:p>
      <w:pPr>
        <w:autoSpaceDN w:val="0"/>
        <w:adjustRightInd w:val="0"/>
        <w:spacing w:line="540" w:lineRule="exact"/>
        <w:ind w:firstLine="641"/>
        <w:rPr>
          <w:rFonts w:ascii="楷体_GB2312" w:eastAsia="楷体_GB2312"/>
          <w:kern w:val="0"/>
        </w:rPr>
      </w:pPr>
      <w:r>
        <w:rPr>
          <w:rFonts w:hint="eastAsia"/>
          <w:kern w:val="0"/>
        </w:rPr>
        <w:t>加快节能新技术、新材料、新设备的推广应用，促进钢铁、冶金、电力等传统产业节能改造；强化重点用能单位节能管理，建立行业领域节能“领跑者”标准制度，整体提升全社会能源利用效率。</w:t>
      </w:r>
      <w:r>
        <w:rPr>
          <w:rFonts w:hint="eastAsia" w:ascii="楷体_GB2312" w:eastAsia="楷体_GB2312"/>
          <w:kern w:val="0"/>
        </w:rPr>
        <w:t>（责任单位：市经信局）</w:t>
      </w:r>
    </w:p>
    <w:p>
      <w:pPr>
        <w:autoSpaceDN w:val="0"/>
        <w:adjustRightInd w:val="0"/>
        <w:spacing w:line="540" w:lineRule="exact"/>
        <w:ind w:firstLine="641"/>
        <w:rPr>
          <w:rFonts w:ascii="黑体" w:hAnsi="黑体" w:eastAsia="黑体" w:cs="Arial"/>
          <w:kern w:val="0"/>
        </w:rPr>
      </w:pPr>
      <w:r>
        <w:rPr>
          <w:rFonts w:hint="eastAsia" w:ascii="黑体" w:hAnsi="黑体" w:eastAsia="黑体" w:cs="Arial"/>
          <w:kern w:val="0"/>
        </w:rPr>
        <w:t>十二、畅通政企沟通渠道</w:t>
      </w:r>
    </w:p>
    <w:p>
      <w:pPr>
        <w:autoSpaceDN w:val="0"/>
        <w:adjustRightInd w:val="0"/>
        <w:spacing w:line="540" w:lineRule="exact"/>
        <w:ind w:firstLine="641"/>
        <w:rPr>
          <w:kern w:val="0"/>
        </w:rPr>
      </w:pPr>
      <w:r>
        <w:rPr>
          <w:rFonts w:hint="eastAsia"/>
          <w:kern w:val="0"/>
        </w:rPr>
        <w:t>完善不同类型企业定期沟通机制。定期组织召开重点企业、高成长性企业、经营困难企业座谈会，及时掌握企业运行动态，梳理企业的困难问题和意见建议，有针对性的制定实施帮扶措施。</w:t>
      </w:r>
      <w:r>
        <w:rPr>
          <w:rFonts w:hint="eastAsia" w:ascii="楷体_GB2312" w:eastAsia="楷体_GB2312"/>
          <w:kern w:val="0"/>
        </w:rPr>
        <w:t>（</w:t>
      </w:r>
      <w:r>
        <w:rPr>
          <w:rFonts w:hint="eastAsia" w:ascii="楷体_GB2312" w:hAnsi="黑体" w:eastAsia="楷体_GB2312"/>
          <w:kern w:val="0"/>
        </w:rPr>
        <w:t>责任单位：市经信局、市统计局</w:t>
      </w:r>
      <w:r>
        <w:rPr>
          <w:rFonts w:hint="eastAsia" w:ascii="楷体_GB2312" w:eastAsia="楷体_GB2312"/>
          <w:kern w:val="0"/>
        </w:rPr>
        <w:t>）</w:t>
      </w:r>
    </w:p>
    <w:p>
      <w:pPr>
        <w:spacing w:line="56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韶关市供给侧改革</w:t>
      </w:r>
      <w:r>
        <w:rPr>
          <w:rFonts w:ascii="方正小标宋简体" w:eastAsia="方正小标宋简体"/>
          <w:bCs/>
          <w:kern w:val="36"/>
          <w:sz w:val="44"/>
          <w:szCs w:val="44"/>
        </w:rPr>
        <w:t>2018</w:t>
      </w:r>
      <w:r>
        <w:rPr>
          <w:rFonts w:hint="eastAsia" w:ascii="方正小标宋简体" w:eastAsia="方正小标宋简体"/>
          <w:bCs/>
          <w:kern w:val="36"/>
          <w:sz w:val="44"/>
          <w:szCs w:val="44"/>
        </w:rPr>
        <w:t>年度</w:t>
      </w:r>
    </w:p>
    <w:p>
      <w:pPr>
        <w:spacing w:line="56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去库存工作方案</w:t>
      </w:r>
    </w:p>
    <w:p>
      <w:pPr>
        <w:tabs>
          <w:tab w:val="left" w:pos="640"/>
        </w:tabs>
        <w:autoSpaceDN w:val="0"/>
        <w:spacing w:line="560" w:lineRule="exact"/>
        <w:rPr>
          <w:bCs/>
          <w:kern w:val="0"/>
          <w:sz w:val="21"/>
          <w:szCs w:val="21"/>
        </w:rPr>
      </w:pPr>
    </w:p>
    <w:p>
      <w:pPr>
        <w:autoSpaceDN w:val="0"/>
        <w:spacing w:line="560" w:lineRule="exact"/>
        <w:ind w:firstLine="640" w:firstLineChars="200"/>
        <w:rPr>
          <w:kern w:val="0"/>
        </w:rPr>
      </w:pPr>
      <w:r>
        <w:rPr>
          <w:rFonts w:hint="eastAsia"/>
          <w:kern w:val="0"/>
        </w:rPr>
        <w:t>根据《广东省供给侧结构性改革去库存行动计划（</w:t>
      </w:r>
      <w:r>
        <w:rPr>
          <w:kern w:val="0"/>
        </w:rPr>
        <w:t>2016—2018</w:t>
      </w:r>
      <w:r>
        <w:rPr>
          <w:rFonts w:hint="eastAsia"/>
          <w:kern w:val="0"/>
        </w:rPr>
        <w:t>年）》、《广东省供给侧结构性改革去库存行动计划（</w:t>
      </w:r>
      <w:r>
        <w:rPr>
          <w:kern w:val="0"/>
        </w:rPr>
        <w:t>2016—2018</w:t>
      </w:r>
      <w:r>
        <w:rPr>
          <w:rFonts w:hint="eastAsia"/>
          <w:kern w:val="0"/>
        </w:rPr>
        <w:t>年）督查方案》、《韶关市供给侧结构性改革去库存行动计划（</w:t>
      </w:r>
      <w:r>
        <w:rPr>
          <w:kern w:val="0"/>
        </w:rPr>
        <w:t>2016—2018</w:t>
      </w:r>
      <w:r>
        <w:rPr>
          <w:rFonts w:hint="eastAsia"/>
          <w:kern w:val="0"/>
        </w:rPr>
        <w:t>年）》，结合我市实际，制定本方案。</w:t>
      </w:r>
    </w:p>
    <w:p>
      <w:pPr>
        <w:autoSpaceDN w:val="0"/>
        <w:spacing w:line="560" w:lineRule="exact"/>
        <w:ind w:firstLine="640" w:firstLineChars="200"/>
        <w:rPr>
          <w:rFonts w:ascii="黑体" w:hAnsi="黑体" w:eastAsia="黑体" w:cs="Arial"/>
          <w:kern w:val="0"/>
        </w:rPr>
      </w:pPr>
      <w:r>
        <w:rPr>
          <w:rFonts w:hint="eastAsia" w:ascii="黑体" w:hAnsi="黑体" w:eastAsia="黑体" w:cs="Arial"/>
          <w:kern w:val="0"/>
        </w:rPr>
        <w:t>一、工作目标</w:t>
      </w:r>
    </w:p>
    <w:p>
      <w:pPr>
        <w:autoSpaceDN w:val="0"/>
        <w:spacing w:line="560" w:lineRule="exact"/>
        <w:ind w:firstLine="640" w:firstLineChars="200"/>
        <w:rPr>
          <w:kern w:val="0"/>
        </w:rPr>
      </w:pPr>
      <w:r>
        <w:rPr>
          <w:rFonts w:hint="eastAsia"/>
          <w:kern w:val="0"/>
        </w:rPr>
        <w:t>按照《韶关市供给侧结构性改革去库存行动计划（</w:t>
      </w:r>
      <w:r>
        <w:rPr>
          <w:kern w:val="0"/>
        </w:rPr>
        <w:t>2016—2018</w:t>
      </w:r>
      <w:r>
        <w:rPr>
          <w:rFonts w:hint="eastAsia"/>
          <w:kern w:val="0"/>
        </w:rPr>
        <w:t>年）》进度要求化解商品房库存。到</w:t>
      </w:r>
      <w:r>
        <w:rPr>
          <w:kern w:val="0"/>
        </w:rPr>
        <w:t>2018</w:t>
      </w:r>
      <w:r>
        <w:rPr>
          <w:rFonts w:hint="eastAsia"/>
          <w:kern w:val="0"/>
        </w:rPr>
        <w:t>年底，全市在基本消化当年新增供应的基础上，完成房地产去库存任务</w:t>
      </w:r>
      <w:r>
        <w:rPr>
          <w:kern w:val="0"/>
        </w:rPr>
        <w:t>22</w:t>
      </w:r>
      <w:r>
        <w:rPr>
          <w:rFonts w:hint="eastAsia"/>
          <w:kern w:val="0"/>
        </w:rPr>
        <w:t>万平方米，非商品住房去库存周期缩短。</w:t>
      </w:r>
    </w:p>
    <w:p>
      <w:pPr>
        <w:spacing w:line="560" w:lineRule="exact"/>
        <w:ind w:firstLine="640" w:firstLineChars="200"/>
        <w:rPr>
          <w:rFonts w:ascii="黑体" w:hAnsi="黑体" w:eastAsia="黑体" w:cs="Arial"/>
          <w:kern w:val="0"/>
        </w:rPr>
      </w:pPr>
      <w:r>
        <w:rPr>
          <w:rFonts w:hint="eastAsia" w:ascii="黑体" w:hAnsi="黑体" w:eastAsia="黑体" w:cs="Arial"/>
          <w:kern w:val="0"/>
        </w:rPr>
        <w:t>二、重点任务与政策措施</w:t>
      </w:r>
    </w:p>
    <w:p>
      <w:pPr>
        <w:autoSpaceDN w:val="0"/>
        <w:spacing w:line="560" w:lineRule="exact"/>
        <w:ind w:firstLine="640" w:firstLineChars="200"/>
        <w:rPr>
          <w:kern w:val="0"/>
        </w:rPr>
      </w:pPr>
      <w:r>
        <w:rPr>
          <w:rFonts w:hint="eastAsia"/>
          <w:kern w:val="0"/>
        </w:rPr>
        <w:t>各县（市、区）要深入贯彻落实国家、省、市出台的政策措施，继续推进供给侧结构性改革，不断化解房地产库存。</w:t>
      </w:r>
    </w:p>
    <w:p>
      <w:pPr>
        <w:spacing w:line="560" w:lineRule="exact"/>
        <w:ind w:firstLine="640" w:firstLineChars="200"/>
        <w:rPr>
          <w:rFonts w:ascii="楷体_GB2312" w:eastAsia="楷体_GB2312"/>
          <w:kern w:val="0"/>
        </w:rPr>
      </w:pPr>
      <w:r>
        <w:rPr>
          <w:rFonts w:hint="eastAsia" w:ascii="楷体_GB2312" w:eastAsia="楷体_GB2312"/>
          <w:kern w:val="0"/>
        </w:rPr>
        <w:t>（一）强化土地供应与房地产市场的联动。</w:t>
      </w:r>
    </w:p>
    <w:p>
      <w:pPr>
        <w:autoSpaceDN w:val="0"/>
        <w:spacing w:line="560" w:lineRule="exact"/>
        <w:ind w:firstLine="640" w:firstLineChars="200"/>
        <w:rPr>
          <w:rFonts w:ascii="楷体_GB2312" w:eastAsia="楷体_GB2312"/>
          <w:kern w:val="0"/>
        </w:rPr>
      </w:pPr>
      <w:r>
        <w:rPr>
          <w:rFonts w:hint="eastAsia"/>
          <w:kern w:val="0"/>
        </w:rPr>
        <w:t>科学预测房地产市场需求，合理把控商品房用地供应闸门。库存总量消化周期明显过长的县（市、区），暂缓或减少房地产开发土地供应。根据市场状况，在符合城市规划要求的前提下，按照法定程序及国家、省的相关土地政策要求，通过调整土地用途、规划条件，引导未开发房地产用地转型利用。优化三旧改造政策，统筹平衡商业、办公、工业等改造项目规模。</w:t>
      </w:r>
      <w:r>
        <w:rPr>
          <w:rFonts w:hint="eastAsia" w:ascii="楷体_GB2312" w:eastAsia="楷体_GB2312"/>
          <w:kern w:val="0"/>
        </w:rPr>
        <w:t>〔</w:t>
      </w:r>
      <w:r>
        <w:rPr>
          <w:rFonts w:hint="eastAsia" w:ascii="楷体_GB2312" w:hAnsi="黑体" w:eastAsia="楷体_GB2312"/>
          <w:kern w:val="0"/>
        </w:rPr>
        <w:t>市国土资源局、市规划局、各县（市、区）政府，排名第一的单位为牵头单位，下同</w:t>
      </w:r>
      <w:r>
        <w:rPr>
          <w:rFonts w:hint="eastAsia" w:ascii="楷体_GB2312" w:eastAsia="楷体_GB2312"/>
          <w:kern w:val="0"/>
        </w:rPr>
        <w:t>〕</w:t>
      </w:r>
    </w:p>
    <w:p>
      <w:pPr>
        <w:spacing w:line="560" w:lineRule="exact"/>
        <w:ind w:firstLine="640" w:firstLineChars="200"/>
        <w:rPr>
          <w:rFonts w:ascii="楷体_GB2312" w:eastAsia="楷体_GB2312"/>
          <w:kern w:val="0"/>
        </w:rPr>
      </w:pPr>
      <w:r>
        <w:rPr>
          <w:rFonts w:hint="eastAsia" w:ascii="楷体_GB2312" w:eastAsia="楷体_GB2312"/>
          <w:kern w:val="0"/>
        </w:rPr>
        <w:t>（二）优化住房供应结构。</w:t>
      </w:r>
    </w:p>
    <w:p>
      <w:pPr>
        <w:autoSpaceDN w:val="0"/>
        <w:spacing w:line="560" w:lineRule="exact"/>
        <w:ind w:firstLine="640" w:firstLineChars="200"/>
        <w:rPr>
          <w:kern w:val="0"/>
        </w:rPr>
      </w:pPr>
      <w:r>
        <w:rPr>
          <w:rFonts w:hint="eastAsia"/>
          <w:kern w:val="0"/>
        </w:rPr>
        <w:t>着力提升住房建设规划指导和约束住房供应及住宅用地供应的重要地位，建立规划定期评估和动态调整机制，合理引导住房消费。依据住房现状调查、需求预测及在建、在售住房规模等，立足经济社会发展和资源、环境、人口等约束条件，结合城镇化进程，编制住房建设规划，统筹安排住房的建设总量、供应结构、空间布局和开发进度，合理确定商品住房和保障性住房供应比例。</w:t>
      </w:r>
      <w:r>
        <w:rPr>
          <w:rFonts w:hint="eastAsia" w:ascii="楷体_GB2312" w:eastAsia="楷体_GB2312"/>
          <w:kern w:val="0"/>
        </w:rPr>
        <w:t>〔各县（市、区）政府，市住建管理局〕</w:t>
      </w:r>
    </w:p>
    <w:p>
      <w:pPr>
        <w:spacing w:line="560" w:lineRule="exact"/>
        <w:ind w:firstLine="640" w:firstLineChars="200"/>
        <w:rPr>
          <w:rFonts w:ascii="楷体_GB2312" w:eastAsia="楷体_GB2312"/>
          <w:kern w:val="0"/>
        </w:rPr>
      </w:pPr>
      <w:r>
        <w:rPr>
          <w:rFonts w:hint="eastAsia" w:ascii="楷体_GB2312" w:eastAsia="楷体_GB2312"/>
          <w:kern w:val="0"/>
        </w:rPr>
        <w:t>（三）严控非住房库存增量。</w:t>
      </w:r>
    </w:p>
    <w:p>
      <w:pPr>
        <w:autoSpaceDN w:val="0"/>
        <w:spacing w:line="560" w:lineRule="exact"/>
        <w:ind w:firstLine="640" w:firstLineChars="200"/>
        <w:rPr>
          <w:rFonts w:ascii="楷体_GB2312" w:eastAsia="楷体_GB2312"/>
          <w:kern w:val="0"/>
        </w:rPr>
      </w:pPr>
      <w:r>
        <w:rPr>
          <w:rFonts w:hint="eastAsia"/>
          <w:kern w:val="0"/>
        </w:rPr>
        <w:t>严格执行《商品房销售管理办法》《广东省商品房预售管理条例》等有关规定，</w:t>
      </w:r>
      <w:r>
        <w:rPr>
          <w:rFonts w:hint="eastAsia"/>
          <w:color w:val="000000"/>
          <w:kern w:val="0"/>
          <w:shd w:val="clear" w:color="auto" w:fill="FFFFFF"/>
        </w:rPr>
        <w:t>科学调节商品房预售许可发放，</w:t>
      </w:r>
      <w:r>
        <w:rPr>
          <w:rFonts w:hint="eastAsia"/>
          <w:kern w:val="0"/>
        </w:rPr>
        <w:t>通过土地供应、新开工、施工、预售四个环节，加大房地产库存管控力度。在规划条件许可前提下，适度允许库存房地产项目调整房屋用途、套型结构。对拿地未开工项目、已开工未售出项目、已竣工未售出项目，可以适当调整规划用途、商业配套比例、户型的结构、车位配比等规划设计条件。支持房地产开发企业将库存工业、商业地产改造为孵化器、创客空间、电子商务等用房，将库存非住宅类商品房转为旅游、养老、文化等专项地产。</w:t>
      </w:r>
      <w:r>
        <w:rPr>
          <w:rFonts w:hint="eastAsia" w:ascii="楷体_GB2312" w:eastAsia="楷体_GB2312"/>
          <w:kern w:val="0"/>
        </w:rPr>
        <w:t>〔各县（市、区）政府，市国土资源局、市住建管理局、市规划局〕</w:t>
      </w:r>
    </w:p>
    <w:p>
      <w:pPr>
        <w:spacing w:line="560" w:lineRule="exact"/>
        <w:ind w:firstLine="640" w:firstLineChars="200"/>
        <w:rPr>
          <w:rFonts w:ascii="楷体_GB2312" w:eastAsia="楷体_GB2312"/>
          <w:kern w:val="0"/>
        </w:rPr>
      </w:pPr>
      <w:r>
        <w:rPr>
          <w:rFonts w:hint="eastAsia" w:ascii="楷体_GB2312" w:eastAsia="楷体_GB2312"/>
          <w:kern w:val="0"/>
        </w:rPr>
        <w:t>（四）加快培育和发展住房租赁市场。</w:t>
      </w:r>
    </w:p>
    <w:p>
      <w:pPr>
        <w:autoSpaceDN w:val="0"/>
        <w:spacing w:line="560" w:lineRule="exact"/>
        <w:ind w:firstLine="640" w:firstLineChars="200"/>
        <w:rPr>
          <w:rFonts w:ascii="楷体_GB2312" w:eastAsia="楷体_GB2312"/>
          <w:kern w:val="0"/>
        </w:rPr>
      </w:pPr>
      <w:r>
        <w:rPr>
          <w:rFonts w:hint="eastAsia"/>
          <w:kern w:val="0"/>
        </w:rPr>
        <w:t>贯彻落实《国务院办公厅关于加快培育和发展住房租赁市场的若干意见》（国办发〔</w:t>
      </w:r>
      <w:r>
        <w:rPr>
          <w:kern w:val="0"/>
        </w:rPr>
        <w:t>2016</w:t>
      </w:r>
      <w:r>
        <w:rPr>
          <w:rFonts w:hint="eastAsia"/>
          <w:kern w:val="0"/>
        </w:rPr>
        <w:t>〕</w:t>
      </w:r>
      <w:r>
        <w:rPr>
          <w:kern w:val="0"/>
        </w:rPr>
        <w:t>39</w:t>
      </w:r>
      <w:r>
        <w:rPr>
          <w:rFonts w:hint="eastAsia"/>
          <w:kern w:val="0"/>
        </w:rPr>
        <w:t>号）精神，深化住房制度改革，培育住房租赁市场经营主体，搭建租赁服务和监管平台，增加租赁住房有效供应，建立主体供应、多渠道保障、租购并举的住房制度，推动住房租赁市场健康发展。</w:t>
      </w:r>
      <w:r>
        <w:rPr>
          <w:rFonts w:hint="eastAsia" w:ascii="楷体_GB2312" w:eastAsia="楷体_GB2312"/>
          <w:kern w:val="0"/>
        </w:rPr>
        <w:t>〔各县（市、区）政府，市住建管理局、建设银行韶关分行〕</w:t>
      </w:r>
    </w:p>
    <w:p>
      <w:pPr>
        <w:spacing w:line="560" w:lineRule="exact"/>
        <w:ind w:firstLine="640" w:firstLineChars="200"/>
        <w:rPr>
          <w:rFonts w:ascii="楷体_GB2312" w:eastAsia="楷体_GB2312"/>
          <w:kern w:val="0"/>
        </w:rPr>
      </w:pPr>
      <w:r>
        <w:rPr>
          <w:rFonts w:hint="eastAsia" w:ascii="楷体_GB2312" w:eastAsia="楷体_GB2312"/>
          <w:kern w:val="0"/>
        </w:rPr>
        <w:t>（五）积极推行棚改安置和公租房保障货币化。</w:t>
      </w:r>
    </w:p>
    <w:p>
      <w:pPr>
        <w:autoSpaceDN w:val="0"/>
        <w:spacing w:line="560" w:lineRule="exact"/>
        <w:ind w:firstLine="640" w:firstLineChars="200"/>
        <w:rPr>
          <w:rFonts w:ascii="楷体_GB2312" w:eastAsia="楷体_GB2312"/>
          <w:kern w:val="0"/>
        </w:rPr>
      </w:pPr>
      <w:r>
        <w:rPr>
          <w:rFonts w:hint="eastAsia"/>
          <w:color w:val="000000"/>
          <w:kern w:val="0"/>
          <w:shd w:val="clear" w:color="auto" w:fill="FFFFFF"/>
        </w:rPr>
        <w:t>积极推行棚改货币化安置，消化库存商品住房，做好棚改拆迁安置和消化存量商品住房的衔接。积极推行公租房保障货币化，实物保障与租赁补贴并举。支持公租房保障对象通过市场租房，政府对符合条件的家庭给予租赁补贴。对符合当地公租房准入条件的城镇中等偏下收入住房困难家庭、城镇稳定就业的外来务工人员，应纳入公租房保障范围。</w:t>
      </w:r>
      <w:r>
        <w:rPr>
          <w:rFonts w:hint="eastAsia" w:ascii="楷体_GB2312" w:eastAsia="楷体_GB2312"/>
          <w:kern w:val="0"/>
        </w:rPr>
        <w:t>〔各县（市、区）政府，市住建管理局〕</w:t>
      </w:r>
    </w:p>
    <w:p>
      <w:pPr>
        <w:spacing w:line="560" w:lineRule="exact"/>
        <w:ind w:firstLine="640" w:firstLineChars="200"/>
        <w:rPr>
          <w:rFonts w:ascii="楷体_GB2312" w:eastAsia="楷体_GB2312"/>
          <w:kern w:val="0"/>
        </w:rPr>
      </w:pPr>
      <w:r>
        <w:rPr>
          <w:rFonts w:hint="eastAsia" w:ascii="楷体_GB2312" w:eastAsia="楷体_GB2312"/>
          <w:kern w:val="0"/>
        </w:rPr>
        <w:t>（六）完善交通和公共服务设施。</w:t>
      </w:r>
    </w:p>
    <w:p>
      <w:pPr>
        <w:autoSpaceDN w:val="0"/>
        <w:spacing w:line="560" w:lineRule="exact"/>
        <w:ind w:firstLine="640" w:firstLineChars="200"/>
        <w:rPr>
          <w:rFonts w:ascii="楷体_GB2312" w:eastAsia="楷体_GB2312"/>
          <w:kern w:val="0"/>
        </w:rPr>
      </w:pPr>
      <w:r>
        <w:rPr>
          <w:rFonts w:hint="eastAsia"/>
          <w:kern w:val="0"/>
        </w:rPr>
        <w:t>加快推进新城新区基础设施、公共服务配套设施建设。推进城市内部区域内公共交通的互联互通，加强城市停车管理，鼓励民间资本投资停车设施建设，对现有停车资源进行优化配置和合理利用。在库存商品房规模较大、库存项目相对集中的区域内，加快建设交通、学校、医院、商业等配套服务设施，提高交通可达性和生活便利性。对因水电气暖等市政设施不全导致的库存，要加大投入，尽快完成配套，改善居住环境；对因公共服务滞后导致的库存，要引入优质教育、医疗等资源，提升公共服务水平，增强购房的吸引力。</w:t>
      </w:r>
      <w:r>
        <w:rPr>
          <w:rFonts w:hint="eastAsia" w:ascii="楷体_GB2312" w:eastAsia="楷体_GB2312"/>
          <w:kern w:val="0"/>
        </w:rPr>
        <w:t>〔各县（市、区）政府，市发改局、市教育局、市住建管理局、市卫计局、市城管局〕</w:t>
      </w:r>
    </w:p>
    <w:p>
      <w:pPr>
        <w:spacing w:line="560" w:lineRule="exact"/>
        <w:ind w:firstLine="640" w:firstLineChars="200"/>
        <w:rPr>
          <w:rFonts w:ascii="黑体" w:hAnsi="黑体" w:eastAsia="黑体" w:cs="Arial"/>
          <w:kern w:val="0"/>
        </w:rPr>
      </w:pPr>
      <w:r>
        <w:rPr>
          <w:rFonts w:hint="eastAsia" w:ascii="黑体" w:hAnsi="黑体" w:eastAsia="黑体" w:cs="Arial"/>
          <w:kern w:val="0"/>
        </w:rPr>
        <w:t>三、保障措施与督查考核</w:t>
      </w:r>
    </w:p>
    <w:p>
      <w:pPr>
        <w:spacing w:line="560" w:lineRule="exact"/>
        <w:ind w:firstLine="640" w:firstLineChars="200"/>
        <w:rPr>
          <w:rFonts w:ascii="楷体_GB2312" w:eastAsia="楷体_GB2312"/>
          <w:kern w:val="0"/>
        </w:rPr>
      </w:pPr>
      <w:r>
        <w:rPr>
          <w:rFonts w:hint="eastAsia" w:ascii="楷体_GB2312" w:eastAsia="楷体_GB2312"/>
          <w:kern w:val="0"/>
        </w:rPr>
        <w:t>（一）加强领导，落实责任。</w:t>
      </w:r>
    </w:p>
    <w:p>
      <w:pPr>
        <w:autoSpaceDN w:val="0"/>
        <w:spacing w:line="560" w:lineRule="exact"/>
        <w:ind w:firstLine="640" w:firstLineChars="200"/>
        <w:rPr>
          <w:kern w:val="0"/>
        </w:rPr>
      </w:pPr>
      <w:r>
        <w:rPr>
          <w:rFonts w:hint="eastAsia"/>
          <w:kern w:val="0"/>
        </w:rPr>
        <w:t>各县（市、区）政府承担着本地区房地产去库存、保持房地产市场平稳健康发展的主体责任，要切实加强组织领导，落实工作责任，采取有效措施，抓紧制定房地产去库存工作实施方案，明确去库存、稳市场工作的计划、措施、分工、时间节点等，并于</w:t>
      </w:r>
      <w:r>
        <w:rPr>
          <w:kern w:val="0"/>
        </w:rPr>
        <w:t>2018</w:t>
      </w:r>
      <w:r>
        <w:rPr>
          <w:rFonts w:hint="eastAsia"/>
          <w:kern w:val="0"/>
        </w:rPr>
        <w:t>年</w:t>
      </w:r>
      <w:r>
        <w:rPr>
          <w:kern w:val="0"/>
        </w:rPr>
        <w:t>8</w:t>
      </w:r>
      <w:r>
        <w:rPr>
          <w:rFonts w:hint="eastAsia"/>
          <w:kern w:val="0"/>
        </w:rPr>
        <w:t>月</w:t>
      </w:r>
      <w:r>
        <w:rPr>
          <w:kern w:val="0"/>
        </w:rPr>
        <w:t>30</w:t>
      </w:r>
      <w:r>
        <w:rPr>
          <w:rFonts w:hint="eastAsia"/>
          <w:kern w:val="0"/>
        </w:rPr>
        <w:t>日前将</w:t>
      </w:r>
      <w:r>
        <w:rPr>
          <w:kern w:val="0"/>
        </w:rPr>
        <w:t>2018</w:t>
      </w:r>
      <w:r>
        <w:rPr>
          <w:rFonts w:hint="eastAsia"/>
          <w:kern w:val="0"/>
        </w:rPr>
        <w:t>年度去库存计划报市住管局。发改、财政、国土、住管、税务、金融等部门要密切协作，形成工作合力，完善和落实金融、税收、土地等相关政策，营造化解房地产库存的良好政策环境。</w:t>
      </w:r>
    </w:p>
    <w:p>
      <w:pPr>
        <w:spacing w:line="560" w:lineRule="exact"/>
        <w:ind w:firstLine="640" w:firstLineChars="200"/>
        <w:rPr>
          <w:rFonts w:ascii="楷体_GB2312" w:eastAsia="楷体_GB2312"/>
          <w:kern w:val="0"/>
        </w:rPr>
      </w:pPr>
      <w:r>
        <w:rPr>
          <w:rFonts w:hint="eastAsia" w:ascii="楷体_GB2312" w:eastAsia="楷体_GB2312"/>
          <w:kern w:val="0"/>
        </w:rPr>
        <w:t>（二）实事求是，应统尽统。</w:t>
      </w:r>
    </w:p>
    <w:p>
      <w:pPr>
        <w:autoSpaceDN w:val="0"/>
        <w:spacing w:line="560" w:lineRule="exact"/>
        <w:ind w:firstLine="640" w:firstLineChars="200"/>
        <w:rPr>
          <w:kern w:val="0"/>
        </w:rPr>
      </w:pPr>
      <w:r>
        <w:rPr>
          <w:rFonts w:hint="eastAsia"/>
          <w:kern w:val="0"/>
        </w:rPr>
        <w:t>各县（市、区）要切实做好房地产市场的监测分析工作，坚持实事求是的原则，开展房地产市场统计，住建、房管、统计部门要切实加强配合，建立定期协调机制，做到应入库的企业和项目全部入库，确保有关数据及时、准确地反映房地产市场真实运行情况。</w:t>
      </w:r>
    </w:p>
    <w:p>
      <w:pPr>
        <w:spacing w:line="560" w:lineRule="exact"/>
        <w:ind w:firstLine="640" w:firstLineChars="200"/>
        <w:rPr>
          <w:rFonts w:ascii="楷体_GB2312" w:eastAsia="楷体_GB2312"/>
          <w:kern w:val="0"/>
        </w:rPr>
      </w:pPr>
      <w:r>
        <w:rPr>
          <w:rFonts w:hint="eastAsia" w:ascii="楷体_GB2312" w:eastAsia="楷体_GB2312"/>
          <w:kern w:val="0"/>
        </w:rPr>
        <w:t>（三）督查督办，考核问责。</w:t>
      </w:r>
    </w:p>
    <w:p>
      <w:pPr>
        <w:autoSpaceDN w:val="0"/>
        <w:spacing w:line="560" w:lineRule="exact"/>
        <w:ind w:firstLine="640" w:firstLineChars="200"/>
        <w:rPr>
          <w:kern w:val="0"/>
        </w:rPr>
      </w:pPr>
      <w:r>
        <w:rPr>
          <w:rFonts w:hint="eastAsia"/>
          <w:kern w:val="0"/>
        </w:rPr>
        <w:t>各县（市、区）有关部门要对市政府房地产去库存有关文件贯彻落实情况逐条对照梳理，逐条分解落实。对尚未落实到位的，要尽快采取措施，明确时限，确保落实到位。要在政策框架内积极探索，研究出台符合本地实际的具体措施。市政府将加强对房地产去库存工作的督查督办和考核问责，将政策落实情况作为市政府对各县（市、区）政府绩效考核的重要内容，对工作迟缓、落实不力的地区和部门进行约谈问责。</w:t>
      </w:r>
    </w:p>
    <w:p>
      <w:pPr>
        <w:autoSpaceDN w:val="0"/>
        <w:spacing w:line="560" w:lineRule="exact"/>
        <w:ind w:firstLine="640" w:firstLineChars="200"/>
        <w:rPr>
          <w:kern w:val="0"/>
        </w:rPr>
      </w:pPr>
    </w:p>
    <w:p>
      <w:pPr>
        <w:autoSpaceDN w:val="0"/>
        <w:spacing w:line="560" w:lineRule="exact"/>
        <w:ind w:firstLine="640" w:firstLineChars="200"/>
        <w:rPr>
          <w:kern w:val="0"/>
        </w:rPr>
      </w:pPr>
      <w:r>
        <w:rPr>
          <w:rFonts w:hint="eastAsia"/>
          <w:kern w:val="0"/>
        </w:rPr>
        <w:t>附件</w:t>
      </w:r>
      <w:r>
        <w:rPr>
          <w:kern w:val="0"/>
        </w:rPr>
        <w:t>:2018</w:t>
      </w:r>
      <w:r>
        <w:rPr>
          <w:rFonts w:hint="eastAsia"/>
          <w:kern w:val="0"/>
        </w:rPr>
        <w:t>年全市商品房去库存任务分解表</w:t>
      </w: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autoSpaceDN w:val="0"/>
        <w:spacing w:line="560" w:lineRule="exact"/>
        <w:rPr>
          <w:kern w:val="0"/>
        </w:rPr>
      </w:pPr>
    </w:p>
    <w:p>
      <w:pPr>
        <w:spacing w:line="560" w:lineRule="exact"/>
        <w:rPr>
          <w:rFonts w:ascii="方正小标宋简体" w:eastAsia="方正小标宋简体"/>
          <w:bCs/>
          <w:kern w:val="3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12" w:charSpace="0"/>
        </w:sectPr>
      </w:pPr>
    </w:p>
    <w:p>
      <w:pPr>
        <w:spacing w:line="560" w:lineRule="exact"/>
        <w:rPr>
          <w:rFonts w:ascii="黑体" w:hAnsi="黑体" w:eastAsia="黑体"/>
          <w:bCs/>
          <w:kern w:val="36"/>
        </w:rPr>
      </w:pPr>
      <w:r>
        <w:rPr>
          <w:rFonts w:hint="eastAsia" w:ascii="黑体" w:hAnsi="黑体" w:eastAsia="黑体"/>
          <w:bCs/>
          <w:kern w:val="36"/>
        </w:rPr>
        <w:t>附件</w:t>
      </w:r>
    </w:p>
    <w:p>
      <w:pPr>
        <w:spacing w:line="560" w:lineRule="exact"/>
        <w:jc w:val="center"/>
        <w:rPr>
          <w:rFonts w:ascii="方正小标宋简体" w:eastAsia="方正小标宋简体"/>
          <w:bCs/>
          <w:kern w:val="36"/>
          <w:sz w:val="44"/>
          <w:szCs w:val="44"/>
        </w:rPr>
      </w:pPr>
      <w:r>
        <w:rPr>
          <w:rFonts w:ascii="方正小标宋简体" w:eastAsia="方正小标宋简体"/>
          <w:bCs/>
          <w:kern w:val="36"/>
          <w:sz w:val="44"/>
          <w:szCs w:val="44"/>
        </w:rPr>
        <w:t>2018</w:t>
      </w:r>
      <w:r>
        <w:rPr>
          <w:rFonts w:hint="eastAsia" w:ascii="方正小标宋简体" w:eastAsia="方正小标宋简体"/>
          <w:bCs/>
          <w:kern w:val="36"/>
          <w:sz w:val="44"/>
          <w:szCs w:val="44"/>
        </w:rPr>
        <w:t>年全市商品房去库存任务分解表</w:t>
      </w:r>
    </w:p>
    <w:p>
      <w:pPr>
        <w:autoSpaceDN w:val="0"/>
        <w:spacing w:line="560" w:lineRule="exact"/>
        <w:jc w:val="center"/>
        <w:rPr>
          <w:kern w:val="0"/>
        </w:rPr>
      </w:pPr>
    </w:p>
    <w:tbl>
      <w:tblPr>
        <w:tblStyle w:val="4"/>
        <w:tblW w:w="14916" w:type="dxa"/>
        <w:jc w:val="center"/>
        <w:tblLayout w:type="fixed"/>
        <w:tblCellMar>
          <w:top w:w="0" w:type="dxa"/>
          <w:left w:w="108" w:type="dxa"/>
          <w:bottom w:w="0" w:type="dxa"/>
          <w:right w:w="108" w:type="dxa"/>
        </w:tblCellMar>
      </w:tblPr>
      <w:tblGrid>
        <w:gridCol w:w="588"/>
        <w:gridCol w:w="804"/>
        <w:gridCol w:w="1308"/>
        <w:gridCol w:w="1536"/>
        <w:gridCol w:w="1548"/>
        <w:gridCol w:w="1380"/>
        <w:gridCol w:w="1560"/>
        <w:gridCol w:w="1536"/>
        <w:gridCol w:w="1392"/>
        <w:gridCol w:w="1680"/>
        <w:gridCol w:w="1584"/>
      </w:tblGrid>
      <w:tr>
        <w:tblPrEx>
          <w:tblCellMar>
            <w:top w:w="0" w:type="dxa"/>
            <w:left w:w="108" w:type="dxa"/>
            <w:bottom w:w="0" w:type="dxa"/>
            <w:right w:w="108" w:type="dxa"/>
          </w:tblCellMar>
        </w:tblPrEx>
        <w:trPr>
          <w:trHeight w:val="398" w:hRule="atLeast"/>
          <w:jc w:val="center"/>
        </w:trPr>
        <w:tc>
          <w:tcPr>
            <w:tcW w:w="588"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804" w:type="dxa"/>
            <w:vMerge w:val="restart"/>
            <w:tcBorders>
              <w:top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地区</w:t>
            </w:r>
          </w:p>
        </w:tc>
        <w:tc>
          <w:tcPr>
            <w:tcW w:w="4392" w:type="dxa"/>
            <w:gridSpan w:val="3"/>
            <w:tcBorders>
              <w:top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ascii="黑体" w:hAnsi="黑体" w:eastAsia="黑体" w:cs="宋体"/>
                <w:kern w:val="0"/>
                <w:sz w:val="28"/>
                <w:szCs w:val="28"/>
              </w:rPr>
              <w:t>2015</w:t>
            </w:r>
            <w:r>
              <w:rPr>
                <w:rFonts w:hint="eastAsia" w:ascii="黑体" w:hAnsi="黑体" w:eastAsia="黑体" w:cs="宋体"/>
                <w:kern w:val="0"/>
                <w:sz w:val="28"/>
                <w:szCs w:val="28"/>
              </w:rPr>
              <w:t>年底库存面积</w:t>
            </w:r>
          </w:p>
        </w:tc>
        <w:tc>
          <w:tcPr>
            <w:tcW w:w="4476" w:type="dxa"/>
            <w:gridSpan w:val="3"/>
            <w:tcBorders>
              <w:top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ascii="黑体" w:hAnsi="黑体" w:eastAsia="黑体" w:cs="宋体"/>
                <w:kern w:val="0"/>
                <w:sz w:val="28"/>
                <w:szCs w:val="28"/>
              </w:rPr>
              <w:t>2016-2018</w:t>
            </w:r>
            <w:r>
              <w:rPr>
                <w:rFonts w:hint="eastAsia" w:ascii="黑体" w:hAnsi="黑体" w:eastAsia="黑体" w:cs="宋体"/>
                <w:kern w:val="0"/>
                <w:sz w:val="28"/>
                <w:szCs w:val="28"/>
              </w:rPr>
              <w:t>年去库存任务</w:t>
            </w:r>
          </w:p>
        </w:tc>
        <w:tc>
          <w:tcPr>
            <w:tcW w:w="4656" w:type="dxa"/>
            <w:gridSpan w:val="3"/>
            <w:tcBorders>
              <w:top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ascii="黑体" w:hAnsi="黑体" w:eastAsia="黑体" w:cs="宋体"/>
                <w:kern w:val="0"/>
                <w:sz w:val="28"/>
                <w:szCs w:val="28"/>
              </w:rPr>
              <w:t>2018</w:t>
            </w:r>
            <w:r>
              <w:rPr>
                <w:rFonts w:hint="eastAsia" w:ascii="黑体" w:hAnsi="黑体" w:eastAsia="黑体" w:cs="宋体"/>
                <w:kern w:val="0"/>
                <w:sz w:val="28"/>
                <w:szCs w:val="28"/>
              </w:rPr>
              <w:t>年去库存任务</w:t>
            </w:r>
          </w:p>
        </w:tc>
      </w:tr>
      <w:tr>
        <w:trPr>
          <w:trHeight w:val="228"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p>
        </w:tc>
        <w:tc>
          <w:tcPr>
            <w:tcW w:w="804" w:type="dxa"/>
            <w:vMerge w:val="continue"/>
            <w:tcBorders>
              <w:top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p>
        </w:tc>
        <w:tc>
          <w:tcPr>
            <w:tcW w:w="1308" w:type="dxa"/>
            <w:vMerge w:val="restart"/>
            <w:tcBorders>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商品房（万平方米）</w:t>
            </w:r>
          </w:p>
        </w:tc>
        <w:tc>
          <w:tcPr>
            <w:tcW w:w="3084" w:type="dxa"/>
            <w:gridSpan w:val="2"/>
            <w:tcBorders>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其中</w:t>
            </w:r>
          </w:p>
        </w:tc>
        <w:tc>
          <w:tcPr>
            <w:tcW w:w="1380" w:type="dxa"/>
            <w:vMerge w:val="restart"/>
            <w:tcBorders>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商品房（万平方米）</w:t>
            </w:r>
          </w:p>
        </w:tc>
        <w:tc>
          <w:tcPr>
            <w:tcW w:w="3096" w:type="dxa"/>
            <w:gridSpan w:val="2"/>
            <w:tcBorders>
              <w:top w:val="single" w:color="000000" w:sz="4" w:space="0"/>
              <w:bottom w:val="nil"/>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其中</w:t>
            </w:r>
          </w:p>
        </w:tc>
        <w:tc>
          <w:tcPr>
            <w:tcW w:w="1392" w:type="dxa"/>
            <w:vMerge w:val="restart"/>
            <w:tcBorders>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商品房（万平方米）</w:t>
            </w:r>
          </w:p>
        </w:tc>
        <w:tc>
          <w:tcPr>
            <w:tcW w:w="3264" w:type="dxa"/>
            <w:gridSpan w:val="2"/>
            <w:tcBorders>
              <w:top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其中</w:t>
            </w:r>
          </w:p>
        </w:tc>
      </w:tr>
      <w:tr>
        <w:tblPrEx>
          <w:tblCellMar>
            <w:top w:w="0" w:type="dxa"/>
            <w:left w:w="108" w:type="dxa"/>
            <w:bottom w:w="0" w:type="dxa"/>
            <w:right w:w="108" w:type="dxa"/>
          </w:tblCellMar>
        </w:tblPrEx>
        <w:trPr>
          <w:trHeight w:val="752" w:hRule="atLeast"/>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p>
        </w:tc>
        <w:tc>
          <w:tcPr>
            <w:tcW w:w="804" w:type="dxa"/>
            <w:vMerge w:val="continue"/>
            <w:tcBorders>
              <w:top w:val="single" w:color="000000" w:sz="4" w:space="0"/>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p>
        </w:tc>
        <w:tc>
          <w:tcPr>
            <w:tcW w:w="1308" w:type="dxa"/>
            <w:vMerge w:val="continue"/>
            <w:tcBorders>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p>
        </w:tc>
        <w:tc>
          <w:tcPr>
            <w:tcW w:w="1536" w:type="dxa"/>
            <w:tcBorders>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商品住房（万平方米）</w:t>
            </w:r>
          </w:p>
        </w:tc>
        <w:tc>
          <w:tcPr>
            <w:tcW w:w="1548" w:type="dxa"/>
            <w:tcBorders>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非商品住房（万平方米）</w:t>
            </w:r>
          </w:p>
        </w:tc>
        <w:tc>
          <w:tcPr>
            <w:tcW w:w="1380" w:type="dxa"/>
            <w:vMerge w:val="continue"/>
            <w:tcBorders>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p>
        </w:tc>
        <w:tc>
          <w:tcPr>
            <w:tcW w:w="1560" w:type="dxa"/>
            <w:tcBorders>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商品住房（万平方米）</w:t>
            </w:r>
          </w:p>
        </w:tc>
        <w:tc>
          <w:tcPr>
            <w:tcW w:w="1536" w:type="dxa"/>
            <w:tcBorders>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非商品住房（万平方米）</w:t>
            </w:r>
          </w:p>
        </w:tc>
        <w:tc>
          <w:tcPr>
            <w:tcW w:w="1392" w:type="dxa"/>
            <w:vMerge w:val="continue"/>
            <w:tcBorders>
              <w:bottom w:val="single" w:color="000000" w:sz="4" w:space="0"/>
              <w:right w:val="single" w:color="000000" w:sz="4" w:space="0"/>
            </w:tcBorders>
            <w:vAlign w:val="center"/>
          </w:tcPr>
          <w:p>
            <w:pPr>
              <w:spacing w:line="280" w:lineRule="exact"/>
              <w:jc w:val="center"/>
              <w:rPr>
                <w:rFonts w:ascii="黑体" w:hAnsi="黑体" w:eastAsia="黑体" w:cs="宋体"/>
                <w:kern w:val="0"/>
                <w:sz w:val="28"/>
                <w:szCs w:val="28"/>
              </w:rPr>
            </w:pPr>
          </w:p>
        </w:tc>
        <w:tc>
          <w:tcPr>
            <w:tcW w:w="1680" w:type="dxa"/>
            <w:tcBorders>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商品住房（万平方米）</w:t>
            </w:r>
          </w:p>
        </w:tc>
        <w:tc>
          <w:tcPr>
            <w:tcW w:w="1584" w:type="dxa"/>
            <w:tcBorders>
              <w:right w:val="single" w:color="000000" w:sz="4" w:space="0"/>
            </w:tcBorders>
            <w:vAlign w:val="center"/>
          </w:tcPr>
          <w:p>
            <w:pPr>
              <w:spacing w:line="280" w:lineRule="exact"/>
              <w:jc w:val="center"/>
              <w:rPr>
                <w:rFonts w:ascii="黑体" w:hAnsi="黑体" w:eastAsia="黑体" w:cs="宋体"/>
                <w:kern w:val="0"/>
                <w:sz w:val="28"/>
                <w:szCs w:val="28"/>
              </w:rPr>
            </w:pPr>
            <w:r>
              <w:rPr>
                <w:rFonts w:hint="eastAsia" w:ascii="黑体" w:hAnsi="黑体" w:eastAsia="黑体" w:cs="宋体"/>
                <w:kern w:val="0"/>
                <w:sz w:val="28"/>
                <w:szCs w:val="28"/>
              </w:rPr>
              <w:t>非商品住房（万平方米）</w:t>
            </w:r>
          </w:p>
        </w:tc>
      </w:tr>
      <w:tr>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浈江</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109.9</w:t>
            </w:r>
          </w:p>
        </w:tc>
        <w:tc>
          <w:tcPr>
            <w:tcW w:w="1536" w:type="dxa"/>
            <w:tcBorders>
              <w:top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54.9</w:t>
            </w:r>
          </w:p>
        </w:tc>
        <w:tc>
          <w:tcPr>
            <w:tcW w:w="1548" w:type="dxa"/>
            <w:tcBorders>
              <w:top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55</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12.3</w:t>
            </w:r>
          </w:p>
        </w:tc>
        <w:tc>
          <w:tcPr>
            <w:tcW w:w="1560" w:type="dxa"/>
            <w:tcBorders>
              <w:top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8</w:t>
            </w:r>
          </w:p>
        </w:tc>
        <w:tc>
          <w:tcPr>
            <w:tcW w:w="1536" w:type="dxa"/>
            <w:tcBorders>
              <w:top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4.3</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3.5</w:t>
            </w:r>
          </w:p>
        </w:tc>
        <w:tc>
          <w:tcPr>
            <w:tcW w:w="1680" w:type="dxa"/>
            <w:tcBorders>
              <w:top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w:t>
            </w:r>
          </w:p>
        </w:tc>
        <w:tc>
          <w:tcPr>
            <w:tcW w:w="1584" w:type="dxa"/>
            <w:tcBorders>
              <w:top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1.5</w:t>
            </w:r>
          </w:p>
        </w:tc>
      </w:tr>
      <w:tr>
        <w:tblPrEx>
          <w:tblCellMar>
            <w:top w:w="0" w:type="dxa"/>
            <w:left w:w="108" w:type="dxa"/>
            <w:bottom w:w="0" w:type="dxa"/>
            <w:right w:w="108" w:type="dxa"/>
          </w:tblCellMar>
        </w:tblPrEx>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武江</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125.6</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87.8</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37.8</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8.9</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5</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3.9</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4.8</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3.1</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1.7</w:t>
            </w:r>
          </w:p>
        </w:tc>
      </w:tr>
      <w:tr>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曲江</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79.2</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59.4</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19.8</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5.9</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5.3</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0.6</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2.3</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2.1</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0.2</w:t>
            </w:r>
          </w:p>
        </w:tc>
      </w:tr>
      <w:tr>
        <w:tblPrEx>
          <w:tblCellMar>
            <w:top w:w="0" w:type="dxa"/>
            <w:left w:w="108" w:type="dxa"/>
            <w:bottom w:w="0" w:type="dxa"/>
            <w:right w:w="108" w:type="dxa"/>
          </w:tblCellMar>
        </w:tblPrEx>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乐昌</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80.4</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70.4</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10</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6.9</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6.3</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0.6</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2.8</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2.6</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0.2</w:t>
            </w:r>
          </w:p>
        </w:tc>
      </w:tr>
      <w:tr>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5</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南雄</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47.9</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29.1</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18.8</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4.2</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2.6</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1.6</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1.7</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0.7</w:t>
            </w:r>
          </w:p>
        </w:tc>
      </w:tr>
      <w:tr>
        <w:tblPrEx>
          <w:tblCellMar>
            <w:top w:w="0" w:type="dxa"/>
            <w:left w:w="108" w:type="dxa"/>
            <w:bottom w:w="0" w:type="dxa"/>
            <w:right w:w="108" w:type="dxa"/>
          </w:tblCellMar>
        </w:tblPrEx>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6</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仁化</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42.2</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33.8</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8.4</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3.9</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0.9</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1.6</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1.2</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0.4</w:t>
            </w:r>
          </w:p>
        </w:tc>
      </w:tr>
      <w:tr>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7</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始兴</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66.5</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46.6</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19.9</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5.9</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4.1</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1.8</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2.4</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1.7</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0.7</w:t>
            </w:r>
          </w:p>
        </w:tc>
      </w:tr>
      <w:tr>
        <w:tblPrEx>
          <w:tblCellMar>
            <w:top w:w="0" w:type="dxa"/>
            <w:left w:w="108" w:type="dxa"/>
            <w:bottom w:w="0" w:type="dxa"/>
            <w:right w:w="108" w:type="dxa"/>
          </w:tblCellMar>
        </w:tblPrEx>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8</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乳源</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38.7</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30.6</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8.1</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3.4</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2.7</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0.7</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1.4</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1.1</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0.3</w:t>
            </w:r>
          </w:p>
        </w:tc>
      </w:tr>
      <w:tr>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9</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翁源</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20.1</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17.5</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2.6</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1.8</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1.6</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0.2</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0.8</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0.7</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0.1</w:t>
            </w:r>
          </w:p>
        </w:tc>
      </w:tr>
      <w:tr>
        <w:tblPrEx>
          <w:tblCellMar>
            <w:top w:w="0" w:type="dxa"/>
            <w:left w:w="108" w:type="dxa"/>
            <w:bottom w:w="0" w:type="dxa"/>
            <w:right w:w="108" w:type="dxa"/>
          </w:tblCellMar>
        </w:tblPrEx>
        <w:trPr>
          <w:trHeight w:val="397" w:hRule="atLeast"/>
          <w:jc w:val="center"/>
        </w:trPr>
        <w:tc>
          <w:tcPr>
            <w:tcW w:w="588" w:type="dxa"/>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10</w:t>
            </w:r>
          </w:p>
        </w:tc>
        <w:tc>
          <w:tcPr>
            <w:tcW w:w="80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新丰</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19.6</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15.8</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3.8</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1.8</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1.4</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0.4</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0.7</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0.5</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0.2</w:t>
            </w:r>
          </w:p>
        </w:tc>
      </w:tr>
      <w:tr>
        <w:trPr>
          <w:trHeight w:val="397" w:hRule="atLeast"/>
          <w:jc w:val="center"/>
        </w:trPr>
        <w:tc>
          <w:tcPr>
            <w:tcW w:w="1392" w:type="dxa"/>
            <w:gridSpan w:val="2"/>
            <w:tcBorders>
              <w:left w:val="single" w:color="000000" w:sz="4" w:space="0"/>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int="eastAsia" w:hAnsi="宋体" w:cs="宋体"/>
                <w:kern w:val="0"/>
                <w:sz w:val="28"/>
                <w:szCs w:val="28"/>
              </w:rPr>
              <w:t>全市</w:t>
            </w:r>
          </w:p>
          <w:p>
            <w:pPr>
              <w:spacing w:line="380" w:lineRule="exact"/>
              <w:jc w:val="center"/>
              <w:rPr>
                <w:rFonts w:hAnsi="宋体" w:cs="宋体"/>
                <w:kern w:val="0"/>
                <w:sz w:val="28"/>
                <w:szCs w:val="28"/>
              </w:rPr>
            </w:pPr>
            <w:r>
              <w:rPr>
                <w:rFonts w:hAnsi="宋体" w:cs="宋体"/>
                <w:kern w:val="0"/>
                <w:sz w:val="28"/>
                <w:szCs w:val="28"/>
              </w:rPr>
              <w:t xml:space="preserve">  </w:t>
            </w:r>
            <w:r>
              <w:rPr>
                <w:rFonts w:hint="eastAsia" w:hAnsi="宋体" w:cs="宋体"/>
                <w:kern w:val="0"/>
                <w:sz w:val="28"/>
                <w:szCs w:val="28"/>
              </w:rPr>
              <w:t>合计：</w:t>
            </w:r>
          </w:p>
        </w:tc>
        <w:tc>
          <w:tcPr>
            <w:tcW w:w="130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630</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446</w:t>
            </w:r>
          </w:p>
        </w:tc>
        <w:tc>
          <w:tcPr>
            <w:tcW w:w="1548"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184</w:t>
            </w:r>
          </w:p>
        </w:tc>
        <w:tc>
          <w:tcPr>
            <w:tcW w:w="13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55</w:t>
            </w:r>
          </w:p>
        </w:tc>
        <w:tc>
          <w:tcPr>
            <w:tcW w:w="156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40</w:t>
            </w:r>
          </w:p>
        </w:tc>
        <w:tc>
          <w:tcPr>
            <w:tcW w:w="1536"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15</w:t>
            </w:r>
          </w:p>
        </w:tc>
        <w:tc>
          <w:tcPr>
            <w:tcW w:w="1392"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22</w:t>
            </w:r>
          </w:p>
        </w:tc>
        <w:tc>
          <w:tcPr>
            <w:tcW w:w="1680"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16</w:t>
            </w:r>
          </w:p>
        </w:tc>
        <w:tc>
          <w:tcPr>
            <w:tcW w:w="1584" w:type="dxa"/>
            <w:tcBorders>
              <w:bottom w:val="single" w:color="000000" w:sz="4" w:space="0"/>
              <w:right w:val="single" w:color="000000" w:sz="4" w:space="0"/>
            </w:tcBorders>
            <w:vAlign w:val="center"/>
          </w:tcPr>
          <w:p>
            <w:pPr>
              <w:spacing w:line="380" w:lineRule="exact"/>
              <w:jc w:val="center"/>
              <w:rPr>
                <w:rFonts w:hAnsi="宋体" w:cs="宋体"/>
                <w:kern w:val="0"/>
                <w:sz w:val="28"/>
                <w:szCs w:val="28"/>
              </w:rPr>
            </w:pPr>
            <w:r>
              <w:rPr>
                <w:rFonts w:hAnsi="宋体" w:cs="宋体"/>
                <w:kern w:val="0"/>
                <w:sz w:val="28"/>
                <w:szCs w:val="28"/>
              </w:rPr>
              <w:t>6</w:t>
            </w:r>
          </w:p>
        </w:tc>
      </w:tr>
    </w:tbl>
    <w:p>
      <w:pPr>
        <w:spacing w:line="380" w:lineRule="exact"/>
        <w:rPr>
          <w:kern w:val="0"/>
          <w:sz w:val="28"/>
          <w:szCs w:val="28"/>
        </w:rPr>
        <w:sectPr>
          <w:pgSz w:w="16838" w:h="11906" w:orient="landscape"/>
          <w:pgMar w:top="1588" w:right="2098" w:bottom="1474" w:left="1985" w:header="851" w:footer="992" w:gutter="0"/>
          <w:cols w:space="720" w:num="1"/>
          <w:docGrid w:type="linesAndChars" w:linePitch="312" w:charSpace="0"/>
        </w:sectPr>
      </w:pPr>
    </w:p>
    <w:p>
      <w:pPr>
        <w:spacing w:line="64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韶关市供给侧结构性改革</w:t>
      </w:r>
      <w:r>
        <w:rPr>
          <w:rFonts w:ascii="方正小标宋简体" w:eastAsia="方正小标宋简体"/>
          <w:bCs/>
          <w:kern w:val="36"/>
          <w:sz w:val="44"/>
          <w:szCs w:val="44"/>
        </w:rPr>
        <w:t>2018</w:t>
      </w:r>
      <w:r>
        <w:rPr>
          <w:rFonts w:hint="eastAsia" w:ascii="方正小标宋简体" w:eastAsia="方正小标宋简体"/>
          <w:bCs/>
          <w:kern w:val="36"/>
          <w:sz w:val="44"/>
          <w:szCs w:val="44"/>
        </w:rPr>
        <w:t>年</w:t>
      </w:r>
    </w:p>
    <w:p>
      <w:pPr>
        <w:spacing w:line="64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去杠杆工作方案</w:t>
      </w:r>
    </w:p>
    <w:p>
      <w:pPr>
        <w:autoSpaceDN w:val="0"/>
        <w:spacing w:line="560" w:lineRule="exact"/>
        <w:rPr>
          <w:kern w:val="0"/>
          <w:sz w:val="21"/>
          <w:szCs w:val="21"/>
        </w:rPr>
      </w:pPr>
    </w:p>
    <w:p>
      <w:pPr>
        <w:autoSpaceDN w:val="0"/>
        <w:spacing w:line="560" w:lineRule="exact"/>
        <w:ind w:firstLine="630"/>
        <w:rPr>
          <w:rFonts w:hAnsi="宋体" w:cs="宋体"/>
          <w:color w:val="000000"/>
          <w:kern w:val="0"/>
        </w:rPr>
      </w:pPr>
      <w:r>
        <w:rPr>
          <w:rFonts w:hint="eastAsia" w:hAnsi="宋体" w:cs="宋体"/>
          <w:color w:val="000000"/>
          <w:kern w:val="0"/>
        </w:rPr>
        <w:t>为贯彻落实市委、市政府关于推进供给侧结构性改革的决策部署，切实做好我市去杠杆工作，防范化解金融风险，根据《韶关市供给侧结构性改革总体方案（</w:t>
      </w:r>
      <w:r>
        <w:rPr>
          <w:rFonts w:hAnsi="宋体" w:cs="宋体"/>
          <w:color w:val="000000"/>
          <w:kern w:val="0"/>
        </w:rPr>
        <w:t>2016—2018</w:t>
      </w:r>
      <w:r>
        <w:rPr>
          <w:rFonts w:hint="eastAsia" w:hAnsi="宋体" w:cs="宋体"/>
          <w:color w:val="000000"/>
          <w:kern w:val="0"/>
        </w:rPr>
        <w:t>年）》，制定本工作方案。</w:t>
      </w:r>
    </w:p>
    <w:p>
      <w:pPr>
        <w:autoSpaceDN w:val="0"/>
        <w:spacing w:line="560" w:lineRule="exact"/>
        <w:ind w:firstLine="630"/>
        <w:rPr>
          <w:rFonts w:ascii="黑体" w:hAnsi="黑体" w:eastAsia="黑体" w:cs="Arial"/>
          <w:kern w:val="0"/>
        </w:rPr>
      </w:pPr>
      <w:r>
        <w:rPr>
          <w:rFonts w:hint="eastAsia" w:ascii="黑体" w:hAnsi="黑体" w:eastAsia="黑体" w:cs="Arial"/>
          <w:kern w:val="0"/>
        </w:rPr>
        <w:t>一、重点降低企业杠杆率</w:t>
      </w:r>
    </w:p>
    <w:p>
      <w:pPr>
        <w:autoSpaceDN w:val="0"/>
        <w:spacing w:line="560" w:lineRule="exact"/>
        <w:ind w:firstLine="630"/>
        <w:rPr>
          <w:rFonts w:hAnsi="黑体" w:cs="Arial"/>
          <w:kern w:val="0"/>
        </w:rPr>
      </w:pPr>
      <w:r>
        <w:rPr>
          <w:rFonts w:hint="eastAsia" w:ascii="楷体_GB2312" w:eastAsia="楷体_GB2312"/>
          <w:kern w:val="0"/>
        </w:rPr>
        <w:t>（一）国有企业资产负债率降至</w:t>
      </w:r>
      <w:r>
        <w:rPr>
          <w:rFonts w:ascii="楷体_GB2312" w:eastAsia="楷体_GB2312"/>
          <w:kern w:val="0"/>
        </w:rPr>
        <w:t>65%</w:t>
      </w:r>
      <w:r>
        <w:rPr>
          <w:rFonts w:hint="eastAsia" w:ascii="楷体_GB2312" w:eastAsia="楷体_GB2312"/>
          <w:kern w:val="0"/>
        </w:rPr>
        <w:t>以下。</w:t>
      </w:r>
      <w:r>
        <w:rPr>
          <w:rFonts w:hint="eastAsia" w:hAnsi="Arial" w:cs="Arial"/>
          <w:color w:val="000000"/>
          <w:kern w:val="0"/>
        </w:rPr>
        <w:t>建立健全降低企业杠杆率工作机制，综合采取企业兼并重组、完善现代企业制度、盘活企业存量资产、优化企业债务结构等举措，确保国有企业资产负债率降至</w:t>
      </w:r>
      <w:r>
        <w:rPr>
          <w:rFonts w:hAnsi="Arial" w:cs="Arial"/>
          <w:color w:val="000000"/>
          <w:kern w:val="0"/>
        </w:rPr>
        <w:t>65%</w:t>
      </w:r>
      <w:r>
        <w:rPr>
          <w:rFonts w:hint="eastAsia" w:hAnsi="Arial" w:cs="Arial"/>
          <w:color w:val="000000"/>
          <w:kern w:val="0"/>
        </w:rPr>
        <w:t>以下。</w:t>
      </w:r>
      <w:r>
        <w:rPr>
          <w:rFonts w:hint="eastAsia" w:ascii="楷体_GB2312" w:eastAsia="楷体_GB2312"/>
          <w:kern w:val="0"/>
        </w:rPr>
        <w:t>〔市发改局、市国资委、市人民银行、韶关银监分局，各县（市、区）政府</w:t>
      </w:r>
      <w:r>
        <w:rPr>
          <w:rFonts w:hint="eastAsia" w:ascii="楷体_GB2312" w:hAnsi="黑体" w:eastAsia="楷体_GB2312"/>
          <w:kern w:val="0"/>
        </w:rPr>
        <w:t>，排名第一的单位为牵头单位，下同</w:t>
      </w:r>
      <w:r>
        <w:rPr>
          <w:rFonts w:hint="eastAsia" w:ascii="楷体_GB2312" w:eastAsia="楷体_GB2312"/>
          <w:kern w:val="0"/>
        </w:rPr>
        <w:t>〕</w:t>
      </w:r>
    </w:p>
    <w:p>
      <w:pPr>
        <w:autoSpaceDN w:val="0"/>
        <w:spacing w:line="560" w:lineRule="exact"/>
        <w:ind w:firstLine="630"/>
        <w:rPr>
          <w:rFonts w:ascii="楷体_GB2312" w:eastAsia="楷体_GB2312"/>
          <w:kern w:val="0"/>
        </w:rPr>
      </w:pPr>
      <w:r>
        <w:rPr>
          <w:rFonts w:hint="eastAsia" w:ascii="楷体_GB2312" w:eastAsia="楷体_GB2312"/>
          <w:kern w:val="0"/>
        </w:rPr>
        <w:t>（二）有序开展市场化银行债权转股权。</w:t>
      </w:r>
      <w:r>
        <w:rPr>
          <w:rFonts w:hint="eastAsia" w:hAnsi="Arial" w:cs="Arial"/>
          <w:color w:val="000000"/>
          <w:kern w:val="0"/>
        </w:rPr>
        <w:t>鼓励面向发展前景良好但遇到困难的优质企业开展市场化债转股，严禁“僵尸企业”、失信企业和不符合国家产业政策的企业作为市场化债转股对象。</w:t>
      </w:r>
      <w:r>
        <w:rPr>
          <w:rFonts w:hint="eastAsia" w:ascii="楷体_GB2312" w:eastAsia="楷体_GB2312"/>
          <w:kern w:val="0"/>
        </w:rPr>
        <w:t>（市发改局、市国资委、市人民银行、韶关银监分局）</w:t>
      </w:r>
    </w:p>
    <w:p>
      <w:pPr>
        <w:autoSpaceDN w:val="0"/>
        <w:spacing w:line="560" w:lineRule="exact"/>
        <w:ind w:firstLine="640"/>
        <w:rPr>
          <w:rFonts w:ascii="楷体_GB2312" w:eastAsia="楷体_GB2312"/>
          <w:kern w:val="0"/>
        </w:rPr>
      </w:pPr>
      <w:r>
        <w:rPr>
          <w:rFonts w:hint="eastAsia" w:ascii="楷体_GB2312" w:eastAsia="楷体_GB2312"/>
          <w:kern w:val="0"/>
        </w:rPr>
        <w:t>（三）推动直接融资发展。</w:t>
      </w:r>
      <w:r>
        <w:rPr>
          <w:rFonts w:hint="eastAsia" w:hAnsi="宋体" w:cs="宋体"/>
          <w:color w:val="000000"/>
          <w:kern w:val="0"/>
        </w:rPr>
        <w:t>鼓励优质中小企业、科技企业等改制上市、到全国中小企业股份转让系统以及区域性股权交易市场注册挂牌，利用资本市场做大做强。支持各类基金加快发展，加快企业股份制改造步伐。协调广州、前海和广东金融高新区三大股权交易中心为小微企业提供挂牌展示、投融资对接、培训咨询、私募证券发行、转让等服务。到</w:t>
      </w:r>
      <w:r>
        <w:rPr>
          <w:rFonts w:hAnsi="宋体" w:cs="宋体"/>
          <w:color w:val="000000"/>
          <w:kern w:val="0"/>
        </w:rPr>
        <w:t>2018</w:t>
      </w:r>
      <w:r>
        <w:rPr>
          <w:rFonts w:hint="eastAsia" w:hAnsi="宋体" w:cs="宋体"/>
          <w:color w:val="000000"/>
          <w:kern w:val="0"/>
        </w:rPr>
        <w:t>年底，力争全市金融业增加值占</w:t>
      </w:r>
      <w:r>
        <w:rPr>
          <w:rFonts w:hAnsi="宋体" w:cs="宋体"/>
          <w:color w:val="000000"/>
          <w:kern w:val="0"/>
        </w:rPr>
        <w:t>GDP</w:t>
      </w:r>
      <w:r>
        <w:rPr>
          <w:rFonts w:hint="eastAsia" w:hAnsi="宋体" w:cs="宋体"/>
          <w:color w:val="000000"/>
          <w:kern w:val="0"/>
        </w:rPr>
        <w:t>比重</w:t>
      </w:r>
      <w:r>
        <w:rPr>
          <w:rFonts w:hAnsi="宋体" w:cs="宋体"/>
          <w:color w:val="000000"/>
          <w:kern w:val="0"/>
        </w:rPr>
        <w:t>5%</w:t>
      </w:r>
      <w:r>
        <w:rPr>
          <w:rFonts w:hint="eastAsia" w:hAnsi="宋体" w:cs="宋体"/>
          <w:color w:val="000000"/>
          <w:kern w:val="0"/>
        </w:rPr>
        <w:t>以上，新三板挂牌企业</w:t>
      </w:r>
      <w:r>
        <w:rPr>
          <w:rFonts w:hAnsi="宋体" w:cs="宋体"/>
          <w:color w:val="000000"/>
          <w:kern w:val="0"/>
        </w:rPr>
        <w:t>8</w:t>
      </w:r>
      <w:r>
        <w:rPr>
          <w:rFonts w:hint="eastAsia" w:hAnsi="宋体" w:cs="宋体"/>
          <w:color w:val="000000"/>
          <w:kern w:val="0"/>
        </w:rPr>
        <w:t>家以上，区域股权交易中心挂牌企业</w:t>
      </w:r>
      <w:r>
        <w:rPr>
          <w:rFonts w:hAnsi="宋体" w:cs="宋体"/>
          <w:color w:val="000000"/>
          <w:kern w:val="0"/>
        </w:rPr>
        <w:t>50</w:t>
      </w:r>
      <w:r>
        <w:rPr>
          <w:rFonts w:hint="eastAsia" w:hAnsi="宋体" w:cs="宋体"/>
          <w:color w:val="000000"/>
          <w:kern w:val="0"/>
        </w:rPr>
        <w:t>家以上，直接融资占全部融资金额的比重超过</w:t>
      </w:r>
      <w:r>
        <w:rPr>
          <w:rFonts w:hAnsi="宋体" w:cs="宋体"/>
          <w:color w:val="000000"/>
          <w:kern w:val="0"/>
        </w:rPr>
        <w:t>15%</w:t>
      </w:r>
      <w:r>
        <w:rPr>
          <w:rFonts w:hint="eastAsia" w:hAnsi="宋体" w:cs="宋体"/>
          <w:color w:val="000000"/>
          <w:kern w:val="0"/>
        </w:rPr>
        <w:t>。</w:t>
      </w:r>
      <w:r>
        <w:rPr>
          <w:rFonts w:hint="eastAsia" w:ascii="楷体_GB2312" w:eastAsia="楷体_GB2312"/>
          <w:kern w:val="0"/>
        </w:rPr>
        <w:t>〔市金融局、市经信局、市科技局、莞韶园管委会，各县（市、区）政府〕</w:t>
      </w:r>
    </w:p>
    <w:p>
      <w:pPr>
        <w:autoSpaceDN w:val="0"/>
        <w:spacing w:line="560" w:lineRule="exact"/>
        <w:ind w:firstLine="630"/>
        <w:rPr>
          <w:rFonts w:ascii="黑体" w:hAnsi="黑体" w:eastAsia="黑体" w:cs="Arial"/>
          <w:kern w:val="0"/>
        </w:rPr>
      </w:pPr>
      <w:r>
        <w:rPr>
          <w:rFonts w:hint="eastAsia" w:ascii="黑体" w:hAnsi="黑体" w:eastAsia="黑体" w:cs="Arial"/>
          <w:kern w:val="0"/>
        </w:rPr>
        <w:t>二、督促金融机构杠杆率控制在合理水平</w:t>
      </w:r>
    </w:p>
    <w:p>
      <w:pPr>
        <w:autoSpaceDN w:val="0"/>
        <w:spacing w:line="560" w:lineRule="exact"/>
        <w:ind w:firstLine="660"/>
        <w:rPr>
          <w:rFonts w:ascii="楷体_GB2312" w:eastAsia="楷体_GB2312"/>
          <w:kern w:val="0"/>
        </w:rPr>
      </w:pPr>
      <w:r>
        <w:rPr>
          <w:rFonts w:hint="eastAsia" w:ascii="楷体_GB2312" w:eastAsia="楷体_GB2312"/>
          <w:kern w:val="0"/>
        </w:rPr>
        <w:t>（一）地方法人银行机构杠杆率保持达标。</w:t>
      </w:r>
      <w:r>
        <w:rPr>
          <w:rFonts w:hint="eastAsia" w:hAnsi="宋体" w:cs="宋体"/>
          <w:color w:val="000000"/>
          <w:kern w:val="0"/>
        </w:rPr>
        <w:t>督促地方法人银行机构加大资本补充力度，通过增加自有资本降低杠杆。督促农村中小金融机构采取有效措施及时补充资本，力争尽快达标，防范化解单体机构风险。加强对地方法人银行机构杠杆率及管理现状的监督检查，持续监测资本充足率、流动性风险监管等指标。到</w:t>
      </w:r>
      <w:r>
        <w:rPr>
          <w:rFonts w:hAnsi="宋体" w:cs="宋体"/>
          <w:color w:val="000000"/>
          <w:kern w:val="0"/>
        </w:rPr>
        <w:t>2018</w:t>
      </w:r>
      <w:r>
        <w:rPr>
          <w:rFonts w:hint="eastAsia" w:hAnsi="宋体" w:cs="宋体"/>
          <w:color w:val="000000"/>
          <w:kern w:val="0"/>
        </w:rPr>
        <w:t>年底，全市地方主要法人银行机构杠杆率保持达标。</w:t>
      </w:r>
      <w:r>
        <w:rPr>
          <w:rFonts w:hint="eastAsia" w:ascii="楷体_GB2312" w:eastAsia="楷体_GB2312"/>
          <w:kern w:val="0"/>
        </w:rPr>
        <w:t>（韶关银监分局，市农信社）</w:t>
      </w:r>
    </w:p>
    <w:p>
      <w:pPr>
        <w:autoSpaceDN w:val="0"/>
        <w:spacing w:line="560" w:lineRule="exact"/>
        <w:ind w:firstLine="640"/>
        <w:rPr>
          <w:rFonts w:ascii="楷体_GB2312" w:eastAsia="楷体_GB2312"/>
          <w:kern w:val="0"/>
        </w:rPr>
      </w:pPr>
      <w:r>
        <w:rPr>
          <w:rFonts w:hint="eastAsia" w:ascii="楷体_GB2312" w:eastAsia="楷体_GB2312"/>
          <w:kern w:val="0"/>
        </w:rPr>
        <w:t>（二）保持小额贷款公司、融资担保公司、融资租赁公司杠杆率达标。</w:t>
      </w:r>
      <w:r>
        <w:rPr>
          <w:rFonts w:hint="eastAsia" w:hAnsi="宋体" w:cs="宋体"/>
          <w:color w:val="000000"/>
          <w:kern w:val="0"/>
        </w:rPr>
        <w:t>根据《广东省小额贷款公司风险补偿专项资金管理办法》，建立健全分类监管制度，建立市场化优胜劣汰机制，稳步提高行业整体质量。</w:t>
      </w:r>
      <w:r>
        <w:rPr>
          <w:rFonts w:hAnsi="宋体" w:cs="宋体"/>
          <w:color w:val="000000"/>
          <w:kern w:val="0"/>
        </w:rPr>
        <w:t>2018</w:t>
      </w:r>
      <w:r>
        <w:rPr>
          <w:rFonts w:hint="eastAsia" w:hAnsi="宋体" w:cs="宋体"/>
          <w:color w:val="000000"/>
          <w:kern w:val="0"/>
        </w:rPr>
        <w:t>年，小额贷款公司、融资担保公司、融资租赁公司杠杆率保持达标。</w:t>
      </w:r>
      <w:r>
        <w:rPr>
          <w:rFonts w:hint="eastAsia" w:ascii="楷体_GB2312" w:eastAsia="楷体_GB2312"/>
          <w:kern w:val="0"/>
        </w:rPr>
        <w:t>〔市金融局、市财政局，各县（市、区）政府〕</w:t>
      </w:r>
    </w:p>
    <w:p>
      <w:pPr>
        <w:autoSpaceDN w:val="0"/>
        <w:spacing w:line="560" w:lineRule="exact"/>
        <w:ind w:firstLine="630"/>
        <w:rPr>
          <w:rFonts w:ascii="黑体" w:hAnsi="黑体" w:eastAsia="黑体" w:cs="Arial"/>
          <w:kern w:val="0"/>
        </w:rPr>
      </w:pPr>
      <w:r>
        <w:rPr>
          <w:rFonts w:hint="eastAsia" w:ascii="黑体" w:hAnsi="黑体" w:eastAsia="黑体" w:cs="Arial"/>
          <w:kern w:val="0"/>
        </w:rPr>
        <w:t>三、妥善处置不良资产，提高金融资产质量</w:t>
      </w:r>
    </w:p>
    <w:p>
      <w:pPr>
        <w:autoSpaceDN w:val="0"/>
        <w:spacing w:line="560" w:lineRule="exact"/>
        <w:ind w:firstLine="640"/>
        <w:rPr>
          <w:rFonts w:ascii="楷体_GB2312" w:eastAsia="楷体_GB2312"/>
          <w:kern w:val="0"/>
        </w:rPr>
      </w:pPr>
      <w:r>
        <w:rPr>
          <w:rFonts w:hint="eastAsia" w:ascii="楷体_GB2312" w:eastAsia="楷体_GB2312"/>
          <w:kern w:val="0"/>
        </w:rPr>
        <w:t>（一）加快不良贷款处置。</w:t>
      </w:r>
      <w:r>
        <w:rPr>
          <w:rFonts w:hint="eastAsia" w:hAnsi="Arial" w:cs="Arial"/>
          <w:color w:val="000000"/>
          <w:kern w:val="0"/>
        </w:rPr>
        <w:t>开展贷款质量真实性核查，引导商业银行加快不良贷款核销和处置进度。充分发挥金融资产管理公司等市场处置主体作用，通过盘活重整、坏账核销、不良资产证券化等多种方式，积极推动不良资产处置工作。加大对失信行为和逃废债务行为的打击力度，对有逃废债务行为的企业实际控制人依法采取惩戒措施。提高案件诉讼、审查办理及处置执行效率，加快不良贷款处置进程。</w:t>
      </w:r>
      <w:r>
        <w:rPr>
          <w:rFonts w:hint="eastAsia" w:ascii="楷体_GB2312" w:eastAsia="楷体_GB2312"/>
          <w:kern w:val="0"/>
        </w:rPr>
        <w:t>〔韶关银监分局、市发改局、市经信局、市公安局、市工商局、市中院，各县（市、区）政府〕</w:t>
      </w:r>
    </w:p>
    <w:p>
      <w:pPr>
        <w:autoSpaceDN w:val="0"/>
        <w:spacing w:line="560" w:lineRule="exact"/>
        <w:ind w:firstLine="640"/>
        <w:rPr>
          <w:rFonts w:hAnsi="黑体" w:cs="宋体"/>
          <w:kern w:val="0"/>
        </w:rPr>
      </w:pPr>
      <w:r>
        <w:rPr>
          <w:rFonts w:hint="eastAsia" w:ascii="楷体_GB2312" w:eastAsia="楷体_GB2312"/>
          <w:kern w:val="0"/>
        </w:rPr>
        <w:t>（二）完善贷款风险分担和补偿机制。</w:t>
      </w:r>
      <w:r>
        <w:rPr>
          <w:rFonts w:hint="eastAsia" w:hAnsi="宋体" w:cs="宋体"/>
          <w:color w:val="000000"/>
          <w:kern w:val="0"/>
        </w:rPr>
        <w:t>鼓励银行机构加强与保险公司、融资担保公司合作，完善贷款风险分担和补偿机制。</w:t>
      </w:r>
      <w:r>
        <w:rPr>
          <w:rFonts w:hint="eastAsia" w:ascii="楷体_GB2312" w:eastAsia="楷体_GB2312"/>
          <w:kern w:val="0"/>
        </w:rPr>
        <w:t>〔市金融局、韶关银监分局，各县（市、区）政府〕</w:t>
      </w:r>
    </w:p>
    <w:p>
      <w:pPr>
        <w:autoSpaceDN w:val="0"/>
        <w:spacing w:line="560" w:lineRule="exact"/>
        <w:ind w:firstLine="630"/>
        <w:rPr>
          <w:rFonts w:ascii="黑体" w:hAnsi="黑体" w:eastAsia="黑体" w:cs="Arial"/>
          <w:kern w:val="0"/>
        </w:rPr>
      </w:pPr>
      <w:r>
        <w:rPr>
          <w:rFonts w:hint="eastAsia" w:ascii="黑体" w:hAnsi="黑体" w:eastAsia="黑体" w:cs="Arial"/>
          <w:kern w:val="0"/>
        </w:rPr>
        <w:t>四、抓好重点领域的改革和有关专项整治</w:t>
      </w:r>
    </w:p>
    <w:p>
      <w:pPr>
        <w:autoSpaceDN w:val="0"/>
        <w:spacing w:line="560" w:lineRule="exact"/>
        <w:ind w:firstLine="640"/>
        <w:rPr>
          <w:rFonts w:ascii="楷体_GB2312" w:eastAsia="楷体_GB2312"/>
          <w:kern w:val="0"/>
        </w:rPr>
      </w:pPr>
      <w:r>
        <w:rPr>
          <w:rFonts w:hint="eastAsia" w:ascii="楷体_GB2312" w:eastAsia="楷体_GB2312"/>
          <w:kern w:val="0"/>
        </w:rPr>
        <w:t>（一）稳步推进农信社改革发展工作。</w:t>
      </w:r>
      <w:r>
        <w:rPr>
          <w:rFonts w:hint="eastAsia" w:hAnsi="Arial" w:cs="Arial"/>
          <w:color w:val="000000"/>
          <w:kern w:val="0"/>
        </w:rPr>
        <w:t>研究农信社整体改革方案，不断提升经营管理水平和改善监管指标，强化系统风险防控。明确改革思路明晰，推进市农信社职能转变，充分挖掘和发挥农合金融资源价值，为“三农”和县域经济发展提供支持。</w:t>
      </w:r>
      <w:r>
        <w:rPr>
          <w:rFonts w:hint="eastAsia" w:ascii="楷体_GB2312" w:eastAsia="楷体_GB2312"/>
          <w:kern w:val="0"/>
        </w:rPr>
        <w:t>（市金融局，韶关银监分局，市农信社）</w:t>
      </w:r>
    </w:p>
    <w:p>
      <w:pPr>
        <w:autoSpaceDN w:val="0"/>
        <w:spacing w:line="560" w:lineRule="exact"/>
        <w:ind w:firstLine="640"/>
        <w:rPr>
          <w:rFonts w:ascii="楷体_GB2312" w:eastAsia="楷体_GB2312"/>
          <w:kern w:val="0"/>
        </w:rPr>
      </w:pPr>
      <w:r>
        <w:rPr>
          <w:rFonts w:hint="eastAsia" w:ascii="楷体_GB2312" w:eastAsia="楷体_GB2312"/>
          <w:kern w:val="0"/>
        </w:rPr>
        <w:t>（二）加快社会信用体系建设。</w:t>
      </w:r>
      <w:r>
        <w:rPr>
          <w:rFonts w:hint="eastAsia" w:hAnsi="Arial" w:cs="Arial"/>
          <w:color w:val="000000"/>
          <w:kern w:val="0"/>
        </w:rPr>
        <w:t>推进地方征信建设，协助完善守信激励和失信惩戒机制。引导金融机构准确获取市场主体信用状况，加强对高杠杆企业的授信限制，便利金融机构开展金融服务。鼓励第三方信用评级机构加强对高杠杆企业有关的行业研究，研究提出有针对性的政策建议，为金融机构授信决策提供参考。</w:t>
      </w:r>
      <w:r>
        <w:rPr>
          <w:rFonts w:hint="eastAsia" w:ascii="楷体_GB2312" w:eastAsia="楷体_GB2312"/>
          <w:kern w:val="0"/>
        </w:rPr>
        <w:t>〔市发改局、市经信局、市人民银行、市金融局，各县（市、区）政府〕</w:t>
      </w:r>
    </w:p>
    <w:p>
      <w:pPr>
        <w:autoSpaceDN w:val="0"/>
        <w:spacing w:line="560" w:lineRule="exact"/>
        <w:ind w:firstLine="660"/>
        <w:rPr>
          <w:rFonts w:ascii="楷体_GB2312" w:eastAsia="楷体_GB2312"/>
          <w:kern w:val="0"/>
        </w:rPr>
      </w:pPr>
      <w:r>
        <w:rPr>
          <w:rFonts w:hint="eastAsia" w:ascii="楷体_GB2312" w:eastAsia="楷体_GB2312"/>
          <w:kern w:val="0"/>
        </w:rPr>
        <w:t>（三）规范发展互联网金融。</w:t>
      </w:r>
      <w:r>
        <w:rPr>
          <w:rFonts w:hint="eastAsia" w:hAnsi="宋体" w:cs="宋体"/>
          <w:color w:val="000000"/>
          <w:kern w:val="0"/>
        </w:rPr>
        <w:t>按照省统一部署，加大对</w:t>
      </w:r>
      <w:r>
        <w:rPr>
          <w:rFonts w:hAnsi="宋体" w:cs="宋体"/>
          <w:color w:val="000000"/>
          <w:kern w:val="0"/>
        </w:rPr>
        <w:t>P2P</w:t>
      </w:r>
      <w:r>
        <w:rPr>
          <w:rFonts w:hint="eastAsia" w:hAnsi="宋体" w:cs="宋体"/>
          <w:color w:val="000000"/>
          <w:kern w:val="0"/>
        </w:rPr>
        <w:t>网络借贷等重点领域和重点机构的整治力度，有效防控互联网金融风险。推动互联网金融自律组织建设，在行业准入、教育培训、信息披露等方面加强自律管理。积极推动互联网支付发展，加大手机支付在农村地区的推广应用力度，发挥手机支付在推动农村金融普惠方面独特优势。推广“一县一特色、一行一品牌”农村手机支付业务。</w:t>
      </w:r>
      <w:r>
        <w:rPr>
          <w:rFonts w:hint="eastAsia" w:ascii="楷体_GB2312" w:eastAsia="楷体_GB2312"/>
          <w:kern w:val="0"/>
        </w:rPr>
        <w:t>〔市金融局、市工商局、市人民银行、韶关银监分局，各县（市、区）政府〕</w:t>
      </w:r>
    </w:p>
    <w:p>
      <w:pPr>
        <w:autoSpaceDN w:val="0"/>
        <w:spacing w:line="560" w:lineRule="exact"/>
        <w:ind w:firstLine="630"/>
        <w:rPr>
          <w:rFonts w:ascii="黑体" w:hAnsi="黑体" w:eastAsia="黑体" w:cs="Arial"/>
          <w:kern w:val="0"/>
        </w:rPr>
      </w:pPr>
      <w:r>
        <w:rPr>
          <w:rFonts w:hint="eastAsia" w:ascii="黑体" w:hAnsi="黑体" w:eastAsia="黑体" w:cs="Arial"/>
          <w:kern w:val="0"/>
        </w:rPr>
        <w:t>五、密切关注风险预警并妥善应对处置</w:t>
      </w:r>
    </w:p>
    <w:p>
      <w:pPr>
        <w:autoSpaceDN w:val="0"/>
        <w:spacing w:line="560" w:lineRule="exact"/>
        <w:ind w:firstLine="660"/>
        <w:rPr>
          <w:rFonts w:ascii="楷体_GB2312" w:eastAsia="楷体_GB2312"/>
          <w:kern w:val="0"/>
        </w:rPr>
      </w:pPr>
      <w:r>
        <w:rPr>
          <w:rFonts w:hint="eastAsia" w:ascii="楷体_GB2312" w:eastAsia="楷体_GB2312"/>
          <w:kern w:val="0"/>
        </w:rPr>
        <w:t>（一）切实加强金融风险预警防范。</w:t>
      </w:r>
      <w:r>
        <w:rPr>
          <w:rFonts w:hint="eastAsia" w:hAnsi="宋体" w:cs="宋体"/>
          <w:color w:val="000000"/>
          <w:kern w:val="0"/>
        </w:rPr>
        <w:t>研究建设地方金融风险综合信息平台，探索建立金融风险研判预警制度，做好对金融运行中新情况、新问题的分析和研判，特别是加强对地方金融风险信息采集、风险研判和预警报告，做到及时发现问题，及时提示预警，及时应急处置。</w:t>
      </w:r>
      <w:r>
        <w:rPr>
          <w:rFonts w:hint="eastAsia" w:ascii="楷体_GB2312" w:eastAsia="楷体_GB2312"/>
          <w:kern w:val="0"/>
        </w:rPr>
        <w:t>（市金融局，市人民银行、韶关银监分局）</w:t>
      </w:r>
    </w:p>
    <w:p>
      <w:pPr>
        <w:autoSpaceDN w:val="0"/>
        <w:spacing w:line="560" w:lineRule="exact"/>
        <w:ind w:firstLine="660"/>
        <w:rPr>
          <w:rFonts w:ascii="楷体_GB2312" w:eastAsia="楷体_GB2312"/>
          <w:kern w:val="0"/>
        </w:rPr>
      </w:pPr>
      <w:r>
        <w:rPr>
          <w:rFonts w:hint="eastAsia" w:ascii="楷体_GB2312" w:eastAsia="楷体_GB2312"/>
          <w:kern w:val="0"/>
        </w:rPr>
        <w:t>（二）防控金融产品高杠杆风险。</w:t>
      </w:r>
      <w:r>
        <w:rPr>
          <w:rFonts w:hint="eastAsia" w:hAnsi="宋体" w:cs="宋体"/>
          <w:color w:val="000000"/>
          <w:kern w:val="0"/>
        </w:rPr>
        <w:t>高度关注金融服务对象的杠杆水平，提高融资项目的自有资金或保证金比率，严控高杠杆、高风险融资项目，不断提高防控风险能力。督促证券、期货机构落实监管要求，加强融资融券、资产管理等业务风险控制，压降证券投资业务杠杆水平。</w:t>
      </w:r>
      <w:r>
        <w:rPr>
          <w:rFonts w:hint="eastAsia" w:hAnsi="宋体" w:cs="宋体"/>
          <w:kern w:val="0"/>
        </w:rPr>
        <w:t>全面掌握全省保险业总体风险情况，严格落实保险机构的主</w:t>
      </w:r>
      <w:r>
        <w:rPr>
          <w:rFonts w:hint="eastAsia" w:hAnsi="宋体" w:cs="宋体"/>
          <w:color w:val="000000"/>
          <w:kern w:val="0"/>
        </w:rPr>
        <w:t>体责任，加大责任追究力度，督促其严格遵守资金募集和资金投向新规，重点防范流动性风险、互联网保险风险、群体性事件风险、声誉风险等风险，及时将风险化解在萌芽状态，妥善应对和处理相关风险，确保不发生重大风险和群体性事件。</w:t>
      </w:r>
      <w:r>
        <w:rPr>
          <w:rFonts w:hint="eastAsia" w:ascii="楷体_GB2312" w:eastAsia="楷体_GB2312"/>
          <w:kern w:val="0"/>
        </w:rPr>
        <w:t>（市金融局、市人民银行、韶关银监分局）</w:t>
      </w:r>
    </w:p>
    <w:p>
      <w:pPr>
        <w:autoSpaceDN w:val="0"/>
        <w:spacing w:line="560" w:lineRule="exact"/>
        <w:ind w:firstLine="640"/>
        <w:rPr>
          <w:rFonts w:ascii="楷体_GB2312" w:eastAsia="楷体_GB2312"/>
          <w:kern w:val="0"/>
        </w:rPr>
      </w:pPr>
      <w:r>
        <w:rPr>
          <w:rFonts w:hint="eastAsia" w:ascii="楷体_GB2312" w:eastAsia="楷体_GB2312"/>
          <w:kern w:val="0"/>
        </w:rPr>
        <w:t>（三）切实遏制非法集资高发态势。</w:t>
      </w:r>
      <w:r>
        <w:rPr>
          <w:rFonts w:hint="eastAsia"/>
          <w:color w:val="000000"/>
          <w:kern w:val="0"/>
        </w:rPr>
        <w:t>加强机制建设，继续推进非法集资责任追究、目标责任制建设，推动建立正面清单制度。加强教育防范，全面落实省、市相关工作部署，充分调动社会积极性，拓宽案件信息来源，提高打击和处置效率。加强监测预警，重点抓好监测预警信息平台建设。加强打击处置，以涉众金融领域矛盾纠纷专项治理为依托，坚决打击露头的各类非法集资犯罪。加强考评督导，配合完成省对我市综治考评任务和落实对各县（市、区）年度综治考评工作，加强非法集资专项治理和涉众金融不稳定问题矛盾纠纷化解督查督导。</w:t>
      </w:r>
      <w:r>
        <w:rPr>
          <w:rFonts w:hint="eastAsia" w:ascii="楷体_GB2312" w:eastAsia="楷体_GB2312"/>
          <w:kern w:val="0"/>
        </w:rPr>
        <w:t>〔市金融局、市处置非法集资领导小组各成员单位，各县（市、区）政府〕</w:t>
      </w:r>
    </w:p>
    <w:p>
      <w:pPr>
        <w:autoSpaceDN w:val="0"/>
        <w:spacing w:line="560" w:lineRule="exact"/>
        <w:ind w:firstLine="640"/>
        <w:rPr>
          <w:color w:val="000000"/>
          <w:kern w:val="0"/>
        </w:rPr>
      </w:pPr>
    </w:p>
    <w:p>
      <w:pPr>
        <w:autoSpaceDN w:val="0"/>
        <w:spacing w:line="560" w:lineRule="exact"/>
        <w:ind w:firstLine="640"/>
        <w:rPr>
          <w:color w:val="000000"/>
          <w:kern w:val="0"/>
        </w:rPr>
      </w:pPr>
    </w:p>
    <w:p>
      <w:pPr>
        <w:autoSpaceDN w:val="0"/>
        <w:spacing w:line="560" w:lineRule="exact"/>
        <w:ind w:firstLine="640"/>
        <w:rPr>
          <w:color w:val="000000"/>
          <w:kern w:val="0"/>
        </w:rPr>
      </w:pPr>
    </w:p>
    <w:p>
      <w:pPr>
        <w:autoSpaceDN w:val="0"/>
        <w:spacing w:line="560" w:lineRule="exact"/>
        <w:ind w:firstLine="640"/>
        <w:rPr>
          <w:color w:val="000000"/>
          <w:kern w:val="0"/>
        </w:rPr>
      </w:pPr>
    </w:p>
    <w:p>
      <w:pPr>
        <w:autoSpaceDN w:val="0"/>
        <w:spacing w:line="560" w:lineRule="exact"/>
        <w:ind w:firstLine="640"/>
        <w:rPr>
          <w:color w:val="000000"/>
          <w:kern w:val="0"/>
        </w:rPr>
      </w:pPr>
    </w:p>
    <w:p>
      <w:pPr>
        <w:autoSpaceDN w:val="0"/>
        <w:spacing w:line="560" w:lineRule="exact"/>
        <w:ind w:firstLine="640"/>
        <w:rPr>
          <w:color w:val="000000"/>
          <w:kern w:val="0"/>
        </w:rPr>
      </w:pPr>
    </w:p>
    <w:p>
      <w:pPr>
        <w:autoSpaceDN w:val="0"/>
        <w:spacing w:line="560" w:lineRule="exact"/>
        <w:ind w:firstLine="640"/>
        <w:rPr>
          <w:color w:val="000000"/>
          <w:kern w:val="0"/>
        </w:rPr>
      </w:pPr>
    </w:p>
    <w:p>
      <w:pPr>
        <w:autoSpaceDN w:val="0"/>
        <w:spacing w:line="560" w:lineRule="exact"/>
        <w:ind w:firstLine="640"/>
        <w:rPr>
          <w:color w:val="000000"/>
          <w:kern w:val="0"/>
        </w:rPr>
      </w:pPr>
    </w:p>
    <w:p>
      <w:pPr>
        <w:autoSpaceDN w:val="0"/>
        <w:spacing w:line="560" w:lineRule="exact"/>
        <w:ind w:firstLine="640"/>
        <w:rPr>
          <w:color w:val="000000"/>
          <w:kern w:val="0"/>
        </w:rPr>
      </w:pPr>
    </w:p>
    <w:p>
      <w:pPr>
        <w:spacing w:line="64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韶关市供给侧结构性改革</w:t>
      </w:r>
      <w:r>
        <w:rPr>
          <w:rFonts w:ascii="方正小标宋简体" w:eastAsia="方正小标宋简体"/>
          <w:bCs/>
          <w:kern w:val="36"/>
          <w:sz w:val="44"/>
          <w:szCs w:val="44"/>
        </w:rPr>
        <w:t>2018</w:t>
      </w:r>
      <w:r>
        <w:rPr>
          <w:rFonts w:hint="eastAsia" w:ascii="方正小标宋简体" w:eastAsia="方正小标宋简体"/>
          <w:bCs/>
          <w:kern w:val="36"/>
          <w:sz w:val="44"/>
          <w:szCs w:val="44"/>
        </w:rPr>
        <w:t>年</w:t>
      </w:r>
    </w:p>
    <w:p>
      <w:pPr>
        <w:spacing w:line="64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降成本工作方案</w:t>
      </w:r>
    </w:p>
    <w:p>
      <w:pPr>
        <w:autoSpaceDN w:val="0"/>
        <w:spacing w:line="560" w:lineRule="exact"/>
        <w:rPr>
          <w:rFonts w:hAnsi="宋体" w:cs="宋体"/>
          <w:kern w:val="0"/>
        </w:rPr>
      </w:pPr>
    </w:p>
    <w:p>
      <w:pPr>
        <w:autoSpaceDN w:val="0"/>
        <w:spacing w:line="560" w:lineRule="exact"/>
        <w:ind w:firstLine="640"/>
        <w:rPr>
          <w:rFonts w:hAnsi="宋体" w:cs="宋体"/>
          <w:kern w:val="0"/>
        </w:rPr>
      </w:pPr>
      <w:r>
        <w:rPr>
          <w:rFonts w:hint="eastAsia" w:hAnsi="宋体" w:cs="宋体"/>
          <w:kern w:val="0"/>
        </w:rPr>
        <w:t>为进一步推进我市供给侧结构性改革降成本工作，确保</w:t>
      </w:r>
      <w:r>
        <w:rPr>
          <w:rFonts w:hAnsi="宋体" w:cs="宋体"/>
          <w:kern w:val="0"/>
        </w:rPr>
        <w:t>2018</w:t>
      </w:r>
      <w:r>
        <w:rPr>
          <w:rFonts w:hint="eastAsia" w:hAnsi="宋体" w:cs="宋体"/>
          <w:kern w:val="0"/>
        </w:rPr>
        <w:t>年为全市企业减负</w:t>
      </w:r>
      <w:r>
        <w:rPr>
          <w:rFonts w:hAnsi="宋体" w:cs="宋体"/>
          <w:kern w:val="0"/>
        </w:rPr>
        <w:t>30</w:t>
      </w:r>
      <w:r>
        <w:rPr>
          <w:rFonts w:hint="eastAsia" w:hAnsi="宋体" w:cs="宋体"/>
          <w:kern w:val="0"/>
        </w:rPr>
        <w:t>亿元以上，根据《广东省降低实体经济企业成本工作方案》（粤府〔</w:t>
      </w:r>
      <w:r>
        <w:rPr>
          <w:rFonts w:hAnsi="宋体" w:cs="宋体"/>
          <w:kern w:val="0"/>
        </w:rPr>
        <w:t>2017</w:t>
      </w:r>
      <w:r>
        <w:rPr>
          <w:rFonts w:hint="eastAsia" w:hAnsi="宋体" w:cs="宋体"/>
          <w:kern w:val="0"/>
        </w:rPr>
        <w:t>〕</w:t>
      </w:r>
      <w:r>
        <w:rPr>
          <w:rFonts w:hAnsi="宋体" w:cs="宋体"/>
          <w:kern w:val="0"/>
        </w:rPr>
        <w:t>14</w:t>
      </w:r>
      <w:r>
        <w:rPr>
          <w:rFonts w:hint="eastAsia" w:hAnsi="宋体" w:cs="宋体"/>
          <w:kern w:val="0"/>
        </w:rPr>
        <w:t>号）要求，结合《韶关市人民政府办公室印发关于深化供给侧结构性改革加快经济振兴发展三年行动计划及五个行动计划的通知》（韶府办〔</w:t>
      </w:r>
      <w:r>
        <w:rPr>
          <w:rFonts w:hAnsi="宋体" w:cs="宋体"/>
          <w:kern w:val="0"/>
        </w:rPr>
        <w:t>2018</w:t>
      </w:r>
      <w:r>
        <w:rPr>
          <w:rFonts w:hint="eastAsia" w:hAnsi="宋体" w:cs="宋体"/>
          <w:kern w:val="0"/>
        </w:rPr>
        <w:t>〕</w:t>
      </w:r>
      <w:r>
        <w:rPr>
          <w:rFonts w:hAnsi="宋体" w:cs="宋体"/>
          <w:kern w:val="0"/>
        </w:rPr>
        <w:t>1</w:t>
      </w:r>
      <w:r>
        <w:rPr>
          <w:rFonts w:hint="eastAsia" w:hAnsi="宋体" w:cs="宋体"/>
          <w:kern w:val="0"/>
        </w:rPr>
        <w:t>号），制定本方案。</w:t>
      </w:r>
    </w:p>
    <w:p>
      <w:pPr>
        <w:numPr>
          <w:ilvl w:val="0"/>
          <w:numId w:val="1"/>
        </w:numPr>
        <w:autoSpaceDN w:val="0"/>
        <w:spacing w:line="560" w:lineRule="exact"/>
        <w:ind w:firstLine="640"/>
        <w:rPr>
          <w:rFonts w:ascii="黑体" w:hAnsi="黑体" w:eastAsia="黑体" w:cs="Arial"/>
          <w:kern w:val="0"/>
        </w:rPr>
      </w:pPr>
      <w:r>
        <w:rPr>
          <w:rFonts w:hint="eastAsia" w:ascii="黑体" w:hAnsi="黑体" w:eastAsia="黑体"/>
          <w:kern w:val="0"/>
        </w:rPr>
        <w:t>全面推开营改增试点工作</w:t>
      </w:r>
    </w:p>
    <w:p>
      <w:pPr>
        <w:autoSpaceDN w:val="0"/>
        <w:spacing w:line="560" w:lineRule="exact"/>
        <w:rPr>
          <w:rFonts w:ascii="楷体_GB2312" w:hAnsi="黑体" w:eastAsia="楷体_GB2312" w:cs="宋体"/>
          <w:kern w:val="0"/>
        </w:rPr>
      </w:pPr>
      <w:r>
        <w:rPr>
          <w:rFonts w:hAnsi="宋体" w:cs="宋体"/>
          <w:kern w:val="0"/>
        </w:rPr>
        <w:t xml:space="preserve">    </w:t>
      </w:r>
      <w:r>
        <w:rPr>
          <w:rFonts w:hint="eastAsia" w:hAnsi="宋体" w:cs="宋体"/>
          <w:kern w:val="0"/>
        </w:rPr>
        <w:t>贯彻落实营业税改征增值税试点政策，全面打通企业抵扣链条，使抵扣机制得以贯通，促进企业分工细化和技术进步，对整个经济链条良性运作发挥重要作用，确保所有行业税负只减不增。</w:t>
      </w:r>
      <w:r>
        <w:rPr>
          <w:rFonts w:hint="eastAsia" w:ascii="楷体_GB2312" w:hAnsi="黑体" w:eastAsia="楷体_GB2312" w:cs="宋体"/>
          <w:kern w:val="0"/>
        </w:rPr>
        <w:t>（市财政局、市税务局</w:t>
      </w:r>
      <w:r>
        <w:rPr>
          <w:rFonts w:hint="eastAsia" w:ascii="楷体_GB2312" w:hAnsi="黑体" w:eastAsia="楷体_GB2312"/>
          <w:kern w:val="0"/>
        </w:rPr>
        <w:t>，排名第一的单位为牵头单位，下同</w:t>
      </w:r>
      <w:r>
        <w:rPr>
          <w:rFonts w:hint="eastAsia" w:ascii="楷体_GB2312" w:hAnsi="黑体" w:eastAsia="楷体_GB2312" w:cs="宋体"/>
          <w:kern w:val="0"/>
        </w:rPr>
        <w:t>）</w:t>
      </w:r>
    </w:p>
    <w:p>
      <w:pPr>
        <w:numPr>
          <w:ilvl w:val="0"/>
          <w:numId w:val="1"/>
        </w:numPr>
        <w:autoSpaceDN w:val="0"/>
        <w:spacing w:line="560" w:lineRule="exact"/>
        <w:ind w:firstLine="640"/>
        <w:rPr>
          <w:rFonts w:ascii="黑体" w:hAnsi="黑体" w:eastAsia="黑体" w:cs="Arial"/>
          <w:kern w:val="0"/>
        </w:rPr>
      </w:pPr>
      <w:r>
        <w:rPr>
          <w:rFonts w:hint="eastAsia" w:ascii="黑体" w:hAnsi="黑体" w:eastAsia="黑体"/>
          <w:kern w:val="0"/>
        </w:rPr>
        <w:t>积极落实国家各项惠企减税及研发费用加计扣除政策</w:t>
      </w:r>
    </w:p>
    <w:p>
      <w:pPr>
        <w:autoSpaceDN w:val="0"/>
        <w:spacing w:line="560" w:lineRule="exact"/>
        <w:rPr>
          <w:rFonts w:ascii="楷体_GB2312" w:hAnsi="黑体" w:eastAsia="楷体_GB2312" w:cs="宋体"/>
          <w:kern w:val="0"/>
        </w:rPr>
      </w:pPr>
      <w:r>
        <w:rPr>
          <w:rFonts w:ascii="黑体" w:hAnsi="黑体" w:eastAsia="黑体" w:cs="Arial"/>
          <w:kern w:val="0"/>
        </w:rPr>
        <w:t xml:space="preserve">    </w:t>
      </w:r>
      <w:r>
        <w:rPr>
          <w:rFonts w:hint="eastAsia" w:hAnsi="宋体" w:cs="宋体"/>
          <w:kern w:val="0"/>
        </w:rPr>
        <w:t>全面落实支持小微企业发展的增值税、企业所得税等税收优惠政策和国家高新技术企业减免税政策、资源综合利用税收优惠政策，以及企业研发费用加计扣除、企业固定资产加速折旧等政策措施。</w:t>
      </w:r>
      <w:r>
        <w:rPr>
          <w:rFonts w:hint="eastAsia" w:ascii="楷体_GB2312" w:hAnsi="黑体" w:eastAsia="楷体_GB2312" w:cs="宋体"/>
          <w:kern w:val="0"/>
        </w:rPr>
        <w:t>（市财政局、市发改局、市经信局、市科技局、市环保局、市税务局）</w:t>
      </w:r>
    </w:p>
    <w:p>
      <w:pPr>
        <w:numPr>
          <w:ilvl w:val="0"/>
          <w:numId w:val="1"/>
        </w:numPr>
        <w:autoSpaceDN w:val="0"/>
        <w:spacing w:line="560" w:lineRule="exact"/>
        <w:ind w:firstLine="640"/>
        <w:rPr>
          <w:rFonts w:ascii="黑体" w:hAnsi="黑体" w:eastAsia="黑体" w:cs="Arial"/>
          <w:kern w:val="0"/>
        </w:rPr>
      </w:pPr>
      <w:r>
        <w:rPr>
          <w:rFonts w:hint="eastAsia" w:ascii="黑体" w:hAnsi="黑体" w:eastAsia="黑体"/>
          <w:kern w:val="0"/>
        </w:rPr>
        <w:t>进一步加大涉企行政事业性收费减免力度</w:t>
      </w:r>
    </w:p>
    <w:p>
      <w:pPr>
        <w:autoSpaceDN w:val="0"/>
        <w:spacing w:line="560" w:lineRule="exact"/>
        <w:rPr>
          <w:rFonts w:ascii="楷体_GB2312" w:hAnsi="黑体" w:eastAsia="楷体_GB2312" w:cs="宋体"/>
          <w:kern w:val="0"/>
        </w:rPr>
      </w:pPr>
      <w:r>
        <w:rPr>
          <w:rFonts w:ascii="黑体" w:hAnsi="黑体" w:eastAsia="黑体" w:cs="Arial"/>
          <w:kern w:val="0"/>
        </w:rPr>
        <w:t xml:space="preserve">    </w:t>
      </w:r>
      <w:r>
        <w:rPr>
          <w:rFonts w:hint="eastAsia" w:hAnsi="宋体" w:cs="宋体"/>
          <w:kern w:val="0"/>
        </w:rPr>
        <w:t>坚持现行省定涉企行政事业性收费“零收费”。严格执行中央和省的涉企行政事业性收费减免事项。</w:t>
      </w:r>
      <w:r>
        <w:rPr>
          <w:rFonts w:hint="eastAsia" w:ascii="楷体_GB2312" w:hAnsi="黑体" w:eastAsia="楷体_GB2312" w:cs="宋体"/>
          <w:kern w:val="0"/>
        </w:rPr>
        <w:t>（市发改局、市财政局、市税务局）</w:t>
      </w:r>
    </w:p>
    <w:p>
      <w:pPr>
        <w:numPr>
          <w:ilvl w:val="0"/>
          <w:numId w:val="1"/>
        </w:numPr>
        <w:autoSpaceDN w:val="0"/>
        <w:spacing w:line="560" w:lineRule="exact"/>
        <w:ind w:firstLine="640"/>
        <w:rPr>
          <w:rFonts w:ascii="黑体" w:hAnsi="黑体" w:eastAsia="黑体" w:cs="Arial"/>
          <w:kern w:val="0"/>
        </w:rPr>
      </w:pPr>
      <w:r>
        <w:rPr>
          <w:rFonts w:hint="eastAsia" w:ascii="黑体" w:hAnsi="黑体" w:eastAsia="黑体"/>
          <w:kern w:val="0"/>
        </w:rPr>
        <w:t>严格规范涉企经营服务性收费</w:t>
      </w:r>
    </w:p>
    <w:p>
      <w:pPr>
        <w:autoSpaceDN w:val="0"/>
        <w:spacing w:line="560" w:lineRule="exact"/>
        <w:rPr>
          <w:rFonts w:ascii="楷体_GB2312" w:hAnsi="黑体" w:eastAsia="楷体_GB2312" w:cs="宋体"/>
          <w:kern w:val="0"/>
        </w:rPr>
      </w:pPr>
      <w:r>
        <w:rPr>
          <w:rFonts w:ascii="黑体" w:hAnsi="黑体" w:eastAsia="黑体" w:cs="Arial"/>
          <w:kern w:val="0"/>
        </w:rPr>
        <w:t xml:space="preserve">    </w:t>
      </w:r>
      <w:r>
        <w:rPr>
          <w:rFonts w:hint="eastAsia" w:hAnsi="宋体" w:cs="宋体"/>
          <w:kern w:val="0"/>
        </w:rPr>
        <w:t>进一步清理各类电子政务平台服务收费，严禁依托电子政务平台捆绑服务并收费，不得以技术维护费、服务费、电子介质成本费等名义向企事业单位和个人收取任何经营服务性费用。查处和清理各种与行政职能挂钩且无法定依据的中介服务收费。进一步规范进出口环节经营服务性收费，认真落实国家免除进出口环节海关查验没有问题的外贸企业吊装、移位、仓储费用政策，降低外贸进出口货物和集装箱的港口设施保安费，取消引航员滞留费和引航计划变更费等项目。加大力度整顿进出口环节收费秩序。</w:t>
      </w:r>
      <w:r>
        <w:rPr>
          <w:rFonts w:hint="eastAsia" w:ascii="楷体_GB2312" w:hAnsi="黑体" w:eastAsia="楷体_GB2312" w:cs="宋体"/>
          <w:kern w:val="0"/>
        </w:rPr>
        <w:t>（市发改局、市经信局、市财政局、市交通运输局、市商务局、韶关海关、韶关海事局）</w:t>
      </w:r>
    </w:p>
    <w:p>
      <w:pPr>
        <w:autoSpaceDN w:val="0"/>
        <w:spacing w:line="560" w:lineRule="exact"/>
        <w:ind w:firstLine="640" w:firstLineChars="200"/>
        <w:rPr>
          <w:rFonts w:ascii="黑体" w:hAnsi="黑体" w:eastAsia="黑体" w:cs="宋体"/>
          <w:kern w:val="0"/>
        </w:rPr>
      </w:pPr>
      <w:r>
        <w:rPr>
          <w:rFonts w:hint="eastAsia" w:ascii="黑体" w:hAnsi="黑体" w:eastAsia="黑体" w:cs="宋体"/>
          <w:kern w:val="0"/>
        </w:rPr>
        <w:t>五、全面实施涉企收费目录清单管理</w:t>
      </w:r>
    </w:p>
    <w:p>
      <w:pPr>
        <w:autoSpaceDN w:val="0"/>
        <w:spacing w:line="560" w:lineRule="exact"/>
        <w:ind w:firstLine="640" w:firstLineChars="200"/>
        <w:rPr>
          <w:rFonts w:ascii="楷体_GB2312" w:hAnsi="黑体" w:eastAsia="楷体_GB2312" w:cs="宋体"/>
          <w:kern w:val="0"/>
        </w:rPr>
      </w:pPr>
      <w:r>
        <w:rPr>
          <w:rFonts w:hint="eastAsia" w:hAnsi="宋体" w:cs="宋体"/>
          <w:kern w:val="0"/>
        </w:rPr>
        <w:t>继续清理规范涉企收费，按省要求完善省市县三级收费目录清单管理制度，对涉企行政事业性收费、政府性基金、经营服务性收费和行政审批前置中介服务收费等，实行涉企收费清单制度，编制收费项目清单，明确项目名称、设立依据、收费标准。涉企收费项目清单之外再无行政机关或具有公共事务管理职能的组织收取行政事业性收费和政府性基金等涉企收费。涉企收费项目清单在各级价格主管部门网站公开，接受社会监督。加强涉企收费监督管理，畅通企业举报渠道，完善查处机制，制止乱摊派、乱收费等违规行为，坚决取缔违规收费项目。</w:t>
      </w:r>
      <w:r>
        <w:rPr>
          <w:rFonts w:hint="eastAsia" w:ascii="楷体_GB2312" w:hAnsi="黑体" w:eastAsia="楷体_GB2312" w:cs="宋体"/>
          <w:kern w:val="0"/>
        </w:rPr>
        <w:t>（市发改局、市财政局）</w:t>
      </w:r>
    </w:p>
    <w:p>
      <w:pPr>
        <w:autoSpaceDN w:val="0"/>
        <w:spacing w:line="560" w:lineRule="exact"/>
        <w:ind w:firstLine="640" w:firstLineChars="200"/>
        <w:rPr>
          <w:rFonts w:ascii="黑体" w:hAnsi="黑体" w:eastAsia="黑体" w:cs="Arial"/>
          <w:kern w:val="0"/>
        </w:rPr>
      </w:pPr>
      <w:r>
        <w:rPr>
          <w:rFonts w:hint="eastAsia" w:ascii="黑体" w:hAnsi="黑体" w:eastAsia="黑体" w:cs="Arial"/>
          <w:kern w:val="0"/>
        </w:rPr>
        <w:t>六、严格落实政府性基金减免政策</w:t>
      </w:r>
    </w:p>
    <w:p>
      <w:pPr>
        <w:autoSpaceDN w:val="0"/>
        <w:spacing w:line="560" w:lineRule="exact"/>
        <w:ind w:firstLine="640" w:firstLineChars="200"/>
        <w:rPr>
          <w:rFonts w:ascii="楷体_GB2312" w:hAnsi="黑体" w:eastAsia="楷体_GB2312" w:cs="宋体"/>
          <w:kern w:val="0"/>
        </w:rPr>
      </w:pPr>
      <w:r>
        <w:rPr>
          <w:rFonts w:hint="eastAsia" w:hAnsi="宋体" w:cs="宋体"/>
          <w:kern w:val="0"/>
        </w:rPr>
        <w:t>落实好已明确的减免政府性基金等政策，将新菜地开发建设基金、育林基金征收标准降为零，停征价格调节基金，整合归并水库移民扶持基金等</w:t>
      </w:r>
      <w:r>
        <w:rPr>
          <w:rFonts w:hAnsi="宋体" w:cs="宋体"/>
          <w:kern w:val="0"/>
        </w:rPr>
        <w:t>7</w:t>
      </w:r>
      <w:r>
        <w:rPr>
          <w:rFonts w:hint="eastAsia" w:hAnsi="宋体" w:cs="宋体"/>
          <w:kern w:val="0"/>
        </w:rPr>
        <w:t>项政府性基金；将教育费附加、地方教育附加免征范围，由月销售额或营业额不超过</w:t>
      </w:r>
      <w:r>
        <w:rPr>
          <w:rFonts w:hAnsi="宋体" w:cs="宋体"/>
          <w:kern w:val="0"/>
        </w:rPr>
        <w:t>3</w:t>
      </w:r>
      <w:r>
        <w:rPr>
          <w:rFonts w:hint="eastAsia" w:hAnsi="宋体" w:cs="宋体"/>
          <w:kern w:val="0"/>
        </w:rPr>
        <w:t>万元的缴纳义务人扩大到月销售额或营业额不超过</w:t>
      </w:r>
      <w:r>
        <w:rPr>
          <w:rFonts w:hAnsi="宋体" w:cs="宋体"/>
          <w:kern w:val="0"/>
        </w:rPr>
        <w:t>10</w:t>
      </w:r>
      <w:r>
        <w:rPr>
          <w:rFonts w:hint="eastAsia" w:hAnsi="宋体" w:cs="宋体"/>
          <w:kern w:val="0"/>
        </w:rPr>
        <w:t>万元的缴纳义务人。清查取消市县政府违规设立的政府性基金。</w:t>
      </w:r>
      <w:r>
        <w:rPr>
          <w:rFonts w:hint="eastAsia" w:ascii="楷体_GB2312" w:hAnsi="黑体" w:eastAsia="楷体_GB2312" w:cs="宋体"/>
          <w:kern w:val="0"/>
        </w:rPr>
        <w:t>（市财政局、市发改局、市国土资源局、市水务局、市农业局、市林业局、市税务局）</w:t>
      </w:r>
    </w:p>
    <w:p>
      <w:pPr>
        <w:autoSpaceDN w:val="0"/>
        <w:spacing w:line="560" w:lineRule="exact"/>
        <w:ind w:firstLine="640" w:firstLineChars="200"/>
        <w:rPr>
          <w:rFonts w:ascii="黑体" w:hAnsi="黑体" w:eastAsia="黑体" w:cs="Arial"/>
          <w:kern w:val="0"/>
        </w:rPr>
      </w:pPr>
      <w:r>
        <w:rPr>
          <w:rFonts w:hint="eastAsia" w:ascii="黑体" w:hAnsi="黑体" w:eastAsia="黑体" w:cs="Arial"/>
          <w:kern w:val="0"/>
        </w:rPr>
        <w:t>七、全面清理规范行业协会、商会和第三方评估组织收费</w:t>
      </w:r>
    </w:p>
    <w:p>
      <w:pPr>
        <w:autoSpaceDN w:val="0"/>
        <w:spacing w:line="560" w:lineRule="exact"/>
        <w:ind w:firstLine="640" w:firstLineChars="200"/>
        <w:rPr>
          <w:rFonts w:ascii="楷体_GB2312" w:hAnsi="黑体" w:eastAsia="楷体_GB2312" w:cs="宋体"/>
          <w:kern w:val="0"/>
        </w:rPr>
      </w:pPr>
      <w:r>
        <w:rPr>
          <w:rFonts w:hint="eastAsia" w:hAnsi="宋体" w:cs="宋体"/>
          <w:kern w:val="0"/>
        </w:rPr>
        <w:t>积极稳妥推动行业协会、商会与行政机关脱钩，厘清行业协会、商会与行政机关职能边界，清理行业协会、商会强制企业付费参加考核评比、表彰、赞助捐赠等项目的违法违规行为。加强对行业协会、商会和第三方评估组织涉及行政审批前置的评估、咨询、鉴定等中介服务收费和经营服务性收费的专项检查，及时发现和处理行政机关违规指定行业协会、商会和第三方评估组织开展审批前置中介服务，以及依靠代行政府职能或利用行政资源强制收费等行为。</w:t>
      </w:r>
      <w:r>
        <w:rPr>
          <w:rFonts w:hint="eastAsia" w:ascii="楷体_GB2312" w:hAnsi="黑体" w:eastAsia="楷体_GB2312" w:cs="宋体"/>
          <w:kern w:val="0"/>
        </w:rPr>
        <w:t>（市民政局、市发改局、市编办）</w:t>
      </w:r>
    </w:p>
    <w:p>
      <w:pPr>
        <w:autoSpaceDN w:val="0"/>
        <w:spacing w:line="560" w:lineRule="exact"/>
        <w:ind w:firstLine="640" w:firstLineChars="200"/>
        <w:rPr>
          <w:rFonts w:ascii="黑体" w:hAnsi="黑体" w:eastAsia="黑体" w:cs="Arial"/>
          <w:kern w:val="0"/>
        </w:rPr>
      </w:pPr>
      <w:r>
        <w:rPr>
          <w:rFonts w:hint="eastAsia" w:ascii="黑体" w:hAnsi="黑体" w:eastAsia="黑体" w:cs="Arial"/>
          <w:kern w:val="0"/>
        </w:rPr>
        <w:t>八、加大信贷资金支持力度</w:t>
      </w:r>
    </w:p>
    <w:p>
      <w:pPr>
        <w:autoSpaceDN w:val="0"/>
        <w:spacing w:line="560" w:lineRule="exact"/>
        <w:ind w:firstLine="640" w:firstLineChars="200"/>
        <w:rPr>
          <w:rFonts w:ascii="楷体_GB2312" w:hAnsi="黑体" w:eastAsia="楷体_GB2312" w:cs="宋体"/>
          <w:kern w:val="0"/>
        </w:rPr>
      </w:pPr>
      <w:r>
        <w:rPr>
          <w:rFonts w:hint="eastAsia" w:hAnsi="宋体" w:cs="宋体"/>
          <w:kern w:val="0"/>
        </w:rPr>
        <w:t>引导银行业金融机构落实信贷政策，加大对小微企业、“三农”等薄弱环节和重点领域的信贷支持。强化与政策性金融机构合作，为基础设施、重大项目建设和战略性新兴产业发展提供长期低成本资金。鼓励银行机构加强业务创新，合理设定贷款期限，创新还款方式，减轻小微企业还款压力，降低资金周转成本。发挥中征应收账款融资对接平台、中小微企业信用信息和融资对接平台以及中小微企业信贷风险补偿资金作用，拓展中小微企业抵质押物范围，有效缓解中小微企业融资难、融资贵问题。</w:t>
      </w:r>
      <w:r>
        <w:rPr>
          <w:rFonts w:hint="eastAsia" w:ascii="楷体_GB2312" w:hAnsi="黑体" w:eastAsia="楷体_GB2312" w:cs="宋体"/>
          <w:kern w:val="0"/>
        </w:rPr>
        <w:t>（市金融局、市人民银行、市发改局、市经信局、市科技局、市财政局、韶关银监分局）</w:t>
      </w:r>
    </w:p>
    <w:p>
      <w:pPr>
        <w:autoSpaceDN w:val="0"/>
        <w:spacing w:line="560" w:lineRule="exact"/>
        <w:ind w:firstLine="640" w:firstLineChars="200"/>
        <w:rPr>
          <w:rFonts w:ascii="黑体" w:hAnsi="黑体" w:eastAsia="黑体" w:cs="Arial"/>
          <w:kern w:val="0"/>
        </w:rPr>
      </w:pPr>
      <w:r>
        <w:rPr>
          <w:rFonts w:hint="eastAsia" w:ascii="黑体" w:hAnsi="黑体" w:eastAsia="黑体" w:cs="Arial"/>
          <w:kern w:val="0"/>
        </w:rPr>
        <w:t>九、有效降低融资中间环节费用</w:t>
      </w:r>
    </w:p>
    <w:p>
      <w:pPr>
        <w:autoSpaceDN w:val="0"/>
        <w:spacing w:line="560" w:lineRule="exact"/>
        <w:ind w:firstLine="640" w:firstLineChars="200"/>
        <w:rPr>
          <w:rFonts w:ascii="楷体_GB2312" w:hAnsi="黑体" w:eastAsia="楷体_GB2312" w:cs="宋体"/>
          <w:kern w:val="0"/>
        </w:rPr>
      </w:pPr>
      <w:r>
        <w:rPr>
          <w:rFonts w:hint="eastAsia" w:hAnsi="宋体" w:cs="宋体"/>
          <w:kern w:val="0"/>
        </w:rPr>
        <w:t>完善信贷资金向实体经济融通机制，降低贷款中间环节费用，严禁“以贷转存”、“存贷挂钩”等变相提高利率行为。加大力度打击非法集资和非法提高杠杆比例行为。督促银行业金融机构依法合规收费，制止不规范收费行为。引导银行机构根据企业生产经营特点、规模、周期和风险状况等因素，合理确定贷款利率，建立科学的企业信贷风险定价机制。</w:t>
      </w:r>
      <w:r>
        <w:rPr>
          <w:rFonts w:hint="eastAsia" w:ascii="楷体_GB2312" w:hAnsi="黑体" w:eastAsia="楷体_GB2312" w:cs="宋体"/>
          <w:kern w:val="0"/>
        </w:rPr>
        <w:t>（韶关银监分局、市人民银行）</w:t>
      </w:r>
    </w:p>
    <w:p>
      <w:pPr>
        <w:autoSpaceDN w:val="0"/>
        <w:spacing w:line="560" w:lineRule="exact"/>
        <w:ind w:firstLine="640" w:firstLineChars="200"/>
        <w:rPr>
          <w:rFonts w:ascii="黑体" w:hAnsi="黑体" w:eastAsia="黑体" w:cs="Arial"/>
          <w:kern w:val="0"/>
        </w:rPr>
      </w:pPr>
      <w:r>
        <w:rPr>
          <w:rFonts w:hint="eastAsia" w:ascii="黑体" w:hAnsi="黑体" w:eastAsia="黑体" w:cs="Arial"/>
          <w:kern w:val="0"/>
        </w:rPr>
        <w:t>十、切实加大融资担保支持力度</w:t>
      </w:r>
    </w:p>
    <w:p>
      <w:pPr>
        <w:autoSpaceDN w:val="0"/>
        <w:spacing w:line="560" w:lineRule="exact"/>
        <w:ind w:firstLine="640" w:firstLineChars="200"/>
        <w:rPr>
          <w:rFonts w:ascii="楷体_GB2312" w:hAnsi="黑体" w:eastAsia="楷体_GB2312" w:cs="宋体"/>
          <w:kern w:val="0"/>
        </w:rPr>
      </w:pPr>
      <w:r>
        <w:rPr>
          <w:rFonts w:hint="eastAsia" w:hAnsi="宋体" w:cs="宋体"/>
          <w:kern w:val="0"/>
        </w:rPr>
        <w:t>积极发展政策性担保机构，运用风险代偿补偿等措施，提高融资担保机构为战略性新兴产业、小微企业、“三农”服务的积极性。</w:t>
      </w:r>
      <w:r>
        <w:rPr>
          <w:rFonts w:hint="eastAsia" w:ascii="楷体_GB2312" w:hAnsi="黑体" w:eastAsia="楷体_GB2312" w:cs="宋体"/>
          <w:kern w:val="0"/>
        </w:rPr>
        <w:t>（市金融局、市发改局、市经信局、市财政局、市人民银行）</w:t>
      </w:r>
    </w:p>
    <w:p>
      <w:pPr>
        <w:autoSpaceDN w:val="0"/>
        <w:spacing w:line="560" w:lineRule="exact"/>
        <w:ind w:firstLine="640" w:firstLineChars="200"/>
        <w:rPr>
          <w:rFonts w:ascii="黑体" w:hAnsi="黑体" w:eastAsia="黑体" w:cs="Arial"/>
          <w:kern w:val="0"/>
        </w:rPr>
      </w:pPr>
      <w:r>
        <w:rPr>
          <w:rFonts w:hint="eastAsia" w:ascii="黑体" w:hAnsi="黑体" w:eastAsia="黑体" w:cs="Arial"/>
          <w:kern w:val="0"/>
        </w:rPr>
        <w:t>十一、进一步提高股权和债券等直接融资比例</w:t>
      </w:r>
    </w:p>
    <w:p>
      <w:pPr>
        <w:autoSpaceDN w:val="0"/>
        <w:spacing w:line="560" w:lineRule="exact"/>
        <w:ind w:firstLine="640" w:firstLineChars="200"/>
        <w:rPr>
          <w:rFonts w:ascii="楷体_GB2312" w:hAnsi="黑体" w:eastAsia="楷体_GB2312" w:cs="宋体"/>
          <w:kern w:val="0"/>
        </w:rPr>
      </w:pPr>
      <w:r>
        <w:rPr>
          <w:rFonts w:hint="eastAsia" w:hAnsi="宋体" w:cs="宋体"/>
          <w:kern w:val="0"/>
        </w:rPr>
        <w:t>支持企业上市、在“新三板”挂牌融资，通过多层次资本市场发展壮大。扩大债务融资工具发行，引导企业积极运用企业债、公司债、中期票据、区域股权市场私募债、银行间市场非金融机构债务融资工具等直接融资手段，提高直接融资比重。</w:t>
      </w:r>
      <w:r>
        <w:rPr>
          <w:rFonts w:hint="eastAsia" w:ascii="楷体_GB2312" w:hAnsi="黑体" w:eastAsia="楷体_GB2312" w:cs="宋体"/>
          <w:kern w:val="0"/>
        </w:rPr>
        <w:t>（市金融局、市发改局、市财政局、市人民银行）</w:t>
      </w:r>
    </w:p>
    <w:p>
      <w:pPr>
        <w:autoSpaceDN w:val="0"/>
        <w:spacing w:line="560" w:lineRule="exact"/>
        <w:ind w:firstLine="640" w:firstLineChars="200"/>
        <w:rPr>
          <w:rFonts w:ascii="黑体" w:hAnsi="黑体" w:eastAsia="黑体" w:cs="Arial"/>
          <w:kern w:val="0"/>
        </w:rPr>
      </w:pPr>
      <w:r>
        <w:rPr>
          <w:rFonts w:hint="eastAsia" w:ascii="黑体" w:hAnsi="黑体" w:eastAsia="黑体" w:cs="Arial"/>
          <w:kern w:val="0"/>
        </w:rPr>
        <w:t>十二、积极运用政府置换债券减轻企业债务成本</w:t>
      </w:r>
    </w:p>
    <w:p>
      <w:pPr>
        <w:autoSpaceDN w:val="0"/>
        <w:spacing w:line="560" w:lineRule="exact"/>
        <w:ind w:firstLine="640" w:firstLineChars="200"/>
        <w:rPr>
          <w:rFonts w:ascii="楷体_GB2312" w:hAnsi="黑体" w:eastAsia="楷体_GB2312" w:cs="宋体"/>
          <w:kern w:val="0"/>
        </w:rPr>
      </w:pPr>
      <w:r>
        <w:rPr>
          <w:rFonts w:hint="eastAsia" w:hAnsi="宋体" w:cs="宋体"/>
          <w:kern w:val="0"/>
        </w:rPr>
        <w:t>积极利用省下达的地方政府债券，置换存量债务中用于公共基础设施项目建设的政府债务，降低公共基础设施项目举债融资成本，拉长偿债期限，缓解相关企业偿债压力。</w:t>
      </w:r>
      <w:r>
        <w:rPr>
          <w:rFonts w:hint="eastAsia" w:ascii="楷体_GB2312" w:hAnsi="黑体" w:eastAsia="楷体_GB2312" w:cs="宋体"/>
          <w:kern w:val="0"/>
        </w:rPr>
        <w:t>（市财政局）</w:t>
      </w:r>
    </w:p>
    <w:p>
      <w:pPr>
        <w:numPr>
          <w:ilvl w:val="0"/>
          <w:numId w:val="2"/>
        </w:numPr>
        <w:autoSpaceDN w:val="0"/>
        <w:spacing w:line="560" w:lineRule="exact"/>
        <w:ind w:firstLine="645"/>
        <w:rPr>
          <w:rFonts w:ascii="黑体" w:hAnsi="黑体" w:eastAsia="黑体" w:cs="Arial"/>
          <w:kern w:val="0"/>
        </w:rPr>
      </w:pPr>
      <w:r>
        <w:rPr>
          <w:rFonts w:hint="eastAsia" w:ascii="黑体" w:hAnsi="黑体" w:eastAsia="黑体"/>
          <w:kern w:val="0"/>
        </w:rPr>
        <w:t>深入推进公平竞争市场环境建设</w:t>
      </w:r>
    </w:p>
    <w:p>
      <w:pPr>
        <w:autoSpaceDN w:val="0"/>
        <w:spacing w:line="560" w:lineRule="exact"/>
        <w:rPr>
          <w:rFonts w:ascii="楷体_GB2312" w:hAnsi="黑体" w:eastAsia="楷体_GB2312" w:cs="宋体"/>
          <w:kern w:val="0"/>
        </w:rPr>
      </w:pPr>
      <w:r>
        <w:rPr>
          <w:rFonts w:ascii="黑体" w:hAnsi="黑体" w:eastAsia="黑体" w:cs="Arial"/>
          <w:kern w:val="0"/>
        </w:rPr>
        <w:t xml:space="preserve">    </w:t>
      </w:r>
      <w:r>
        <w:rPr>
          <w:rFonts w:hint="eastAsia" w:hAnsi="宋体" w:cs="宋体"/>
          <w:kern w:val="0"/>
        </w:rPr>
        <w:t>清理和废除各地自行制定的影响统一市场形成的限制性规定，保障各类市场主体在投资核准、政府扶持、参与政府投资项目等方面享受同等待遇。取消限制民间投资进入自然资源开发、环境保护、能源、交通、市政公用事业等领域的相关政策，简化外商投资企业设立程序。加快推进市场准入负面清单制度。健全经营者自主定价领域的市场规则。组织实施公平竞争审查制度。</w:t>
      </w:r>
      <w:r>
        <w:rPr>
          <w:rFonts w:hint="eastAsia" w:ascii="楷体_GB2312" w:hAnsi="黑体" w:eastAsia="楷体_GB2312" w:cs="宋体"/>
          <w:kern w:val="0"/>
        </w:rPr>
        <w:t>（市发改局、市商务局、市工商局）</w:t>
      </w:r>
    </w:p>
    <w:p>
      <w:pPr>
        <w:numPr>
          <w:ilvl w:val="0"/>
          <w:numId w:val="2"/>
        </w:numPr>
        <w:autoSpaceDN w:val="0"/>
        <w:spacing w:line="560" w:lineRule="exact"/>
        <w:ind w:firstLine="645"/>
        <w:rPr>
          <w:rFonts w:ascii="黑体" w:hAnsi="黑体" w:eastAsia="黑体" w:cs="Arial"/>
          <w:kern w:val="0"/>
        </w:rPr>
      </w:pPr>
      <w:r>
        <w:rPr>
          <w:rFonts w:hint="eastAsia" w:ascii="黑体" w:hAnsi="黑体" w:eastAsia="黑体"/>
          <w:kern w:val="0"/>
        </w:rPr>
        <w:t>深化“放管服”改革</w:t>
      </w:r>
    </w:p>
    <w:p>
      <w:pPr>
        <w:autoSpaceDN w:val="0"/>
        <w:spacing w:line="560" w:lineRule="exact"/>
        <w:rPr>
          <w:rFonts w:ascii="楷体_GB2312" w:hAnsi="黑体" w:eastAsia="楷体_GB2312" w:cs="宋体"/>
          <w:kern w:val="0"/>
        </w:rPr>
      </w:pPr>
      <w:r>
        <w:rPr>
          <w:rFonts w:ascii="黑体" w:hAnsi="黑体" w:eastAsia="黑体" w:cs="Arial"/>
          <w:kern w:val="0"/>
        </w:rPr>
        <w:t xml:space="preserve">    </w:t>
      </w:r>
      <w:r>
        <w:rPr>
          <w:rFonts w:hint="eastAsia" w:hAnsi="宋体" w:cs="宋体"/>
          <w:kern w:val="0"/>
        </w:rPr>
        <w:t>坚持简政放权、放管结合、优化服务同步推进，提高政府公共服务能力和水平，为企业提供优质公共服务和公共产品。深化行政审批制度改革，精简行政审批事项。根据省的工作部署和广东省行政许可事项通用目录调整情况，印发市级行政许可事项目录和调整事项目录。大力推广“一门式、一网式”政务服务，简化优化服务流程，提高政府服务效能。坚持以为群众办事生活增便利为出发点和立足点，围绕解决烦扰群众的各种“奇葩”证明、循环证明、重复证明等问题，开展“减证便民”行动，清理规范涉及群众创业办事各类证明，坚决砍掉各类无谓的证明和繁琐的手续，最大限度方便群众办事创业。研究推广对符合条件且不需要新增建设用地的技术改造项目实行承诺备案管理。规范涉企行政检查行为，落实“双随机”抽查机制，建立随机抽查事项清单。</w:t>
      </w:r>
      <w:r>
        <w:rPr>
          <w:rFonts w:hint="eastAsia" w:ascii="楷体_GB2312" w:hAnsi="黑体" w:eastAsia="楷体_GB2312" w:cs="宋体"/>
          <w:kern w:val="0"/>
        </w:rPr>
        <w:t>（市编办、市发改局、市经信局、市工商局、市行政服务中心、市信息中心）</w:t>
      </w:r>
    </w:p>
    <w:p>
      <w:pPr>
        <w:numPr>
          <w:ilvl w:val="0"/>
          <w:numId w:val="2"/>
        </w:numPr>
        <w:autoSpaceDN w:val="0"/>
        <w:spacing w:line="560" w:lineRule="exact"/>
        <w:ind w:firstLine="645"/>
        <w:rPr>
          <w:rFonts w:ascii="黑体" w:hAnsi="黑体" w:eastAsia="黑体" w:cs="Arial"/>
          <w:kern w:val="0"/>
        </w:rPr>
      </w:pPr>
      <w:r>
        <w:rPr>
          <w:rFonts w:hint="eastAsia" w:ascii="黑体" w:hAnsi="黑体" w:eastAsia="黑体"/>
          <w:kern w:val="0"/>
        </w:rPr>
        <w:t>全面清理规范行政审批中介服务事项</w:t>
      </w:r>
    </w:p>
    <w:p>
      <w:pPr>
        <w:autoSpaceDN w:val="0"/>
        <w:spacing w:line="560" w:lineRule="exact"/>
        <w:rPr>
          <w:rFonts w:ascii="楷体_GB2312" w:hAnsi="宋体" w:eastAsia="楷体_GB2312" w:cs="宋体"/>
          <w:kern w:val="0"/>
        </w:rPr>
      </w:pPr>
      <w:r>
        <w:rPr>
          <w:rFonts w:ascii="黑体" w:hAnsi="黑体" w:eastAsia="黑体" w:cs="Arial"/>
          <w:kern w:val="0"/>
        </w:rPr>
        <w:t xml:space="preserve">    </w:t>
      </w:r>
      <w:r>
        <w:rPr>
          <w:rFonts w:hint="eastAsia" w:hAnsi="宋体" w:cs="宋体"/>
          <w:kern w:val="0"/>
        </w:rPr>
        <w:t>根据国家和省部署及有关行政审批中介服务事项清理规范情况，结合我市实际，出台《韶关市人民政府决定第三批清理规范的市政府部门行政审批中介服务事项目录》，并根据国家和省的清理调整情况实行动态管理。全面清理规范行政审批中介服务收费，特别是行政审批前置中介服务收费，加快推进行政审批中介服务收费市场化改革。严禁在实施行政审批时，为申请人指定中介服务机构。取消市以下政府部门自行设立的区域性、行业性或部门间中介服务机构执业限制、限额管理，破除中介服务垄断，切断中介服务利益关联。加强行政审批中介服务事项清理与收费清理的衔接，对已取消的行政审批事项以及行政审批中介服务事项，其收费项目一律取消；审批部门在审批过程中委托开展的技术性服务活动，其服务费用由审批部门支付，不再核定中介服务收费，已核定的一律取消；提供行政审批中介服务的机构市场准入已经放开的，该中介服务收费一律实行市场调节价管理。</w:t>
      </w:r>
      <w:r>
        <w:rPr>
          <w:rFonts w:hint="eastAsia" w:ascii="楷体_GB2312" w:hAnsi="宋体" w:eastAsia="楷体_GB2312" w:cs="宋体"/>
          <w:kern w:val="0"/>
        </w:rPr>
        <w:t>（市编办、市发改局）</w:t>
      </w:r>
    </w:p>
    <w:p>
      <w:pPr>
        <w:autoSpaceDN w:val="0"/>
        <w:spacing w:line="560" w:lineRule="exact"/>
        <w:ind w:firstLine="640" w:firstLineChars="200"/>
        <w:rPr>
          <w:rFonts w:ascii="黑体" w:hAnsi="黑体" w:eastAsia="黑体" w:cs="Arial"/>
          <w:kern w:val="0"/>
        </w:rPr>
      </w:pPr>
      <w:r>
        <w:rPr>
          <w:rFonts w:hint="eastAsia" w:ascii="黑体" w:hAnsi="黑体" w:eastAsia="黑体" w:cs="Arial"/>
          <w:kern w:val="0"/>
        </w:rPr>
        <w:t>十六、全面加快社会信用体系建设</w:t>
      </w:r>
    </w:p>
    <w:p>
      <w:pPr>
        <w:autoSpaceDN w:val="0"/>
        <w:spacing w:line="560" w:lineRule="exact"/>
        <w:ind w:firstLine="640" w:firstLineChars="200"/>
        <w:rPr>
          <w:rFonts w:hAnsi="宋体" w:cs="宋体"/>
          <w:kern w:val="0"/>
        </w:rPr>
      </w:pPr>
      <w:r>
        <w:rPr>
          <w:rFonts w:hint="eastAsia" w:hAnsi="宋体" w:cs="宋体"/>
          <w:kern w:val="0"/>
        </w:rPr>
        <w:t>利用好市公共信用信息管理系统及企业信用信息公示系统、广东省中小微企业信用信息和融资对接平台，加强信用信息归集、共享、公开和使用，建立信用信息共享管理办法。开展守信联合激励和失信联合惩戒，在行政管理、公共服务、市场交易和投融资等领域对守信企业实施优惠便利措施，对失信企业依法严格限制和约束。将注册登记、行政审批、行业主管部门作出的行政许可和行政处罚等信息归集到相应企业名下，依法予以公示。促进知识产权交易流通，加强知识产权保护，建立重点企业知识产权保护直通车制度，加大对专利、注册商标、商业秘密等方面知识产权侵权假冒行为的打击力度，降低企业维权成本。</w:t>
      </w:r>
      <w:r>
        <w:rPr>
          <w:rFonts w:hint="eastAsia" w:ascii="楷体_GB2312" w:hAnsi="宋体" w:eastAsia="楷体_GB2312" w:cs="宋体"/>
          <w:kern w:val="0"/>
        </w:rPr>
        <w:t>（市发改局、市金融局、市工商局、市科技局、市</w:t>
      </w:r>
      <w:r>
        <w:rPr>
          <w:rFonts w:hint="eastAsia" w:ascii="楷体_GB2312" w:hAnsi="黑体" w:eastAsia="楷体_GB2312" w:cs="宋体"/>
          <w:kern w:val="0"/>
        </w:rPr>
        <w:t>人民银行</w:t>
      </w:r>
      <w:r>
        <w:rPr>
          <w:rFonts w:hint="eastAsia" w:ascii="楷体_GB2312" w:hAnsi="宋体" w:eastAsia="楷体_GB2312" w:cs="宋体"/>
          <w:kern w:val="0"/>
        </w:rPr>
        <w:t>、市经信局、市信息中心）</w:t>
      </w:r>
    </w:p>
    <w:p>
      <w:pPr>
        <w:numPr>
          <w:ilvl w:val="0"/>
          <w:numId w:val="3"/>
        </w:numPr>
        <w:autoSpaceDN w:val="0"/>
        <w:spacing w:line="560" w:lineRule="exact"/>
        <w:ind w:firstLine="645"/>
        <w:rPr>
          <w:rFonts w:ascii="黑体" w:hAnsi="黑体" w:eastAsia="黑体" w:cs="Arial"/>
          <w:kern w:val="0"/>
        </w:rPr>
      </w:pPr>
      <w:r>
        <w:rPr>
          <w:rFonts w:hint="eastAsia" w:ascii="黑体" w:hAnsi="黑体" w:eastAsia="黑体"/>
          <w:kern w:val="0"/>
        </w:rPr>
        <w:t>着力提升贸易便利化水平</w:t>
      </w:r>
    </w:p>
    <w:p>
      <w:pPr>
        <w:autoSpaceDN w:val="0"/>
        <w:spacing w:line="560" w:lineRule="exact"/>
        <w:rPr>
          <w:rFonts w:ascii="楷体_GB2312" w:hAnsi="宋体" w:eastAsia="楷体_GB2312" w:cs="宋体"/>
          <w:kern w:val="0"/>
        </w:rPr>
      </w:pPr>
      <w:r>
        <w:rPr>
          <w:rFonts w:ascii="黑体" w:hAnsi="黑体" w:eastAsia="黑体" w:cs="Arial"/>
          <w:kern w:val="0"/>
        </w:rPr>
        <w:t xml:space="preserve">    </w:t>
      </w:r>
      <w:r>
        <w:rPr>
          <w:rFonts w:hint="eastAsia" w:hAnsi="宋体" w:cs="宋体"/>
          <w:kern w:val="0"/>
        </w:rPr>
        <w:t>全面推广国际贸易“单一窗口”，推进口岸管理相关部门信息互换、监管互认、执法互助，对信用记录良好的企业降低出口商品查验率，降低企业货物的通关成本。</w:t>
      </w:r>
      <w:r>
        <w:rPr>
          <w:rFonts w:hint="eastAsia" w:ascii="楷体_GB2312" w:hAnsi="黑体" w:eastAsia="楷体_GB2312" w:cs="宋体"/>
          <w:kern w:val="0"/>
        </w:rPr>
        <w:t>（市商务局、韶关海关、韶关海事局、市质监局）</w:t>
      </w:r>
    </w:p>
    <w:p>
      <w:pPr>
        <w:numPr>
          <w:ilvl w:val="0"/>
          <w:numId w:val="3"/>
        </w:numPr>
        <w:autoSpaceDN w:val="0"/>
        <w:spacing w:line="560" w:lineRule="exact"/>
        <w:ind w:firstLine="645"/>
        <w:rPr>
          <w:rFonts w:ascii="黑体" w:hAnsi="黑体" w:eastAsia="黑体" w:cs="Arial"/>
          <w:kern w:val="0"/>
        </w:rPr>
      </w:pPr>
      <w:r>
        <w:rPr>
          <w:rFonts w:hint="eastAsia" w:ascii="黑体" w:hAnsi="黑体" w:eastAsia="黑体"/>
          <w:kern w:val="0"/>
        </w:rPr>
        <w:t>积极推动降低服务收费标准</w:t>
      </w:r>
    </w:p>
    <w:p>
      <w:pPr>
        <w:autoSpaceDN w:val="0"/>
        <w:spacing w:line="560" w:lineRule="exact"/>
        <w:rPr>
          <w:rFonts w:ascii="楷体_GB2312" w:hAnsi="宋体" w:eastAsia="楷体_GB2312" w:cs="宋体"/>
          <w:kern w:val="0"/>
        </w:rPr>
      </w:pPr>
      <w:r>
        <w:rPr>
          <w:rFonts w:hAnsi="宋体" w:cs="宋体"/>
          <w:kern w:val="0"/>
        </w:rPr>
        <w:t xml:space="preserve">    </w:t>
      </w:r>
      <w:r>
        <w:rPr>
          <w:rFonts w:hint="eastAsia" w:hAnsi="宋体" w:cs="宋体"/>
          <w:kern w:val="0"/>
        </w:rPr>
        <w:t>整合建立统一的公共资源交易平台体系，依法确定收费范围，规范服务收费行为。行政审批中介服务项目收费实行市场调节价为主、政府定价为辅的监管方式，对市场发育成熟、价格形成机制健全、竞争充分规范的行政审批中介服务，一律通过市场调节价格，最大限度地缩小政府定价范围。加强经营服务性收费监管，对少数存在垄断的收费项目，加强成本监审，完善定价机制。</w:t>
      </w:r>
      <w:r>
        <w:rPr>
          <w:rFonts w:hint="eastAsia" w:ascii="楷体_GB2312" w:hAnsi="黑体" w:eastAsia="楷体_GB2312" w:cs="宋体"/>
          <w:kern w:val="0"/>
        </w:rPr>
        <w:t>（市发改局、市财政局、市国土资源局、市住建管理局、市环保局、市林业局、市国资委）</w:t>
      </w:r>
    </w:p>
    <w:p>
      <w:pPr>
        <w:numPr>
          <w:ilvl w:val="0"/>
          <w:numId w:val="3"/>
        </w:numPr>
        <w:autoSpaceDN w:val="0"/>
        <w:spacing w:line="560" w:lineRule="exact"/>
        <w:ind w:firstLine="645"/>
        <w:rPr>
          <w:rFonts w:ascii="黑体" w:hAnsi="黑体" w:eastAsia="黑体" w:cs="Arial"/>
          <w:kern w:val="0"/>
        </w:rPr>
      </w:pPr>
      <w:r>
        <w:rPr>
          <w:rFonts w:hint="eastAsia" w:ascii="黑体" w:hAnsi="黑体" w:eastAsia="黑体"/>
          <w:kern w:val="0"/>
        </w:rPr>
        <w:t>加快剥离国有企业办社会职能</w:t>
      </w:r>
    </w:p>
    <w:p>
      <w:pPr>
        <w:autoSpaceDN w:val="0"/>
        <w:spacing w:line="560" w:lineRule="exact"/>
        <w:rPr>
          <w:rFonts w:ascii="楷体_GB2312" w:eastAsia="楷体_GB2312"/>
          <w:kern w:val="0"/>
        </w:rPr>
      </w:pPr>
      <w:r>
        <w:rPr>
          <w:rFonts w:ascii="黑体" w:hAnsi="黑体" w:eastAsia="黑体" w:cs="Arial"/>
          <w:kern w:val="0"/>
        </w:rPr>
        <w:t xml:space="preserve">    </w:t>
      </w:r>
      <w:r>
        <w:rPr>
          <w:rFonts w:hint="eastAsia" w:hAnsi="宋体" w:cs="宋体"/>
          <w:kern w:val="0"/>
        </w:rPr>
        <w:t>建立政府和国有企业合理分担成本的机制，坚持分类指导、分步实施，多渠道筹措资金，加快剥离国有企业办社会职能。全面推进国有企业职工家属区“三供一业”分离移交，剥离企业办医疗、教育等公共服务机构，对国有企业退休人员实行社会化管理，解决好国有企业历史遗留问题。</w:t>
      </w:r>
      <w:r>
        <w:rPr>
          <w:rFonts w:hint="eastAsia" w:ascii="楷体_GB2312" w:eastAsia="楷体_GB2312"/>
          <w:kern w:val="0"/>
        </w:rPr>
        <w:t>（市国资委、市委组织部、市委老干部局、市教育局、市公安局、市民政局、市财政局、市人社局、市住建管理局、市卫计局）</w:t>
      </w:r>
    </w:p>
    <w:p>
      <w:pPr>
        <w:autoSpaceDN w:val="0"/>
        <w:spacing w:line="560" w:lineRule="exact"/>
        <w:ind w:firstLine="645"/>
        <w:rPr>
          <w:rFonts w:ascii="黑体" w:hAnsi="黑体" w:eastAsia="黑体" w:cs="Arial"/>
          <w:kern w:val="0"/>
        </w:rPr>
      </w:pPr>
      <w:r>
        <w:rPr>
          <w:rFonts w:hint="eastAsia" w:ascii="黑体" w:hAnsi="黑体" w:eastAsia="黑体" w:cs="Arial"/>
          <w:kern w:val="0"/>
        </w:rPr>
        <w:t>二十、统筹降低企业社保缴费比例</w:t>
      </w:r>
    </w:p>
    <w:p>
      <w:pPr>
        <w:autoSpaceDN w:val="0"/>
        <w:spacing w:line="560" w:lineRule="exact"/>
        <w:ind w:firstLine="645"/>
        <w:rPr>
          <w:rFonts w:ascii="楷体_GB2312" w:eastAsia="楷体_GB2312"/>
          <w:kern w:val="0"/>
        </w:rPr>
      </w:pPr>
      <w:r>
        <w:rPr>
          <w:rFonts w:hint="eastAsia" w:hAnsi="黑体" w:cs="Arial"/>
          <w:kern w:val="0"/>
        </w:rPr>
        <w:t>落实国家和省降低企业</w:t>
      </w:r>
      <w:r>
        <w:rPr>
          <w:rFonts w:hint="eastAsia" w:hAnsi="宋体" w:cs="宋体"/>
          <w:kern w:val="0"/>
        </w:rPr>
        <w:t>社保缴费比例要求，促进建立更加公平可持续的社保制度，根据省工作部署，从</w:t>
      </w:r>
      <w:r>
        <w:rPr>
          <w:rFonts w:hAnsi="宋体" w:cs="宋体"/>
          <w:kern w:val="0"/>
        </w:rPr>
        <w:t>2017</w:t>
      </w:r>
      <w:r>
        <w:rPr>
          <w:rFonts w:hint="eastAsia" w:hAnsi="宋体" w:cs="宋体"/>
          <w:kern w:val="0"/>
        </w:rPr>
        <w:t>年</w:t>
      </w:r>
      <w:r>
        <w:rPr>
          <w:rFonts w:hAnsi="宋体" w:cs="宋体"/>
          <w:kern w:val="0"/>
        </w:rPr>
        <w:t>7</w:t>
      </w:r>
      <w:r>
        <w:rPr>
          <w:rFonts w:hint="eastAsia" w:hAnsi="宋体" w:cs="宋体"/>
          <w:kern w:val="0"/>
        </w:rPr>
        <w:t>月</w:t>
      </w:r>
      <w:r>
        <w:rPr>
          <w:rFonts w:hAnsi="宋体" w:cs="宋体"/>
          <w:kern w:val="0"/>
        </w:rPr>
        <w:t>1</w:t>
      </w:r>
      <w:r>
        <w:rPr>
          <w:rFonts w:hint="eastAsia" w:hAnsi="宋体" w:cs="宋体"/>
          <w:kern w:val="0"/>
        </w:rPr>
        <w:t>日起将企业职工基本养老保险单位缴费比例降低到</w:t>
      </w:r>
      <w:r>
        <w:rPr>
          <w:rFonts w:hAnsi="宋体" w:cs="宋体"/>
          <w:kern w:val="0"/>
        </w:rPr>
        <w:t>14%</w:t>
      </w:r>
      <w:r>
        <w:rPr>
          <w:rFonts w:hint="eastAsia" w:hAnsi="宋体" w:cs="宋体"/>
          <w:kern w:val="0"/>
        </w:rPr>
        <w:t>，失业保险缴费费率维持在</w:t>
      </w:r>
      <w:r>
        <w:rPr>
          <w:rFonts w:hAnsi="宋体" w:cs="宋体"/>
          <w:kern w:val="0"/>
        </w:rPr>
        <w:t>1%</w:t>
      </w:r>
      <w:r>
        <w:rPr>
          <w:rFonts w:hint="eastAsia" w:hAnsi="宋体" w:cs="宋体"/>
          <w:kern w:val="0"/>
        </w:rPr>
        <w:t>，其中个人费率维持在</w:t>
      </w:r>
      <w:r>
        <w:rPr>
          <w:rFonts w:hAnsi="宋体" w:cs="宋体"/>
          <w:kern w:val="0"/>
        </w:rPr>
        <w:t>0.2%</w:t>
      </w:r>
      <w:r>
        <w:rPr>
          <w:rFonts w:hint="eastAsia" w:hAnsi="宋体" w:cs="宋体"/>
          <w:kern w:val="0"/>
        </w:rPr>
        <w:t>。按照国家部署，推进生育保险与基本医疗保险合并实施。积极开展社保基金委托投资运营，实现社保基金的保值增值，为降低企业社保缴费比例创造条件</w:t>
      </w:r>
      <w:r>
        <w:rPr>
          <w:rFonts w:hint="eastAsia" w:ascii="楷体_GB2312" w:eastAsia="楷体_GB2312"/>
          <w:kern w:val="0"/>
        </w:rPr>
        <w:t>。（市人社局、市财政局、市税务局）</w:t>
      </w:r>
    </w:p>
    <w:p>
      <w:pPr>
        <w:autoSpaceDN w:val="0"/>
        <w:spacing w:line="560" w:lineRule="exact"/>
        <w:ind w:firstLine="645"/>
        <w:rPr>
          <w:rFonts w:ascii="黑体" w:hAnsi="黑体" w:eastAsia="黑体" w:cs="Arial"/>
          <w:kern w:val="0"/>
        </w:rPr>
      </w:pPr>
      <w:r>
        <w:rPr>
          <w:rFonts w:hint="eastAsia" w:ascii="黑体" w:hAnsi="黑体" w:eastAsia="黑体" w:cs="Arial"/>
          <w:kern w:val="0"/>
        </w:rPr>
        <w:t>二十一、认真落实降低企业住房公积金缴存比例政策</w:t>
      </w:r>
    </w:p>
    <w:p>
      <w:pPr>
        <w:autoSpaceDN w:val="0"/>
        <w:spacing w:line="560" w:lineRule="exact"/>
        <w:ind w:firstLine="645"/>
        <w:rPr>
          <w:rFonts w:hAnsi="宋体" w:cs="宋体"/>
          <w:kern w:val="0"/>
        </w:rPr>
      </w:pPr>
      <w:r>
        <w:rPr>
          <w:rFonts w:hint="eastAsia" w:hAnsi="宋体" w:cs="宋体"/>
          <w:kern w:val="0"/>
        </w:rPr>
        <w:t>继续执行降低住房公积金缴存比例政策，对住房公积金缴存比例高于</w:t>
      </w:r>
      <w:r>
        <w:rPr>
          <w:rFonts w:hAnsi="宋体" w:cs="宋体"/>
          <w:kern w:val="0"/>
        </w:rPr>
        <w:t>12%</w:t>
      </w:r>
      <w:r>
        <w:rPr>
          <w:rFonts w:hint="eastAsia" w:hAnsi="宋体" w:cs="宋体"/>
          <w:kern w:val="0"/>
        </w:rPr>
        <w:t>的一律予以规范调整，不得超过</w:t>
      </w:r>
      <w:r>
        <w:rPr>
          <w:rFonts w:hAnsi="宋体" w:cs="宋体"/>
          <w:kern w:val="0"/>
        </w:rPr>
        <w:t>12%</w:t>
      </w:r>
      <w:r>
        <w:rPr>
          <w:rFonts w:hint="eastAsia" w:hAnsi="宋体" w:cs="宋体"/>
          <w:kern w:val="0"/>
        </w:rPr>
        <w:t>。从</w:t>
      </w:r>
      <w:r>
        <w:rPr>
          <w:rFonts w:hAnsi="宋体" w:cs="宋体"/>
          <w:kern w:val="0"/>
        </w:rPr>
        <w:t>2016</w:t>
      </w:r>
      <w:r>
        <w:rPr>
          <w:rFonts w:hint="eastAsia" w:hAnsi="宋体" w:cs="宋体"/>
          <w:kern w:val="0"/>
        </w:rPr>
        <w:t>年</w:t>
      </w:r>
      <w:r>
        <w:rPr>
          <w:rFonts w:hAnsi="宋体" w:cs="宋体"/>
          <w:kern w:val="0"/>
        </w:rPr>
        <w:t>5</w:t>
      </w:r>
      <w:r>
        <w:rPr>
          <w:rFonts w:hint="eastAsia" w:hAnsi="宋体" w:cs="宋体"/>
          <w:kern w:val="0"/>
        </w:rPr>
        <w:t>月</w:t>
      </w:r>
      <w:r>
        <w:rPr>
          <w:rFonts w:hAnsi="宋体" w:cs="宋体"/>
          <w:kern w:val="0"/>
        </w:rPr>
        <w:t>1</w:t>
      </w:r>
      <w:r>
        <w:rPr>
          <w:rFonts w:hint="eastAsia" w:hAnsi="宋体" w:cs="宋体"/>
          <w:kern w:val="0"/>
        </w:rPr>
        <w:t>日起两年内，结合实际，阶段性适当降低住房公积金缴存比例。生产经营困难企业除可降低缴存比例外，还可依法申请缓缴住房公积金，待效益好转后再提高缴存比例或恢复缴存并补缴缓缴的住房公积金。</w:t>
      </w:r>
      <w:r>
        <w:rPr>
          <w:rFonts w:hint="eastAsia" w:ascii="楷体_GB2312" w:eastAsia="楷体_GB2312"/>
          <w:kern w:val="0"/>
        </w:rPr>
        <w:t>（市住建管理局、市发改局、市财政局、市</w:t>
      </w:r>
      <w:r>
        <w:rPr>
          <w:rFonts w:hint="eastAsia" w:ascii="楷体_GB2312" w:hAnsi="黑体" w:eastAsia="楷体_GB2312" w:cs="宋体"/>
          <w:kern w:val="0"/>
        </w:rPr>
        <w:t>人民银行</w:t>
      </w:r>
      <w:r>
        <w:rPr>
          <w:rFonts w:hint="eastAsia" w:ascii="楷体_GB2312" w:eastAsia="楷体_GB2312"/>
          <w:kern w:val="0"/>
        </w:rPr>
        <w:t>）</w:t>
      </w:r>
    </w:p>
    <w:p>
      <w:pPr>
        <w:autoSpaceDN w:val="0"/>
        <w:spacing w:line="560" w:lineRule="exact"/>
        <w:ind w:firstLine="645"/>
        <w:rPr>
          <w:rFonts w:ascii="黑体" w:hAnsi="黑体" w:eastAsia="黑体" w:cs="Arial"/>
          <w:kern w:val="0"/>
        </w:rPr>
      </w:pPr>
      <w:r>
        <w:rPr>
          <w:rFonts w:hint="eastAsia" w:ascii="黑体" w:hAnsi="黑体" w:eastAsia="黑体" w:cs="Arial"/>
          <w:kern w:val="0"/>
        </w:rPr>
        <w:t>二十二、进一步完善最低工资调整机制</w:t>
      </w:r>
    </w:p>
    <w:p>
      <w:pPr>
        <w:autoSpaceDN w:val="0"/>
        <w:spacing w:line="560" w:lineRule="exact"/>
        <w:ind w:firstLine="645"/>
        <w:rPr>
          <w:rFonts w:hAnsi="宋体" w:cs="宋体"/>
          <w:kern w:val="0"/>
        </w:rPr>
      </w:pPr>
      <w:r>
        <w:rPr>
          <w:rFonts w:hint="eastAsia" w:hAnsi="宋体" w:cs="宋体"/>
          <w:kern w:val="0"/>
        </w:rPr>
        <w:t>统筹兼顾企业承受能力和保障劳动者最低劳动报酬权益，完善我市最低工资标准调整机制，将现行最低工资标准由两年至少一调改为原则上三年至少一调，</w:t>
      </w:r>
      <w:r>
        <w:rPr>
          <w:rFonts w:hAnsi="宋体" w:cs="宋体"/>
          <w:kern w:val="0"/>
        </w:rPr>
        <w:t>2017</w:t>
      </w:r>
      <w:r>
        <w:rPr>
          <w:rFonts w:hint="eastAsia" w:hAnsi="宋体" w:cs="宋体"/>
          <w:kern w:val="0"/>
        </w:rPr>
        <w:t>年最低工资标准继续按</w:t>
      </w:r>
      <w:r>
        <w:rPr>
          <w:rFonts w:hAnsi="宋体" w:cs="宋体"/>
          <w:kern w:val="0"/>
        </w:rPr>
        <w:t>2015</w:t>
      </w:r>
      <w:r>
        <w:rPr>
          <w:rFonts w:hint="eastAsia" w:hAnsi="宋体" w:cs="宋体"/>
          <w:kern w:val="0"/>
        </w:rPr>
        <w:t>年</w:t>
      </w:r>
      <w:r>
        <w:rPr>
          <w:rFonts w:hAnsi="宋体" w:cs="宋体"/>
          <w:kern w:val="0"/>
        </w:rPr>
        <w:t>5</w:t>
      </w:r>
      <w:r>
        <w:rPr>
          <w:rFonts w:hint="eastAsia" w:hAnsi="宋体" w:cs="宋体"/>
          <w:kern w:val="0"/>
        </w:rPr>
        <w:t>月发布的标准执行。</w:t>
      </w:r>
      <w:r>
        <w:rPr>
          <w:rFonts w:hint="eastAsia" w:ascii="楷体_GB2312" w:eastAsia="楷体_GB2312"/>
          <w:kern w:val="0"/>
        </w:rPr>
        <w:t>（市人社局）</w:t>
      </w:r>
    </w:p>
    <w:p>
      <w:pPr>
        <w:autoSpaceDN w:val="0"/>
        <w:spacing w:line="560" w:lineRule="exact"/>
        <w:ind w:firstLine="645"/>
        <w:rPr>
          <w:rFonts w:ascii="黑体" w:hAnsi="黑体" w:eastAsia="黑体" w:cs="Arial"/>
          <w:kern w:val="0"/>
        </w:rPr>
      </w:pPr>
      <w:r>
        <w:rPr>
          <w:rFonts w:hint="eastAsia" w:ascii="黑体" w:hAnsi="黑体" w:eastAsia="黑体" w:cs="Arial"/>
          <w:kern w:val="0"/>
        </w:rPr>
        <w:t>二十三、加快完善劳动力市场体系</w:t>
      </w:r>
    </w:p>
    <w:p>
      <w:pPr>
        <w:autoSpaceDN w:val="0"/>
        <w:spacing w:line="560" w:lineRule="exact"/>
        <w:ind w:firstLine="645"/>
        <w:rPr>
          <w:rFonts w:hAnsi="宋体" w:cs="宋体"/>
          <w:kern w:val="0"/>
        </w:rPr>
      </w:pPr>
      <w:r>
        <w:rPr>
          <w:rFonts w:hint="eastAsia" w:hAnsi="宋体" w:cs="宋体"/>
          <w:kern w:val="0"/>
        </w:rPr>
        <w:t>加强公共就业服务，构建高质高效公共就业服务平台，落实失业保险支持企业稳定岗位政策。深化户籍制度改革，实现居住证制度全覆盖，将异地务工人员纳入当地教育、基本医疗卫生等公共服务覆盖范围，降低劳动力自由流动成本，加快形成统一开放、竞争有序的劳动力市场体系。免费为企业提供上网招聘服务。</w:t>
      </w:r>
      <w:r>
        <w:rPr>
          <w:rFonts w:hint="eastAsia" w:ascii="楷体_GB2312" w:eastAsia="楷体_GB2312"/>
          <w:kern w:val="0"/>
        </w:rPr>
        <w:t>（市人社局、市发改局、市教育局、市公安局、市财政局、市卫计局）</w:t>
      </w:r>
    </w:p>
    <w:p>
      <w:pPr>
        <w:autoSpaceDN w:val="0"/>
        <w:spacing w:line="560" w:lineRule="exact"/>
        <w:ind w:firstLine="645"/>
        <w:rPr>
          <w:rFonts w:ascii="黑体" w:hAnsi="黑体" w:eastAsia="黑体" w:cs="Arial"/>
          <w:kern w:val="0"/>
        </w:rPr>
      </w:pPr>
      <w:r>
        <w:rPr>
          <w:rFonts w:hint="eastAsia" w:ascii="黑体" w:hAnsi="黑体" w:eastAsia="黑体" w:cs="Arial"/>
          <w:kern w:val="0"/>
        </w:rPr>
        <w:t>二十四、加快实施能源领域相关改革</w:t>
      </w:r>
    </w:p>
    <w:p>
      <w:pPr>
        <w:autoSpaceDN w:val="0"/>
        <w:spacing w:line="560" w:lineRule="exact"/>
        <w:ind w:firstLine="645"/>
        <w:rPr>
          <w:rFonts w:ascii="楷体_GB2312" w:eastAsia="楷体_GB2312"/>
          <w:kern w:val="0"/>
        </w:rPr>
      </w:pPr>
      <w:r>
        <w:rPr>
          <w:rFonts w:hint="eastAsia" w:hAnsi="宋体" w:cs="宋体"/>
          <w:kern w:val="0"/>
        </w:rPr>
        <w:t>落实</w:t>
      </w:r>
      <w:r>
        <w:rPr>
          <w:rFonts w:hAnsi="宋体" w:cs="宋体"/>
          <w:kern w:val="0"/>
        </w:rPr>
        <w:t>2017</w:t>
      </w:r>
      <w:r>
        <w:rPr>
          <w:rFonts w:hint="eastAsia" w:hAnsi="宋体" w:cs="宋体"/>
          <w:kern w:val="0"/>
        </w:rPr>
        <w:t>年基本放开竞争性领域和环节价格管制要求，形成充分竞争的机制，使能源价格充分反映市场供求变化，提高价格灵活性。完善管道燃气定价机制，加强输配价格监管，及时根据气源价格变化情况调整销售价格。</w:t>
      </w:r>
      <w:r>
        <w:rPr>
          <w:rFonts w:hint="eastAsia" w:ascii="楷体_GB2312" w:eastAsia="楷体_GB2312"/>
          <w:kern w:val="0"/>
        </w:rPr>
        <w:t>（市发改局）</w:t>
      </w:r>
    </w:p>
    <w:p>
      <w:pPr>
        <w:autoSpaceDN w:val="0"/>
        <w:spacing w:line="560" w:lineRule="exact"/>
        <w:ind w:firstLine="645"/>
        <w:rPr>
          <w:rFonts w:ascii="黑体" w:hAnsi="黑体" w:eastAsia="黑体" w:cs="Arial"/>
          <w:kern w:val="0"/>
        </w:rPr>
      </w:pPr>
      <w:r>
        <w:rPr>
          <w:rFonts w:hint="eastAsia" w:ascii="黑体" w:hAnsi="黑体" w:eastAsia="黑体" w:cs="Arial"/>
          <w:kern w:val="0"/>
        </w:rPr>
        <w:t>二十五、合理降低企业用电成本</w:t>
      </w:r>
    </w:p>
    <w:p>
      <w:pPr>
        <w:autoSpaceDN w:val="0"/>
        <w:spacing w:line="560" w:lineRule="exact"/>
        <w:ind w:firstLine="645"/>
        <w:rPr>
          <w:rFonts w:ascii="楷体_GB2312" w:eastAsia="楷体_GB2312"/>
          <w:kern w:val="0"/>
        </w:rPr>
      </w:pPr>
      <w:r>
        <w:rPr>
          <w:rFonts w:hint="eastAsia" w:hAnsi="宋体" w:cs="宋体"/>
          <w:kern w:val="0"/>
        </w:rPr>
        <w:t>认真贯彻落实国家和省的电价政策，按照省的部署和要求，继续推动电力需求侧管理，不断提升能源利用效率和用户用能水平。</w:t>
      </w:r>
      <w:r>
        <w:rPr>
          <w:rFonts w:hint="eastAsia" w:ascii="楷体_GB2312" w:eastAsia="楷体_GB2312"/>
          <w:kern w:val="0"/>
        </w:rPr>
        <w:t>（市发改局、市经信局）</w:t>
      </w:r>
    </w:p>
    <w:p>
      <w:pPr>
        <w:autoSpaceDN w:val="0"/>
        <w:spacing w:line="560" w:lineRule="exact"/>
        <w:ind w:firstLine="645"/>
        <w:rPr>
          <w:rFonts w:ascii="黑体" w:hAnsi="黑体" w:eastAsia="黑体" w:cs="Arial"/>
          <w:kern w:val="0"/>
        </w:rPr>
      </w:pPr>
      <w:r>
        <w:rPr>
          <w:rFonts w:hint="eastAsia" w:ascii="黑体" w:hAnsi="黑体" w:eastAsia="黑体" w:cs="Arial"/>
          <w:kern w:val="0"/>
        </w:rPr>
        <w:t>二十六、进一步完善土地供应制度</w:t>
      </w:r>
    </w:p>
    <w:p>
      <w:pPr>
        <w:autoSpaceDN w:val="0"/>
        <w:spacing w:line="560" w:lineRule="exact"/>
        <w:ind w:firstLine="645"/>
        <w:rPr>
          <w:rFonts w:hAnsi="宋体" w:cs="宋体"/>
          <w:kern w:val="0"/>
        </w:rPr>
      </w:pPr>
      <w:r>
        <w:rPr>
          <w:rFonts w:hint="eastAsia" w:hAnsi="宋体" w:cs="宋体"/>
          <w:kern w:val="0"/>
        </w:rPr>
        <w:t>积极推进工业用地长期租赁、先租后让、租让结合供应，灵活确定工业用地的供应方式和使用年限，鼓励以租赁方式使用土地，工业用地的使用者可在规定期限内按合同约定分期缴纳土地出让价款，降低工业企业用地成本。保障物流业用地供应，科学合理确定物流用地容积率。</w:t>
      </w:r>
      <w:r>
        <w:rPr>
          <w:rFonts w:hint="eastAsia" w:ascii="楷体_GB2312" w:eastAsia="楷体_GB2312"/>
          <w:kern w:val="0"/>
        </w:rPr>
        <w:t>（市国土资源局、市财政局、市住建管理局）</w:t>
      </w:r>
    </w:p>
    <w:p>
      <w:pPr>
        <w:autoSpaceDN w:val="0"/>
        <w:spacing w:line="560" w:lineRule="exact"/>
        <w:ind w:firstLine="640"/>
        <w:rPr>
          <w:rFonts w:ascii="黑体" w:hAnsi="黑体" w:eastAsia="黑体" w:cs="Arial"/>
          <w:kern w:val="0"/>
        </w:rPr>
      </w:pPr>
      <w:r>
        <w:rPr>
          <w:rFonts w:hint="eastAsia" w:ascii="黑体" w:hAnsi="黑体" w:eastAsia="黑体" w:cs="Arial"/>
          <w:kern w:val="0"/>
        </w:rPr>
        <w:t>二十七、大力推进流通标准化建设</w:t>
      </w:r>
    </w:p>
    <w:p>
      <w:pPr>
        <w:autoSpaceDN w:val="0"/>
        <w:spacing w:line="560" w:lineRule="exact"/>
        <w:ind w:firstLine="640"/>
        <w:rPr>
          <w:rFonts w:hAnsi="宋体" w:cs="宋体"/>
          <w:kern w:val="0"/>
        </w:rPr>
      </w:pPr>
      <w:r>
        <w:rPr>
          <w:rFonts w:hint="eastAsia" w:hAnsi="宋体" w:cs="宋体"/>
          <w:kern w:val="0"/>
        </w:rPr>
        <w:t>构建标准化的商贸流通服务体系，提升商贸流通标准化水平，提高流通效率，促进降低物流成本。</w:t>
      </w:r>
      <w:r>
        <w:rPr>
          <w:rFonts w:hint="eastAsia" w:ascii="楷体_GB2312" w:eastAsia="楷体_GB2312"/>
          <w:kern w:val="0"/>
        </w:rPr>
        <w:t>（市商务局、市发改局、市交通运输局、市质监局）</w:t>
      </w:r>
    </w:p>
    <w:p>
      <w:pPr>
        <w:autoSpaceDN w:val="0"/>
        <w:spacing w:line="560" w:lineRule="exact"/>
        <w:ind w:firstLine="645"/>
        <w:rPr>
          <w:rFonts w:ascii="黑体" w:hAnsi="黑体" w:eastAsia="黑体" w:cs="Arial"/>
          <w:kern w:val="0"/>
        </w:rPr>
      </w:pPr>
      <w:r>
        <w:rPr>
          <w:rFonts w:hint="eastAsia" w:ascii="黑体" w:hAnsi="黑体" w:eastAsia="黑体" w:cs="Arial"/>
          <w:kern w:val="0"/>
        </w:rPr>
        <w:t>二十八、大力发展运输新业态</w:t>
      </w:r>
    </w:p>
    <w:p>
      <w:pPr>
        <w:autoSpaceDN w:val="0"/>
        <w:spacing w:line="560" w:lineRule="exact"/>
        <w:ind w:firstLine="645"/>
        <w:rPr>
          <w:rFonts w:ascii="楷体_GB2312" w:eastAsia="楷体_GB2312"/>
          <w:kern w:val="0"/>
        </w:rPr>
      </w:pPr>
      <w:r>
        <w:rPr>
          <w:rFonts w:hint="eastAsia" w:hAnsi="宋体" w:cs="宋体"/>
          <w:kern w:val="0"/>
        </w:rPr>
        <w:t>支持重大物流基地、城乡物流配送中心建设，完善全市物流综合服务网络，促进公路、铁路、水路、航空等多种运输方式有效衔接。</w:t>
      </w:r>
      <w:r>
        <w:rPr>
          <w:rFonts w:hint="eastAsia" w:ascii="楷体_GB2312" w:eastAsia="楷体_GB2312"/>
          <w:kern w:val="0"/>
        </w:rPr>
        <w:t>（市交通运输局、市发改局、市商务局）</w:t>
      </w:r>
    </w:p>
    <w:p>
      <w:pPr>
        <w:autoSpaceDN w:val="0"/>
        <w:spacing w:line="560" w:lineRule="exact"/>
        <w:ind w:firstLine="645"/>
        <w:rPr>
          <w:rFonts w:ascii="黑体" w:hAnsi="黑体" w:eastAsia="黑体" w:cs="Arial"/>
          <w:kern w:val="0"/>
        </w:rPr>
      </w:pPr>
      <w:r>
        <w:rPr>
          <w:rFonts w:hint="eastAsia" w:ascii="黑体" w:hAnsi="黑体" w:eastAsia="黑体" w:cs="Arial"/>
          <w:kern w:val="0"/>
        </w:rPr>
        <w:t>二十九、科学规范公路收费管理</w:t>
      </w:r>
    </w:p>
    <w:p>
      <w:pPr>
        <w:autoSpaceDN w:val="0"/>
        <w:spacing w:line="560" w:lineRule="exact"/>
        <w:ind w:firstLine="645"/>
        <w:rPr>
          <w:rFonts w:ascii="楷体_GB2312" w:eastAsia="楷体_GB2312"/>
          <w:kern w:val="0"/>
        </w:rPr>
      </w:pPr>
      <w:r>
        <w:rPr>
          <w:rFonts w:hint="eastAsia" w:hAnsi="宋体" w:cs="宋体"/>
          <w:kern w:val="0"/>
        </w:rPr>
        <w:t>探索高速公路建设多元化筹资模式，为降低高速公路使用成本创造有利条件。从严查处高速公路车辆通行服务和车辆救援服务中的各种乱收费行为，规范车辆超限处罚标准，减少各类执法中的自由裁量权，坚决杜绝乱罚款、“以罚代管”等行为。</w:t>
      </w:r>
      <w:r>
        <w:rPr>
          <w:rFonts w:hint="eastAsia" w:ascii="楷体_GB2312" w:eastAsia="楷体_GB2312"/>
          <w:kern w:val="0"/>
        </w:rPr>
        <w:t>（市交通运输局、市发改局、市公安局、市财政局、市公路局）</w:t>
      </w:r>
    </w:p>
    <w:p>
      <w:pPr>
        <w:autoSpaceDN w:val="0"/>
        <w:spacing w:line="560" w:lineRule="exact"/>
        <w:ind w:firstLine="645"/>
        <w:rPr>
          <w:rFonts w:ascii="黑体" w:hAnsi="黑体" w:eastAsia="黑体" w:cs="Arial"/>
          <w:kern w:val="0"/>
        </w:rPr>
      </w:pPr>
      <w:r>
        <w:rPr>
          <w:rFonts w:hint="eastAsia" w:ascii="黑体" w:hAnsi="黑体" w:eastAsia="黑体" w:cs="Arial"/>
          <w:kern w:val="0"/>
        </w:rPr>
        <w:t>三十、严格规范机场铁路港口收费</w:t>
      </w:r>
    </w:p>
    <w:p>
      <w:pPr>
        <w:autoSpaceDN w:val="0"/>
        <w:spacing w:line="560" w:lineRule="exact"/>
        <w:ind w:firstLine="645"/>
        <w:rPr>
          <w:rFonts w:hAnsi="宋体" w:cs="宋体"/>
          <w:kern w:val="0"/>
        </w:rPr>
      </w:pPr>
      <w:r>
        <w:rPr>
          <w:rFonts w:hint="eastAsia" w:hAnsi="宋体" w:cs="宋体"/>
          <w:kern w:val="0"/>
        </w:rPr>
        <w:t>按照国家部署，全面清理机场、铁路、港口码头经营性收费项目，除法规规章规定的项目外，禁止指定经营、强制服务、强行收费行为，清理强制对进出港（场）企业收取的不合理费用和各地政府设立的不合理铁路收费。</w:t>
      </w:r>
      <w:r>
        <w:rPr>
          <w:rFonts w:hint="eastAsia" w:ascii="楷体_GB2312" w:eastAsia="楷体_GB2312"/>
          <w:kern w:val="0"/>
        </w:rPr>
        <w:t>（市发改局、市交通运输局）</w:t>
      </w:r>
    </w:p>
    <w:p>
      <w:pPr>
        <w:autoSpaceDN w:val="0"/>
        <w:spacing w:line="560" w:lineRule="exact"/>
        <w:ind w:firstLine="645"/>
        <w:rPr>
          <w:rFonts w:ascii="黑体" w:hAnsi="黑体" w:eastAsia="黑体" w:cs="Arial"/>
          <w:kern w:val="0"/>
        </w:rPr>
      </w:pPr>
      <w:r>
        <w:rPr>
          <w:rFonts w:hint="eastAsia" w:ascii="黑体" w:hAnsi="黑体" w:eastAsia="黑体" w:cs="Arial"/>
          <w:kern w:val="0"/>
        </w:rPr>
        <w:t>三十一、全面清理规范工程建设领域保证金</w:t>
      </w:r>
    </w:p>
    <w:p>
      <w:pPr>
        <w:autoSpaceDN w:val="0"/>
        <w:spacing w:line="560" w:lineRule="exact"/>
        <w:ind w:firstLine="645"/>
        <w:rPr>
          <w:rFonts w:ascii="楷体_GB2312" w:eastAsia="楷体_GB2312"/>
          <w:kern w:val="0"/>
        </w:rPr>
      </w:pPr>
      <w:r>
        <w:rPr>
          <w:rFonts w:hint="eastAsia" w:hAnsi="宋体" w:cs="宋体"/>
          <w:kern w:val="0"/>
        </w:rPr>
        <w:t>开展建筑业缴纳各种保证金情况摸查，按照既有利于减轻企业负担、又能形成新约束机制的原则，制定切实可行的规范工程建设领域保证金政策措施。清查向企业收取保证金应返未返行为，按照“谁收取、谁返还”原则，分类制定切实可行的还款计划。</w:t>
      </w:r>
      <w:r>
        <w:rPr>
          <w:rFonts w:hint="eastAsia" w:ascii="楷体_GB2312" w:eastAsia="楷体_GB2312"/>
          <w:kern w:val="0"/>
        </w:rPr>
        <w:t>（市住建管理局、市发改局、市财政局、市人社局、市交通运输局、市水务局、市法制局）</w:t>
      </w:r>
    </w:p>
    <w:p>
      <w:pPr>
        <w:autoSpaceDN w:val="0"/>
        <w:spacing w:line="560" w:lineRule="exact"/>
        <w:ind w:firstLine="640"/>
        <w:rPr>
          <w:rFonts w:ascii="黑体" w:hAnsi="黑体" w:eastAsia="黑体" w:cs="Arial"/>
          <w:kern w:val="0"/>
        </w:rPr>
      </w:pPr>
      <w:r>
        <w:rPr>
          <w:rFonts w:hint="eastAsia" w:ascii="黑体" w:hAnsi="黑体" w:eastAsia="黑体" w:cs="Arial"/>
          <w:kern w:val="0"/>
        </w:rPr>
        <w:t>三十二、鼓励企业充分利用信息技术手段降低成本</w:t>
      </w:r>
    </w:p>
    <w:p>
      <w:pPr>
        <w:autoSpaceDN w:val="0"/>
        <w:spacing w:line="560" w:lineRule="exact"/>
        <w:ind w:firstLine="640"/>
        <w:rPr>
          <w:rFonts w:ascii="楷体_GB2312" w:eastAsia="楷体_GB2312"/>
          <w:kern w:val="0"/>
        </w:rPr>
      </w:pPr>
      <w:r>
        <w:rPr>
          <w:rFonts w:hint="eastAsia" w:hAnsi="宋体" w:cs="宋体"/>
          <w:kern w:val="0"/>
        </w:rPr>
        <w:t>大力支持电子商务应用创新；加强先进技术推广应用和企业目标成本管理。</w:t>
      </w:r>
      <w:r>
        <w:rPr>
          <w:rFonts w:hint="eastAsia" w:ascii="楷体_GB2312" w:eastAsia="楷体_GB2312"/>
          <w:kern w:val="0"/>
        </w:rPr>
        <w:t>（市经信局、市发改局、市商务局、市国资委）</w:t>
      </w:r>
    </w:p>
    <w:p>
      <w:pPr>
        <w:tabs>
          <w:tab w:val="left" w:pos="8100"/>
        </w:tabs>
        <w:autoSpaceDN w:val="0"/>
        <w:spacing w:line="560" w:lineRule="exact"/>
        <w:rPr>
          <w:rFonts w:hAnsi="宋体" w:cs="宋体"/>
          <w:kern w:val="0"/>
        </w:rPr>
      </w:pPr>
      <w:r>
        <w:rPr>
          <w:rFonts w:hAnsi="宋体" w:cs="宋体"/>
          <w:kern w:val="0"/>
        </w:rPr>
        <w:tab/>
      </w: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autoSpaceDN w:val="0"/>
        <w:spacing w:line="560" w:lineRule="exact"/>
        <w:rPr>
          <w:rFonts w:hAnsi="宋体" w:cs="宋体"/>
          <w:kern w:val="0"/>
        </w:rPr>
      </w:pPr>
    </w:p>
    <w:p>
      <w:pPr>
        <w:spacing w:line="560" w:lineRule="exact"/>
        <w:jc w:val="center"/>
        <w:rPr>
          <w:rFonts w:ascii="方正小标宋简体" w:eastAsia="方正小标宋简体"/>
          <w:bCs/>
          <w:kern w:val="36"/>
          <w:sz w:val="44"/>
          <w:szCs w:val="44"/>
        </w:rPr>
      </w:pPr>
      <w:bookmarkStart w:id="1" w:name="_Hlk515960745"/>
      <w:bookmarkEnd w:id="1"/>
      <w:r>
        <w:rPr>
          <w:rFonts w:hint="eastAsia" w:ascii="方正小标宋简体" w:eastAsia="方正小标宋简体"/>
          <w:bCs/>
          <w:kern w:val="36"/>
          <w:sz w:val="44"/>
          <w:szCs w:val="44"/>
        </w:rPr>
        <w:t>韶关市供给侧结构性改革</w:t>
      </w:r>
      <w:r>
        <w:rPr>
          <w:rFonts w:ascii="方正小标宋简体" w:eastAsia="方正小标宋简体"/>
          <w:bCs/>
          <w:kern w:val="36"/>
          <w:sz w:val="44"/>
          <w:szCs w:val="44"/>
        </w:rPr>
        <w:t>2018</w:t>
      </w:r>
      <w:r>
        <w:rPr>
          <w:rFonts w:hint="eastAsia" w:ascii="方正小标宋简体" w:eastAsia="方正小标宋简体"/>
          <w:bCs/>
          <w:kern w:val="36"/>
          <w:sz w:val="44"/>
          <w:szCs w:val="44"/>
        </w:rPr>
        <w:t>年</w:t>
      </w:r>
    </w:p>
    <w:p>
      <w:pPr>
        <w:spacing w:line="56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补短板工作方案</w:t>
      </w:r>
    </w:p>
    <w:p>
      <w:pPr>
        <w:autoSpaceDN w:val="0"/>
        <w:spacing w:line="560" w:lineRule="exact"/>
        <w:rPr>
          <w:bCs/>
          <w:kern w:val="0"/>
          <w:sz w:val="21"/>
          <w:szCs w:val="21"/>
        </w:rPr>
      </w:pPr>
    </w:p>
    <w:p>
      <w:pPr>
        <w:autoSpaceDN w:val="0"/>
        <w:spacing w:line="560" w:lineRule="exact"/>
        <w:ind w:firstLine="640"/>
        <w:rPr>
          <w:color w:val="000000"/>
          <w:kern w:val="0"/>
        </w:rPr>
      </w:pPr>
      <w:r>
        <w:rPr>
          <w:rFonts w:hint="eastAsia"/>
          <w:color w:val="000000"/>
          <w:kern w:val="0"/>
        </w:rPr>
        <w:t>为加快补齐发展短板，破解项目落地难推进慢、产业发展水平低的突出问题，促进我市经济振兴发展，根据</w:t>
      </w:r>
      <w:bookmarkStart w:id="2" w:name="_Hlk515960835"/>
      <w:r>
        <w:rPr>
          <w:rFonts w:hint="eastAsia"/>
          <w:color w:val="000000"/>
          <w:kern w:val="0"/>
        </w:rPr>
        <w:t>《韶关市人民政府关于印发韶关市供给侧结构性改革总体方案（</w:t>
      </w:r>
      <w:r>
        <w:rPr>
          <w:color w:val="000000"/>
          <w:kern w:val="0"/>
        </w:rPr>
        <w:t>2016—2018</w:t>
      </w:r>
      <w:r>
        <w:rPr>
          <w:rFonts w:hint="eastAsia"/>
          <w:color w:val="000000"/>
          <w:kern w:val="0"/>
        </w:rPr>
        <w:t>年）及五个行动计划的通知》（韶府〔</w:t>
      </w:r>
      <w:r>
        <w:rPr>
          <w:color w:val="000000"/>
          <w:kern w:val="0"/>
        </w:rPr>
        <w:t>2016</w:t>
      </w:r>
      <w:r>
        <w:rPr>
          <w:rFonts w:hint="eastAsia"/>
          <w:color w:val="000000"/>
          <w:kern w:val="0"/>
        </w:rPr>
        <w:t>〕</w:t>
      </w:r>
      <w:r>
        <w:rPr>
          <w:color w:val="000000"/>
          <w:kern w:val="0"/>
        </w:rPr>
        <w:t>17</w:t>
      </w:r>
      <w:r>
        <w:rPr>
          <w:rFonts w:hint="eastAsia"/>
          <w:color w:val="000000"/>
          <w:kern w:val="0"/>
        </w:rPr>
        <w:t>号）和《关于深化供给侧结构性改革加快经济振兴发展三年行动计划及五个行动计划》（韶府办〔</w:t>
      </w:r>
      <w:r>
        <w:rPr>
          <w:color w:val="000000"/>
          <w:kern w:val="0"/>
        </w:rPr>
        <w:t>2018</w:t>
      </w:r>
      <w:r>
        <w:rPr>
          <w:rFonts w:hint="eastAsia"/>
          <w:color w:val="000000"/>
          <w:kern w:val="0"/>
        </w:rPr>
        <w:t>〕</w:t>
      </w:r>
      <w:r>
        <w:rPr>
          <w:color w:val="000000"/>
          <w:kern w:val="0"/>
        </w:rPr>
        <w:t>1</w:t>
      </w:r>
      <w:r>
        <w:rPr>
          <w:rFonts w:hint="eastAsia"/>
          <w:color w:val="000000"/>
          <w:kern w:val="0"/>
        </w:rPr>
        <w:t>号）</w:t>
      </w:r>
      <w:bookmarkEnd w:id="2"/>
      <w:r>
        <w:rPr>
          <w:rFonts w:hint="eastAsia"/>
          <w:color w:val="000000"/>
          <w:kern w:val="0"/>
        </w:rPr>
        <w:t>，进一步推进我市供给侧结构性改革补短板工作，制定本工作方案。</w:t>
      </w:r>
    </w:p>
    <w:p>
      <w:pPr>
        <w:autoSpaceDN w:val="0"/>
        <w:spacing w:line="560" w:lineRule="exact"/>
        <w:ind w:firstLine="640"/>
        <w:rPr>
          <w:rFonts w:ascii="黑体" w:hAnsi="黑体" w:eastAsia="黑体" w:cs="Arial"/>
          <w:kern w:val="0"/>
        </w:rPr>
      </w:pPr>
      <w:r>
        <w:rPr>
          <w:rFonts w:hint="eastAsia" w:ascii="黑体" w:hAnsi="黑体" w:eastAsia="黑体" w:cs="Arial"/>
          <w:kern w:val="0"/>
        </w:rPr>
        <w:t>一、总体要求</w:t>
      </w:r>
    </w:p>
    <w:p>
      <w:pPr>
        <w:autoSpaceDN w:val="0"/>
        <w:spacing w:line="560" w:lineRule="exact"/>
        <w:ind w:firstLine="640"/>
        <w:rPr>
          <w:color w:val="000000"/>
          <w:kern w:val="0"/>
        </w:rPr>
      </w:pPr>
      <w:r>
        <w:rPr>
          <w:rFonts w:hint="eastAsia"/>
          <w:kern w:val="0"/>
        </w:rPr>
        <w:t>牢固树立并贯彻落实创新、协调、绿色、开放、共享发展理念，统筹把握好当前和长远、力度和节奏、主要矛盾和次要矛盾、政府和市场的关系，坚持问题导向、精准施策，重点在产业园区发展、公共服务平台建设、加快项目落地、城市扩容提质、基础设施建设、人才培养使用等领域，加大有效投资力度，强化项目支撑，创新体制机制，补齐振兴发展面临的突出短板，助推产业集聚发展，为我市深化供给侧结构性改革、与全国同步全面建成小康社会提供支撑</w:t>
      </w:r>
      <w:r>
        <w:rPr>
          <w:rFonts w:hint="eastAsia"/>
          <w:color w:val="000000"/>
          <w:kern w:val="0"/>
        </w:rPr>
        <w:t>，</w:t>
      </w:r>
      <w:r>
        <w:rPr>
          <w:color w:val="000000"/>
          <w:kern w:val="0"/>
        </w:rPr>
        <w:t>2018</w:t>
      </w:r>
      <w:r>
        <w:rPr>
          <w:rFonts w:hint="eastAsia"/>
          <w:color w:val="000000"/>
          <w:kern w:val="0"/>
        </w:rPr>
        <w:t>年计划补短板总投资为</w:t>
      </w:r>
      <w:r>
        <w:rPr>
          <w:color w:val="000000"/>
          <w:kern w:val="0"/>
        </w:rPr>
        <w:t>124.19</w:t>
      </w:r>
      <w:r>
        <w:rPr>
          <w:rFonts w:hint="eastAsia"/>
          <w:color w:val="000000"/>
          <w:kern w:val="0"/>
        </w:rPr>
        <w:t>亿元。</w:t>
      </w:r>
    </w:p>
    <w:p>
      <w:pPr>
        <w:autoSpaceDN w:val="0"/>
        <w:spacing w:line="560" w:lineRule="exact"/>
        <w:ind w:firstLine="640"/>
        <w:rPr>
          <w:rFonts w:ascii="黑体" w:hAnsi="黑体" w:eastAsia="黑体" w:cs="Arial"/>
          <w:kern w:val="0"/>
        </w:rPr>
      </w:pPr>
      <w:r>
        <w:rPr>
          <w:rFonts w:hint="eastAsia" w:ascii="黑体" w:hAnsi="黑体" w:eastAsia="黑体" w:cs="Arial"/>
          <w:kern w:val="0"/>
        </w:rPr>
        <w:t>二、补齐产业园区短板</w:t>
      </w:r>
    </w:p>
    <w:p>
      <w:pPr>
        <w:autoSpaceDN w:val="0"/>
        <w:spacing w:line="560" w:lineRule="exact"/>
        <w:ind w:firstLine="648"/>
        <w:rPr>
          <w:kern w:val="0"/>
        </w:rPr>
      </w:pPr>
      <w:r>
        <w:rPr>
          <w:rFonts w:hint="eastAsia"/>
          <w:kern w:val="0"/>
        </w:rPr>
        <w:t>针对园区发展空间不足、基础设施不完善、土地利用率不高、服务企业效率低等问题，加快产业共建平台建设，提升园区配套管理能力，理顺园区管理体制，加大对园区开发公司的扶持力度，强化土地征拆和闲置土地回收，推行园区项目审批“代办制”，着力补齐产业园区短板。</w:t>
      </w:r>
    </w:p>
    <w:p>
      <w:pPr>
        <w:autoSpaceDN w:val="0"/>
        <w:spacing w:line="560" w:lineRule="exact"/>
        <w:ind w:firstLine="648"/>
        <w:rPr>
          <w:rFonts w:ascii="楷体_GB2312" w:eastAsia="楷体_GB2312"/>
          <w:kern w:val="0"/>
        </w:rPr>
      </w:pPr>
      <w:r>
        <w:rPr>
          <w:rFonts w:hint="eastAsia" w:ascii="楷体_GB2312" w:eastAsia="楷体_GB2312"/>
          <w:kern w:val="0"/>
        </w:rPr>
        <w:t>（一）加快产业共建平台建设。</w:t>
      </w:r>
    </w:p>
    <w:p>
      <w:pPr>
        <w:autoSpaceDN w:val="0"/>
        <w:spacing w:line="560" w:lineRule="exact"/>
        <w:ind w:firstLine="640"/>
        <w:rPr>
          <w:rFonts w:ascii="黑体" w:hAnsi="黑体" w:eastAsia="黑体"/>
          <w:kern w:val="0"/>
        </w:rPr>
      </w:pPr>
      <w:r>
        <w:rPr>
          <w:rFonts w:hint="eastAsia"/>
          <w:kern w:val="0"/>
        </w:rPr>
        <w:t>抓好莞韶园创建国家级高新区工作，推进一区多园，实行各自独立核算，功能差异定位，统一政策，充分发挥各个园区积极性，促进园区扩能增效，促进园区内企业配套。编制华南先进装备产业园启动区控制性详细规划，加快华南装备园土地平整、道路、污水厂等基础设施建设，推进首批入园企业项目动工建设。推进“华南数谷”大数据产业园建设，完成园区空间规划编制，加快华为项目建设，积极吸引大数据龙头企业和骨干企业落地。谋划建设好珠江东岸产业合作区，重点发展生物医药等科技含量较高、市场前景广阔的产业。加强与格鲁吉亚城市的友好交流，推动规划建设水电产业园，培育水电装备产业链，注重引入战略投资者建设园中园。</w:t>
      </w:r>
      <w:r>
        <w:rPr>
          <w:rFonts w:hint="eastAsia" w:ascii="楷体_GB2312" w:eastAsia="楷体_GB2312"/>
          <w:kern w:val="0"/>
        </w:rPr>
        <w:t>〔市经信局、市发改局、市商务局、莞韶园管委会、华南装备园管委会，相关县（市、区）政府</w:t>
      </w:r>
      <w:r>
        <w:rPr>
          <w:rFonts w:hint="eastAsia" w:ascii="楷体_GB2312" w:hAnsi="黑体" w:eastAsia="楷体_GB2312"/>
          <w:kern w:val="0"/>
        </w:rPr>
        <w:t>，排名第一的单位为牵头单位，下同</w:t>
      </w:r>
      <w:r>
        <w:rPr>
          <w:rFonts w:hint="eastAsia" w:ascii="楷体_GB2312" w:eastAsia="楷体_GB2312"/>
          <w:kern w:val="0"/>
        </w:rPr>
        <w:t>〕</w:t>
      </w:r>
    </w:p>
    <w:p>
      <w:pPr>
        <w:autoSpaceDN w:val="0"/>
        <w:spacing w:line="560" w:lineRule="exact"/>
        <w:ind w:firstLine="640"/>
        <w:rPr>
          <w:rFonts w:ascii="楷体_GB2312" w:eastAsia="楷体_GB2312"/>
          <w:kern w:val="0"/>
        </w:rPr>
      </w:pPr>
      <w:r>
        <w:rPr>
          <w:rFonts w:hint="eastAsia" w:ascii="楷体_GB2312" w:eastAsia="楷体_GB2312"/>
          <w:kern w:val="0"/>
        </w:rPr>
        <w:t>（二）加大对园区开发公司的扶持力度。</w:t>
      </w:r>
    </w:p>
    <w:p>
      <w:pPr>
        <w:autoSpaceDN w:val="0"/>
        <w:spacing w:line="560" w:lineRule="exact"/>
        <w:ind w:firstLine="640"/>
        <w:rPr>
          <w:rFonts w:ascii="楷体_GB2312" w:eastAsia="楷体_GB2312"/>
          <w:kern w:val="0"/>
        </w:rPr>
      </w:pPr>
      <w:r>
        <w:rPr>
          <w:rFonts w:hint="eastAsia"/>
          <w:kern w:val="0"/>
        </w:rPr>
        <w:t>推动园区开发公司实行现代企业管理制度，努力提升经营水平，鼓励运用市场化运作手段，依法参与土地一级市场开发，吸引银行、企业及社会资金共同开发建设工业园区。</w:t>
      </w:r>
      <w:r>
        <w:rPr>
          <w:rFonts w:hint="eastAsia" w:ascii="楷体_GB2312" w:eastAsia="楷体_GB2312"/>
          <w:kern w:val="0"/>
        </w:rPr>
        <w:t>〔市经信局、市发改局、莞韶园管委会、华南装备园管委会，相关县（市、区）政府〕</w:t>
      </w:r>
    </w:p>
    <w:p>
      <w:pPr>
        <w:autoSpaceDN w:val="0"/>
        <w:spacing w:line="560" w:lineRule="exact"/>
        <w:ind w:firstLine="640"/>
        <w:rPr>
          <w:rFonts w:ascii="楷体_GB2312" w:eastAsia="楷体_GB2312"/>
          <w:kern w:val="0"/>
        </w:rPr>
      </w:pPr>
      <w:r>
        <w:rPr>
          <w:rFonts w:hint="eastAsia" w:ascii="楷体_GB2312" w:eastAsia="楷体_GB2312"/>
          <w:kern w:val="0"/>
        </w:rPr>
        <w:t>（三）强化土地征拆和园区闲置土地回收。</w:t>
      </w:r>
    </w:p>
    <w:p>
      <w:pPr>
        <w:autoSpaceDN w:val="0"/>
        <w:spacing w:line="560" w:lineRule="exact"/>
        <w:ind w:firstLine="640"/>
        <w:rPr>
          <w:rFonts w:ascii="楷体_GB2312" w:eastAsia="楷体_GB2312"/>
          <w:kern w:val="0"/>
        </w:rPr>
      </w:pPr>
      <w:r>
        <w:rPr>
          <w:rFonts w:hint="eastAsia"/>
          <w:kern w:val="0"/>
        </w:rPr>
        <w:t>出台土地征拆激励机制，调动一线征拆人员积极性，加快土地征拆进度，做好土地储备工作。借鉴其他地市在闲置土地处置方面的经验，制定出台我市闲置土地处置实施细则，为招商引资和新项目落地腾出空间，突破园区发展的土地瓶颈制约。</w:t>
      </w:r>
      <w:r>
        <w:rPr>
          <w:rFonts w:hint="eastAsia" w:ascii="楷体_GB2312" w:eastAsia="楷体_GB2312"/>
          <w:kern w:val="0"/>
        </w:rPr>
        <w:t>〔市国土资源局、莞韶园管委会、华南装备园管委会、市土储中心，相关县（市、区）政府〕</w:t>
      </w:r>
    </w:p>
    <w:p>
      <w:pPr>
        <w:autoSpaceDN w:val="0"/>
        <w:spacing w:line="560" w:lineRule="exact"/>
        <w:ind w:firstLine="640"/>
        <w:rPr>
          <w:rFonts w:ascii="楷体_GB2312" w:eastAsia="楷体_GB2312"/>
          <w:kern w:val="0"/>
        </w:rPr>
      </w:pPr>
      <w:r>
        <w:rPr>
          <w:rFonts w:hint="eastAsia" w:ascii="楷体_GB2312" w:eastAsia="楷体_GB2312"/>
          <w:kern w:val="0"/>
        </w:rPr>
        <w:t>（四）推行园区项目审批“代办制”。</w:t>
      </w:r>
    </w:p>
    <w:p>
      <w:pPr>
        <w:autoSpaceDN w:val="0"/>
        <w:spacing w:line="560" w:lineRule="exact"/>
        <w:ind w:firstLine="640"/>
        <w:rPr>
          <w:rFonts w:ascii="楷体_GB2312" w:eastAsia="楷体_GB2312"/>
          <w:kern w:val="0"/>
        </w:rPr>
      </w:pPr>
      <w:r>
        <w:rPr>
          <w:rFonts w:hint="eastAsia"/>
          <w:kern w:val="0"/>
        </w:rPr>
        <w:t>建立园区项目审批“绿色通道”，帮助企业代办所有落地手续，实行项目投资限时办结制度，建立签约项目台账制度、挂钩制度、督查制度，进一步有效提高项目的履约率、动工率和投产率。</w:t>
      </w:r>
      <w:r>
        <w:rPr>
          <w:rFonts w:hint="eastAsia" w:ascii="楷体_GB2312" w:eastAsia="楷体_GB2312"/>
          <w:kern w:val="0"/>
        </w:rPr>
        <w:t>〔市发改局、市国土资源局、市环保局、市住建管理局、市交通运输局、市水务局、市规划局、华南装备园管委会、莞韶园管委会等部门，相关县（市、区）政府〕</w:t>
      </w:r>
    </w:p>
    <w:p>
      <w:pPr>
        <w:autoSpaceDN w:val="0"/>
        <w:spacing w:line="560" w:lineRule="exact"/>
        <w:ind w:firstLine="640"/>
        <w:rPr>
          <w:rFonts w:ascii="黑体" w:hAnsi="黑体" w:eastAsia="黑体" w:cs="Arial"/>
          <w:kern w:val="0"/>
        </w:rPr>
      </w:pPr>
      <w:r>
        <w:rPr>
          <w:rFonts w:hint="eastAsia" w:ascii="黑体" w:hAnsi="黑体" w:eastAsia="黑体" w:cs="Arial"/>
          <w:kern w:val="0"/>
        </w:rPr>
        <w:t>三、补齐公共服务平台短板</w:t>
      </w:r>
    </w:p>
    <w:p>
      <w:pPr>
        <w:autoSpaceDN w:val="0"/>
        <w:spacing w:line="560" w:lineRule="exact"/>
        <w:ind w:firstLine="648"/>
        <w:rPr>
          <w:color w:val="000000"/>
          <w:kern w:val="0"/>
        </w:rPr>
      </w:pPr>
      <w:r>
        <w:rPr>
          <w:rFonts w:hint="eastAsia"/>
          <w:color w:val="000000"/>
          <w:kern w:val="0"/>
        </w:rPr>
        <w:t>针对我市研发服务、科技企业孵化、计量检测等产业公共服务平台数量少、服务水平低的问题，大力营造良好创新环境，加快研发机构建设，完善孵化育成体系，建设省级计量检测中心，着力补齐公共服务平台短板。</w:t>
      </w:r>
    </w:p>
    <w:p>
      <w:pPr>
        <w:autoSpaceDN w:val="0"/>
        <w:spacing w:line="560" w:lineRule="exact"/>
        <w:ind w:firstLine="648"/>
        <w:rPr>
          <w:rFonts w:ascii="楷体_GB2312" w:eastAsia="楷体_GB2312"/>
          <w:kern w:val="0"/>
        </w:rPr>
      </w:pPr>
      <w:r>
        <w:rPr>
          <w:rFonts w:hint="eastAsia" w:ascii="楷体_GB2312" w:eastAsia="楷体_GB2312"/>
          <w:kern w:val="0"/>
        </w:rPr>
        <w:t>（一）营造良好的创新环境。</w:t>
      </w:r>
    </w:p>
    <w:p>
      <w:pPr>
        <w:autoSpaceDN w:val="0"/>
        <w:spacing w:line="560" w:lineRule="exact"/>
        <w:ind w:firstLine="648"/>
        <w:rPr>
          <w:rFonts w:ascii="楷体_GB2312" w:hAnsi="黑体" w:eastAsia="楷体_GB2312"/>
          <w:kern w:val="0"/>
        </w:rPr>
      </w:pPr>
      <w:r>
        <w:rPr>
          <w:rFonts w:hint="eastAsia"/>
          <w:color w:val="000000"/>
          <w:kern w:val="0"/>
        </w:rPr>
        <w:t>推动韶关高新区创建为国家级高新区，争取</w:t>
      </w:r>
      <w:r>
        <w:rPr>
          <w:color w:val="000000"/>
          <w:kern w:val="0"/>
        </w:rPr>
        <w:t>2018</w:t>
      </w:r>
      <w:r>
        <w:rPr>
          <w:rFonts w:hint="eastAsia"/>
          <w:color w:val="000000"/>
          <w:kern w:val="0"/>
        </w:rPr>
        <w:t>年顺利通过国家科技部的现场考评。发挥韶关高新区创新引领和辐射带动效应，推动南雄、翁源、乳源等地现有省级产业园区创建省级高新区。着手摸清市区教育组团优势，开展平台可行性研究，初步确定平台的规划布局和产业定位，加快谋划市区新的高科技产业平台。建立中小企业的产学研项目数据库，推动企业加强与科研院所开展科技创新交流合作，积极深化产学研结合。建立韶关校企产学研服务平台，推动韶关学院、松山职业技术学院等高校服务现代农业、机械装备、生物医药、精细化工等优势产业和新兴产业。争取省级研究机构在我市布局并与韶关学院共建。用好用活市级科技计划项目专项资金，激发市场主体开展研发活动的积极性，以财政投入为引导，鼓励韶钢、东阳光、比亚迪、顺昌布厂等行业龙头企业作为研发主体持续加大科技研发投入，增强自主创新能力，推动产业转型升级。督促各县（市、区）加大财政科技投入。</w:t>
      </w:r>
      <w:r>
        <w:rPr>
          <w:rFonts w:hint="eastAsia" w:ascii="楷体_GB2312" w:hAnsi="黑体" w:eastAsia="楷体_GB2312"/>
          <w:kern w:val="0"/>
        </w:rPr>
        <w:t>〔</w:t>
      </w:r>
      <w:r>
        <w:rPr>
          <w:rFonts w:hint="eastAsia" w:ascii="楷体_GB2312" w:hAnsi="黑体" w:eastAsia="楷体_GB2312"/>
          <w:color w:val="000000"/>
          <w:kern w:val="0"/>
        </w:rPr>
        <w:t>市科技局、市经信局、市财政局，</w:t>
      </w:r>
      <w:r>
        <w:rPr>
          <w:rFonts w:hint="eastAsia" w:ascii="楷体_GB2312" w:hAnsi="黑体" w:eastAsia="楷体_GB2312"/>
          <w:kern w:val="0"/>
        </w:rPr>
        <w:t>相关县（市、区）政府〕</w:t>
      </w:r>
    </w:p>
    <w:p>
      <w:pPr>
        <w:autoSpaceDN w:val="0"/>
        <w:spacing w:line="560" w:lineRule="exact"/>
        <w:ind w:firstLine="648"/>
        <w:rPr>
          <w:rFonts w:ascii="楷体_GB2312" w:eastAsia="楷体_GB2312"/>
          <w:kern w:val="0"/>
        </w:rPr>
      </w:pPr>
      <w:r>
        <w:rPr>
          <w:rFonts w:hint="eastAsia" w:ascii="楷体_GB2312" w:eastAsia="楷体_GB2312"/>
          <w:kern w:val="0"/>
        </w:rPr>
        <w:t>（二）加快研发机构建设。</w:t>
      </w:r>
    </w:p>
    <w:p>
      <w:pPr>
        <w:autoSpaceDN w:val="0"/>
        <w:spacing w:line="560" w:lineRule="exact"/>
        <w:ind w:firstLine="648"/>
        <w:rPr>
          <w:rFonts w:ascii="楷体_GB2312" w:hAnsi="黑体" w:eastAsia="楷体_GB2312"/>
          <w:kern w:val="0"/>
        </w:rPr>
      </w:pPr>
      <w:r>
        <w:rPr>
          <w:rFonts w:hint="eastAsia"/>
          <w:color w:val="000000"/>
          <w:kern w:val="0"/>
        </w:rPr>
        <w:t>推动工业企业建立工程技术研究中心、企业技术中心、企业重点实验室等企业研发机构，通过与高校、科研院所合作，提高新技术企业研发新产品、开发新工艺、推广应用新技术成果等创新能力。鼓励外地技术力量雄厚的国家级研究机构到我市设立分支机构。支持韶钢、东阳光、利民制药、顺昌布厂等行业龙头企业申报国家级工程中心。积极筹建金属材料、现代农业、丹霞铁皮石斛、矿山装备等研究院，加快促进产业转型升级。</w:t>
      </w:r>
      <w:r>
        <w:rPr>
          <w:color w:val="000000"/>
          <w:kern w:val="0"/>
        </w:rPr>
        <w:t>2018</w:t>
      </w:r>
      <w:r>
        <w:rPr>
          <w:rFonts w:hint="eastAsia"/>
          <w:color w:val="000000"/>
          <w:kern w:val="0"/>
        </w:rPr>
        <w:t>年实现主营业务收入</w:t>
      </w:r>
      <w:r>
        <w:rPr>
          <w:color w:val="000000"/>
          <w:kern w:val="0"/>
        </w:rPr>
        <w:t>5</w:t>
      </w:r>
      <w:r>
        <w:rPr>
          <w:rFonts w:hint="eastAsia"/>
          <w:color w:val="000000"/>
          <w:kern w:val="0"/>
        </w:rPr>
        <w:t>亿元以上工业企业建立研发机构全覆盖，</w:t>
      </w:r>
      <w:r>
        <w:rPr>
          <w:color w:val="000000"/>
          <w:kern w:val="0"/>
        </w:rPr>
        <w:t>1</w:t>
      </w:r>
      <w:r>
        <w:rPr>
          <w:rFonts w:hint="eastAsia"/>
          <w:color w:val="000000"/>
          <w:kern w:val="0"/>
        </w:rPr>
        <w:t>亿元以上工业企业建立研发机构比例达到</w:t>
      </w:r>
      <w:r>
        <w:rPr>
          <w:color w:val="000000"/>
          <w:kern w:val="0"/>
        </w:rPr>
        <w:t>30%</w:t>
      </w:r>
      <w:r>
        <w:rPr>
          <w:rFonts w:hint="eastAsia"/>
          <w:color w:val="000000"/>
          <w:kern w:val="0"/>
        </w:rPr>
        <w:t>，规模以上工业企业建立研发机构比例达到</w:t>
      </w:r>
      <w:r>
        <w:rPr>
          <w:color w:val="000000"/>
          <w:kern w:val="0"/>
        </w:rPr>
        <w:t>25%</w:t>
      </w:r>
      <w:r>
        <w:rPr>
          <w:rFonts w:hint="eastAsia"/>
          <w:color w:val="000000"/>
          <w:kern w:val="0"/>
        </w:rPr>
        <w:t>，新增企业研发机构</w:t>
      </w:r>
      <w:r>
        <w:rPr>
          <w:color w:val="000000"/>
          <w:kern w:val="0"/>
        </w:rPr>
        <w:t>40</w:t>
      </w:r>
      <w:r>
        <w:rPr>
          <w:rFonts w:hint="eastAsia"/>
          <w:color w:val="000000"/>
          <w:kern w:val="0"/>
        </w:rPr>
        <w:t>家以上。</w:t>
      </w:r>
      <w:r>
        <w:rPr>
          <w:rFonts w:hint="eastAsia" w:ascii="楷体_GB2312" w:hAnsi="黑体" w:eastAsia="楷体_GB2312"/>
          <w:kern w:val="0"/>
        </w:rPr>
        <w:t>〔</w:t>
      </w:r>
      <w:r>
        <w:rPr>
          <w:rFonts w:hint="eastAsia" w:ascii="楷体_GB2312" w:hAnsi="黑体" w:eastAsia="楷体_GB2312"/>
          <w:color w:val="000000"/>
          <w:kern w:val="0"/>
        </w:rPr>
        <w:t>市经信局、市发改局、市科技局，</w:t>
      </w:r>
      <w:r>
        <w:rPr>
          <w:rFonts w:hint="eastAsia" w:ascii="楷体_GB2312" w:hAnsi="黑体" w:eastAsia="楷体_GB2312"/>
          <w:kern w:val="0"/>
        </w:rPr>
        <w:t>相关县（市、区）政府〕</w:t>
      </w:r>
    </w:p>
    <w:p>
      <w:pPr>
        <w:autoSpaceDN w:val="0"/>
        <w:spacing w:line="560" w:lineRule="exact"/>
        <w:ind w:firstLine="648"/>
        <w:rPr>
          <w:rFonts w:ascii="楷体_GB2312" w:eastAsia="楷体_GB2312"/>
          <w:kern w:val="0"/>
        </w:rPr>
      </w:pPr>
      <w:r>
        <w:rPr>
          <w:rFonts w:hint="eastAsia" w:ascii="楷体_GB2312" w:eastAsia="楷体_GB2312"/>
          <w:kern w:val="0"/>
        </w:rPr>
        <w:t>（三）加快科技孵化器（众创空间）建设。</w:t>
      </w:r>
    </w:p>
    <w:p>
      <w:pPr>
        <w:autoSpaceDN w:val="0"/>
        <w:spacing w:line="560" w:lineRule="exact"/>
        <w:ind w:firstLine="648"/>
        <w:rPr>
          <w:rFonts w:ascii="楷体_GB2312" w:eastAsia="楷体_GB2312"/>
          <w:kern w:val="0"/>
        </w:rPr>
      </w:pPr>
      <w:r>
        <w:rPr>
          <w:rFonts w:hint="eastAsia"/>
          <w:color w:val="000000"/>
          <w:kern w:val="0"/>
        </w:rPr>
        <w:t>研究制订韶关市孵化育成体系管理办法特别是科技企业加速器的相关扶持政策，引导各类主体开展科技企业孵化器建设，筹建科技企业孵化（加速）协会，推进众投邦、达安创谷等加速器建设，实现“湾区创新</w:t>
      </w:r>
      <w:r>
        <w:rPr>
          <w:rFonts w:ascii="宋体" w:hAnsi="宋体" w:eastAsia="宋体" w:cs="宋体"/>
          <w:color w:val="000000"/>
          <w:kern w:val="0"/>
        </w:rPr>
        <w:t>•</w:t>
      </w:r>
      <w:r>
        <w:rPr>
          <w:rFonts w:hint="eastAsia"/>
          <w:color w:val="000000"/>
          <w:kern w:val="0"/>
        </w:rPr>
        <w:t>韶关加速”，形成“众创空间</w:t>
      </w:r>
      <w:r>
        <w:rPr>
          <w:color w:val="000000"/>
          <w:kern w:val="0"/>
        </w:rPr>
        <w:t>-</w:t>
      </w:r>
      <w:r>
        <w:rPr>
          <w:rFonts w:hint="eastAsia"/>
          <w:color w:val="000000"/>
          <w:kern w:val="0"/>
        </w:rPr>
        <w:t>孵化器</w:t>
      </w:r>
      <w:r>
        <w:rPr>
          <w:color w:val="000000"/>
          <w:kern w:val="0"/>
        </w:rPr>
        <w:t>-</w:t>
      </w:r>
      <w:r>
        <w:rPr>
          <w:rFonts w:hint="eastAsia"/>
          <w:color w:val="000000"/>
          <w:kern w:val="0"/>
        </w:rPr>
        <w:t>加速器</w:t>
      </w:r>
      <w:r>
        <w:rPr>
          <w:color w:val="000000"/>
          <w:kern w:val="0"/>
        </w:rPr>
        <w:t>-</w:t>
      </w:r>
      <w:r>
        <w:rPr>
          <w:rFonts w:hint="eastAsia"/>
          <w:color w:val="000000"/>
          <w:kern w:val="0"/>
        </w:rPr>
        <w:t>专业园区”的完整孵化链条。新增市级以上孵化器（众创空间）</w:t>
      </w:r>
      <w:r>
        <w:rPr>
          <w:color w:val="000000"/>
          <w:kern w:val="0"/>
        </w:rPr>
        <w:t>2</w:t>
      </w:r>
      <w:r>
        <w:rPr>
          <w:rFonts w:hint="eastAsia"/>
          <w:color w:val="000000"/>
          <w:kern w:val="0"/>
        </w:rPr>
        <w:t>家。</w:t>
      </w:r>
      <w:r>
        <w:rPr>
          <w:rFonts w:hint="eastAsia" w:ascii="楷体_GB2312" w:eastAsia="楷体_GB2312"/>
          <w:kern w:val="0"/>
        </w:rPr>
        <w:t>〔市科技局，相关县（市、区）政府〕</w:t>
      </w:r>
    </w:p>
    <w:p>
      <w:pPr>
        <w:autoSpaceDN w:val="0"/>
        <w:spacing w:line="560" w:lineRule="exact"/>
        <w:ind w:firstLine="648"/>
        <w:rPr>
          <w:rFonts w:ascii="楷体_GB2312" w:eastAsia="楷体_GB2312"/>
          <w:kern w:val="0"/>
        </w:rPr>
      </w:pPr>
      <w:r>
        <w:rPr>
          <w:rFonts w:hint="eastAsia" w:ascii="楷体_GB2312" w:eastAsia="楷体_GB2312"/>
          <w:kern w:val="0"/>
        </w:rPr>
        <w:t>（四）建设省级产业计量测试中心。</w:t>
      </w:r>
    </w:p>
    <w:p>
      <w:pPr>
        <w:autoSpaceDN w:val="0"/>
        <w:spacing w:line="560" w:lineRule="exact"/>
        <w:ind w:firstLine="648"/>
        <w:rPr>
          <w:rFonts w:ascii="楷体_GB2312" w:eastAsia="楷体_GB2312"/>
          <w:kern w:val="0"/>
        </w:rPr>
      </w:pPr>
      <w:r>
        <w:rPr>
          <w:rFonts w:hint="eastAsia"/>
          <w:color w:val="000000"/>
          <w:kern w:val="0"/>
        </w:rPr>
        <w:t>鼓励企业参与行业国际标准制定，构建新技术新产品新业态等计量、标准、认证直通车制度。以装备制造业为重点，鼓励企业积极采用国际标准和国外先进标准。加大公共检测服务平台建设力度，推进计量测试中心建设。争取中科院韶关实验室申报国家级检测平台，加快广东省液压件产业计量测试中心申报筹建，创建国家级产业计量平台。在食品安全、生物制药、节能减排等领域突破一批关键计量检测技术。</w:t>
      </w:r>
      <w:r>
        <w:rPr>
          <w:rFonts w:hint="eastAsia" w:ascii="楷体_GB2312" w:eastAsia="楷体_GB2312"/>
          <w:kern w:val="0"/>
        </w:rPr>
        <w:t>（市质监局）</w:t>
      </w:r>
    </w:p>
    <w:p>
      <w:pPr>
        <w:autoSpaceDN w:val="0"/>
        <w:spacing w:line="560" w:lineRule="exact"/>
        <w:ind w:firstLine="648"/>
        <w:rPr>
          <w:rFonts w:ascii="黑体" w:hAnsi="黑体" w:eastAsia="黑体" w:cs="Arial"/>
          <w:kern w:val="0"/>
        </w:rPr>
      </w:pPr>
      <w:r>
        <w:rPr>
          <w:rFonts w:hint="eastAsia" w:ascii="黑体" w:hAnsi="黑体" w:eastAsia="黑体" w:cs="Arial"/>
          <w:kern w:val="0"/>
        </w:rPr>
        <w:t>四、补齐项目前期短板</w:t>
      </w:r>
    </w:p>
    <w:p>
      <w:pPr>
        <w:autoSpaceDN w:val="0"/>
        <w:spacing w:line="560" w:lineRule="exact"/>
        <w:ind w:firstLine="642"/>
        <w:rPr>
          <w:color w:val="000000"/>
          <w:kern w:val="0"/>
        </w:rPr>
      </w:pPr>
      <w:r>
        <w:rPr>
          <w:rFonts w:hint="eastAsia"/>
          <w:color w:val="000000"/>
          <w:kern w:val="0"/>
        </w:rPr>
        <w:t>加快完善项目前期工作等机制体制，做好“多规合一”工作，强化项目建设要素保障，进一步深化“放管服”改革力度。</w:t>
      </w:r>
    </w:p>
    <w:p>
      <w:pPr>
        <w:autoSpaceDN w:val="0"/>
        <w:spacing w:line="560" w:lineRule="exact"/>
        <w:ind w:firstLine="642"/>
        <w:rPr>
          <w:rFonts w:ascii="楷体_GB2312" w:eastAsia="楷体_GB2312"/>
          <w:kern w:val="0"/>
        </w:rPr>
      </w:pPr>
      <w:r>
        <w:rPr>
          <w:rFonts w:hint="eastAsia" w:ascii="楷体_GB2312" w:eastAsia="楷体_GB2312"/>
          <w:kern w:val="0"/>
        </w:rPr>
        <w:t>（一）强化项目建设要素保障。</w:t>
      </w:r>
    </w:p>
    <w:p>
      <w:pPr>
        <w:autoSpaceDN w:val="0"/>
        <w:spacing w:line="560" w:lineRule="exact"/>
        <w:ind w:firstLine="642"/>
        <w:rPr>
          <w:rFonts w:ascii="楷体_GB2312" w:eastAsia="楷体_GB2312"/>
          <w:kern w:val="0"/>
        </w:rPr>
      </w:pPr>
      <w:r>
        <w:rPr>
          <w:rFonts w:hint="eastAsia"/>
          <w:color w:val="000000"/>
          <w:kern w:val="0"/>
        </w:rPr>
        <w:t>以土地利用总体规划调整完善和永久基本农田划定工作为契机，做好项目用地规模布局和占用基本农田调出补划工作。加强重点项目“多规合一”工作，做到与国民经济和社会发展规划、城乡规划相互统一，从源头上解决项目规划选址与土地规划矛盾的突出问题。加强统筹和协调配合，引导用地项目在规划区内选址，减少不必要的规划调整。建立由当地政府、国土资源、林业、人社等部门组成的工作机制，提高项目用地报批涉及的社保、林地手续办理效率。加强土地收储工作，提前梳理项目用地存在问题，及时完成征拆、解决经济与法律纠纷，提前实施围闭、三通一平等熟地化工作，避免项目引进时才启动。完善征地拆迁激励机制，调动基层征拆干部的工作积极性。</w:t>
      </w:r>
      <w:r>
        <w:rPr>
          <w:rFonts w:hint="eastAsia" w:ascii="楷体_GB2312" w:eastAsia="楷体_GB2312"/>
          <w:kern w:val="0"/>
        </w:rPr>
        <w:t>〔市规划局、市发改局、市人社局、市国土资源局、市住建管理局、市林业局等部门，相关县（市、区）政府〕</w:t>
      </w:r>
    </w:p>
    <w:p>
      <w:pPr>
        <w:autoSpaceDN w:val="0"/>
        <w:spacing w:line="560" w:lineRule="exact"/>
        <w:ind w:firstLine="642"/>
        <w:rPr>
          <w:rFonts w:ascii="楷体_GB2312" w:eastAsia="楷体_GB2312"/>
          <w:kern w:val="0"/>
        </w:rPr>
      </w:pPr>
      <w:r>
        <w:rPr>
          <w:rFonts w:hint="eastAsia" w:ascii="楷体_GB2312" w:eastAsia="楷体_GB2312"/>
          <w:kern w:val="0"/>
        </w:rPr>
        <w:t>（二）</w:t>
      </w:r>
      <w:bookmarkStart w:id="3" w:name="_Hlk519071887"/>
      <w:r>
        <w:rPr>
          <w:rFonts w:hint="eastAsia" w:ascii="楷体_GB2312" w:eastAsia="楷体_GB2312"/>
          <w:kern w:val="0"/>
        </w:rPr>
        <w:t>加大“放管服”改革力度</w:t>
      </w:r>
      <w:bookmarkEnd w:id="3"/>
      <w:r>
        <w:rPr>
          <w:rFonts w:hint="eastAsia" w:ascii="楷体_GB2312" w:eastAsia="楷体_GB2312"/>
          <w:kern w:val="0"/>
        </w:rPr>
        <w:t>。</w:t>
      </w:r>
    </w:p>
    <w:p>
      <w:pPr>
        <w:autoSpaceDN w:val="0"/>
        <w:spacing w:line="560" w:lineRule="exact"/>
        <w:ind w:firstLine="642"/>
        <w:rPr>
          <w:rFonts w:ascii="楷体_GB2312" w:hAnsi="黑体" w:eastAsia="楷体_GB2312"/>
          <w:kern w:val="0"/>
        </w:rPr>
      </w:pPr>
      <w:r>
        <w:rPr>
          <w:rFonts w:hint="eastAsia"/>
          <w:color w:val="000000"/>
          <w:kern w:val="0"/>
        </w:rPr>
        <w:t>学习借鉴珠三角的先进服务理念，探索制定项目审批“绿色通道”，提高项目审批效率。争取省进一步下放项目审批权限，减少需上报省审批的事项。进一步优化投资项目审批流程，制定投资项目审批全过程流程图。简化审批事项中的审批要点，推广申报材料标准化，压减材料审查自由裁量权。进一步深化“一门式一网式”政府服务模式改革，整顿清理“红顶中介”，清理投资项目审批中介服务事项，推广“网上中介超市”。</w:t>
      </w:r>
      <w:r>
        <w:rPr>
          <w:rFonts w:hint="eastAsia" w:ascii="楷体_GB2312" w:hAnsi="黑体" w:eastAsia="楷体_GB2312"/>
          <w:kern w:val="0"/>
        </w:rPr>
        <w:t>〔</w:t>
      </w:r>
      <w:r>
        <w:rPr>
          <w:rFonts w:hint="eastAsia" w:ascii="楷体_GB2312" w:hAnsi="黑体" w:eastAsia="楷体_GB2312"/>
          <w:color w:val="000000"/>
          <w:kern w:val="0"/>
        </w:rPr>
        <w:t>市发改局、市编办、市行政服务中心等部门，相关县（市、区）政府</w:t>
      </w:r>
      <w:r>
        <w:rPr>
          <w:rFonts w:hint="eastAsia" w:ascii="楷体_GB2312" w:hAnsi="黑体" w:eastAsia="楷体_GB2312"/>
          <w:kern w:val="0"/>
        </w:rPr>
        <w:t>〕</w:t>
      </w:r>
    </w:p>
    <w:p>
      <w:pPr>
        <w:autoSpaceDN w:val="0"/>
        <w:spacing w:line="560" w:lineRule="exact"/>
        <w:ind w:firstLine="642"/>
        <w:rPr>
          <w:rFonts w:ascii="黑体" w:hAnsi="黑体" w:eastAsia="黑体" w:cs="Arial"/>
          <w:kern w:val="0"/>
        </w:rPr>
      </w:pPr>
      <w:r>
        <w:rPr>
          <w:rFonts w:hint="eastAsia" w:ascii="黑体" w:hAnsi="黑体" w:eastAsia="黑体" w:cs="Arial"/>
          <w:kern w:val="0"/>
        </w:rPr>
        <w:t>五、补齐城市发展短板</w:t>
      </w:r>
    </w:p>
    <w:p>
      <w:pPr>
        <w:autoSpaceDN w:val="0"/>
        <w:spacing w:line="560" w:lineRule="exact"/>
        <w:ind w:firstLine="642"/>
        <w:rPr>
          <w:color w:val="000000"/>
          <w:kern w:val="0"/>
        </w:rPr>
      </w:pPr>
      <w:r>
        <w:rPr>
          <w:rFonts w:hint="eastAsia"/>
          <w:color w:val="000000"/>
          <w:kern w:val="0"/>
        </w:rPr>
        <w:t>加快城市扩容提质，扎实抓好全国文明城市创建，提高善美之城吸引力，继续推进智慧城市建设，不断完善城市基础设施建设。</w:t>
      </w:r>
    </w:p>
    <w:p>
      <w:pPr>
        <w:autoSpaceDN w:val="0"/>
        <w:spacing w:line="560" w:lineRule="exact"/>
        <w:ind w:firstLine="642"/>
        <w:rPr>
          <w:rFonts w:ascii="楷体_GB2312" w:eastAsia="楷体_GB2312"/>
          <w:kern w:val="0"/>
        </w:rPr>
      </w:pPr>
      <w:r>
        <w:rPr>
          <w:rFonts w:hint="eastAsia" w:ascii="楷体_GB2312" w:eastAsia="楷体_GB2312"/>
          <w:kern w:val="0"/>
        </w:rPr>
        <w:t>（一）提升农村配电网供电能力。</w:t>
      </w:r>
    </w:p>
    <w:p>
      <w:pPr>
        <w:autoSpaceDN w:val="0"/>
        <w:spacing w:line="560" w:lineRule="exact"/>
        <w:ind w:firstLine="640"/>
        <w:rPr>
          <w:rFonts w:ascii="楷体_GB2312" w:hAnsi="黑体" w:eastAsia="楷体_GB2312"/>
          <w:kern w:val="0"/>
        </w:rPr>
      </w:pPr>
      <w:r>
        <w:rPr>
          <w:rFonts w:hint="eastAsia"/>
          <w:color w:val="000000"/>
          <w:kern w:val="0"/>
        </w:rPr>
        <w:t>开展农村地区“低电压”治理，建立“低电压”治理绿色通道，对低电压问题建立档案并实行销号管理，淘汰</w:t>
      </w:r>
      <w:r>
        <w:rPr>
          <w:color w:val="000000"/>
          <w:kern w:val="0"/>
        </w:rPr>
        <w:t>S9</w:t>
      </w:r>
      <w:r>
        <w:rPr>
          <w:rFonts w:hint="eastAsia"/>
          <w:color w:val="000000"/>
          <w:kern w:val="0"/>
        </w:rPr>
        <w:t>（</w:t>
      </w:r>
      <w:r>
        <w:rPr>
          <w:color w:val="000000"/>
          <w:kern w:val="0"/>
        </w:rPr>
        <w:t>1997</w:t>
      </w:r>
      <w:r>
        <w:rPr>
          <w:rFonts w:hint="eastAsia"/>
          <w:color w:val="000000"/>
          <w:kern w:val="0"/>
        </w:rPr>
        <w:t>年前投运）及以下型号高损耗变压器。加强贫困地区农村电网改造升级，落实电网精准扶贫工作要求，保障农村地区分布式电源，特别是农光互补等的接入和消纳。</w:t>
      </w:r>
      <w:r>
        <w:rPr>
          <w:color w:val="000000"/>
          <w:kern w:val="0"/>
        </w:rPr>
        <w:t>2018</w:t>
      </w:r>
      <w:r>
        <w:rPr>
          <w:rFonts w:hint="eastAsia"/>
          <w:color w:val="000000"/>
          <w:kern w:val="0"/>
        </w:rPr>
        <w:t>年，全市农村电网建设改造计划投资</w:t>
      </w:r>
      <w:r>
        <w:rPr>
          <w:color w:val="000000"/>
          <w:kern w:val="0"/>
        </w:rPr>
        <w:t>5.36</w:t>
      </w:r>
      <w:r>
        <w:rPr>
          <w:rFonts w:hint="eastAsia"/>
          <w:color w:val="000000"/>
          <w:kern w:val="0"/>
        </w:rPr>
        <w:t>亿元，有效解决农村配电网电压不达标问题。</w:t>
      </w:r>
      <w:r>
        <w:rPr>
          <w:rFonts w:hint="eastAsia" w:ascii="楷体_GB2312" w:hAnsi="黑体" w:eastAsia="楷体_GB2312"/>
          <w:kern w:val="0"/>
        </w:rPr>
        <w:t>〔</w:t>
      </w:r>
      <w:r>
        <w:rPr>
          <w:rFonts w:hint="eastAsia" w:ascii="楷体_GB2312" w:hAnsi="黑体" w:eastAsia="楷体_GB2312"/>
          <w:color w:val="000000"/>
          <w:kern w:val="0"/>
        </w:rPr>
        <w:t>市发改局、市财政局、市农业局、市扶贫办、韶关供电局，相关县（市、区）政府</w:t>
      </w:r>
      <w:r>
        <w:rPr>
          <w:rFonts w:hint="eastAsia" w:ascii="楷体_GB2312" w:hAnsi="黑体" w:eastAsia="楷体_GB2312"/>
          <w:kern w:val="0"/>
        </w:rPr>
        <w:t>〕</w:t>
      </w:r>
    </w:p>
    <w:p>
      <w:pPr>
        <w:autoSpaceDN w:val="0"/>
        <w:spacing w:line="560" w:lineRule="exact"/>
        <w:ind w:firstLine="640"/>
        <w:rPr>
          <w:rFonts w:ascii="楷体_GB2312" w:eastAsia="楷体_GB2312"/>
          <w:kern w:val="0"/>
        </w:rPr>
      </w:pPr>
      <w:r>
        <w:rPr>
          <w:rFonts w:hint="eastAsia" w:ascii="楷体_GB2312" w:eastAsia="楷体_GB2312"/>
          <w:kern w:val="0"/>
        </w:rPr>
        <w:t>（二）加快新能源汽车充电基础设施建设。</w:t>
      </w:r>
    </w:p>
    <w:p>
      <w:pPr>
        <w:autoSpaceDN w:val="0"/>
        <w:spacing w:line="560" w:lineRule="exact"/>
        <w:ind w:firstLine="648"/>
        <w:rPr>
          <w:rFonts w:ascii="楷体_GB2312" w:eastAsia="楷体_GB2312"/>
          <w:kern w:val="0"/>
        </w:rPr>
      </w:pPr>
      <w:r>
        <w:rPr>
          <w:rFonts w:hint="eastAsia"/>
          <w:color w:val="000000"/>
          <w:kern w:val="0"/>
        </w:rPr>
        <w:t>加快建设公交、环卫等公共服务领域充电设施，大型商场、文体场馆等城市公共充电设施，用户居住地充电设施，专业化服务与自行充电相结合的充电设施网络，城际快速充电网络以及具备条件的政府机关、公共机构和企事业单位内部充电基础设施等。</w:t>
      </w:r>
      <w:r>
        <w:rPr>
          <w:rFonts w:hint="eastAsia" w:ascii="楷体_GB2312" w:eastAsia="楷体_GB2312"/>
          <w:kern w:val="0"/>
        </w:rPr>
        <w:t>〔市发改局、市经信局、市国土资源局、市住建管理局、市交通运输局、市质监局、韶关供电局，相关县（市、区）政府〕</w:t>
      </w:r>
    </w:p>
    <w:p>
      <w:pPr>
        <w:autoSpaceDN w:val="0"/>
        <w:spacing w:line="560" w:lineRule="exact"/>
        <w:ind w:firstLine="648"/>
        <w:rPr>
          <w:rFonts w:ascii="楷体_GB2312" w:eastAsia="楷体_GB2312"/>
          <w:kern w:val="0"/>
        </w:rPr>
      </w:pPr>
      <w:r>
        <w:rPr>
          <w:rFonts w:hint="eastAsia" w:ascii="楷体_GB2312" w:eastAsia="楷体_GB2312"/>
          <w:kern w:val="0"/>
        </w:rPr>
        <w:t>（三）推进城市地下管网建设。</w:t>
      </w:r>
    </w:p>
    <w:p>
      <w:pPr>
        <w:autoSpaceDN w:val="0"/>
        <w:spacing w:line="560" w:lineRule="exact"/>
        <w:ind w:firstLine="648"/>
        <w:rPr>
          <w:rFonts w:ascii="楷体_GB2312" w:hAnsi="黑体" w:eastAsia="楷体_GB2312"/>
          <w:kern w:val="0"/>
        </w:rPr>
      </w:pPr>
      <w:r>
        <w:rPr>
          <w:rFonts w:hint="eastAsia"/>
          <w:kern w:val="0"/>
        </w:rPr>
        <w:t>以芙蓉新区核心区、各类园区、成片开发区域为重点，新建主干道同步建设地下综合管廊。老旧城区结合“三旧”及棚户区改造、道路改扩建、河道治理、地下空间开发等积极推进地下综合管廊建设。新建</w:t>
      </w:r>
      <w:r>
        <w:rPr>
          <w:kern w:val="0"/>
        </w:rPr>
        <w:t>5</w:t>
      </w:r>
      <w:r>
        <w:rPr>
          <w:rFonts w:hint="eastAsia"/>
          <w:kern w:val="0"/>
        </w:rPr>
        <w:t>号路、百旺路管廊，长约</w:t>
      </w:r>
      <w:r>
        <w:rPr>
          <w:kern w:val="0"/>
        </w:rPr>
        <w:t>11.3</w:t>
      </w:r>
      <w:r>
        <w:rPr>
          <w:rFonts w:hint="eastAsia"/>
          <w:kern w:val="0"/>
        </w:rPr>
        <w:t>公里；新建新白线、滨江路延长线管廊，长约</w:t>
      </w:r>
      <w:r>
        <w:rPr>
          <w:kern w:val="0"/>
        </w:rPr>
        <w:t>9.7</w:t>
      </w:r>
      <w:r>
        <w:rPr>
          <w:rFonts w:hint="eastAsia"/>
          <w:kern w:val="0"/>
        </w:rPr>
        <w:t>公里。</w:t>
      </w:r>
      <w:r>
        <w:rPr>
          <w:rFonts w:hint="eastAsia" w:ascii="楷体_GB2312" w:hAnsi="黑体" w:eastAsia="楷体_GB2312"/>
          <w:kern w:val="0"/>
        </w:rPr>
        <w:t>〔市住建管理局、市规划局、芙蓉新区管委会、市城投公司，相关县（市、区）政府〕</w:t>
      </w:r>
      <w:r>
        <w:rPr>
          <w:rFonts w:ascii="楷体_GB2312" w:hAnsi="黑体" w:eastAsia="楷体_GB2312"/>
          <w:kern w:val="0"/>
        </w:rPr>
        <w:t xml:space="preserve">  </w:t>
      </w:r>
    </w:p>
    <w:p>
      <w:pPr>
        <w:autoSpaceDN w:val="0"/>
        <w:spacing w:line="560" w:lineRule="exact"/>
        <w:ind w:firstLine="648"/>
        <w:rPr>
          <w:rFonts w:ascii="楷体_GB2312" w:eastAsia="楷体_GB2312"/>
          <w:kern w:val="0"/>
        </w:rPr>
      </w:pPr>
      <w:r>
        <w:rPr>
          <w:rFonts w:hint="eastAsia" w:ascii="楷体_GB2312" w:eastAsia="楷体_GB2312"/>
          <w:kern w:val="0"/>
        </w:rPr>
        <w:t>（四）进一步完善新区配套基础设施和老城区扩容提质建设。</w:t>
      </w:r>
    </w:p>
    <w:p>
      <w:pPr>
        <w:autoSpaceDN w:val="0"/>
        <w:spacing w:line="560" w:lineRule="exact"/>
        <w:ind w:firstLine="648"/>
        <w:rPr>
          <w:rFonts w:ascii="楷体_GB2312" w:eastAsia="楷体_GB2312"/>
          <w:kern w:val="0"/>
        </w:rPr>
      </w:pPr>
      <w:r>
        <w:rPr>
          <w:rFonts w:hint="eastAsia"/>
          <w:color w:val="000000"/>
          <w:kern w:val="0"/>
        </w:rPr>
        <w:t>主要建设百旺路、滨江路、曲江大道、新白线等芙蓉新城路网；上饶路、移山路、福林路、陵南路、清泉路、玉简路、弦歌路、吉祥路等市政道路；垃圾中转站、水质检测中心等市政公用设施。</w:t>
      </w:r>
      <w:r>
        <w:rPr>
          <w:rFonts w:hint="eastAsia" w:ascii="楷体_GB2312" w:eastAsia="楷体_GB2312"/>
          <w:kern w:val="0"/>
        </w:rPr>
        <w:t>〔市发改局、市代建局、市城投集团等部门，相关县（市、区）政府〕</w:t>
      </w:r>
    </w:p>
    <w:p>
      <w:pPr>
        <w:autoSpaceDN w:val="0"/>
        <w:spacing w:line="560" w:lineRule="exact"/>
        <w:ind w:firstLine="648"/>
        <w:rPr>
          <w:rFonts w:ascii="楷体_GB2312" w:eastAsia="楷体_GB2312"/>
          <w:kern w:val="0"/>
        </w:rPr>
      </w:pPr>
      <w:r>
        <w:rPr>
          <w:rFonts w:hint="eastAsia" w:ascii="楷体_GB2312" w:eastAsia="楷体_GB2312"/>
          <w:kern w:val="0"/>
        </w:rPr>
        <w:t>（五）提高水利防灾减灾和水安全保障能力。</w:t>
      </w:r>
    </w:p>
    <w:p>
      <w:pPr>
        <w:autoSpaceDN w:val="0"/>
        <w:spacing w:line="560" w:lineRule="exact"/>
        <w:ind w:firstLine="642"/>
        <w:rPr>
          <w:color w:val="000000"/>
          <w:kern w:val="0"/>
        </w:rPr>
      </w:pPr>
      <w:r>
        <w:rPr>
          <w:color w:val="000000"/>
          <w:kern w:val="0"/>
        </w:rPr>
        <w:t>1</w:t>
      </w:r>
      <w:r>
        <w:rPr>
          <w:rFonts w:hint="eastAsia"/>
          <w:color w:val="000000"/>
          <w:kern w:val="0"/>
        </w:rPr>
        <w:t>．城乡水利防灾减灾工程。加强大江大河防洪骨干工程、“山边、水边、江边”防洪薄弱环节、中小河流治理等重点工程建设。</w:t>
      </w:r>
      <w:r>
        <w:rPr>
          <w:rFonts w:hint="eastAsia" w:ascii="楷体_GB2312" w:eastAsia="楷体_GB2312"/>
          <w:kern w:val="0"/>
        </w:rPr>
        <w:t>〔市水务局，相关县（市、区）政府〕</w:t>
      </w:r>
    </w:p>
    <w:p>
      <w:pPr>
        <w:autoSpaceDN w:val="0"/>
        <w:spacing w:line="560" w:lineRule="exact"/>
        <w:ind w:firstLine="642"/>
        <w:rPr>
          <w:color w:val="000000"/>
          <w:kern w:val="0"/>
        </w:rPr>
      </w:pPr>
      <w:r>
        <w:rPr>
          <w:color w:val="000000"/>
          <w:kern w:val="0"/>
        </w:rPr>
        <w:t>2</w:t>
      </w:r>
      <w:r>
        <w:rPr>
          <w:rFonts w:hint="eastAsia"/>
          <w:color w:val="000000"/>
          <w:kern w:val="0"/>
        </w:rPr>
        <w:t>．水资源保障体系工程。做好跨区域水资源调度管理，优化区域引调水工程布局，加快推进韶关市南水水库供水工程建设。</w:t>
      </w:r>
      <w:r>
        <w:rPr>
          <w:rFonts w:hint="eastAsia" w:ascii="楷体_GB2312" w:eastAsia="楷体_GB2312"/>
          <w:kern w:val="0"/>
        </w:rPr>
        <w:t>〔市水务局，相关县（市、区）政府〕</w:t>
      </w:r>
    </w:p>
    <w:p>
      <w:pPr>
        <w:autoSpaceDN w:val="0"/>
        <w:spacing w:line="560" w:lineRule="exact"/>
        <w:ind w:firstLine="642"/>
        <w:rPr>
          <w:color w:val="000000"/>
          <w:kern w:val="0"/>
        </w:rPr>
      </w:pPr>
      <w:r>
        <w:rPr>
          <w:color w:val="000000"/>
          <w:kern w:val="0"/>
        </w:rPr>
        <w:t>3</w:t>
      </w:r>
      <w:r>
        <w:rPr>
          <w:rFonts w:hint="eastAsia"/>
          <w:color w:val="000000"/>
          <w:kern w:val="0"/>
        </w:rPr>
        <w:t>．城镇供水工程。新建和改造供水厂、配套管网和备用水源设施，完善城市及城市周边供水体系，提高供水质量和普及率。</w:t>
      </w:r>
      <w:r>
        <w:rPr>
          <w:rFonts w:hint="eastAsia" w:ascii="楷体_GB2312" w:hAnsi="黑体" w:eastAsia="楷体_GB2312"/>
          <w:kern w:val="0"/>
        </w:rPr>
        <w:t>〔</w:t>
      </w:r>
      <w:r>
        <w:rPr>
          <w:rFonts w:hint="eastAsia" w:ascii="楷体_GB2312" w:hAnsi="黑体" w:eastAsia="楷体_GB2312"/>
          <w:color w:val="000000"/>
          <w:kern w:val="0"/>
        </w:rPr>
        <w:t>市国资委、市自来水公司、市住建管理局，相关县（市、区）政府</w:t>
      </w:r>
      <w:r>
        <w:rPr>
          <w:rFonts w:hint="eastAsia" w:ascii="楷体_GB2312" w:hAnsi="黑体" w:eastAsia="楷体_GB2312"/>
          <w:kern w:val="0"/>
        </w:rPr>
        <w:t>〕</w:t>
      </w:r>
    </w:p>
    <w:p>
      <w:pPr>
        <w:autoSpaceDN w:val="0"/>
        <w:spacing w:line="560" w:lineRule="exact"/>
        <w:ind w:firstLine="642"/>
        <w:rPr>
          <w:rFonts w:ascii="楷体_GB2312" w:hAnsi="黑体" w:eastAsia="楷体_GB2312"/>
          <w:kern w:val="0"/>
        </w:rPr>
      </w:pPr>
      <w:r>
        <w:rPr>
          <w:color w:val="000000"/>
          <w:kern w:val="0"/>
        </w:rPr>
        <w:t>4</w:t>
      </w:r>
      <w:r>
        <w:rPr>
          <w:rFonts w:hint="eastAsia"/>
          <w:color w:val="000000"/>
          <w:kern w:val="0"/>
        </w:rPr>
        <w:t>．农村水利保障体系工程。建设农村水利保障体系，推进大中型骨干灌区续建配套与节水改造和小型农田水利重点县建设，大力发展高效节水灌溉。</w:t>
      </w:r>
      <w:r>
        <w:rPr>
          <w:rFonts w:hint="eastAsia" w:ascii="楷体_GB2312" w:hAnsi="黑体" w:eastAsia="楷体_GB2312"/>
          <w:kern w:val="0"/>
        </w:rPr>
        <w:t>〔市水务局，相关县（市、区）政府〕</w:t>
      </w:r>
    </w:p>
    <w:p>
      <w:pPr>
        <w:autoSpaceDN w:val="0"/>
        <w:spacing w:line="560" w:lineRule="exact"/>
        <w:ind w:firstLine="642"/>
        <w:rPr>
          <w:rFonts w:ascii="楷体_GB2312" w:hAnsi="黑体" w:eastAsia="楷体_GB2312"/>
          <w:kern w:val="0"/>
        </w:rPr>
      </w:pPr>
      <w:r>
        <w:rPr>
          <w:rFonts w:hint="eastAsia" w:ascii="楷体_GB2312" w:hAnsi="黑体" w:eastAsia="楷体_GB2312"/>
          <w:kern w:val="0"/>
        </w:rPr>
        <w:t>（六）加大医疗卫生投入。</w:t>
      </w:r>
    </w:p>
    <w:p>
      <w:pPr>
        <w:autoSpaceDN w:val="0"/>
        <w:spacing w:line="560" w:lineRule="exact"/>
        <w:ind w:firstLine="642"/>
        <w:rPr>
          <w:rFonts w:ascii="楷体_GB2312" w:hAnsi="黑体" w:eastAsia="楷体_GB2312"/>
          <w:kern w:val="0"/>
        </w:rPr>
      </w:pPr>
      <w:r>
        <w:rPr>
          <w:rFonts w:hint="eastAsia"/>
          <w:color w:val="000000"/>
          <w:kern w:val="0"/>
        </w:rPr>
        <w:t>扩大开放医疗服务市场，积极引进珠三角地区社会资本和先进管理模式，多形式开办民营医院。</w:t>
      </w:r>
      <w:r>
        <w:rPr>
          <w:color w:val="000000"/>
          <w:kern w:val="0"/>
        </w:rPr>
        <w:t>2018</w:t>
      </w:r>
      <w:r>
        <w:rPr>
          <w:rFonts w:hint="eastAsia"/>
          <w:color w:val="000000"/>
          <w:kern w:val="0"/>
        </w:rPr>
        <w:t>年计划投资</w:t>
      </w:r>
      <w:r>
        <w:rPr>
          <w:color w:val="000000"/>
          <w:kern w:val="0"/>
        </w:rPr>
        <w:t>13</w:t>
      </w:r>
      <w:r>
        <w:rPr>
          <w:rFonts w:hint="eastAsia"/>
          <w:color w:val="000000"/>
          <w:kern w:val="0"/>
        </w:rPr>
        <w:t>亿元，继续推进市妇幼保健计划生育服务中心项目、韶关市第一人民医院迁建项目、韶关前海人寿医院项目建设、粤北二院传染病综合大楼，推进县（市、区）人民医院及基层医疗机构卫生院标准化建设。</w:t>
      </w:r>
      <w:r>
        <w:rPr>
          <w:rFonts w:hint="eastAsia" w:ascii="楷体_GB2312" w:hAnsi="黑体" w:eastAsia="楷体_GB2312"/>
          <w:kern w:val="0"/>
        </w:rPr>
        <w:t>〔市卫计局，相关县（市、区）政府〕</w:t>
      </w:r>
    </w:p>
    <w:p>
      <w:pPr>
        <w:autoSpaceDN w:val="0"/>
        <w:spacing w:line="560" w:lineRule="exact"/>
        <w:ind w:firstLine="642"/>
        <w:rPr>
          <w:rFonts w:ascii="黑体" w:hAnsi="黑体" w:eastAsia="黑体" w:cs="Arial"/>
          <w:kern w:val="0"/>
        </w:rPr>
      </w:pPr>
      <w:r>
        <w:rPr>
          <w:rFonts w:hint="eastAsia" w:ascii="黑体" w:hAnsi="黑体" w:eastAsia="黑体" w:cs="Arial"/>
          <w:kern w:val="0"/>
        </w:rPr>
        <w:t>六、补齐交通通讯等重要基础设施短板</w:t>
      </w:r>
    </w:p>
    <w:p>
      <w:pPr>
        <w:autoSpaceDN w:val="0"/>
        <w:spacing w:line="560" w:lineRule="exact"/>
        <w:ind w:firstLine="642"/>
        <w:rPr>
          <w:color w:val="000000"/>
          <w:kern w:val="0"/>
        </w:rPr>
      </w:pPr>
      <w:r>
        <w:rPr>
          <w:rFonts w:hint="eastAsia"/>
          <w:color w:val="000000"/>
          <w:kern w:val="0"/>
        </w:rPr>
        <w:t>补齐交通基础设施短板，强化区域性交通基础设施建设，力争“十三五”时期形成“八高四铁两航”的综合交通网络，打造连通南北、贯通东西的区域交通枢纽。提升通信基础设施覆盖的广度和深度，加强对网络运营商引导，鼓励运营商加大交通沿线等城市门面区域信息基础设施投入，促进信息服务降费提速。</w:t>
      </w:r>
    </w:p>
    <w:p>
      <w:pPr>
        <w:autoSpaceDN w:val="0"/>
        <w:spacing w:line="560" w:lineRule="exact"/>
        <w:ind w:firstLine="642"/>
        <w:rPr>
          <w:rFonts w:ascii="楷体_GB2312" w:eastAsia="楷体_GB2312"/>
          <w:kern w:val="0"/>
        </w:rPr>
      </w:pPr>
      <w:r>
        <w:rPr>
          <w:rFonts w:hint="eastAsia" w:ascii="楷体_GB2312" w:eastAsia="楷体_GB2312"/>
          <w:kern w:val="0"/>
        </w:rPr>
        <w:t>（一）完善互联互通交通网络。</w:t>
      </w:r>
    </w:p>
    <w:p>
      <w:pPr>
        <w:autoSpaceDN w:val="0"/>
        <w:spacing w:line="560" w:lineRule="exact"/>
        <w:ind w:firstLine="642"/>
        <w:rPr>
          <w:rFonts w:ascii="楷体_GB2312" w:hAnsi="黑体" w:eastAsia="楷体_GB2312"/>
          <w:kern w:val="0"/>
        </w:rPr>
      </w:pPr>
      <w:r>
        <w:rPr>
          <w:color w:val="000000"/>
          <w:kern w:val="0"/>
        </w:rPr>
        <w:t>1</w:t>
      </w:r>
      <w:r>
        <w:rPr>
          <w:rFonts w:hint="eastAsia"/>
          <w:color w:val="000000"/>
          <w:kern w:val="0"/>
        </w:rPr>
        <w:t>．加快高速公路建设。进一步优化完善高速公路网络，全面加快推进省、市共建高速公路建设。</w:t>
      </w:r>
      <w:r>
        <w:rPr>
          <w:color w:val="000000"/>
          <w:kern w:val="0"/>
        </w:rPr>
        <w:t>2018</w:t>
      </w:r>
      <w:r>
        <w:rPr>
          <w:rFonts w:hint="eastAsia"/>
          <w:color w:val="000000"/>
          <w:kern w:val="0"/>
        </w:rPr>
        <w:t>年，计划投资</w:t>
      </w:r>
      <w:r>
        <w:rPr>
          <w:color w:val="000000"/>
          <w:kern w:val="0"/>
        </w:rPr>
        <w:t>82.46</w:t>
      </w:r>
      <w:r>
        <w:rPr>
          <w:rFonts w:hint="eastAsia"/>
          <w:color w:val="000000"/>
          <w:kern w:val="0"/>
        </w:rPr>
        <w:t>亿元，加快推进武深高速公路韶关段、龙川至怀集公路（汕昆高速）韶关段、韶关市翁源至新丰高速公路建设。</w:t>
      </w:r>
      <w:r>
        <w:rPr>
          <w:rFonts w:hint="eastAsia" w:ascii="楷体_GB2312" w:hAnsi="黑体" w:eastAsia="楷体_GB2312"/>
          <w:kern w:val="0"/>
        </w:rPr>
        <w:t>〔市交通运输局、市发改局，相关县（市、区）政府〕</w:t>
      </w:r>
    </w:p>
    <w:p>
      <w:pPr>
        <w:autoSpaceDN w:val="0"/>
        <w:spacing w:line="560" w:lineRule="exact"/>
        <w:ind w:firstLine="642"/>
        <w:rPr>
          <w:rFonts w:ascii="楷体_GB2312" w:hAnsi="黑体" w:eastAsia="楷体_GB2312"/>
          <w:kern w:val="0"/>
        </w:rPr>
      </w:pPr>
      <w:r>
        <w:rPr>
          <w:color w:val="000000"/>
          <w:kern w:val="0"/>
        </w:rPr>
        <w:t>2</w:t>
      </w:r>
      <w:r>
        <w:rPr>
          <w:rFonts w:hint="eastAsia"/>
          <w:color w:val="000000"/>
          <w:kern w:val="0"/>
        </w:rPr>
        <w:t>．完善港航公共基础设施。</w:t>
      </w:r>
      <w:r>
        <w:rPr>
          <w:color w:val="000000"/>
          <w:kern w:val="0"/>
        </w:rPr>
        <w:t>2018</w:t>
      </w:r>
      <w:r>
        <w:rPr>
          <w:rFonts w:hint="eastAsia"/>
          <w:color w:val="000000"/>
          <w:kern w:val="0"/>
        </w:rPr>
        <w:t>年，计划投资</w:t>
      </w:r>
      <w:r>
        <w:rPr>
          <w:color w:val="000000"/>
          <w:kern w:val="0"/>
        </w:rPr>
        <w:t>13.2</w:t>
      </w:r>
      <w:r>
        <w:rPr>
          <w:rFonts w:hint="eastAsia"/>
          <w:color w:val="000000"/>
          <w:kern w:val="0"/>
        </w:rPr>
        <w:t>亿元，加快推进韶关丹霞山机场、韶关港建设、北江航道等项目建设；完成机场空港产业园规划编制，启动空港基础设施规划建设，加快打造区域航空快递物流中心和通用航空服务基地，促进空港经济发展。</w:t>
      </w:r>
      <w:r>
        <w:rPr>
          <w:rFonts w:hint="eastAsia" w:ascii="楷体_GB2312" w:hAnsi="黑体" w:eastAsia="楷体_GB2312"/>
          <w:kern w:val="0"/>
        </w:rPr>
        <w:t>（市交通运输局、市发改局、市商务局、韶关航道局、市机场办）</w:t>
      </w:r>
    </w:p>
    <w:p>
      <w:pPr>
        <w:autoSpaceDN w:val="0"/>
        <w:spacing w:line="560" w:lineRule="exact"/>
        <w:ind w:firstLine="642"/>
        <w:rPr>
          <w:rFonts w:ascii="楷体_GB2312" w:hAnsi="黑体" w:eastAsia="楷体_GB2312"/>
          <w:kern w:val="0"/>
        </w:rPr>
      </w:pPr>
      <w:r>
        <w:rPr>
          <w:color w:val="000000"/>
          <w:kern w:val="0"/>
        </w:rPr>
        <w:t>3</w:t>
      </w:r>
      <w:r>
        <w:rPr>
          <w:rFonts w:hint="eastAsia"/>
          <w:color w:val="000000"/>
          <w:kern w:val="0"/>
        </w:rPr>
        <w:t>．加快普通公路建设。优化普通国省道干线网络，进一步提升农村公路通达性，提高县乡公路通行能力和路况水平。大力推进连接交通枢纽、经济开发区、产业园区、旅游景区的重点经济网络公路建设，加快推进韶关市旅游公路建设工程。继续推进全市贫困村中</w:t>
      </w:r>
      <w:r>
        <w:rPr>
          <w:color w:val="000000"/>
          <w:kern w:val="0"/>
        </w:rPr>
        <w:t>200</w:t>
      </w:r>
      <w:r>
        <w:rPr>
          <w:rFonts w:hint="eastAsia"/>
          <w:color w:val="000000"/>
          <w:kern w:val="0"/>
        </w:rPr>
        <w:t>人以上的自然村道路路面硬化建设，优先实施对农村公路中较窄路面道路的拓宽改造工程。</w:t>
      </w:r>
      <w:r>
        <w:rPr>
          <w:rFonts w:hint="eastAsia" w:ascii="楷体_GB2312" w:hAnsi="黑体" w:eastAsia="楷体_GB2312"/>
          <w:kern w:val="0"/>
        </w:rPr>
        <w:t>〔市交通运输局、市公路局，相关县（市、区）政府〕</w:t>
      </w:r>
    </w:p>
    <w:p>
      <w:pPr>
        <w:autoSpaceDN w:val="0"/>
        <w:spacing w:line="560" w:lineRule="exact"/>
        <w:ind w:firstLine="642"/>
        <w:rPr>
          <w:rFonts w:ascii="楷体_GB2312" w:eastAsia="楷体_GB2312"/>
          <w:kern w:val="0"/>
        </w:rPr>
      </w:pPr>
      <w:r>
        <w:rPr>
          <w:rFonts w:hint="eastAsia" w:ascii="楷体_GB2312" w:eastAsia="楷体_GB2312"/>
          <w:kern w:val="0"/>
        </w:rPr>
        <w:t>（二）加快新一代信息基础设施建设。</w:t>
      </w:r>
    </w:p>
    <w:p>
      <w:pPr>
        <w:autoSpaceDN w:val="0"/>
        <w:spacing w:line="560" w:lineRule="exact"/>
        <w:ind w:firstLine="648"/>
        <w:rPr>
          <w:rFonts w:ascii="楷体_GB2312" w:hAnsi="黑体" w:eastAsia="楷体_GB2312"/>
          <w:kern w:val="0"/>
        </w:rPr>
      </w:pPr>
      <w:r>
        <w:rPr>
          <w:color w:val="000000"/>
          <w:kern w:val="0"/>
        </w:rPr>
        <w:t>2018</w:t>
      </w:r>
      <w:r>
        <w:rPr>
          <w:rFonts w:hint="eastAsia"/>
          <w:color w:val="000000"/>
          <w:kern w:val="0"/>
        </w:rPr>
        <w:t>年，投资</w:t>
      </w:r>
      <w:r>
        <w:rPr>
          <w:color w:val="000000"/>
          <w:kern w:val="0"/>
        </w:rPr>
        <w:t>3.25</w:t>
      </w:r>
      <w:r>
        <w:rPr>
          <w:rFonts w:hint="eastAsia"/>
          <w:color w:val="000000"/>
          <w:kern w:val="0"/>
        </w:rPr>
        <w:t>亿元，重点推进我市无线宽带城市建设，加快城市</w:t>
      </w:r>
      <w:r>
        <w:rPr>
          <w:color w:val="000000"/>
          <w:kern w:val="0"/>
        </w:rPr>
        <w:t>4G</w:t>
      </w:r>
      <w:r>
        <w:rPr>
          <w:rFonts w:hint="eastAsia"/>
          <w:color w:val="000000"/>
          <w:kern w:val="0"/>
        </w:rPr>
        <w:t>网络规模化应用和实施</w:t>
      </w:r>
      <w:r>
        <w:rPr>
          <w:color w:val="000000"/>
          <w:kern w:val="0"/>
        </w:rPr>
        <w:t>4G</w:t>
      </w:r>
      <w:r>
        <w:rPr>
          <w:rFonts w:hint="eastAsia"/>
          <w:color w:val="000000"/>
          <w:kern w:val="0"/>
        </w:rPr>
        <w:t>网络入乡进村工程，提升城乡</w:t>
      </w:r>
      <w:r>
        <w:rPr>
          <w:color w:val="000000"/>
          <w:kern w:val="0"/>
        </w:rPr>
        <w:t>4G</w:t>
      </w:r>
      <w:r>
        <w:rPr>
          <w:rFonts w:hint="eastAsia"/>
          <w:color w:val="000000"/>
          <w:kern w:val="0"/>
        </w:rPr>
        <w:t>覆盖能力。</w:t>
      </w:r>
      <w:r>
        <w:rPr>
          <w:rFonts w:hint="eastAsia" w:ascii="楷体_GB2312" w:hAnsi="黑体" w:eastAsia="楷体_GB2312"/>
          <w:kern w:val="0"/>
        </w:rPr>
        <w:t>〔市经信局、市科技局、市财政局、市住建管理局、市文广新局，相关县（市、区）政府〕</w:t>
      </w:r>
    </w:p>
    <w:p>
      <w:pPr>
        <w:autoSpaceDN w:val="0"/>
        <w:spacing w:line="560" w:lineRule="exact"/>
        <w:ind w:firstLine="648"/>
        <w:rPr>
          <w:rFonts w:ascii="楷体_GB2312" w:eastAsia="楷体_GB2312"/>
          <w:kern w:val="0"/>
        </w:rPr>
      </w:pPr>
      <w:r>
        <w:rPr>
          <w:rFonts w:hint="eastAsia" w:ascii="楷体_GB2312" w:eastAsia="楷体_GB2312"/>
          <w:kern w:val="0"/>
        </w:rPr>
        <w:t>（三）光纤到户工程。</w:t>
      </w:r>
    </w:p>
    <w:p>
      <w:pPr>
        <w:autoSpaceDN w:val="0"/>
        <w:spacing w:line="560" w:lineRule="exact"/>
        <w:ind w:firstLine="648"/>
        <w:rPr>
          <w:rFonts w:ascii="楷体_GB2312" w:hAnsi="黑体" w:eastAsia="楷体_GB2312"/>
          <w:kern w:val="0"/>
        </w:rPr>
      </w:pPr>
      <w:r>
        <w:rPr>
          <w:rFonts w:hint="eastAsia"/>
          <w:color w:val="000000"/>
          <w:kern w:val="0"/>
        </w:rPr>
        <w:t>大力推进光纤网络完善与农村地区光纤入户工程。加快建设骨干光缆环，深入实施中小城市信息基础设施完善和宽带乡村建设工程，大幅提升我市光缆网络覆盖密度和网间带宽。</w:t>
      </w:r>
      <w:r>
        <w:rPr>
          <w:color w:val="000000"/>
          <w:kern w:val="0"/>
        </w:rPr>
        <w:t>2018</w:t>
      </w:r>
      <w:r>
        <w:rPr>
          <w:rFonts w:hint="eastAsia"/>
          <w:color w:val="000000"/>
          <w:kern w:val="0"/>
        </w:rPr>
        <w:t>年，投资</w:t>
      </w:r>
      <w:r>
        <w:rPr>
          <w:color w:val="000000"/>
          <w:kern w:val="0"/>
        </w:rPr>
        <w:t>2.05</w:t>
      </w:r>
      <w:r>
        <w:rPr>
          <w:rFonts w:hint="eastAsia"/>
          <w:color w:val="000000"/>
          <w:kern w:val="0"/>
        </w:rPr>
        <w:t>亿元，新增光纤入户行政村</w:t>
      </w:r>
      <w:r>
        <w:rPr>
          <w:color w:val="000000"/>
          <w:kern w:val="0"/>
        </w:rPr>
        <w:t>554</w:t>
      </w:r>
      <w:r>
        <w:rPr>
          <w:rFonts w:hint="eastAsia"/>
          <w:color w:val="000000"/>
          <w:kern w:val="0"/>
        </w:rPr>
        <w:t>个。</w:t>
      </w:r>
      <w:r>
        <w:rPr>
          <w:rFonts w:hint="eastAsia" w:ascii="楷体_GB2312" w:hAnsi="黑体" w:eastAsia="楷体_GB2312"/>
          <w:kern w:val="0"/>
        </w:rPr>
        <w:t>〔市经信局、市发改局、市文广新局，相关县（市、区）政府〕</w:t>
      </w:r>
    </w:p>
    <w:p>
      <w:pPr>
        <w:autoSpaceDN w:val="0"/>
        <w:spacing w:line="560" w:lineRule="exact"/>
        <w:ind w:firstLine="648"/>
        <w:rPr>
          <w:rFonts w:ascii="黑体" w:hAnsi="黑体" w:eastAsia="黑体" w:cs="Arial"/>
          <w:kern w:val="0"/>
        </w:rPr>
      </w:pPr>
      <w:r>
        <w:rPr>
          <w:rFonts w:hint="eastAsia" w:ascii="黑体" w:hAnsi="黑体" w:eastAsia="黑体" w:cs="Arial"/>
          <w:kern w:val="0"/>
        </w:rPr>
        <w:t>七、补齐人才短板</w:t>
      </w:r>
    </w:p>
    <w:p>
      <w:pPr>
        <w:autoSpaceDN w:val="0"/>
        <w:spacing w:line="560" w:lineRule="exact"/>
        <w:ind w:firstLine="642"/>
        <w:rPr>
          <w:color w:val="000000"/>
          <w:kern w:val="0"/>
        </w:rPr>
      </w:pPr>
      <w:r>
        <w:rPr>
          <w:rFonts w:hint="eastAsia"/>
          <w:color w:val="000000"/>
          <w:kern w:val="0"/>
        </w:rPr>
        <w:t>针对我市技术人才供给与市场需求错位、创新创业人才不足、人才服务环境差等问题，加大力度引进培养创新创业人才，实施人才强市工程，完善人才干事创业激励机制，着力补齐人才短板。</w:t>
      </w:r>
    </w:p>
    <w:p>
      <w:pPr>
        <w:autoSpaceDN w:val="0"/>
        <w:spacing w:line="560" w:lineRule="exact"/>
        <w:ind w:firstLine="642"/>
        <w:rPr>
          <w:rFonts w:ascii="楷体_GB2312" w:eastAsia="楷体_GB2312"/>
          <w:kern w:val="0"/>
        </w:rPr>
      </w:pPr>
      <w:r>
        <w:rPr>
          <w:rFonts w:hint="eastAsia" w:ascii="楷体_GB2312" w:eastAsia="楷体_GB2312"/>
          <w:kern w:val="0"/>
        </w:rPr>
        <w:t>（一）加大力度引进培养创新创业人才。</w:t>
      </w:r>
    </w:p>
    <w:p>
      <w:pPr>
        <w:autoSpaceDN w:val="0"/>
        <w:spacing w:line="560" w:lineRule="exact"/>
        <w:ind w:firstLine="642"/>
        <w:rPr>
          <w:rFonts w:ascii="楷体_GB2312" w:hAnsi="黑体" w:eastAsia="楷体_GB2312"/>
          <w:kern w:val="0"/>
        </w:rPr>
      </w:pPr>
      <w:r>
        <w:rPr>
          <w:rFonts w:hint="eastAsia"/>
          <w:color w:val="000000"/>
          <w:kern w:val="0"/>
        </w:rPr>
        <w:t>以“人才工作推进年”为载体，继续实施“双百”人才政策，落实扶持产业科技人才新政，用好省、市人才发展专项资金，紧紧围绕产业科技发展需要大力引进培养紧缺适用人才和高层次人才。制定高校毕业生来韶在韶就业、加快新时代博士和博士后人才创新发展等实施意见，制定我市扶持产业科技人才实施细则。鼓励重点企业与高校联合定向培养各类人才尤其是技能人才，开展高校毕业生留韶就业行动，做大人才增量。</w:t>
      </w:r>
      <w:r>
        <w:rPr>
          <w:rFonts w:hint="eastAsia" w:ascii="楷体_GB2312" w:hAnsi="黑体" w:eastAsia="楷体_GB2312"/>
          <w:kern w:val="0"/>
        </w:rPr>
        <w:t>（市人才办、市科技局、市人社局、韶关学院、松山职业技术学院）</w:t>
      </w:r>
    </w:p>
    <w:p>
      <w:pPr>
        <w:autoSpaceDN w:val="0"/>
        <w:spacing w:line="560" w:lineRule="exact"/>
        <w:ind w:firstLine="642"/>
        <w:rPr>
          <w:rFonts w:ascii="楷体_GB2312" w:eastAsia="楷体_GB2312"/>
          <w:kern w:val="0"/>
        </w:rPr>
      </w:pPr>
      <w:r>
        <w:rPr>
          <w:rFonts w:hint="eastAsia" w:ascii="楷体_GB2312" w:eastAsia="楷体_GB2312"/>
          <w:kern w:val="0"/>
        </w:rPr>
        <w:t>（二）实施人才强市工程。</w:t>
      </w:r>
    </w:p>
    <w:p>
      <w:pPr>
        <w:autoSpaceDN w:val="0"/>
        <w:spacing w:line="560" w:lineRule="exact"/>
        <w:ind w:firstLine="642"/>
        <w:rPr>
          <w:rFonts w:ascii="楷体_GB2312" w:hAnsi="黑体" w:eastAsia="楷体_GB2312"/>
          <w:kern w:val="0"/>
        </w:rPr>
      </w:pPr>
      <w:r>
        <w:rPr>
          <w:rFonts w:hint="eastAsia"/>
          <w:color w:val="000000"/>
          <w:kern w:val="0"/>
        </w:rPr>
        <w:t>举办“韶关市高层次人才活动周”等活动，组织申报“珠江人才计划”、“广东特支计划”、“扬帆计划”等省级重大人才工程项目。建设市级人才驿站，开展国家、省专家服务基层重点项目活动。建设一批博士、博士后、院士创新创业平台，积极争取在化工、现代农业等企业建立院士工作站，在中星科技、顺昌布厂、新新生态、金友米业等企业建立科技特派员工作站。</w:t>
      </w:r>
      <w:r>
        <w:rPr>
          <w:rFonts w:hint="eastAsia" w:ascii="楷体_GB2312" w:hAnsi="黑体" w:eastAsia="楷体_GB2312"/>
          <w:kern w:val="0"/>
        </w:rPr>
        <w:t>（市人才办、市科技局、市人社局）</w:t>
      </w:r>
    </w:p>
    <w:p>
      <w:pPr>
        <w:autoSpaceDN w:val="0"/>
        <w:spacing w:line="560" w:lineRule="exact"/>
        <w:ind w:firstLine="642"/>
        <w:rPr>
          <w:rFonts w:ascii="楷体_GB2312" w:eastAsia="楷体_GB2312"/>
          <w:kern w:val="0"/>
        </w:rPr>
      </w:pPr>
      <w:r>
        <w:rPr>
          <w:rFonts w:hint="eastAsia" w:ascii="楷体_GB2312" w:eastAsia="楷体_GB2312"/>
          <w:kern w:val="0"/>
        </w:rPr>
        <w:t>（三）完善人才干事创业激励机制。</w:t>
      </w:r>
    </w:p>
    <w:p>
      <w:pPr>
        <w:autoSpaceDN w:val="0"/>
        <w:spacing w:line="560" w:lineRule="exact"/>
        <w:ind w:firstLine="642"/>
        <w:rPr>
          <w:rFonts w:ascii="楷体_GB2312" w:hAnsi="黑体" w:eastAsia="楷体_GB2312"/>
          <w:kern w:val="0"/>
        </w:rPr>
      </w:pPr>
      <w:r>
        <w:rPr>
          <w:rFonts w:hint="eastAsia"/>
          <w:color w:val="000000"/>
          <w:kern w:val="0"/>
        </w:rPr>
        <w:t>建设国际人才社区，加强韶关人才“一卡通”、“一站式”服务专区建设，让人才引得进、留得住、流得动、用得好。</w:t>
      </w:r>
      <w:r>
        <w:rPr>
          <w:rFonts w:hint="eastAsia" w:ascii="楷体_GB2312" w:hAnsi="黑体" w:eastAsia="楷体_GB2312"/>
          <w:kern w:val="0"/>
        </w:rPr>
        <w:t>（市人才办、市科技局、市人社局、市住建管理局、市规划局、莞韶园管委会、芙蓉新区管委会）</w:t>
      </w:r>
    </w:p>
    <w:p>
      <w:pPr>
        <w:autoSpaceDN w:val="0"/>
        <w:spacing w:line="560" w:lineRule="exact"/>
        <w:ind w:firstLine="642"/>
        <w:rPr>
          <w:rFonts w:ascii="黑体" w:hAnsi="黑体" w:eastAsia="黑体" w:cs="Arial"/>
          <w:kern w:val="0"/>
        </w:rPr>
      </w:pPr>
      <w:r>
        <w:rPr>
          <w:rFonts w:hint="eastAsia" w:ascii="黑体" w:hAnsi="黑体" w:eastAsia="黑体" w:cs="Arial"/>
          <w:kern w:val="0"/>
        </w:rPr>
        <w:t>八、保障措施</w:t>
      </w:r>
    </w:p>
    <w:p>
      <w:pPr>
        <w:autoSpaceDN w:val="0"/>
        <w:spacing w:line="560" w:lineRule="exact"/>
        <w:ind w:firstLine="642"/>
        <w:rPr>
          <w:color w:val="000000"/>
          <w:kern w:val="0"/>
        </w:rPr>
      </w:pPr>
      <w:r>
        <w:rPr>
          <w:rFonts w:hint="eastAsia" w:ascii="楷体_GB2312" w:eastAsia="楷体_GB2312"/>
          <w:kern w:val="0"/>
        </w:rPr>
        <w:t>（一）加强组织领导。</w:t>
      </w:r>
      <w:r>
        <w:rPr>
          <w:rFonts w:hint="eastAsia"/>
          <w:color w:val="000000"/>
          <w:kern w:val="0"/>
        </w:rPr>
        <w:t>各地各部门要成立由分管负责同志任组长的领导机构，形成上下联动、协同合作、强力推进的工作体系。围绕目标任务，制定节点计划，细化推进举措，明确落实单位，压实责任主体，强化保障措施，确保补短板各项工作高效、有序、有力开展。</w:t>
      </w:r>
    </w:p>
    <w:p>
      <w:pPr>
        <w:autoSpaceDN w:val="0"/>
        <w:spacing w:line="560" w:lineRule="exact"/>
        <w:ind w:firstLine="642"/>
        <w:rPr>
          <w:color w:val="000000"/>
          <w:kern w:val="0"/>
        </w:rPr>
      </w:pPr>
      <w:r>
        <w:rPr>
          <w:rFonts w:hint="eastAsia" w:ascii="楷体_GB2312" w:eastAsia="楷体_GB2312"/>
          <w:kern w:val="0"/>
        </w:rPr>
        <w:t>（二）落实工作责任。</w:t>
      </w:r>
      <w:r>
        <w:rPr>
          <w:rFonts w:hint="eastAsia"/>
          <w:color w:val="000000"/>
          <w:kern w:val="0"/>
        </w:rPr>
        <w:t>市有关部门要及时研究补短板工作落实中的突出问题，制定产业、金融、财政、用地、用电等配套政策，建立重点工作任务台账，完善工作动态跟踪机制，完善工作推进机制和政策环境，确保补短板各项任务顺利推进。各县（市、区）政府要结合实际制定具体实施方案，进一步细化分解目标任务，确保责任到岗到人。</w:t>
      </w:r>
    </w:p>
    <w:p>
      <w:pPr>
        <w:autoSpaceDN w:val="0"/>
        <w:spacing w:line="560" w:lineRule="exact"/>
        <w:ind w:firstLine="642"/>
        <w:rPr>
          <w:color w:val="000000"/>
          <w:kern w:val="0"/>
        </w:rPr>
      </w:pPr>
      <w:r>
        <w:rPr>
          <w:rFonts w:hint="eastAsia" w:ascii="楷体_GB2312" w:eastAsia="楷体_GB2312"/>
          <w:kern w:val="0"/>
        </w:rPr>
        <w:t>（三）强化督查督办。</w:t>
      </w:r>
      <w:r>
        <w:rPr>
          <w:rFonts w:hint="eastAsia"/>
          <w:color w:val="000000"/>
          <w:kern w:val="0"/>
        </w:rPr>
        <w:t>补短板各牵头部门要对各责任和各县（市、区）政府工作落实情况实行全过程跟踪督查，并于每季度结束后</w:t>
      </w:r>
      <w:r>
        <w:rPr>
          <w:color w:val="000000"/>
          <w:kern w:val="0"/>
        </w:rPr>
        <w:t>10</w:t>
      </w:r>
      <w:r>
        <w:rPr>
          <w:rFonts w:hint="eastAsia"/>
          <w:color w:val="000000"/>
          <w:kern w:val="0"/>
        </w:rPr>
        <w:t>个工作日内汇总推进落实情况报市委市政府督查室。市委市政府督查室要加强统筹协调，视情况采取下达督查通知书、组织实地督查、提请市政府领导约谈、挂牌督办等方式推动工作落实。</w:t>
      </w: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spacing w:line="600" w:lineRule="exact"/>
        <w:jc w:val="center"/>
        <w:rPr>
          <w:rFonts w:ascii="方正小标宋简体" w:hAnsi="方正小标宋简体" w:eastAsia="方正小标宋简体"/>
          <w:bCs/>
          <w:kern w:val="36"/>
          <w:sz w:val="44"/>
          <w:szCs w:val="44"/>
        </w:rPr>
      </w:pPr>
      <w:r>
        <w:rPr>
          <w:rFonts w:hint="eastAsia" w:ascii="方正小标宋简体" w:hAnsi="方正小标宋简体" w:eastAsia="方正小标宋简体"/>
          <w:bCs/>
          <w:kern w:val="36"/>
          <w:sz w:val="44"/>
          <w:szCs w:val="44"/>
        </w:rPr>
        <w:t>韶关市供给侧结构性改革</w:t>
      </w:r>
      <w:r>
        <w:rPr>
          <w:rFonts w:ascii="方正小标宋简体" w:hAnsi="方正小标宋简体" w:eastAsia="方正小标宋简体"/>
          <w:bCs/>
          <w:kern w:val="36"/>
          <w:sz w:val="44"/>
          <w:szCs w:val="44"/>
        </w:rPr>
        <w:t>2018</w:t>
      </w:r>
      <w:r>
        <w:rPr>
          <w:rFonts w:hint="eastAsia" w:ascii="方正小标宋简体" w:hAnsi="方正小标宋简体" w:eastAsia="方正小标宋简体"/>
          <w:bCs/>
          <w:kern w:val="36"/>
          <w:sz w:val="44"/>
          <w:szCs w:val="44"/>
        </w:rPr>
        <w:t>年发展新兴</w:t>
      </w:r>
    </w:p>
    <w:p>
      <w:pPr>
        <w:spacing w:line="600" w:lineRule="exact"/>
        <w:jc w:val="center"/>
        <w:rPr>
          <w:rFonts w:ascii="方正小标宋简体" w:hAnsi="方正小标宋简体" w:eastAsia="方正小标宋简体"/>
          <w:bCs/>
          <w:kern w:val="36"/>
          <w:sz w:val="44"/>
          <w:szCs w:val="44"/>
        </w:rPr>
      </w:pPr>
      <w:r>
        <w:rPr>
          <w:rFonts w:hint="eastAsia" w:ascii="方正小标宋简体" w:hAnsi="方正小标宋简体" w:eastAsia="方正小标宋简体"/>
          <w:bCs/>
          <w:kern w:val="36"/>
          <w:sz w:val="44"/>
          <w:szCs w:val="44"/>
        </w:rPr>
        <w:t>支柱产业培育经济发展新动能工作方案</w:t>
      </w:r>
    </w:p>
    <w:p>
      <w:pPr>
        <w:autoSpaceDN w:val="0"/>
        <w:spacing w:line="560" w:lineRule="exact"/>
        <w:rPr>
          <w:rFonts w:hAnsi="Calibri" w:cs="宋体"/>
          <w:kern w:val="0"/>
        </w:rPr>
      </w:pPr>
    </w:p>
    <w:p>
      <w:pPr>
        <w:autoSpaceDN w:val="0"/>
        <w:spacing w:line="560" w:lineRule="exact"/>
        <w:ind w:firstLine="641"/>
        <w:rPr>
          <w:kern w:val="0"/>
        </w:rPr>
      </w:pPr>
      <w:r>
        <w:rPr>
          <w:rFonts w:hint="eastAsia"/>
          <w:kern w:val="0"/>
        </w:rPr>
        <w:t>为深入贯彻落实市委、市政府关于深化供给侧结构性改革加快经济振兴发展的重大决策部署，加快发展新兴支柱产业，根据《韶关市供给侧结构性改革总体方案（</w:t>
      </w:r>
      <w:r>
        <w:rPr>
          <w:kern w:val="0"/>
        </w:rPr>
        <w:t>2016—2018</w:t>
      </w:r>
      <w:r>
        <w:rPr>
          <w:rFonts w:hint="eastAsia"/>
          <w:kern w:val="0"/>
        </w:rPr>
        <w:t>年）》、《关于深化供给侧结构性改革加快经济振兴发展三年行动计划》，制定本工作方案。</w:t>
      </w:r>
    </w:p>
    <w:p>
      <w:pPr>
        <w:autoSpaceDN w:val="0"/>
        <w:spacing w:line="560" w:lineRule="exact"/>
        <w:ind w:firstLine="641"/>
        <w:rPr>
          <w:rFonts w:ascii="黑体" w:hAnsi="黑体" w:eastAsia="黑体" w:cs="Arial"/>
          <w:kern w:val="0"/>
        </w:rPr>
      </w:pPr>
      <w:r>
        <w:rPr>
          <w:rFonts w:hint="eastAsia" w:ascii="黑体" w:hAnsi="黑体" w:eastAsia="黑体" w:cs="Arial"/>
          <w:kern w:val="0"/>
        </w:rPr>
        <w:t>一、指导思想</w:t>
      </w:r>
    </w:p>
    <w:p>
      <w:pPr>
        <w:autoSpaceDN w:val="0"/>
        <w:spacing w:line="560" w:lineRule="exact"/>
        <w:ind w:firstLine="641"/>
        <w:rPr>
          <w:rFonts w:hAnsi="Calibri" w:cs="宋体"/>
          <w:kern w:val="0"/>
        </w:rPr>
      </w:pPr>
      <w:r>
        <w:rPr>
          <w:rFonts w:hint="eastAsia" w:hAnsi="Calibri" w:cs="宋体"/>
          <w:kern w:val="0"/>
        </w:rPr>
        <w:t>以习近平新时代中国特色社会主义思想为指导，深入贯彻党的十九大精神和习近平总书记在参加十三届全国人大一次会议广东代表团审议时的讲话精神，主动适应和引领经济发展新常态，坚持把创新驱动发展战略作为核心战略，着力集聚创新资源和要素，激发创新创业活力，增强自主研发能力，发展创新型企业，营造良好产业发展环境。</w:t>
      </w:r>
    </w:p>
    <w:p>
      <w:pPr>
        <w:autoSpaceDN w:val="0"/>
        <w:spacing w:line="560" w:lineRule="exact"/>
        <w:ind w:firstLine="641"/>
        <w:rPr>
          <w:rFonts w:ascii="黑体" w:hAnsi="黑体" w:eastAsia="黑体" w:cs="Arial"/>
          <w:kern w:val="0"/>
        </w:rPr>
      </w:pPr>
      <w:r>
        <w:rPr>
          <w:rFonts w:hint="eastAsia" w:ascii="黑体" w:hAnsi="黑体" w:eastAsia="黑体" w:cs="Arial"/>
          <w:kern w:val="0"/>
        </w:rPr>
        <w:t>二、总体要求</w:t>
      </w:r>
    </w:p>
    <w:p>
      <w:pPr>
        <w:autoSpaceDN w:val="0"/>
        <w:spacing w:line="560" w:lineRule="exact"/>
        <w:ind w:firstLine="641"/>
        <w:rPr>
          <w:rFonts w:hAnsi="Calibri" w:cs="宋体"/>
          <w:kern w:val="0"/>
        </w:rPr>
      </w:pPr>
      <w:r>
        <w:rPr>
          <w:rFonts w:hint="eastAsia" w:hAnsi="Calibri" w:cs="宋体"/>
          <w:kern w:val="0"/>
        </w:rPr>
        <w:t>牢固树立和贯彻落实创新、协调、绿色、开放、共享的发展理念，主动适应和引领经济发展新常态，以新兴产业崛起为契机，大力推进我市先进装备制造、旅游文化、大数据、商贸物流、医药健康、现代特色农业等六大新兴支柱产业发展，构建新兴产业体系，进一步优化产业结构，培育经济发展新动能。</w:t>
      </w:r>
    </w:p>
    <w:p>
      <w:pPr>
        <w:autoSpaceDN w:val="0"/>
        <w:spacing w:line="560" w:lineRule="exact"/>
        <w:ind w:firstLine="641"/>
        <w:rPr>
          <w:rFonts w:ascii="黑体" w:hAnsi="黑体" w:eastAsia="黑体" w:cs="Arial"/>
          <w:kern w:val="0"/>
        </w:rPr>
      </w:pPr>
      <w:r>
        <w:rPr>
          <w:rFonts w:hint="eastAsia" w:ascii="黑体" w:hAnsi="黑体" w:eastAsia="黑体" w:cs="Arial"/>
          <w:kern w:val="0"/>
        </w:rPr>
        <w:t>三、工作目标</w:t>
      </w:r>
    </w:p>
    <w:p>
      <w:pPr>
        <w:autoSpaceDN w:val="0"/>
        <w:spacing w:line="560" w:lineRule="exact"/>
        <w:ind w:firstLine="641"/>
        <w:rPr>
          <w:rFonts w:hAnsi="Calibri" w:cs="宋体"/>
          <w:kern w:val="0"/>
        </w:rPr>
      </w:pPr>
      <w:r>
        <w:rPr>
          <w:rFonts w:hint="eastAsia" w:hAnsi="Calibri" w:cs="宋体"/>
          <w:kern w:val="0"/>
        </w:rPr>
        <w:t>到</w:t>
      </w:r>
      <w:r>
        <w:rPr>
          <w:rFonts w:hAnsi="Calibri" w:cs="宋体"/>
          <w:kern w:val="0"/>
        </w:rPr>
        <w:t>2018</w:t>
      </w:r>
      <w:r>
        <w:rPr>
          <w:rFonts w:hint="eastAsia" w:hAnsi="Calibri" w:cs="宋体"/>
          <w:kern w:val="0"/>
        </w:rPr>
        <w:t>年底，全市科技研发投入加大，新兴产业企业创新能力加快提高，先进装备制造、旅游文化、大数据、商贸物流、医药健康、现代特色农业等六大新兴支柱产业企业数量有所提升，新兴支柱产业体系初步建立，新兴支柱产业增加值占</w:t>
      </w:r>
      <w:r>
        <w:rPr>
          <w:rFonts w:hAnsi="Calibri" w:cs="宋体"/>
          <w:kern w:val="0"/>
        </w:rPr>
        <w:t>GDP</w:t>
      </w:r>
      <w:r>
        <w:rPr>
          <w:rFonts w:hint="eastAsia" w:hAnsi="Calibri" w:cs="宋体"/>
          <w:kern w:val="0"/>
        </w:rPr>
        <w:t>比重进一步提高，在经济社会发展中的位置更加突出。</w:t>
      </w:r>
    </w:p>
    <w:p>
      <w:pPr>
        <w:autoSpaceDN w:val="0"/>
        <w:spacing w:line="560" w:lineRule="exact"/>
        <w:ind w:firstLine="641"/>
        <w:rPr>
          <w:rFonts w:ascii="黑体" w:hAnsi="黑体" w:eastAsia="黑体" w:cs="Arial"/>
          <w:kern w:val="0"/>
        </w:rPr>
      </w:pPr>
      <w:r>
        <w:rPr>
          <w:rFonts w:hint="eastAsia" w:ascii="黑体" w:hAnsi="黑体" w:eastAsia="黑体" w:cs="Arial"/>
          <w:kern w:val="0"/>
        </w:rPr>
        <w:t>四、主要任务及责任分工</w:t>
      </w:r>
    </w:p>
    <w:p>
      <w:pPr>
        <w:autoSpaceDN w:val="0"/>
        <w:spacing w:line="560" w:lineRule="exact"/>
        <w:ind w:firstLine="641"/>
        <w:rPr>
          <w:rFonts w:hAnsi="Calibri" w:cs="宋体"/>
          <w:kern w:val="0"/>
        </w:rPr>
      </w:pPr>
      <w:r>
        <w:rPr>
          <w:rFonts w:hint="eastAsia" w:ascii="楷体_GB2312" w:eastAsia="楷体_GB2312"/>
          <w:kern w:val="0"/>
        </w:rPr>
        <w:t>（一）发展先进装备制造业。</w:t>
      </w:r>
      <w:r>
        <w:rPr>
          <w:rFonts w:hint="eastAsia" w:hAnsi="Calibri" w:cs="宋体"/>
          <w:kern w:val="0"/>
        </w:rPr>
        <w:t>充分利用我市良好的工业基础，培育现有装备制造企业，引导企业投资扩产，壮大生产规模。大力引进国内外先进装备制造优势企业，优化产业布局，完善产业链。加大研发投入，加强核心关键技术攻关，提高企业的产品自主研发能力。实施主动融入珠三角战略，加强与珠三角企业开展产业合作，深度融入珠江西岸先进装备制造产业分工体系。大力发展锻铸件、汽车零部件、液压油缸、模具等产品，支持发展发配电设备、矿山工程机械、轻工机械等整机及成套设备生产，拉长补齐做强产业链。抓好白云电器（韶关）智能电网装备产业基地、金志利公司（华南装备园）实型精密锻造件生产、韶铸集团有限公司整体搬迁升级改造、韶关宏大齿轮精密锻造升级改造、广汽乘用车零件配套、韶钢中板产线转型工业线材技改等项目建设。</w:t>
      </w:r>
      <w:r>
        <w:rPr>
          <w:rFonts w:hint="eastAsia" w:ascii="楷体_GB2312" w:hAnsi="黑体" w:eastAsia="楷体_GB2312"/>
          <w:kern w:val="0"/>
        </w:rPr>
        <w:t>〔牵头单位：市经信局，配合单位：市发改局、市科技局、市商务局、莞韶对口帮扶指挥部、莞韶园管委会、华南装备园管委会，各县（市、区）政府〕</w:t>
      </w:r>
    </w:p>
    <w:p>
      <w:pPr>
        <w:autoSpaceDN w:val="0"/>
        <w:spacing w:line="560" w:lineRule="exact"/>
        <w:ind w:firstLine="641"/>
        <w:rPr>
          <w:rFonts w:hAnsi="Calibri" w:cs="宋体"/>
          <w:kern w:val="0"/>
        </w:rPr>
      </w:pPr>
      <w:r>
        <w:rPr>
          <w:rFonts w:hint="eastAsia" w:ascii="楷体_GB2312" w:eastAsia="楷体_GB2312"/>
          <w:kern w:val="0"/>
        </w:rPr>
        <w:t>（二）发展旅游文化业。</w:t>
      </w:r>
      <w:r>
        <w:rPr>
          <w:rFonts w:hint="eastAsia" w:hAnsi="Calibri" w:cs="宋体"/>
          <w:kern w:val="0"/>
        </w:rPr>
        <w:t>全力推进“大丹霞、大南华、大南岭、大珠玑”四大旅游景区建设，大力发展全域旅游，加快旅游产业集聚发展。举办好穿越丹霞山、韶关半程马拉松赛、环南水湖自行车赛等专业赛事及乐昌桃花节、翁源兰花节、禅宗六祖文化节等节庆活动，推动体育、文化、生态、旅游融合发展。深挖韶关韶乐、姓氏、禅宗、瑶族、客家、红色、生态等文化内涵，丰富用户体验，提升旅游业的品味。开展旅游景区厕所革命，完善交通、</w:t>
      </w:r>
      <w:r>
        <w:rPr>
          <w:rFonts w:hAnsi="Calibri" w:cs="宋体"/>
          <w:kern w:val="0"/>
        </w:rPr>
        <w:t>wifi</w:t>
      </w:r>
      <w:r>
        <w:rPr>
          <w:rFonts w:hint="eastAsia" w:hAnsi="Calibri" w:cs="宋体"/>
          <w:kern w:val="0"/>
        </w:rPr>
        <w:t>等基础设施建设。重点推进丹霞丰源温泉度假村（第一期）开发、新丰县云髻山旅游开发、云门山生态文化旅游度假区、云门阳光湖生态养生旅游度假村项目一期、蓝山源岭南东方温泉酒店（二期）等项目。</w:t>
      </w:r>
      <w:r>
        <w:rPr>
          <w:rFonts w:hint="eastAsia" w:ascii="楷体_GB2312" w:hAnsi="黑体" w:eastAsia="楷体_GB2312"/>
          <w:kern w:val="0"/>
        </w:rPr>
        <w:t>〔牵头单位：市旅游局、市文广新局、市体育局，配合单位：市经信局、市交通运输局、各县（市、区）政府〕</w:t>
      </w:r>
    </w:p>
    <w:p>
      <w:pPr>
        <w:autoSpaceDN w:val="0"/>
        <w:spacing w:line="560" w:lineRule="exact"/>
        <w:ind w:firstLine="641"/>
        <w:rPr>
          <w:rFonts w:ascii="楷体_GB2312" w:hAnsi="黑体" w:eastAsia="楷体_GB2312"/>
          <w:kern w:val="0"/>
        </w:rPr>
      </w:pPr>
      <w:r>
        <w:rPr>
          <w:rFonts w:hint="eastAsia" w:ascii="楷体_GB2312" w:eastAsia="楷体_GB2312"/>
          <w:kern w:val="0"/>
        </w:rPr>
        <w:t>（三）发展大数据产业。</w:t>
      </w:r>
      <w:r>
        <w:rPr>
          <w:rFonts w:hint="eastAsia"/>
          <w:kern w:val="0"/>
        </w:rPr>
        <w:t>依托我市电力保障能力强、成本低，处于南北信息通讯干线节点的优势，大力推进大数据交易平台、电子商务、软件服务业、创业创新等大数据相关产业发展，加快华南数谷大数据产业园区建设进度。强化与华为、浪潮及三大通信运营商合作，推进智慧城市、广东联通粤北数据中心等项目建成。与华师大共建大数据研究院，培育大数据人才。加大大数据产业招商力度，积极引进百度、腾讯、阿里云、科大讯飞、东方国信等企业入驻“华南数谷”，开展智慧城市和大数据产业方面的投资合作。</w:t>
      </w:r>
      <w:r>
        <w:rPr>
          <w:rFonts w:hint="eastAsia" w:ascii="楷体_GB2312" w:hAnsi="黑体" w:eastAsia="楷体_GB2312"/>
          <w:kern w:val="0"/>
        </w:rPr>
        <w:t>〔牵头单位：市经信局，配合单位：市发改局、市科技局、市人社局、市商务局、莞韶园管委会、市信息中心、各县（市、区）政府〕</w:t>
      </w:r>
    </w:p>
    <w:p>
      <w:pPr>
        <w:autoSpaceDN w:val="0"/>
        <w:spacing w:line="560" w:lineRule="exact"/>
        <w:ind w:firstLine="641"/>
        <w:rPr>
          <w:kern w:val="0"/>
        </w:rPr>
      </w:pPr>
      <w:r>
        <w:rPr>
          <w:rFonts w:hint="eastAsia" w:ascii="楷体_GB2312" w:eastAsia="楷体_GB2312"/>
          <w:kern w:val="0"/>
        </w:rPr>
        <w:t>（四）发展商贸物流业。</w:t>
      </w:r>
      <w:r>
        <w:rPr>
          <w:rFonts w:hint="eastAsia"/>
          <w:kern w:val="0"/>
        </w:rPr>
        <w:t>利用好区域性枢纽地位，培育一批区域性专业（批发）市场、大宗产品交易中心和城市商圈，发展商贸服务型物流园区，推进市区莲花大道（东环线）商贸物流产业带、粤北国际物流中心、韶关港、龙归物流园、黄沙坪创新园、乐村坪公路运输物流园区等七大商贸物流平台建设。重点建设现代物流公共服务平台，引进大型商贸企业和知名物流企业，着力培育物流龙头企业。推进韶关市鑫金汇财富中心、粤北国际物流中心、华南农产品交易中心、韶关快递物流专业园区、中农批农产品电商物流商贸城、广东华凯商贸物流中心、广东中烟物流等项目建设。</w:t>
      </w:r>
      <w:r>
        <w:rPr>
          <w:rFonts w:hint="eastAsia" w:ascii="楷体_GB2312" w:hAnsi="黑体" w:eastAsia="楷体_GB2312"/>
          <w:kern w:val="0"/>
        </w:rPr>
        <w:t>〔牵头单位：市商务局，配合单位：市发改局、市经信局、市邮政管理局、各县（市、区）政府〕</w:t>
      </w:r>
    </w:p>
    <w:p>
      <w:pPr>
        <w:autoSpaceDN w:val="0"/>
        <w:spacing w:line="560" w:lineRule="exact"/>
        <w:ind w:firstLine="641"/>
        <w:rPr>
          <w:rFonts w:ascii="楷体_GB2312" w:hAnsi="黑体" w:eastAsia="楷体_GB2312"/>
          <w:kern w:val="0"/>
        </w:rPr>
      </w:pPr>
      <w:r>
        <w:rPr>
          <w:rFonts w:hint="eastAsia" w:ascii="楷体_GB2312" w:eastAsia="楷体_GB2312"/>
          <w:kern w:val="0"/>
        </w:rPr>
        <w:t>（五）发展医药健康业。</w:t>
      </w:r>
      <w:r>
        <w:rPr>
          <w:rFonts w:hint="eastAsia" w:hAnsi="宋体" w:cs="宋体"/>
          <w:kern w:val="0"/>
        </w:rPr>
        <w:t>推广绿色化、智能化、高端化制药生产技术，加快建设生物医药强市。支持丽珠集团利民制药厂发展中药针剂等现代中药和生物医药，打造新型中药研发生产基地。依托乳源东阳光药业、丹霞生物制药、广东青云山药业有限公司等企业，大力发展拟生态条件下规模化种植的濒危稀缺、名贵中药材，初步建立以生物制药、血液制品、现代中药等几大领域协调发展的产业格局。依托珠江东岸（新丰）创新产业示范园，大力推进“东新食品产业园”建设。充分利用东莞东城在园区建设、项目招引方面的资源优势，主动对接，推动广东新盟食品、香港艺成食品项目尽早动工。引进一批生物工程、医药生产企业和研发机构，引导现有制药企业在韶设立研发中心、医药学院和中试基地。推进广东丹霞生物制药升级扩产、丽珠集团利民制药厂袋装参芪扶正注射液技术改造、乳源县东阳光药业公司一类新药莱洛替尼和英利替尼产业化、乳源县东阳光药业公司抗丙肝类原料药及注射剂生产线技术改造、萱嘉生物功能性食品、化妆品和药品产学研基地等项目建设。</w:t>
      </w:r>
      <w:r>
        <w:rPr>
          <w:rFonts w:hint="eastAsia" w:ascii="楷体_GB2312" w:hAnsi="黑体" w:eastAsia="楷体_GB2312"/>
          <w:kern w:val="0"/>
        </w:rPr>
        <w:t>〔牵头单位：市食药监局，配合单位：市经信局、市教育局、莞韶园管委会、各县（市、区）政府〕</w:t>
      </w:r>
    </w:p>
    <w:p>
      <w:pPr>
        <w:autoSpaceDN w:val="0"/>
        <w:spacing w:line="560" w:lineRule="exact"/>
        <w:ind w:firstLine="641"/>
        <w:rPr>
          <w:rFonts w:ascii="楷体_GB2312" w:hAnsi="黑体" w:eastAsia="楷体_GB2312"/>
          <w:kern w:val="0"/>
        </w:rPr>
      </w:pPr>
      <w:r>
        <w:rPr>
          <w:rFonts w:hint="eastAsia" w:ascii="楷体_GB2312" w:eastAsia="楷体_GB2312"/>
          <w:kern w:val="0"/>
        </w:rPr>
        <w:t>（六）发展现代特色农业。</w:t>
      </w:r>
      <w:r>
        <w:rPr>
          <w:rFonts w:hint="eastAsia" w:hAnsi="宋体" w:cs="宋体"/>
          <w:kern w:val="0"/>
        </w:rPr>
        <w:t>加快农村土地承包经营权确权登记颁证工作，推动农村土地经营权向新型经营主体流转。推进“一镇一业、一村一品”，重点发展优质稻、蔬菜、竹子、水果、畜禽、优质鱼等</w:t>
      </w:r>
      <w:r>
        <w:rPr>
          <w:rFonts w:hAnsi="宋体" w:cs="宋体"/>
          <w:kern w:val="0"/>
        </w:rPr>
        <w:t>6</w:t>
      </w:r>
      <w:r>
        <w:rPr>
          <w:rFonts w:hint="eastAsia" w:hAnsi="宋体" w:cs="宋体"/>
          <w:kern w:val="0"/>
        </w:rPr>
        <w:t>大主导产品及茶叶、油茶、中药材、花卉、蚕桑、黄烟等</w:t>
      </w:r>
      <w:r>
        <w:rPr>
          <w:rFonts w:hAnsi="宋体" w:cs="宋体"/>
          <w:kern w:val="0"/>
        </w:rPr>
        <w:t>6</w:t>
      </w:r>
      <w:r>
        <w:rPr>
          <w:rFonts w:hint="eastAsia" w:hAnsi="宋体" w:cs="宋体"/>
          <w:kern w:val="0"/>
        </w:rPr>
        <w:t>大特色产品。大力发展“龙头企业</w:t>
      </w:r>
      <w:r>
        <w:rPr>
          <w:rFonts w:hAnsi="宋体" w:cs="宋体"/>
          <w:kern w:val="0"/>
        </w:rPr>
        <w:t>+</w:t>
      </w:r>
      <w:r>
        <w:rPr>
          <w:rFonts w:hint="eastAsia" w:hAnsi="宋体" w:cs="宋体"/>
          <w:kern w:val="0"/>
        </w:rPr>
        <w:t>农户”和“电商</w:t>
      </w:r>
      <w:r>
        <w:rPr>
          <w:rFonts w:hAnsi="宋体" w:cs="宋体"/>
          <w:kern w:val="0"/>
        </w:rPr>
        <w:t>+</w:t>
      </w:r>
      <w:r>
        <w:rPr>
          <w:rFonts w:hint="eastAsia" w:hAnsi="宋体" w:cs="宋体"/>
          <w:kern w:val="0"/>
        </w:rPr>
        <w:t>农户”两种模式，加快市级农产品电子商务平台建设，推动各县（市、区）建设“韶关市互联网农业小镇”试点，依托新丰本地农产品资源优势条件，塑造一批优质农产品品牌，打造新丰优质农产品营销平台，畅通农产品供销渠道。强化培育农业品牌，提高知名度和影响力，把我市打造为珠三角优质农产品供给基地。加快国家现代农业示范区、粤台农业合作试验区翁源核心区和特色农业生产基地建设，加快华南农产品交易中心、粤北中农批、大塘镇塘口农业生态观光园、广兴牧业（新丰）增资扩产等重点项目建设。</w:t>
      </w:r>
      <w:r>
        <w:rPr>
          <w:rFonts w:hint="eastAsia" w:ascii="楷体_GB2312" w:hAnsi="黑体" w:eastAsia="楷体_GB2312"/>
          <w:kern w:val="0"/>
        </w:rPr>
        <w:t>〔牵头单位：市农业局，配合单位：市国土资源局、市商务局，各县（市、区）政府〕</w:t>
      </w:r>
    </w:p>
    <w:p>
      <w:pPr>
        <w:autoSpaceDN w:val="0"/>
        <w:spacing w:line="560" w:lineRule="exact"/>
        <w:ind w:firstLine="641"/>
        <w:rPr>
          <w:rFonts w:ascii="黑体" w:hAnsi="黑体" w:eastAsia="黑体" w:cs="Arial"/>
          <w:kern w:val="0"/>
        </w:rPr>
      </w:pPr>
      <w:r>
        <w:rPr>
          <w:rFonts w:hint="eastAsia" w:ascii="黑体" w:hAnsi="黑体" w:eastAsia="黑体" w:cs="Arial"/>
          <w:kern w:val="0"/>
        </w:rPr>
        <w:t>五、保障措施</w:t>
      </w:r>
    </w:p>
    <w:p>
      <w:pPr>
        <w:autoSpaceDN w:val="0"/>
        <w:spacing w:line="560" w:lineRule="exact"/>
        <w:ind w:firstLine="641"/>
        <w:rPr>
          <w:rFonts w:hAnsi="宋体" w:cs="宋体"/>
          <w:kern w:val="0"/>
        </w:rPr>
      </w:pPr>
      <w:r>
        <w:rPr>
          <w:rFonts w:hint="eastAsia" w:ascii="楷体_GB2312" w:eastAsia="楷体_GB2312"/>
          <w:kern w:val="0"/>
        </w:rPr>
        <w:t>（一）加强组织领导。</w:t>
      </w:r>
      <w:r>
        <w:rPr>
          <w:rFonts w:hint="eastAsia" w:hAnsi="宋体" w:cs="宋体"/>
          <w:kern w:val="0"/>
        </w:rPr>
        <w:t>各单位要充分认识培育新兴支柱产业的重要性，牵头单位要切实加强领导，精心部署，各配合单位要积极配合，通力合作，扎实推进，务求取得实效。</w:t>
      </w:r>
    </w:p>
    <w:p>
      <w:pPr>
        <w:autoSpaceDN w:val="0"/>
        <w:spacing w:line="560" w:lineRule="exact"/>
        <w:ind w:firstLine="641"/>
        <w:rPr>
          <w:rFonts w:hAnsi="宋体" w:cs="宋体"/>
          <w:kern w:val="0"/>
        </w:rPr>
      </w:pPr>
      <w:r>
        <w:rPr>
          <w:rFonts w:hint="eastAsia" w:ascii="楷体_GB2312" w:eastAsia="楷体_GB2312"/>
          <w:kern w:val="0"/>
        </w:rPr>
        <w:t>（二）强化分工落实。</w:t>
      </w:r>
      <w:r>
        <w:rPr>
          <w:rFonts w:hint="eastAsia" w:hAnsi="宋体" w:cs="宋体"/>
          <w:kern w:val="0"/>
        </w:rPr>
        <w:t>各单位要根据工作分工，强化责任，合力开展新兴支柱产业发展工作。要研究制定具体的工作推进方案和措施，提出具体目标要求和计划，并抓好贯彻落实。</w:t>
      </w:r>
    </w:p>
    <w:p>
      <w:pPr>
        <w:autoSpaceDN w:val="0"/>
        <w:spacing w:line="560" w:lineRule="exact"/>
        <w:ind w:firstLine="641"/>
        <w:rPr>
          <w:rFonts w:hAnsi="Calibri" w:cs="宋体"/>
          <w:kern w:val="0"/>
        </w:rPr>
      </w:pPr>
      <w:r>
        <w:rPr>
          <w:rFonts w:hint="eastAsia" w:ascii="楷体_GB2312" w:eastAsia="楷体_GB2312"/>
          <w:kern w:val="0"/>
        </w:rPr>
        <w:t>（三）强化工作追踪。</w:t>
      </w:r>
      <w:r>
        <w:rPr>
          <w:rFonts w:hint="eastAsia" w:hAnsi="Calibri" w:cs="宋体"/>
          <w:kern w:val="0"/>
        </w:rPr>
        <w:t>各牵头单位要定期督导，梳理汇总工作推进情况，及时解决存在问题和困难。确保各项措施落地生根，确保各项工作落实到位，推进我市新兴支柱产业快速发展。</w:t>
      </w:r>
    </w:p>
    <w:p>
      <w:pPr>
        <w:shd w:val="clear" w:color="auto" w:fill="FFFFFF"/>
        <w:autoSpaceDN w:val="0"/>
        <w:spacing w:line="560" w:lineRule="exact"/>
        <w:rPr>
          <w:kern w:val="0"/>
        </w:rPr>
      </w:pPr>
    </w:p>
    <w:p>
      <w:pPr>
        <w:autoSpaceDN w:val="0"/>
        <w:spacing w:line="560" w:lineRule="exact"/>
        <w:rPr>
          <w:rFonts w:hAnsi="Calibri" w:cs="宋体"/>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autoSpaceDN w:val="0"/>
        <w:spacing w:line="560" w:lineRule="exact"/>
        <w:rPr>
          <w:color w:val="000000"/>
          <w:kern w:val="0"/>
        </w:rPr>
      </w:pPr>
    </w:p>
    <w:p>
      <w:pPr>
        <w:spacing w:line="560" w:lineRule="exact"/>
        <w:rPr>
          <w:rFonts w:ascii="方正小标宋简体" w:eastAsia="方正小标宋简体"/>
          <w:bCs/>
          <w:kern w:val="36"/>
          <w:sz w:val="44"/>
          <w:szCs w:val="44"/>
        </w:rPr>
        <w:sectPr>
          <w:pgSz w:w="11906" w:h="16838"/>
          <w:pgMar w:top="2098" w:right="1474" w:bottom="1985" w:left="1588" w:header="851" w:footer="992" w:gutter="0"/>
          <w:cols w:space="720" w:num="1"/>
          <w:docGrid w:type="lines" w:linePitch="312" w:charSpace="0"/>
        </w:sectPr>
      </w:pPr>
    </w:p>
    <w:p>
      <w:pPr>
        <w:spacing w:line="60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新兴支柱产业项目表</w:t>
      </w:r>
    </w:p>
    <w:p>
      <w:pPr>
        <w:autoSpaceDN w:val="0"/>
        <w:spacing w:line="360" w:lineRule="exact"/>
        <w:ind w:right="-579" w:rightChars="-181"/>
        <w:jc w:val="right"/>
        <w:rPr>
          <w:color w:val="000000"/>
          <w:kern w:val="0"/>
          <w:sz w:val="28"/>
          <w:szCs w:val="28"/>
        </w:rPr>
      </w:pPr>
      <w:r>
        <w:rPr>
          <w:rFonts w:hint="eastAsia"/>
          <w:color w:val="000000"/>
          <w:kern w:val="0"/>
          <w:sz w:val="28"/>
          <w:szCs w:val="28"/>
        </w:rPr>
        <w:t>　单位：万元</w:t>
      </w:r>
    </w:p>
    <w:p>
      <w:pPr>
        <w:autoSpaceDN w:val="0"/>
        <w:spacing w:line="360" w:lineRule="exact"/>
        <w:rPr>
          <w:color w:val="000000"/>
          <w:kern w:val="0"/>
          <w:sz w:val="28"/>
          <w:szCs w:val="28"/>
        </w:rPr>
      </w:pPr>
    </w:p>
    <w:tbl>
      <w:tblPr>
        <w:tblStyle w:val="4"/>
        <w:tblW w:w="14552" w:type="dxa"/>
        <w:jc w:val="center"/>
        <w:tblLayout w:type="fixed"/>
        <w:tblCellMar>
          <w:top w:w="0" w:type="dxa"/>
          <w:left w:w="108" w:type="dxa"/>
          <w:bottom w:w="0" w:type="dxa"/>
          <w:right w:w="108" w:type="dxa"/>
        </w:tblCellMar>
      </w:tblPr>
      <w:tblGrid>
        <w:gridCol w:w="582"/>
        <w:gridCol w:w="2731"/>
        <w:gridCol w:w="4586"/>
        <w:gridCol w:w="1299"/>
        <w:gridCol w:w="1080"/>
        <w:gridCol w:w="1752"/>
        <w:gridCol w:w="1488"/>
        <w:gridCol w:w="1034"/>
      </w:tblGrid>
      <w:tr>
        <w:trPr>
          <w:trHeight w:val="49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序号</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项目名称</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建设内容及规模</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建设起</w:t>
            </w:r>
          </w:p>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止年限</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总投资</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建设（代建）</w:t>
            </w:r>
          </w:p>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单位</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责任单位</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ascii="黑体" w:hAnsi="黑体" w:eastAsia="黑体" w:cs="宋体"/>
                <w:kern w:val="0"/>
                <w:sz w:val="28"/>
                <w:szCs w:val="28"/>
              </w:rPr>
            </w:pPr>
            <w:r>
              <w:rPr>
                <w:rFonts w:hint="eastAsia" w:ascii="黑体" w:hAnsi="黑体" w:eastAsia="黑体" w:cs="宋体"/>
                <w:kern w:val="0"/>
                <w:sz w:val="28"/>
                <w:szCs w:val="28"/>
              </w:rPr>
              <w:t>备注</w:t>
            </w:r>
          </w:p>
        </w:tc>
      </w:tr>
      <w:tr>
        <w:trPr>
          <w:trHeight w:val="764"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仁化县综合利用锂矿石年产</w:t>
            </w:r>
            <w:r>
              <w:rPr>
                <w:rFonts w:hAnsi="BatangChe" w:cs="宋体"/>
                <w:kern w:val="0"/>
                <w:sz w:val="28"/>
                <w:szCs w:val="28"/>
              </w:rPr>
              <w:t>1</w:t>
            </w:r>
            <w:r>
              <w:rPr>
                <w:rFonts w:hint="eastAsia" w:hAnsi="宋体" w:cs="宋体"/>
                <w:kern w:val="0"/>
                <w:sz w:val="28"/>
                <w:szCs w:val="28"/>
              </w:rPr>
              <w:t>万吨电池级碳酸锂项目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建设年产电池级碳酸锂</w:t>
            </w:r>
            <w:r>
              <w:rPr>
                <w:rFonts w:hAnsi="BatangChe" w:cs="宋体"/>
                <w:kern w:val="0"/>
                <w:sz w:val="28"/>
                <w:szCs w:val="28"/>
              </w:rPr>
              <w:t>1</w:t>
            </w:r>
            <w:r>
              <w:rPr>
                <w:rFonts w:hint="eastAsia" w:hAnsi="宋体" w:cs="宋体"/>
                <w:kern w:val="0"/>
                <w:sz w:val="28"/>
                <w:szCs w:val="28"/>
              </w:rPr>
              <w:t>万吨、富铷铯液</w:t>
            </w:r>
            <w:r>
              <w:rPr>
                <w:rFonts w:hAnsi="BatangChe" w:cs="宋体"/>
                <w:kern w:val="0"/>
                <w:sz w:val="28"/>
                <w:szCs w:val="28"/>
              </w:rPr>
              <w:t>4.15</w:t>
            </w:r>
            <w:r>
              <w:rPr>
                <w:rFonts w:hint="eastAsia" w:hAnsi="宋体" w:cs="宋体"/>
                <w:kern w:val="0"/>
                <w:sz w:val="28"/>
                <w:szCs w:val="28"/>
              </w:rPr>
              <w:t>万吨、钾钠混盐</w:t>
            </w:r>
            <w:r>
              <w:rPr>
                <w:rFonts w:hAnsi="BatangChe" w:cs="宋体"/>
                <w:kern w:val="0"/>
                <w:sz w:val="28"/>
                <w:szCs w:val="28"/>
              </w:rPr>
              <w:t>5.57</w:t>
            </w:r>
            <w:r>
              <w:rPr>
                <w:rFonts w:hint="eastAsia" w:hAnsi="宋体" w:cs="宋体"/>
                <w:kern w:val="0"/>
                <w:sz w:val="28"/>
                <w:szCs w:val="28"/>
              </w:rPr>
              <w:t>万吨和铝硅渣</w:t>
            </w:r>
            <w:r>
              <w:rPr>
                <w:rFonts w:hAnsi="BatangChe" w:cs="宋体"/>
                <w:kern w:val="0"/>
                <w:sz w:val="28"/>
                <w:szCs w:val="28"/>
              </w:rPr>
              <w:t>14.7</w:t>
            </w:r>
            <w:r>
              <w:rPr>
                <w:rFonts w:hint="eastAsia" w:hAnsi="宋体" w:cs="宋体"/>
                <w:kern w:val="0"/>
                <w:sz w:val="28"/>
                <w:szCs w:val="28"/>
              </w:rPr>
              <w:t>万吨项目</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2017-</w:t>
            </w:r>
          </w:p>
          <w:p>
            <w:pPr>
              <w:autoSpaceDN w:val="0"/>
              <w:spacing w:line="360" w:lineRule="exact"/>
              <w:jc w:val="center"/>
              <w:rPr>
                <w:rFonts w:hAnsi="宋体" w:cs="宋体"/>
                <w:kern w:val="0"/>
                <w:sz w:val="28"/>
                <w:szCs w:val="28"/>
              </w:rPr>
            </w:pPr>
            <w:r>
              <w:rPr>
                <w:rFonts w:hAnsi="宋体" w:cs="宋体"/>
                <w:kern w:val="0"/>
                <w:sz w:val="28"/>
                <w:szCs w:val="28"/>
              </w:rPr>
              <w:t>2018</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32800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韶关中达锌业有限公司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仁化县政府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仁化县纳米氧化锌扩产提质增效及综合回收配套技术改造项目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建设年产纳米氧化锌</w:t>
            </w:r>
            <w:r>
              <w:rPr>
                <w:rFonts w:hAnsi="BatangChe" w:cs="宋体"/>
                <w:kern w:val="0"/>
                <w:sz w:val="28"/>
                <w:szCs w:val="28"/>
              </w:rPr>
              <w:t>20000</w:t>
            </w:r>
            <w:r>
              <w:rPr>
                <w:rFonts w:hint="eastAsia" w:hAnsi="宋体" w:cs="宋体"/>
                <w:kern w:val="0"/>
                <w:sz w:val="28"/>
                <w:szCs w:val="28"/>
              </w:rPr>
              <w:t>吨，粗铅</w:t>
            </w:r>
            <w:r>
              <w:rPr>
                <w:rFonts w:hAnsi="BatangChe" w:cs="宋体"/>
                <w:kern w:val="0"/>
                <w:sz w:val="28"/>
                <w:szCs w:val="28"/>
              </w:rPr>
              <w:t>3000</w:t>
            </w:r>
            <w:r>
              <w:rPr>
                <w:rFonts w:hint="eastAsia" w:hAnsi="宋体" w:cs="宋体"/>
                <w:kern w:val="0"/>
                <w:sz w:val="28"/>
                <w:szCs w:val="28"/>
              </w:rPr>
              <w:t>吨，粗铜</w:t>
            </w:r>
            <w:r>
              <w:rPr>
                <w:rFonts w:hAnsi="BatangChe" w:cs="宋体"/>
                <w:kern w:val="0"/>
                <w:sz w:val="28"/>
                <w:szCs w:val="28"/>
              </w:rPr>
              <w:t>20</w:t>
            </w:r>
            <w:r>
              <w:rPr>
                <w:rFonts w:hint="eastAsia" w:hAnsi="宋体" w:cs="宋体"/>
                <w:kern w:val="0"/>
                <w:sz w:val="28"/>
                <w:szCs w:val="28"/>
              </w:rPr>
              <w:t>吨，含</w:t>
            </w:r>
            <w:r>
              <w:rPr>
                <w:rFonts w:hAnsi="BatangChe" w:cs="宋体"/>
                <w:kern w:val="0"/>
                <w:sz w:val="28"/>
                <w:szCs w:val="28"/>
              </w:rPr>
              <w:t>zn65%</w:t>
            </w:r>
            <w:r>
              <w:rPr>
                <w:rFonts w:hint="eastAsia" w:hAnsi="宋体" w:cs="宋体"/>
                <w:kern w:val="0"/>
                <w:sz w:val="28"/>
                <w:szCs w:val="28"/>
              </w:rPr>
              <w:t>次氧化锌</w:t>
            </w:r>
            <w:r>
              <w:rPr>
                <w:rFonts w:hAnsi="BatangChe" w:cs="宋体"/>
                <w:kern w:val="0"/>
                <w:sz w:val="28"/>
                <w:szCs w:val="28"/>
              </w:rPr>
              <w:t>10000</w:t>
            </w:r>
            <w:r>
              <w:rPr>
                <w:rFonts w:hint="eastAsia" w:hAnsi="宋体" w:cs="宋体"/>
                <w:kern w:val="0"/>
                <w:sz w:val="28"/>
                <w:szCs w:val="28"/>
              </w:rPr>
              <w:t>吨项目</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2017-</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15000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韶关凯鸿纳米材料有限公司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仁化县政府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49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始兴县忠信集团建设玻璃纤维覆铜面板项目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建设玻璃布积层板、玻璃布、玻璃丝、铜箔线路板生产线。占地面积</w:t>
            </w:r>
            <w:r>
              <w:rPr>
                <w:rFonts w:hAnsi="BatangChe" w:cs="宋体"/>
                <w:kern w:val="0"/>
                <w:sz w:val="28"/>
                <w:szCs w:val="28"/>
              </w:rPr>
              <w:t>1000</w:t>
            </w:r>
            <w:r>
              <w:rPr>
                <w:rFonts w:hint="eastAsia" w:hAnsi="宋体" w:cs="宋体"/>
                <w:kern w:val="0"/>
                <w:sz w:val="28"/>
                <w:szCs w:val="28"/>
              </w:rPr>
              <w:t>亩，建筑面积</w:t>
            </w:r>
            <w:r>
              <w:rPr>
                <w:rFonts w:hAnsi="BatangChe" w:cs="宋体"/>
                <w:kern w:val="0"/>
                <w:sz w:val="28"/>
                <w:szCs w:val="28"/>
              </w:rPr>
              <w:t>666666</w:t>
            </w:r>
            <w:r>
              <w:rPr>
                <w:rFonts w:hint="eastAsia" w:hAnsi="宋体" w:cs="宋体"/>
                <w:kern w:val="0"/>
                <w:sz w:val="28"/>
                <w:szCs w:val="28"/>
              </w:rPr>
              <w:t>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2020</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500000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忠信集团</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始兴县政府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翁源县翰唐环保分离膜片生产项目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新建厂房和分离膜片生产设备</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9000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翰唐环保装备有限公司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翁源县政府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5</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乳源县东阳光磁性材料公司锂离子电池正极材料生产项目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建设年产</w:t>
            </w:r>
            <w:r>
              <w:rPr>
                <w:rFonts w:hAnsi="BatangChe" w:cs="宋体"/>
                <w:kern w:val="0"/>
                <w:sz w:val="28"/>
                <w:szCs w:val="28"/>
              </w:rPr>
              <w:t>1</w:t>
            </w:r>
            <w:r>
              <w:rPr>
                <w:rFonts w:hint="eastAsia" w:hAnsi="宋体" w:cs="宋体"/>
                <w:kern w:val="0"/>
                <w:sz w:val="28"/>
                <w:szCs w:val="28"/>
              </w:rPr>
              <w:t>万吨锂离子电池正极材料生产线</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2016-</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30400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乳源东阳光磁性材料有限公司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6</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乳源县东阳光化成箔公司腐蚀箔生产项目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w:t>
            </w:r>
            <w:r>
              <w:rPr>
                <w:rFonts w:hAnsi="BatangChe" w:cs="宋体"/>
                <w:kern w:val="0"/>
                <w:sz w:val="28"/>
                <w:szCs w:val="28"/>
              </w:rPr>
              <w:t>12</w:t>
            </w:r>
            <w:r>
              <w:rPr>
                <w:rFonts w:hint="eastAsia" w:hAnsi="宋体" w:cs="宋体"/>
                <w:kern w:val="0"/>
                <w:sz w:val="28"/>
                <w:szCs w:val="28"/>
              </w:rPr>
              <w:t>条高压高速腐蚀生产线，配套建设环保设施</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18000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乳源东阳光化成箔有限公司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7</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韶关胜蓝电子科技公司电子产品生产项目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手机卡座配件、</w:t>
            </w:r>
            <w:r>
              <w:rPr>
                <w:rFonts w:hAnsi="BatangChe" w:cs="宋体"/>
                <w:kern w:val="0"/>
                <w:sz w:val="28"/>
                <w:szCs w:val="28"/>
              </w:rPr>
              <w:t>LED</w:t>
            </w:r>
            <w:r>
              <w:rPr>
                <w:rFonts w:hint="eastAsia" w:hAnsi="宋体" w:cs="宋体"/>
                <w:kern w:val="0"/>
                <w:sz w:val="28"/>
                <w:szCs w:val="28"/>
              </w:rPr>
              <w:t>透镜、电子连接器等，占地面积</w:t>
            </w:r>
            <w:r>
              <w:rPr>
                <w:rFonts w:hAnsi="BatangChe" w:cs="宋体"/>
                <w:kern w:val="0"/>
                <w:sz w:val="28"/>
                <w:szCs w:val="28"/>
              </w:rPr>
              <w:t>100</w:t>
            </w:r>
            <w:r>
              <w:rPr>
                <w:rFonts w:hint="eastAsia" w:hAnsi="宋体" w:cs="宋体"/>
                <w:kern w:val="0"/>
                <w:sz w:val="28"/>
                <w:szCs w:val="28"/>
              </w:rPr>
              <w:t>亩</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2017-</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韶关胜蓝电子科技有限公司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49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8</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广东丹霞生物制药升级扩产项目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建设年处理血浆</w:t>
            </w:r>
            <w:r>
              <w:rPr>
                <w:rFonts w:hAnsi="BatangChe" w:cs="宋体"/>
                <w:kern w:val="0"/>
                <w:sz w:val="28"/>
                <w:szCs w:val="28"/>
              </w:rPr>
              <w:t>1600</w:t>
            </w:r>
            <w:r>
              <w:rPr>
                <w:rFonts w:hint="eastAsia" w:hAnsi="宋体" w:cs="宋体"/>
                <w:kern w:val="0"/>
                <w:sz w:val="28"/>
                <w:szCs w:val="28"/>
              </w:rPr>
              <w:t>吨的车间，总建筑面积</w:t>
            </w:r>
            <w:r>
              <w:rPr>
                <w:rFonts w:hAnsi="BatangChe" w:cs="宋体"/>
                <w:kern w:val="0"/>
                <w:sz w:val="28"/>
                <w:szCs w:val="28"/>
              </w:rPr>
              <w:t>37000</w:t>
            </w:r>
            <w:r>
              <w:rPr>
                <w:rFonts w:hint="eastAsia" w:hAnsi="宋体" w:cs="宋体"/>
                <w:kern w:val="0"/>
                <w:sz w:val="28"/>
                <w:szCs w:val="28"/>
              </w:rPr>
              <w:t>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2016-</w:t>
            </w:r>
          </w:p>
          <w:p>
            <w:pPr>
              <w:autoSpaceDN w:val="0"/>
              <w:spacing w:line="360" w:lineRule="exact"/>
              <w:jc w:val="center"/>
              <w:rPr>
                <w:rFonts w:hAnsi="宋体" w:cs="宋体"/>
                <w:kern w:val="0"/>
                <w:sz w:val="28"/>
                <w:szCs w:val="28"/>
              </w:rPr>
            </w:pPr>
            <w:r>
              <w:rPr>
                <w:rFonts w:hAnsi="宋体" w:cs="宋体"/>
                <w:kern w:val="0"/>
                <w:sz w:val="28"/>
                <w:szCs w:val="28"/>
              </w:rPr>
              <w:t>2018</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65000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广东丹霞生物制药有限公司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莞韶园管委会</w:t>
            </w:r>
            <w:r>
              <w:rPr>
                <w:rFonts w:hAnsi="宋体" w:cs="宋体"/>
                <w:kern w:val="0"/>
                <w:sz w:val="28"/>
                <w:szCs w:val="28"/>
              </w:rPr>
              <w:br w:type="textWrapping"/>
            </w:r>
            <w:r>
              <w:rPr>
                <w:rFonts w:hint="eastAsia" w:hAnsi="宋体" w:cs="宋体"/>
                <w:kern w:val="0"/>
                <w:sz w:val="28"/>
                <w:szCs w:val="28"/>
              </w:rPr>
              <w:t>市食药监局</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9</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丽珠集团利民制药厂袋装参芪扶正注射液技术改造项目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建设年产</w:t>
            </w:r>
            <w:r>
              <w:rPr>
                <w:rFonts w:hAnsi="BatangChe" w:cs="宋体"/>
                <w:kern w:val="0"/>
                <w:sz w:val="28"/>
                <w:szCs w:val="28"/>
              </w:rPr>
              <w:t>1200</w:t>
            </w:r>
            <w:r>
              <w:rPr>
                <w:rFonts w:hint="eastAsia" w:hAnsi="宋体" w:cs="宋体"/>
                <w:kern w:val="0"/>
                <w:sz w:val="28"/>
                <w:szCs w:val="28"/>
              </w:rPr>
              <w:t>万袋参芪扶正注射液生产线，建筑面积</w:t>
            </w:r>
            <w:r>
              <w:rPr>
                <w:rFonts w:hAnsi="BatangChe" w:cs="宋体"/>
                <w:kern w:val="0"/>
                <w:sz w:val="28"/>
                <w:szCs w:val="28"/>
              </w:rPr>
              <w:t>3663</w:t>
            </w:r>
            <w:r>
              <w:rPr>
                <w:rFonts w:hint="eastAsia" w:hAnsi="宋体" w:cs="宋体"/>
                <w:kern w:val="0"/>
                <w:sz w:val="28"/>
                <w:szCs w:val="28"/>
              </w:rPr>
              <w:t>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2017-</w:t>
            </w:r>
          </w:p>
          <w:p>
            <w:pPr>
              <w:autoSpaceDN w:val="0"/>
              <w:spacing w:line="360" w:lineRule="exact"/>
              <w:jc w:val="center"/>
              <w:rPr>
                <w:rFonts w:hAnsi="宋体" w:cs="宋体"/>
                <w:kern w:val="0"/>
                <w:sz w:val="28"/>
                <w:szCs w:val="28"/>
              </w:rPr>
            </w:pPr>
            <w:r>
              <w:rPr>
                <w:rFonts w:hAnsi="宋体" w:cs="宋体"/>
                <w:kern w:val="0"/>
                <w:sz w:val="28"/>
                <w:szCs w:val="28"/>
              </w:rPr>
              <w:t>2018</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6300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丽珠集团利民制药厂</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市食药监局</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10</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乳源县东阳光药业公司一类新药莱洛替尼和英利替尼产业化项目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新建抗肿瘤原料药合成五、六车间、精制车间、氢化二车间、抗肿瘤药口服固体车间、仓储和分析实验室等生产辅助设施，总占地面积为</w:t>
            </w:r>
            <w:r>
              <w:rPr>
                <w:rFonts w:hAnsi="BatangChe" w:cs="宋体"/>
                <w:kern w:val="0"/>
                <w:sz w:val="28"/>
                <w:szCs w:val="28"/>
              </w:rPr>
              <w:t>56</w:t>
            </w:r>
            <w:r>
              <w:rPr>
                <w:rFonts w:hint="eastAsia" w:hAnsi="宋体" w:cs="宋体"/>
                <w:kern w:val="0"/>
                <w:sz w:val="28"/>
                <w:szCs w:val="28"/>
              </w:rPr>
              <w:t>亩，总建筑面积为</w:t>
            </w:r>
            <w:r>
              <w:rPr>
                <w:rFonts w:hAnsi="BatangChe" w:cs="宋体"/>
                <w:kern w:val="0"/>
                <w:sz w:val="28"/>
                <w:szCs w:val="28"/>
              </w:rPr>
              <w:t>28034</w:t>
            </w:r>
            <w:r>
              <w:rPr>
                <w:rFonts w:hint="eastAsia" w:hAnsi="宋体" w:cs="宋体"/>
                <w:kern w:val="0"/>
                <w:sz w:val="28"/>
                <w:szCs w:val="28"/>
              </w:rPr>
              <w:t>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2016-</w:t>
            </w:r>
          </w:p>
          <w:p>
            <w:pPr>
              <w:autoSpaceDN w:val="0"/>
              <w:spacing w:line="360" w:lineRule="exact"/>
              <w:jc w:val="center"/>
              <w:rPr>
                <w:rFonts w:hAnsi="宋体" w:cs="宋体"/>
                <w:kern w:val="0"/>
                <w:sz w:val="28"/>
                <w:szCs w:val="28"/>
              </w:rPr>
            </w:pPr>
            <w:r>
              <w:rPr>
                <w:rFonts w:hAnsi="宋体" w:cs="宋体"/>
                <w:kern w:val="0"/>
                <w:sz w:val="28"/>
                <w:szCs w:val="28"/>
              </w:rPr>
              <w:t>2018</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45000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乳源东阳光药业有限公司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乳源县政府</w:t>
            </w:r>
            <w:r>
              <w:rPr>
                <w:rFonts w:hAnsi="宋体" w:cs="宋体"/>
                <w:kern w:val="0"/>
                <w:sz w:val="28"/>
                <w:szCs w:val="28"/>
              </w:rPr>
              <w:br w:type="textWrapping"/>
            </w:r>
            <w:r>
              <w:rPr>
                <w:rFonts w:hint="eastAsia" w:hAnsi="宋体" w:cs="宋体"/>
                <w:kern w:val="0"/>
                <w:sz w:val="28"/>
                <w:szCs w:val="28"/>
              </w:rPr>
              <w:t>市食药监局</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11</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乳源县东阳光药业公司抗丙肝类原料药及注射剂生产线技术改造项目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新建合成车间、动力车间、注射剂车间等生产及辅助设施，及研发生产设备。总占地面积</w:t>
            </w:r>
            <w:r>
              <w:rPr>
                <w:rFonts w:hAnsi="BatangChe" w:cs="宋体"/>
                <w:kern w:val="0"/>
                <w:sz w:val="28"/>
                <w:szCs w:val="28"/>
              </w:rPr>
              <w:t>17</w:t>
            </w:r>
            <w:r>
              <w:rPr>
                <w:rFonts w:hint="eastAsia" w:hAnsi="宋体" w:cs="宋体"/>
                <w:kern w:val="0"/>
                <w:sz w:val="28"/>
                <w:szCs w:val="28"/>
              </w:rPr>
              <w:t>亩</w:t>
            </w:r>
            <w:r>
              <w:rPr>
                <w:rFonts w:hAnsi="BatangChe" w:cs="宋体"/>
                <w:kern w:val="0"/>
                <w:sz w:val="28"/>
                <w:szCs w:val="28"/>
              </w:rPr>
              <w:t>,</w:t>
            </w:r>
            <w:r>
              <w:rPr>
                <w:rFonts w:hint="eastAsia" w:hAnsi="宋体" w:cs="宋体"/>
                <w:kern w:val="0"/>
                <w:sz w:val="28"/>
                <w:szCs w:val="28"/>
              </w:rPr>
              <w:t>总建筑面积</w:t>
            </w:r>
            <w:r>
              <w:rPr>
                <w:rFonts w:hAnsi="BatangChe" w:cs="宋体"/>
                <w:kern w:val="0"/>
                <w:sz w:val="28"/>
                <w:szCs w:val="28"/>
              </w:rPr>
              <w:t>25570</w:t>
            </w:r>
            <w:r>
              <w:rPr>
                <w:rFonts w:hint="eastAsia" w:hAnsi="宋体" w:cs="宋体"/>
                <w:kern w:val="0"/>
                <w:sz w:val="28"/>
                <w:szCs w:val="28"/>
              </w:rPr>
              <w:t>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2016-</w:t>
            </w:r>
          </w:p>
          <w:p>
            <w:pPr>
              <w:autoSpaceDN w:val="0"/>
              <w:spacing w:line="360" w:lineRule="exact"/>
              <w:jc w:val="center"/>
              <w:rPr>
                <w:rFonts w:hAnsi="宋体" w:cs="宋体"/>
                <w:kern w:val="0"/>
                <w:sz w:val="28"/>
                <w:szCs w:val="28"/>
              </w:rPr>
            </w:pPr>
            <w:r>
              <w:rPr>
                <w:rFonts w:hAnsi="宋体" w:cs="宋体"/>
                <w:kern w:val="0"/>
                <w:sz w:val="28"/>
                <w:szCs w:val="28"/>
              </w:rPr>
              <w:t>2018</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18000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乳源东阳光药业有限公司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市食药监局</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12</w:t>
            </w:r>
          </w:p>
        </w:tc>
        <w:tc>
          <w:tcPr>
            <w:tcW w:w="2731"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r>
              <w:rPr>
                <w:rFonts w:hint="eastAsia" w:hAnsi="宋体" w:cs="宋体"/>
                <w:kern w:val="0"/>
                <w:sz w:val="28"/>
                <w:szCs w:val="28"/>
              </w:rPr>
              <w:t>萱嘉生物功能性食品、化妆品和药品产学研基地建设</w:t>
            </w:r>
          </w:p>
        </w:tc>
        <w:tc>
          <w:tcPr>
            <w:tcW w:w="4586"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r>
              <w:rPr>
                <w:rFonts w:hint="eastAsia" w:hAnsi="宋体" w:cs="宋体"/>
                <w:kern w:val="0"/>
                <w:sz w:val="28"/>
                <w:szCs w:val="28"/>
              </w:rPr>
              <w:t>建设功能性食品、化妆品、仿制药产学研基地</w:t>
            </w:r>
          </w:p>
        </w:tc>
        <w:tc>
          <w:tcPr>
            <w:tcW w:w="1299"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hAnsi="宋体" w:cs="宋体"/>
                <w:kern w:val="0"/>
                <w:sz w:val="28"/>
                <w:szCs w:val="28"/>
              </w:rPr>
            </w:pPr>
            <w:r>
              <w:rPr>
                <w:rFonts w:hAnsi="宋体" w:cs="宋体"/>
                <w:kern w:val="0"/>
                <w:sz w:val="28"/>
                <w:szCs w:val="28"/>
              </w:rPr>
              <w:t>2018-</w:t>
            </w:r>
          </w:p>
          <w:p>
            <w:pPr>
              <w:autoSpaceDN w:val="0"/>
              <w:spacing w:line="300" w:lineRule="exact"/>
              <w:jc w:val="center"/>
              <w:rPr>
                <w:rFonts w:hAnsi="宋体" w:cs="宋体"/>
                <w:kern w:val="0"/>
                <w:sz w:val="28"/>
                <w:szCs w:val="28"/>
              </w:rPr>
            </w:pPr>
            <w:r>
              <w:rPr>
                <w:rFonts w:hAnsi="宋体" w:cs="宋体"/>
                <w:kern w:val="0"/>
                <w:sz w:val="28"/>
                <w:szCs w:val="28"/>
              </w:rPr>
              <w:t>2020</w:t>
            </w:r>
          </w:p>
        </w:tc>
        <w:tc>
          <w:tcPr>
            <w:tcW w:w="1080"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hAnsi="宋体" w:cs="宋体"/>
                <w:kern w:val="0"/>
                <w:sz w:val="28"/>
                <w:szCs w:val="28"/>
              </w:rPr>
            </w:pPr>
            <w:r>
              <w:rPr>
                <w:rFonts w:hAnsi="宋体" w:cs="宋体"/>
                <w:kern w:val="0"/>
                <w:sz w:val="28"/>
                <w:szCs w:val="28"/>
              </w:rPr>
              <w:t>8000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r>
              <w:rPr>
                <w:rFonts w:hint="eastAsia" w:hAnsi="宋体" w:cs="宋体"/>
                <w:kern w:val="0"/>
                <w:sz w:val="28"/>
                <w:szCs w:val="28"/>
              </w:rPr>
              <w:t>深圳市萱嘉生物科技有限公司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r>
              <w:rPr>
                <w:rFonts w:hint="eastAsia" w:hAnsi="宋体" w:cs="宋体"/>
                <w:kern w:val="0"/>
                <w:sz w:val="28"/>
                <w:szCs w:val="28"/>
              </w:rPr>
              <w:t>市食药监局、莞韶园管委会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13</w:t>
            </w:r>
          </w:p>
        </w:tc>
        <w:tc>
          <w:tcPr>
            <w:tcW w:w="2731"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r>
              <w:rPr>
                <w:rFonts w:hint="eastAsia" w:hAnsi="宋体" w:cs="宋体"/>
                <w:kern w:val="0"/>
                <w:sz w:val="28"/>
                <w:szCs w:val="28"/>
              </w:rPr>
              <w:t>比亚迪手机金属产品项目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r>
              <w:rPr>
                <w:rFonts w:hint="eastAsia" w:hAnsi="宋体" w:cs="宋体"/>
                <w:kern w:val="0"/>
                <w:sz w:val="28"/>
                <w:szCs w:val="28"/>
              </w:rPr>
              <w:t>占地面积</w:t>
            </w:r>
            <w:r>
              <w:rPr>
                <w:rFonts w:hAnsi="BatangChe" w:cs="宋体"/>
                <w:kern w:val="0"/>
                <w:sz w:val="28"/>
                <w:szCs w:val="28"/>
              </w:rPr>
              <w:t>38.7</w:t>
            </w:r>
            <w:r>
              <w:rPr>
                <w:rFonts w:hint="eastAsia" w:hAnsi="宋体" w:cs="宋体"/>
                <w:kern w:val="0"/>
                <w:sz w:val="28"/>
                <w:szCs w:val="28"/>
              </w:rPr>
              <w:t>亩，总建筑面积</w:t>
            </w:r>
            <w:r>
              <w:rPr>
                <w:rFonts w:hAnsi="BatangChe" w:cs="宋体"/>
                <w:kern w:val="0"/>
                <w:sz w:val="28"/>
                <w:szCs w:val="28"/>
              </w:rPr>
              <w:t>25800</w:t>
            </w:r>
            <w:r>
              <w:rPr>
                <w:rFonts w:hint="eastAsia" w:hAnsi="宋体" w:cs="宋体"/>
                <w:kern w:val="0"/>
                <w:sz w:val="28"/>
                <w:szCs w:val="28"/>
              </w:rPr>
              <w:t>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hAnsi="宋体" w:cs="宋体"/>
                <w:kern w:val="0"/>
                <w:sz w:val="28"/>
                <w:szCs w:val="28"/>
              </w:rPr>
            </w:pPr>
            <w:r>
              <w:rPr>
                <w:rFonts w:hAnsi="宋体" w:cs="宋体"/>
                <w:kern w:val="0"/>
                <w:sz w:val="28"/>
                <w:szCs w:val="28"/>
              </w:rPr>
              <w:t>2017-</w:t>
            </w:r>
          </w:p>
          <w:p>
            <w:pPr>
              <w:autoSpaceDN w:val="0"/>
              <w:spacing w:line="300" w:lineRule="exact"/>
              <w:jc w:val="center"/>
              <w:rPr>
                <w:rFonts w:hAnsi="宋体" w:cs="宋体"/>
                <w:kern w:val="0"/>
                <w:sz w:val="28"/>
                <w:szCs w:val="28"/>
              </w:rPr>
            </w:pPr>
            <w:r>
              <w:rPr>
                <w:rFonts w:hAnsi="宋体" w:cs="宋体"/>
                <w:kern w:val="0"/>
                <w:sz w:val="28"/>
                <w:szCs w:val="28"/>
              </w:rPr>
              <w:t>2018</w:t>
            </w:r>
          </w:p>
        </w:tc>
        <w:tc>
          <w:tcPr>
            <w:tcW w:w="1080" w:type="dxa"/>
            <w:tcBorders>
              <w:top w:val="single" w:color="000000" w:sz="4" w:space="0"/>
              <w:left w:val="nil"/>
              <w:bottom w:val="single" w:color="000000" w:sz="4" w:space="0"/>
              <w:right w:val="single" w:color="000000" w:sz="4" w:space="0"/>
            </w:tcBorders>
            <w:vAlign w:val="center"/>
          </w:tcPr>
          <w:p>
            <w:pPr>
              <w:autoSpaceDN w:val="0"/>
              <w:spacing w:line="300" w:lineRule="exact"/>
              <w:jc w:val="center"/>
              <w:rPr>
                <w:rFonts w:hAnsi="宋体" w:cs="宋体"/>
                <w:kern w:val="0"/>
                <w:sz w:val="28"/>
                <w:szCs w:val="28"/>
              </w:rPr>
            </w:pPr>
            <w:r>
              <w:rPr>
                <w:rFonts w:hAnsi="宋体" w:cs="宋体"/>
                <w:kern w:val="0"/>
                <w:sz w:val="28"/>
                <w:szCs w:val="28"/>
              </w:rPr>
              <w:t>35000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r>
              <w:rPr>
                <w:rFonts w:hint="eastAsia" w:hAnsi="宋体" w:cs="宋体"/>
                <w:kern w:val="0"/>
                <w:sz w:val="28"/>
                <w:szCs w:val="28"/>
              </w:rPr>
              <w:t>韶关比亚迪电子有限公司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r>
              <w:rPr>
                <w:rFonts w:hint="eastAsia" w:hAnsi="宋体" w:cs="宋体"/>
                <w:kern w:val="0"/>
                <w:sz w:val="28"/>
                <w:szCs w:val="28"/>
              </w:rPr>
              <w:t>莞韶园管委会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0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14</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白云电器（韶关）智能电网装备产业基地</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智能电网装备产业基地</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63500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广州白云电器设备股份有限公司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15</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韶铸集团有限公司整体搬迁升级改造项目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等量搬迁，新建年产汽车高端轴承套圈</w:t>
            </w:r>
            <w:r>
              <w:rPr>
                <w:rFonts w:hAnsi="BatangChe" w:cs="宋体"/>
                <w:kern w:val="0"/>
                <w:sz w:val="28"/>
                <w:szCs w:val="28"/>
              </w:rPr>
              <w:t>48600</w:t>
            </w:r>
            <w:r>
              <w:rPr>
                <w:rFonts w:hint="eastAsia" w:hAnsi="宋体" w:cs="宋体"/>
                <w:kern w:val="0"/>
                <w:sz w:val="28"/>
                <w:szCs w:val="28"/>
              </w:rPr>
              <w:t>吨、制冷空调关键零部件</w:t>
            </w:r>
            <w:r>
              <w:rPr>
                <w:rFonts w:hAnsi="BatangChe" w:cs="宋体"/>
                <w:kern w:val="0"/>
                <w:sz w:val="28"/>
                <w:szCs w:val="28"/>
              </w:rPr>
              <w:t>70000</w:t>
            </w:r>
            <w:r>
              <w:rPr>
                <w:rFonts w:hint="eastAsia" w:hAnsi="宋体" w:cs="宋体"/>
                <w:kern w:val="0"/>
                <w:sz w:val="28"/>
                <w:szCs w:val="28"/>
              </w:rPr>
              <w:t>吨及铸件</w:t>
            </w:r>
            <w:r>
              <w:rPr>
                <w:rFonts w:hAnsi="BatangChe" w:cs="宋体"/>
                <w:kern w:val="0"/>
                <w:sz w:val="28"/>
                <w:szCs w:val="28"/>
              </w:rPr>
              <w:t>129.6</w:t>
            </w:r>
            <w:r>
              <w:rPr>
                <w:rFonts w:hint="eastAsia" w:hAnsi="宋体" w:cs="宋体"/>
                <w:kern w:val="0"/>
                <w:sz w:val="28"/>
                <w:szCs w:val="28"/>
              </w:rPr>
              <w:t>万件的铸锻企业，建筑面积</w:t>
            </w:r>
            <w:r>
              <w:rPr>
                <w:rFonts w:hAnsi="BatangChe" w:cs="宋体"/>
                <w:kern w:val="0"/>
                <w:sz w:val="28"/>
                <w:szCs w:val="28"/>
              </w:rPr>
              <w:t>6.8</w:t>
            </w:r>
            <w:r>
              <w:rPr>
                <w:rFonts w:hint="eastAsia" w:hAnsi="宋体" w:cs="宋体"/>
                <w:kern w:val="0"/>
                <w:sz w:val="28"/>
                <w:szCs w:val="28"/>
              </w:rPr>
              <w:t>万平方米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2022</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77600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广东省韶铸集团有限公司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16</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金志利公司（华南装备园）实型精密锻造件生产项目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年产</w:t>
            </w:r>
            <w:r>
              <w:rPr>
                <w:rFonts w:hAnsi="BatangChe" w:cs="宋体"/>
                <w:kern w:val="0"/>
                <w:sz w:val="28"/>
                <w:szCs w:val="28"/>
              </w:rPr>
              <w:t>9.6</w:t>
            </w:r>
            <w:r>
              <w:rPr>
                <w:rFonts w:hint="eastAsia" w:hAnsi="宋体" w:cs="宋体"/>
                <w:kern w:val="0"/>
                <w:sz w:val="28"/>
                <w:szCs w:val="28"/>
              </w:rPr>
              <w:t>万吨实型精密锻造件</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2017-</w:t>
            </w:r>
          </w:p>
          <w:p>
            <w:pPr>
              <w:autoSpaceDN w:val="0"/>
              <w:spacing w:line="360" w:lineRule="exact"/>
              <w:jc w:val="center"/>
              <w:rPr>
                <w:rFonts w:hAnsi="宋体" w:cs="宋体"/>
                <w:kern w:val="0"/>
                <w:sz w:val="28"/>
                <w:szCs w:val="28"/>
              </w:rPr>
            </w:pPr>
            <w:r>
              <w:rPr>
                <w:rFonts w:hAnsi="宋体" w:cs="宋体"/>
                <w:kern w:val="0"/>
                <w:sz w:val="28"/>
                <w:szCs w:val="28"/>
              </w:rPr>
              <w:t>2020</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31000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广东金志利科技股份有限公司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17</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捷思威螺丝城（华南装备园）项目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紧固件清洁化生产项目</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25000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广东捷思威螺丝城有限公司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18</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顺逢液压件公司（华南装备园）厂房建设项目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建设标准厂房，总建筑面积</w:t>
            </w:r>
            <w:r>
              <w:rPr>
                <w:rFonts w:hAnsi="BatangChe" w:cs="宋体"/>
                <w:kern w:val="0"/>
                <w:sz w:val="28"/>
                <w:szCs w:val="28"/>
              </w:rPr>
              <w:t>83144</w:t>
            </w:r>
            <w:r>
              <w:rPr>
                <w:rFonts w:hint="eastAsia" w:hAnsi="宋体" w:cs="宋体"/>
                <w:kern w:val="0"/>
                <w:sz w:val="28"/>
                <w:szCs w:val="28"/>
              </w:rPr>
              <w:t>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韶关顺逢液压件科技有限公司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19</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勤望五金制品有限公司（华南装备园）五金生产项目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弹簧、不锈钢线材、五金配件、螺丝、螺帽、五金冲压件项目</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24000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东莞市勤望五金制品有限公司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韶关市广特建材</w:t>
            </w:r>
            <w:r>
              <w:rPr>
                <w:rFonts w:hAnsi="宋体" w:cs="宋体"/>
                <w:kern w:val="0"/>
                <w:sz w:val="28"/>
                <w:szCs w:val="28"/>
              </w:rPr>
              <w:br w:type="textWrapping"/>
            </w:r>
            <w:r>
              <w:rPr>
                <w:rFonts w:hint="eastAsia" w:hAnsi="宋体" w:cs="宋体"/>
                <w:kern w:val="0"/>
                <w:sz w:val="28"/>
                <w:szCs w:val="28"/>
              </w:rPr>
              <w:t>有限公司（华南装备园）预应力</w:t>
            </w:r>
            <w:r>
              <w:rPr>
                <w:rFonts w:hAnsi="BatangChe" w:cs="宋体"/>
                <w:kern w:val="0"/>
                <w:sz w:val="28"/>
                <w:szCs w:val="28"/>
              </w:rPr>
              <w:t>PC</w:t>
            </w:r>
            <w:r>
              <w:rPr>
                <w:rFonts w:hint="eastAsia" w:hAnsi="宋体" w:cs="宋体"/>
                <w:kern w:val="0"/>
                <w:sz w:val="28"/>
                <w:szCs w:val="28"/>
              </w:rPr>
              <w:t>钢棒生产项目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建设年产</w:t>
            </w:r>
            <w:r>
              <w:rPr>
                <w:rFonts w:hAnsi="BatangChe" w:cs="宋体"/>
                <w:kern w:val="0"/>
                <w:sz w:val="28"/>
                <w:szCs w:val="28"/>
              </w:rPr>
              <w:t>18</w:t>
            </w:r>
            <w:r>
              <w:rPr>
                <w:rFonts w:hint="eastAsia" w:hAnsi="宋体" w:cs="宋体"/>
                <w:kern w:val="0"/>
                <w:sz w:val="28"/>
                <w:szCs w:val="28"/>
              </w:rPr>
              <w:t>万吨预应力</w:t>
            </w:r>
            <w:r>
              <w:rPr>
                <w:rFonts w:hAnsi="BatangChe" w:cs="宋体"/>
                <w:kern w:val="0"/>
                <w:sz w:val="28"/>
                <w:szCs w:val="28"/>
              </w:rPr>
              <w:t>PC</w:t>
            </w:r>
            <w:r>
              <w:rPr>
                <w:rFonts w:hint="eastAsia" w:hAnsi="宋体" w:cs="宋体"/>
                <w:kern w:val="0"/>
                <w:sz w:val="28"/>
                <w:szCs w:val="28"/>
              </w:rPr>
              <w:t>钢棒生产线</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16500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韶关市广特建材</w:t>
            </w:r>
            <w:r>
              <w:rPr>
                <w:rFonts w:hAnsi="宋体" w:cs="宋体"/>
                <w:kern w:val="0"/>
                <w:sz w:val="28"/>
                <w:szCs w:val="28"/>
              </w:rPr>
              <w:br w:type="textWrapping"/>
            </w:r>
            <w:r>
              <w:rPr>
                <w:rFonts w:hint="eastAsia" w:hAnsi="宋体" w:cs="宋体"/>
                <w:kern w:val="0"/>
                <w:sz w:val="28"/>
                <w:szCs w:val="28"/>
              </w:rPr>
              <w:t>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254"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21</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东日实业发展有限公司（华南装备园）钢构生产项目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钢构设计、制造、安装、销售一体化</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15000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东日实业发展有限公司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22</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湘明钢铁有限公司项目（华南装备园）冷镦钢加工项目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投资建设冷镦钢加工基地项目</w:t>
            </w:r>
          </w:p>
        </w:tc>
        <w:tc>
          <w:tcPr>
            <w:tcW w:w="1299"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2018-</w:t>
            </w:r>
          </w:p>
          <w:p>
            <w:pPr>
              <w:autoSpaceDN w:val="0"/>
              <w:spacing w:line="32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14500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东莞市湘明钢铁有限公司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23</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韶关市瑞盟精密机械公司（华南装备园）压缩机铸件生产项目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冰箱压缩机和空调压缩机铸件</w:t>
            </w:r>
          </w:p>
        </w:tc>
        <w:tc>
          <w:tcPr>
            <w:tcW w:w="1299"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2018-</w:t>
            </w:r>
          </w:p>
          <w:p>
            <w:pPr>
              <w:autoSpaceDN w:val="0"/>
              <w:spacing w:line="32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14000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韶关市瑞盟精密机械有限公司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24</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曲江区诚一金属材料公司（华南装备园）项目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年处理</w:t>
            </w:r>
            <w:r>
              <w:rPr>
                <w:rFonts w:hAnsi="BatangChe" w:cs="宋体"/>
                <w:kern w:val="0"/>
                <w:sz w:val="28"/>
                <w:szCs w:val="28"/>
              </w:rPr>
              <w:t>8000</w:t>
            </w:r>
            <w:r>
              <w:rPr>
                <w:rFonts w:hint="eastAsia" w:hAnsi="宋体" w:cs="宋体"/>
                <w:kern w:val="0"/>
                <w:sz w:val="28"/>
                <w:szCs w:val="28"/>
              </w:rPr>
              <w:t>吨钨、钼渣生产线</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2017-</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11000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曲江区诚一金属材料科技发展有限公司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莞韶对口帮扶指挥部、华南装备园管委会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25</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春华投资有限公司茶叶加工项目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茶叶加工及设备生产</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13000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广东春华投资有限公司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莞韶园管委会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26</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韶钢年度技改项目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包括高炉鼓风机节能、烧结机烟气脱硝能力提升、能源环保动态管控系统、生产运行中心集中监控系统、铁区动态管控系统升级等技术改造</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2018</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61000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韶钢松山股份有限公司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市经信局</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49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27</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韶钢煤气高效综合循环利用之一电站、二电站改建</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新建</w:t>
            </w:r>
            <w:r>
              <w:rPr>
                <w:rFonts w:hAnsi="BatangChe" w:cs="宋体"/>
                <w:kern w:val="0"/>
                <w:sz w:val="28"/>
                <w:szCs w:val="28"/>
              </w:rPr>
              <w:t>2</w:t>
            </w:r>
            <w:r>
              <w:rPr>
                <w:rFonts w:hint="eastAsia" w:hAnsi="宋体" w:cs="宋体"/>
                <w:kern w:val="0"/>
                <w:sz w:val="28"/>
                <w:szCs w:val="28"/>
              </w:rPr>
              <w:t>×</w:t>
            </w:r>
            <w:r>
              <w:rPr>
                <w:rFonts w:hAnsi="BatangChe" w:cs="宋体"/>
                <w:kern w:val="0"/>
                <w:sz w:val="28"/>
                <w:szCs w:val="28"/>
              </w:rPr>
              <w:t>135</w:t>
            </w:r>
            <w:r>
              <w:rPr>
                <w:rFonts w:hint="eastAsia" w:hAnsi="宋体" w:cs="宋体"/>
                <w:kern w:val="0"/>
                <w:sz w:val="28"/>
                <w:szCs w:val="28"/>
              </w:rPr>
              <w:t>兆瓦高温超高压凝汽式汽轮发电机组，配套</w:t>
            </w:r>
            <w:r>
              <w:rPr>
                <w:rFonts w:hAnsi="BatangChe" w:cs="宋体"/>
                <w:kern w:val="0"/>
                <w:sz w:val="28"/>
                <w:szCs w:val="28"/>
              </w:rPr>
              <w:t>2</w:t>
            </w:r>
            <w:r>
              <w:rPr>
                <w:rFonts w:hint="eastAsia" w:hAnsi="宋体" w:cs="宋体"/>
                <w:kern w:val="0"/>
                <w:sz w:val="28"/>
                <w:szCs w:val="28"/>
              </w:rPr>
              <w:t>×</w:t>
            </w:r>
            <w:r>
              <w:rPr>
                <w:rFonts w:hAnsi="BatangChe" w:cs="宋体"/>
                <w:kern w:val="0"/>
                <w:sz w:val="28"/>
                <w:szCs w:val="28"/>
              </w:rPr>
              <w:t>440</w:t>
            </w:r>
            <w:r>
              <w:rPr>
                <w:rFonts w:hint="eastAsia" w:hAnsi="宋体" w:cs="宋体"/>
                <w:kern w:val="0"/>
                <w:sz w:val="28"/>
                <w:szCs w:val="28"/>
              </w:rPr>
              <w:t>吨</w:t>
            </w:r>
            <w:r>
              <w:rPr>
                <w:rFonts w:hAnsi="BatangChe" w:cs="宋体"/>
                <w:kern w:val="0"/>
                <w:sz w:val="28"/>
                <w:szCs w:val="28"/>
              </w:rPr>
              <w:t>/</w:t>
            </w:r>
            <w:r>
              <w:rPr>
                <w:rFonts w:hint="eastAsia" w:hAnsi="宋体" w:cs="宋体"/>
                <w:kern w:val="0"/>
                <w:sz w:val="28"/>
                <w:szCs w:val="28"/>
              </w:rPr>
              <w:t>小时全燃煤气高温超高压煤气锅炉</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2021</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78000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韶钢松山股份有限公司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市经信局</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28</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韶钢中板产线转型工业线材技改项目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改造年产</w:t>
            </w:r>
            <w:r>
              <w:rPr>
                <w:rFonts w:hAnsi="BatangChe" w:cs="宋体"/>
                <w:kern w:val="0"/>
                <w:sz w:val="28"/>
                <w:szCs w:val="28"/>
              </w:rPr>
              <w:t>70</w:t>
            </w:r>
            <w:r>
              <w:rPr>
                <w:rFonts w:hint="eastAsia" w:hAnsi="宋体" w:cs="宋体"/>
                <w:kern w:val="0"/>
                <w:sz w:val="28"/>
                <w:szCs w:val="28"/>
              </w:rPr>
              <w:t>万吨直径</w:t>
            </w:r>
            <w:r>
              <w:rPr>
                <w:rFonts w:hAnsi="BatangChe" w:cs="宋体"/>
                <w:kern w:val="0"/>
                <w:sz w:val="28"/>
                <w:szCs w:val="28"/>
              </w:rPr>
              <w:t>5-50</w:t>
            </w:r>
            <w:r>
              <w:rPr>
                <w:rFonts w:hint="eastAsia" w:hAnsi="宋体" w:cs="宋体"/>
                <w:kern w:val="0"/>
                <w:sz w:val="28"/>
                <w:szCs w:val="28"/>
              </w:rPr>
              <w:t>毫米的线材盘卷和大盘卷生产线及辅助设施</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58000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韶钢松山股份有限公司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市经信局</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29</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韶关宏大齿轮精密锻造升级改造项目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精密锻造</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3100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韶关宏大齿轮有限公司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市经信局莞韶园管委会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30</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广汽乘用车零件配套项目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建设年产</w:t>
            </w:r>
            <w:r>
              <w:rPr>
                <w:rFonts w:hAnsi="BatangChe" w:cs="宋体"/>
                <w:kern w:val="0"/>
                <w:sz w:val="28"/>
                <w:szCs w:val="28"/>
              </w:rPr>
              <w:t>5</w:t>
            </w:r>
            <w:r>
              <w:rPr>
                <w:rFonts w:hint="eastAsia" w:hAnsi="宋体" w:cs="宋体"/>
                <w:kern w:val="0"/>
                <w:sz w:val="28"/>
                <w:szCs w:val="28"/>
              </w:rPr>
              <w:t>万套乘用车</w:t>
            </w:r>
            <w:r>
              <w:rPr>
                <w:rFonts w:hAnsi="BatangChe" w:cs="宋体"/>
                <w:kern w:val="0"/>
                <w:sz w:val="28"/>
                <w:szCs w:val="28"/>
              </w:rPr>
              <w:t>MT</w:t>
            </w:r>
            <w:r>
              <w:rPr>
                <w:rFonts w:hint="eastAsia" w:hAnsi="宋体" w:cs="宋体"/>
                <w:kern w:val="0"/>
                <w:sz w:val="28"/>
                <w:szCs w:val="28"/>
              </w:rPr>
              <w:t>变速箱齿轮技术改造项目</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13000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韶关宏大齿轮有限公司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市经信局莞韶园管委会</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31</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黄金（商创）小镇项目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建设商创核心区、创金融合区和生态旅游区，总建筑面积约</w:t>
            </w:r>
            <w:r>
              <w:rPr>
                <w:rFonts w:hAnsi="BatangChe" w:cs="宋体"/>
                <w:kern w:val="0"/>
                <w:sz w:val="28"/>
                <w:szCs w:val="28"/>
              </w:rPr>
              <w:t>150</w:t>
            </w:r>
            <w:r>
              <w:rPr>
                <w:rFonts w:hint="eastAsia" w:hAnsi="宋体" w:cs="宋体"/>
                <w:kern w:val="0"/>
                <w:sz w:val="28"/>
                <w:szCs w:val="28"/>
              </w:rPr>
              <w:t>万平方米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2014-</w:t>
            </w:r>
          </w:p>
          <w:p>
            <w:pPr>
              <w:autoSpaceDN w:val="0"/>
              <w:spacing w:line="360" w:lineRule="exact"/>
              <w:jc w:val="center"/>
              <w:rPr>
                <w:rFonts w:hAnsi="宋体" w:cs="宋体"/>
                <w:kern w:val="0"/>
                <w:sz w:val="28"/>
                <w:szCs w:val="28"/>
              </w:rPr>
            </w:pPr>
            <w:r>
              <w:rPr>
                <w:rFonts w:hAnsi="宋体" w:cs="宋体"/>
                <w:kern w:val="0"/>
                <w:sz w:val="28"/>
                <w:szCs w:val="28"/>
              </w:rPr>
              <w:t>2022</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887000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广东商创小镇投资开发有限公司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浈江区政府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32</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华南农产品交易中心二期</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建设集低温仓储、冷链运输、城市配送、分拣加工、分析检测及电子商务为一体的大型现代化农产品冷链物流平台。总占地面积</w:t>
            </w:r>
            <w:r>
              <w:rPr>
                <w:rFonts w:hAnsi="BatangChe" w:cs="宋体"/>
                <w:kern w:val="0"/>
                <w:sz w:val="28"/>
                <w:szCs w:val="28"/>
              </w:rPr>
              <w:t>870</w:t>
            </w:r>
            <w:r>
              <w:rPr>
                <w:rFonts w:hint="eastAsia" w:hAnsi="宋体" w:cs="宋体"/>
                <w:kern w:val="0"/>
                <w:sz w:val="28"/>
                <w:szCs w:val="28"/>
              </w:rPr>
              <w:t>亩，总建筑面积约</w:t>
            </w:r>
            <w:r>
              <w:rPr>
                <w:rFonts w:hAnsi="BatangChe" w:cs="宋体"/>
                <w:kern w:val="0"/>
                <w:sz w:val="28"/>
                <w:szCs w:val="28"/>
              </w:rPr>
              <w:t>100</w:t>
            </w:r>
            <w:r>
              <w:rPr>
                <w:rFonts w:hint="eastAsia" w:hAnsi="宋体" w:cs="宋体"/>
                <w:kern w:val="0"/>
                <w:sz w:val="28"/>
                <w:szCs w:val="28"/>
              </w:rPr>
              <w:t>万平方米，</w:t>
            </w:r>
            <w:r>
              <w:rPr>
                <w:rFonts w:hAnsi="BatangChe" w:cs="宋体"/>
                <w:kern w:val="0"/>
                <w:sz w:val="28"/>
                <w:szCs w:val="28"/>
              </w:rPr>
              <w:t>30</w:t>
            </w:r>
            <w:r>
              <w:rPr>
                <w:rFonts w:hint="eastAsia" w:hAnsi="宋体" w:cs="宋体"/>
                <w:kern w:val="0"/>
                <w:sz w:val="28"/>
                <w:szCs w:val="28"/>
              </w:rPr>
              <w:t>万吨冷库，</w:t>
            </w:r>
            <w:r>
              <w:rPr>
                <w:rFonts w:hAnsi="BatangChe" w:cs="宋体"/>
                <w:kern w:val="0"/>
                <w:sz w:val="28"/>
                <w:szCs w:val="28"/>
              </w:rPr>
              <w:t>7000</w:t>
            </w:r>
            <w:r>
              <w:rPr>
                <w:rFonts w:hint="eastAsia" w:hAnsi="宋体" w:cs="宋体"/>
                <w:kern w:val="0"/>
                <w:sz w:val="28"/>
                <w:szCs w:val="28"/>
              </w:rPr>
              <w:t>个停车位</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2016-</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216700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广东新元农产品有限公司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浈江区政府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33</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广东中烟物流项目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建设物流仓库，配套管理用房及辅助设施，占地面积</w:t>
            </w:r>
            <w:r>
              <w:rPr>
                <w:rFonts w:hAnsi="BatangChe" w:cs="宋体"/>
                <w:kern w:val="0"/>
                <w:sz w:val="28"/>
                <w:szCs w:val="28"/>
              </w:rPr>
              <w:t>526.5</w:t>
            </w:r>
            <w:r>
              <w:rPr>
                <w:rFonts w:hint="eastAsia" w:hAnsi="宋体" w:cs="宋体"/>
                <w:kern w:val="0"/>
                <w:sz w:val="28"/>
                <w:szCs w:val="28"/>
              </w:rPr>
              <w:t>亩，一期建筑面积约</w:t>
            </w:r>
            <w:r>
              <w:rPr>
                <w:rFonts w:hAnsi="BatangChe" w:cs="宋体"/>
                <w:kern w:val="0"/>
                <w:sz w:val="28"/>
                <w:szCs w:val="28"/>
              </w:rPr>
              <w:t>309328</w:t>
            </w:r>
            <w:r>
              <w:rPr>
                <w:rFonts w:hint="eastAsia" w:hAnsi="宋体" w:cs="宋体"/>
                <w:kern w:val="0"/>
                <w:sz w:val="28"/>
                <w:szCs w:val="28"/>
              </w:rPr>
              <w:t>平方米，二期建筑面积</w:t>
            </w:r>
            <w:r>
              <w:rPr>
                <w:rFonts w:hAnsi="BatangChe" w:cs="宋体"/>
                <w:kern w:val="0"/>
                <w:sz w:val="28"/>
                <w:szCs w:val="28"/>
              </w:rPr>
              <w:t>322050</w:t>
            </w:r>
            <w:r>
              <w:rPr>
                <w:rFonts w:hint="eastAsia" w:hAnsi="宋体" w:cs="宋体"/>
                <w:kern w:val="0"/>
                <w:sz w:val="28"/>
                <w:szCs w:val="28"/>
              </w:rPr>
              <w:t>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2020</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210000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广东中烟工业有限责任公司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浈江区政府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34</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广东华凯商贸物流中心</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建设家居建材中心、汽贸汽配中心、现代仓储物流中心、综合商务中心等；占地面积</w:t>
            </w:r>
            <w:r>
              <w:rPr>
                <w:rFonts w:hAnsi="BatangChe" w:cs="宋体"/>
                <w:kern w:val="0"/>
                <w:sz w:val="28"/>
                <w:szCs w:val="28"/>
              </w:rPr>
              <w:t>51</w:t>
            </w:r>
            <w:r>
              <w:rPr>
                <w:rFonts w:hint="eastAsia" w:hAnsi="宋体" w:cs="宋体"/>
                <w:kern w:val="0"/>
                <w:sz w:val="28"/>
                <w:szCs w:val="28"/>
              </w:rPr>
              <w:t>亩，建筑面积约</w:t>
            </w:r>
            <w:r>
              <w:rPr>
                <w:rFonts w:hAnsi="BatangChe" w:cs="宋体"/>
                <w:kern w:val="0"/>
                <w:sz w:val="28"/>
                <w:szCs w:val="28"/>
              </w:rPr>
              <w:t>10</w:t>
            </w:r>
            <w:r>
              <w:rPr>
                <w:rFonts w:hint="eastAsia" w:hAnsi="宋体" w:cs="宋体"/>
                <w:kern w:val="0"/>
                <w:sz w:val="28"/>
                <w:szCs w:val="28"/>
              </w:rPr>
              <w:t>万平方米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37000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广东华凯物流有限公司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翁源县政府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35</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浈江区益胜国际汽贸城</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建设汽车销售区、仓储物流中心、汽车售后服务区、汽车技术培训等，占地面积</w:t>
            </w:r>
            <w:r>
              <w:rPr>
                <w:rFonts w:hAnsi="BatangChe" w:cs="宋体"/>
                <w:kern w:val="0"/>
                <w:sz w:val="28"/>
                <w:szCs w:val="28"/>
              </w:rPr>
              <w:t>495</w:t>
            </w:r>
            <w:r>
              <w:rPr>
                <w:rFonts w:hint="eastAsia" w:hAnsi="宋体" w:cs="宋体"/>
                <w:kern w:val="0"/>
                <w:sz w:val="28"/>
                <w:szCs w:val="28"/>
              </w:rPr>
              <w:t>亩</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2024</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80000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广东益胜投资有限公司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浈江区政府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36</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粤北农特产品电商物流商贸城三期项目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占地</w:t>
            </w:r>
            <w:r>
              <w:rPr>
                <w:rFonts w:hAnsi="BatangChe" w:cs="宋体"/>
                <w:kern w:val="0"/>
                <w:sz w:val="28"/>
                <w:szCs w:val="28"/>
              </w:rPr>
              <w:t>300</w:t>
            </w:r>
            <w:r>
              <w:rPr>
                <w:rFonts w:hint="eastAsia" w:hAnsi="宋体" w:cs="宋体"/>
                <w:kern w:val="0"/>
                <w:sz w:val="28"/>
                <w:szCs w:val="28"/>
              </w:rPr>
              <w:t>亩，以商业及总部基地为主，打造商城商服配套区，建设各种主题购物体验街区</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2015-</w:t>
            </w:r>
          </w:p>
          <w:p>
            <w:pPr>
              <w:autoSpaceDN w:val="0"/>
              <w:spacing w:line="360" w:lineRule="exact"/>
              <w:jc w:val="center"/>
              <w:rPr>
                <w:rFonts w:hAnsi="宋体" w:cs="宋体"/>
                <w:kern w:val="0"/>
                <w:sz w:val="28"/>
                <w:szCs w:val="28"/>
              </w:rPr>
            </w:pPr>
            <w:r>
              <w:rPr>
                <w:rFonts w:hAnsi="宋体" w:cs="宋体"/>
                <w:kern w:val="0"/>
                <w:sz w:val="28"/>
                <w:szCs w:val="28"/>
              </w:rPr>
              <w:t>2018</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180000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广东中农批农产品批发市场有限公司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49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37</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乐昌市龙山温泉项目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打造成五星级标准、高端、特色的温泉度假区，规划用地面积</w:t>
            </w:r>
            <w:r>
              <w:rPr>
                <w:rFonts w:hAnsi="BatangChe" w:cs="宋体"/>
                <w:kern w:val="0"/>
                <w:sz w:val="28"/>
                <w:szCs w:val="28"/>
              </w:rPr>
              <w:t>182</w:t>
            </w:r>
            <w:r>
              <w:rPr>
                <w:rFonts w:hint="eastAsia" w:hAnsi="宋体" w:cs="宋体"/>
                <w:kern w:val="0"/>
                <w:sz w:val="28"/>
                <w:szCs w:val="28"/>
              </w:rPr>
              <w:t>亩</w:t>
            </w:r>
          </w:p>
        </w:tc>
        <w:tc>
          <w:tcPr>
            <w:tcW w:w="1299"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2018-</w:t>
            </w:r>
          </w:p>
          <w:p>
            <w:pPr>
              <w:autoSpaceDN w:val="0"/>
              <w:spacing w:line="320" w:lineRule="exact"/>
              <w:jc w:val="center"/>
              <w:rPr>
                <w:rFonts w:hAnsi="宋体" w:cs="宋体"/>
                <w:kern w:val="0"/>
                <w:sz w:val="28"/>
                <w:szCs w:val="28"/>
              </w:rPr>
            </w:pPr>
            <w:r>
              <w:rPr>
                <w:rFonts w:hAnsi="宋体" w:cs="宋体"/>
                <w:kern w:val="0"/>
                <w:sz w:val="28"/>
                <w:szCs w:val="28"/>
              </w:rPr>
              <w:t>2020</w:t>
            </w:r>
          </w:p>
        </w:tc>
        <w:tc>
          <w:tcPr>
            <w:tcW w:w="1080"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30000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乐昌旅游局</w:t>
            </w:r>
          </w:p>
        </w:tc>
        <w:tc>
          <w:tcPr>
            <w:tcW w:w="1488"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乐昌市政府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38</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南雄市云峰山生态旅游区</w:t>
            </w:r>
          </w:p>
        </w:tc>
        <w:tc>
          <w:tcPr>
            <w:tcW w:w="4586"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建设汽车营地、跑马地、篝火晚会场地、高端酒店、原生态民宿、农产品种植和销售等集农业生态观光、休闲、养生、娱乐、度假一体的旅游区。规划面积约</w:t>
            </w:r>
            <w:r>
              <w:rPr>
                <w:rFonts w:hAnsi="BatangChe" w:cs="宋体"/>
                <w:kern w:val="0"/>
                <w:sz w:val="28"/>
                <w:szCs w:val="28"/>
              </w:rPr>
              <w:t>1.8</w:t>
            </w:r>
            <w:r>
              <w:rPr>
                <w:rFonts w:hint="eastAsia" w:hAnsi="宋体" w:cs="宋体"/>
                <w:kern w:val="0"/>
                <w:sz w:val="28"/>
                <w:szCs w:val="28"/>
              </w:rPr>
              <w:t>万亩</w:t>
            </w:r>
          </w:p>
        </w:tc>
        <w:tc>
          <w:tcPr>
            <w:tcW w:w="1299"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2015-</w:t>
            </w:r>
          </w:p>
          <w:p>
            <w:pPr>
              <w:autoSpaceDN w:val="0"/>
              <w:spacing w:line="32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96000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南雄市云峰山生态旅游区开发有限公司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南雄市政府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p>
        </w:tc>
      </w:tr>
      <w:tr>
        <w:trPr>
          <w:trHeight w:val="123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39</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丹霞灵溪景区项目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建设</w:t>
            </w:r>
            <w:r>
              <w:rPr>
                <w:rFonts w:hAnsi="BatangChe" w:cs="宋体"/>
                <w:kern w:val="0"/>
                <w:sz w:val="28"/>
                <w:szCs w:val="28"/>
              </w:rPr>
              <w:t>4A</w:t>
            </w:r>
            <w:r>
              <w:rPr>
                <w:rFonts w:hint="eastAsia" w:hAnsi="宋体" w:cs="宋体"/>
                <w:kern w:val="0"/>
                <w:sz w:val="28"/>
                <w:szCs w:val="28"/>
              </w:rPr>
              <w:t>级旅游度假休闲景区</w:t>
            </w:r>
          </w:p>
        </w:tc>
        <w:tc>
          <w:tcPr>
            <w:tcW w:w="1299"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2016-</w:t>
            </w:r>
          </w:p>
          <w:p>
            <w:pPr>
              <w:autoSpaceDN w:val="0"/>
              <w:spacing w:line="320" w:lineRule="exact"/>
              <w:jc w:val="center"/>
              <w:rPr>
                <w:rFonts w:hAnsi="宋体" w:cs="宋体"/>
                <w:kern w:val="0"/>
                <w:sz w:val="28"/>
                <w:szCs w:val="28"/>
              </w:rPr>
            </w:pPr>
            <w:r>
              <w:rPr>
                <w:rFonts w:hAnsi="宋体" w:cs="宋体"/>
                <w:kern w:val="0"/>
                <w:sz w:val="28"/>
                <w:szCs w:val="28"/>
              </w:rPr>
              <w:t>2020</w:t>
            </w:r>
          </w:p>
        </w:tc>
        <w:tc>
          <w:tcPr>
            <w:tcW w:w="1080"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45000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韶关灵溪河森林旅游渡假公园有限公司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仁化县政府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40</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丹霞丰源温泉度假村（第一期）开发</w:t>
            </w:r>
          </w:p>
        </w:tc>
        <w:tc>
          <w:tcPr>
            <w:tcW w:w="4586"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建设酒店、接待中心及旅游服务设施，占地面积约</w:t>
            </w:r>
            <w:r>
              <w:rPr>
                <w:rFonts w:hAnsi="BatangChe" w:cs="宋体"/>
                <w:kern w:val="0"/>
                <w:sz w:val="28"/>
                <w:szCs w:val="28"/>
              </w:rPr>
              <w:t>120</w:t>
            </w:r>
            <w:r>
              <w:rPr>
                <w:rFonts w:hint="eastAsia" w:hAnsi="宋体" w:cs="宋体"/>
                <w:kern w:val="0"/>
                <w:sz w:val="28"/>
                <w:szCs w:val="28"/>
              </w:rPr>
              <w:t>亩，建筑面积约</w:t>
            </w:r>
            <w:r>
              <w:rPr>
                <w:rFonts w:hAnsi="BatangChe" w:cs="宋体"/>
                <w:kern w:val="0"/>
                <w:sz w:val="28"/>
                <w:szCs w:val="28"/>
              </w:rPr>
              <w:t>15.3</w:t>
            </w:r>
            <w:r>
              <w:rPr>
                <w:rFonts w:hint="eastAsia" w:hAnsi="宋体" w:cs="宋体"/>
                <w:kern w:val="0"/>
                <w:sz w:val="28"/>
                <w:szCs w:val="28"/>
              </w:rPr>
              <w:t>万平方米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2017-</w:t>
            </w:r>
          </w:p>
          <w:p>
            <w:pPr>
              <w:autoSpaceDN w:val="0"/>
              <w:spacing w:line="32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35000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韶关丰源旅游投资有限公司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仁化县政府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41</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始兴县心泉谷项目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建设露天温泉、度假酒店、森林公园、田园风光带、旅游及配套设施</w:t>
            </w:r>
          </w:p>
        </w:tc>
        <w:tc>
          <w:tcPr>
            <w:tcW w:w="1299"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2017-</w:t>
            </w:r>
          </w:p>
          <w:p>
            <w:pPr>
              <w:autoSpaceDN w:val="0"/>
              <w:spacing w:line="320" w:lineRule="exact"/>
              <w:jc w:val="center"/>
              <w:rPr>
                <w:rFonts w:hAnsi="宋体" w:cs="宋体"/>
                <w:kern w:val="0"/>
                <w:sz w:val="28"/>
                <w:szCs w:val="28"/>
              </w:rPr>
            </w:pPr>
            <w:r>
              <w:rPr>
                <w:rFonts w:hAnsi="宋体" w:cs="宋体"/>
                <w:kern w:val="0"/>
                <w:sz w:val="28"/>
                <w:szCs w:val="28"/>
              </w:rPr>
              <w:t>2025</w:t>
            </w:r>
          </w:p>
        </w:tc>
        <w:tc>
          <w:tcPr>
            <w:tcW w:w="1080"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300000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韶关恒隆旅游开发有限公司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始兴县政府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42</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新丰县云髻山旭日旅游总体开发</w:t>
            </w:r>
          </w:p>
        </w:tc>
        <w:tc>
          <w:tcPr>
            <w:tcW w:w="4586"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建设集自然观光、遗陈、文化参与、教育传承、森森度假、医疗康养、登高探险、特色会馆、康养小镇于一体的综合性精品文化旅游区。总占地面积约</w:t>
            </w:r>
            <w:r>
              <w:rPr>
                <w:rFonts w:hAnsi="BatangChe" w:cs="宋体"/>
                <w:kern w:val="0"/>
                <w:sz w:val="28"/>
                <w:szCs w:val="28"/>
              </w:rPr>
              <w:t>13500</w:t>
            </w:r>
            <w:r>
              <w:rPr>
                <w:rFonts w:hint="eastAsia" w:hAnsi="宋体" w:cs="宋体"/>
                <w:kern w:val="0"/>
                <w:sz w:val="28"/>
                <w:szCs w:val="28"/>
              </w:rPr>
              <w:t>亩</w:t>
            </w:r>
          </w:p>
        </w:tc>
        <w:tc>
          <w:tcPr>
            <w:tcW w:w="1299"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2012-</w:t>
            </w:r>
          </w:p>
          <w:p>
            <w:pPr>
              <w:autoSpaceDN w:val="0"/>
              <w:spacing w:line="320" w:lineRule="exact"/>
              <w:jc w:val="center"/>
              <w:rPr>
                <w:rFonts w:hAnsi="宋体" w:cs="宋体"/>
                <w:kern w:val="0"/>
                <w:sz w:val="28"/>
                <w:szCs w:val="28"/>
              </w:rPr>
            </w:pPr>
            <w:r>
              <w:rPr>
                <w:rFonts w:hAnsi="宋体" w:cs="宋体"/>
                <w:kern w:val="0"/>
                <w:sz w:val="28"/>
                <w:szCs w:val="28"/>
              </w:rPr>
              <w:t>2022</w:t>
            </w:r>
          </w:p>
        </w:tc>
        <w:tc>
          <w:tcPr>
            <w:tcW w:w="1080"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300000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新丰县云髻山旭日旅游开发有限公司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新丰县政府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p>
        </w:tc>
      </w:tr>
      <w:tr>
        <w:trPr>
          <w:trHeight w:val="254"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43</w:t>
            </w:r>
          </w:p>
        </w:tc>
        <w:tc>
          <w:tcPr>
            <w:tcW w:w="2731"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广东新丰雪山国际旅游度假区项目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怡情农园、养生休闲旅游度假区</w:t>
            </w:r>
          </w:p>
        </w:tc>
        <w:tc>
          <w:tcPr>
            <w:tcW w:w="1299"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2017-</w:t>
            </w:r>
          </w:p>
          <w:p>
            <w:pPr>
              <w:autoSpaceDN w:val="0"/>
              <w:spacing w:line="320" w:lineRule="exact"/>
              <w:jc w:val="center"/>
              <w:rPr>
                <w:rFonts w:hAnsi="宋体" w:cs="宋体"/>
                <w:kern w:val="0"/>
                <w:sz w:val="28"/>
                <w:szCs w:val="28"/>
              </w:rPr>
            </w:pPr>
            <w:r>
              <w:rPr>
                <w:rFonts w:hAnsi="宋体" w:cs="宋体"/>
                <w:kern w:val="0"/>
                <w:sz w:val="28"/>
                <w:szCs w:val="28"/>
              </w:rPr>
              <w:t>2025</w:t>
            </w:r>
          </w:p>
        </w:tc>
        <w:tc>
          <w:tcPr>
            <w:tcW w:w="1080" w:type="dxa"/>
            <w:tcBorders>
              <w:top w:val="single" w:color="000000" w:sz="4" w:space="0"/>
              <w:left w:val="nil"/>
              <w:bottom w:val="single" w:color="000000" w:sz="4" w:space="0"/>
              <w:right w:val="single" w:color="000000" w:sz="4" w:space="0"/>
            </w:tcBorders>
            <w:vAlign w:val="center"/>
          </w:tcPr>
          <w:p>
            <w:pPr>
              <w:autoSpaceDN w:val="0"/>
              <w:spacing w:line="320" w:lineRule="exact"/>
              <w:jc w:val="center"/>
              <w:rPr>
                <w:rFonts w:hAnsi="宋体" w:cs="宋体"/>
                <w:kern w:val="0"/>
                <w:sz w:val="28"/>
                <w:szCs w:val="28"/>
              </w:rPr>
            </w:pPr>
            <w:r>
              <w:rPr>
                <w:rFonts w:hAnsi="宋体" w:cs="宋体"/>
                <w:kern w:val="0"/>
                <w:sz w:val="28"/>
                <w:szCs w:val="28"/>
              </w:rPr>
              <w:t>300000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广东新丰雪山养生旅游度假发展有限公司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r>
              <w:rPr>
                <w:rFonts w:hint="eastAsia" w:hAnsi="宋体" w:cs="宋体"/>
                <w:kern w:val="0"/>
                <w:sz w:val="28"/>
                <w:szCs w:val="28"/>
              </w:rPr>
              <w:t>新丰县政府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2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44</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云门山生态文化旅游度假区项目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建设漂流、水上乐园、自然风景区、户外机动游乐场、特色主题酒店、会所、商业街、服务中心、疗养中心、活动中心、养老住宅、观光休闲农业等。总占地面积约</w:t>
            </w:r>
            <w:r>
              <w:rPr>
                <w:rFonts w:hAnsi="BatangChe" w:cs="宋体"/>
                <w:kern w:val="0"/>
                <w:sz w:val="28"/>
                <w:szCs w:val="28"/>
              </w:rPr>
              <w:t>22500</w:t>
            </w:r>
            <w:r>
              <w:rPr>
                <w:rFonts w:hint="eastAsia" w:hAnsi="宋体" w:cs="宋体"/>
                <w:kern w:val="0"/>
                <w:sz w:val="28"/>
                <w:szCs w:val="28"/>
              </w:rPr>
              <w:t>亩，总建筑面积</w:t>
            </w:r>
            <w:r>
              <w:rPr>
                <w:rFonts w:hAnsi="BatangChe" w:cs="宋体"/>
                <w:kern w:val="0"/>
                <w:sz w:val="28"/>
                <w:szCs w:val="28"/>
              </w:rPr>
              <w:t>19.9</w:t>
            </w:r>
            <w:r>
              <w:rPr>
                <w:rFonts w:hint="eastAsia" w:hAnsi="宋体" w:cs="宋体"/>
                <w:kern w:val="0"/>
                <w:sz w:val="28"/>
                <w:szCs w:val="28"/>
              </w:rPr>
              <w:t>万平方米</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2014-</w:t>
            </w:r>
          </w:p>
          <w:p>
            <w:pPr>
              <w:autoSpaceDN w:val="0"/>
              <w:spacing w:line="360" w:lineRule="exact"/>
              <w:jc w:val="center"/>
              <w:rPr>
                <w:rFonts w:hAnsi="宋体" w:cs="宋体"/>
                <w:kern w:val="0"/>
                <w:sz w:val="28"/>
                <w:szCs w:val="28"/>
              </w:rPr>
            </w:pPr>
            <w:r>
              <w:rPr>
                <w:rFonts w:hAnsi="宋体" w:cs="宋体"/>
                <w:kern w:val="0"/>
                <w:sz w:val="28"/>
                <w:szCs w:val="28"/>
              </w:rPr>
              <w:t>2020</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300000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乳源县云门山旅游景区开发有限公司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45</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云门阳光湖生态养生旅游度假村项目一期</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建设滨湖阳光酒店（包含温泉、餐饮、娱乐中心、会议中心）、户外运动场及环湖木栈道的绿化及基础配套设施，占地约</w:t>
            </w:r>
            <w:r>
              <w:rPr>
                <w:rFonts w:hAnsi="BatangChe" w:cs="宋体"/>
                <w:kern w:val="0"/>
                <w:sz w:val="28"/>
                <w:szCs w:val="28"/>
              </w:rPr>
              <w:t>4020</w:t>
            </w:r>
            <w:r>
              <w:rPr>
                <w:rFonts w:hint="eastAsia" w:hAnsi="宋体" w:cs="宋体"/>
                <w:kern w:val="0"/>
                <w:sz w:val="28"/>
                <w:szCs w:val="28"/>
              </w:rPr>
              <w:t>亩</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2017-</w:t>
            </w:r>
          </w:p>
          <w:p>
            <w:pPr>
              <w:autoSpaceDN w:val="0"/>
              <w:spacing w:line="360" w:lineRule="exact"/>
              <w:jc w:val="center"/>
              <w:rPr>
                <w:rFonts w:hAnsi="宋体" w:cs="宋体"/>
                <w:kern w:val="0"/>
                <w:sz w:val="28"/>
                <w:szCs w:val="28"/>
              </w:rPr>
            </w:pPr>
            <w:r>
              <w:rPr>
                <w:rFonts w:hAnsi="宋体" w:cs="宋体"/>
                <w:kern w:val="0"/>
                <w:sz w:val="28"/>
                <w:szCs w:val="28"/>
              </w:rPr>
              <w:t>2018</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50000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乳源山城水都旅游度假村有限公司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88"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46</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银山南岭温泉度假村</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建设别墅、园林绿化配套设施</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2013-</w:t>
            </w:r>
          </w:p>
          <w:p>
            <w:pPr>
              <w:autoSpaceDN w:val="0"/>
              <w:spacing w:line="360" w:lineRule="exact"/>
              <w:jc w:val="center"/>
              <w:rPr>
                <w:rFonts w:hAnsi="宋体" w:cs="宋体"/>
                <w:kern w:val="0"/>
                <w:sz w:val="28"/>
                <w:szCs w:val="28"/>
              </w:rPr>
            </w:pPr>
            <w:r>
              <w:rPr>
                <w:rFonts w:hAnsi="宋体" w:cs="宋体"/>
                <w:kern w:val="0"/>
                <w:sz w:val="28"/>
                <w:szCs w:val="28"/>
              </w:rPr>
              <w:t>2027</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217000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广东耀能温泉投资管理有限公司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47</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乳源县瑶艾特色小镇</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建设成集农旅、文旅、养生休闲为一体的高端综合体</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2018-</w:t>
            </w:r>
          </w:p>
          <w:p>
            <w:pPr>
              <w:autoSpaceDN w:val="0"/>
              <w:spacing w:line="360" w:lineRule="exact"/>
              <w:jc w:val="center"/>
              <w:rPr>
                <w:rFonts w:hAnsi="宋体" w:cs="宋体"/>
                <w:kern w:val="0"/>
                <w:sz w:val="28"/>
                <w:szCs w:val="28"/>
              </w:rPr>
            </w:pPr>
            <w:r>
              <w:rPr>
                <w:rFonts w:hAnsi="宋体" w:cs="宋体"/>
                <w:kern w:val="0"/>
                <w:sz w:val="28"/>
                <w:szCs w:val="28"/>
              </w:rPr>
              <w:t>2020</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110000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广东雪源农业科技有限公司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乳源县政府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743"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48</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大塘镇塘口农业生态观光园</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种植树木、花卉及建设相关配套设施，占地面积</w:t>
            </w:r>
            <w:r>
              <w:rPr>
                <w:rFonts w:hAnsi="BatangChe" w:cs="宋体"/>
                <w:kern w:val="0"/>
                <w:sz w:val="28"/>
                <w:szCs w:val="28"/>
              </w:rPr>
              <w:t>3000</w:t>
            </w:r>
            <w:r>
              <w:rPr>
                <w:rFonts w:hint="eastAsia" w:hAnsi="宋体" w:cs="宋体"/>
                <w:kern w:val="0"/>
                <w:sz w:val="28"/>
                <w:szCs w:val="28"/>
              </w:rPr>
              <w:t>亩</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2016-</w:t>
            </w:r>
          </w:p>
          <w:p>
            <w:pPr>
              <w:autoSpaceDN w:val="0"/>
              <w:spacing w:line="360" w:lineRule="exact"/>
              <w:jc w:val="center"/>
              <w:rPr>
                <w:rFonts w:hAnsi="宋体" w:cs="宋体"/>
                <w:kern w:val="0"/>
                <w:sz w:val="28"/>
                <w:szCs w:val="28"/>
              </w:rPr>
            </w:pPr>
            <w:r>
              <w:rPr>
                <w:rFonts w:hAnsi="宋体" w:cs="宋体"/>
                <w:kern w:val="0"/>
                <w:sz w:val="28"/>
                <w:szCs w:val="28"/>
              </w:rPr>
              <w:t>2020</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50000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广东星安农业科技有限公司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曲江区政府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r>
        <w:trPr>
          <w:trHeight w:val="996"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49</w:t>
            </w:r>
          </w:p>
        </w:tc>
        <w:tc>
          <w:tcPr>
            <w:tcW w:w="2731"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广兴牧业（新丰）增资扩产项目</w:t>
            </w:r>
          </w:p>
        </w:tc>
        <w:tc>
          <w:tcPr>
            <w:tcW w:w="4586"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占地面积</w:t>
            </w:r>
            <w:r>
              <w:rPr>
                <w:rFonts w:hAnsi="BatangChe" w:cs="宋体"/>
                <w:kern w:val="0"/>
                <w:sz w:val="28"/>
                <w:szCs w:val="28"/>
              </w:rPr>
              <w:t>170</w:t>
            </w:r>
            <w:r>
              <w:rPr>
                <w:rFonts w:hint="eastAsia" w:hAnsi="宋体" w:cs="宋体"/>
                <w:kern w:val="0"/>
                <w:sz w:val="28"/>
                <w:szCs w:val="28"/>
              </w:rPr>
              <w:t>亩</w:t>
            </w:r>
          </w:p>
        </w:tc>
        <w:tc>
          <w:tcPr>
            <w:tcW w:w="1299"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2017-</w:t>
            </w:r>
          </w:p>
          <w:p>
            <w:pPr>
              <w:autoSpaceDN w:val="0"/>
              <w:spacing w:line="360" w:lineRule="exact"/>
              <w:jc w:val="center"/>
              <w:rPr>
                <w:rFonts w:hAnsi="宋体" w:cs="宋体"/>
                <w:kern w:val="0"/>
                <w:sz w:val="28"/>
                <w:szCs w:val="28"/>
              </w:rPr>
            </w:pPr>
            <w:r>
              <w:rPr>
                <w:rFonts w:hAnsi="宋体" w:cs="宋体"/>
                <w:kern w:val="0"/>
                <w:sz w:val="28"/>
                <w:szCs w:val="28"/>
              </w:rPr>
              <w:t>2019</w:t>
            </w:r>
          </w:p>
        </w:tc>
        <w:tc>
          <w:tcPr>
            <w:tcW w:w="1080" w:type="dxa"/>
            <w:tcBorders>
              <w:top w:val="single" w:color="000000" w:sz="4" w:space="0"/>
              <w:left w:val="nil"/>
              <w:bottom w:val="single" w:color="000000" w:sz="4" w:space="0"/>
              <w:right w:val="single" w:color="000000" w:sz="4" w:space="0"/>
            </w:tcBorders>
            <w:vAlign w:val="center"/>
          </w:tcPr>
          <w:p>
            <w:pPr>
              <w:autoSpaceDN w:val="0"/>
              <w:spacing w:line="360" w:lineRule="exact"/>
              <w:jc w:val="center"/>
              <w:rPr>
                <w:rFonts w:hAnsi="宋体" w:cs="宋体"/>
                <w:kern w:val="0"/>
                <w:sz w:val="28"/>
                <w:szCs w:val="28"/>
              </w:rPr>
            </w:pPr>
            <w:r>
              <w:rPr>
                <w:rFonts w:hAnsi="宋体" w:cs="宋体"/>
                <w:kern w:val="0"/>
                <w:sz w:val="28"/>
                <w:szCs w:val="28"/>
              </w:rPr>
              <w:t>30000</w:t>
            </w:r>
          </w:p>
        </w:tc>
        <w:tc>
          <w:tcPr>
            <w:tcW w:w="1752"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广州广兴牧业设备（新丰）有限公司</w:t>
            </w:r>
          </w:p>
        </w:tc>
        <w:tc>
          <w:tcPr>
            <w:tcW w:w="1488"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r>
              <w:rPr>
                <w:rFonts w:hint="eastAsia" w:hAnsi="宋体" w:cs="宋体"/>
                <w:kern w:val="0"/>
                <w:sz w:val="28"/>
                <w:szCs w:val="28"/>
              </w:rPr>
              <w:t>新丰县政府</w:t>
            </w:r>
          </w:p>
        </w:tc>
        <w:tc>
          <w:tcPr>
            <w:tcW w:w="1034" w:type="dxa"/>
            <w:tcBorders>
              <w:top w:val="single" w:color="000000" w:sz="4" w:space="0"/>
              <w:left w:val="nil"/>
              <w:bottom w:val="single" w:color="000000" w:sz="4" w:space="0"/>
              <w:right w:val="single" w:color="000000" w:sz="4" w:space="0"/>
            </w:tcBorders>
            <w:vAlign w:val="center"/>
          </w:tcPr>
          <w:p>
            <w:pPr>
              <w:autoSpaceDN w:val="0"/>
              <w:spacing w:line="360" w:lineRule="exact"/>
              <w:rPr>
                <w:rFonts w:hAnsi="宋体" w:cs="宋体"/>
                <w:kern w:val="0"/>
                <w:sz w:val="28"/>
                <w:szCs w:val="28"/>
              </w:rPr>
            </w:pPr>
          </w:p>
        </w:tc>
      </w:tr>
    </w:tbl>
    <w:p>
      <w:pPr>
        <w:autoSpaceDN w:val="0"/>
        <w:spacing w:line="560" w:lineRule="exact"/>
        <w:rPr>
          <w:color w:val="000000"/>
          <w:kern w:val="0"/>
        </w:rPr>
        <w:sectPr>
          <w:pgSz w:w="16838" w:h="11906" w:orient="landscape"/>
          <w:pgMar w:top="1588" w:right="2098" w:bottom="1474" w:left="1985" w:header="851" w:footer="992" w:gutter="0"/>
          <w:cols w:space="720" w:num="1"/>
          <w:docGrid w:type="linesAndChars" w:linePitch="312" w:charSpace="0"/>
        </w:sectPr>
      </w:pPr>
    </w:p>
    <w:p>
      <w:pPr>
        <w:spacing w:line="56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韶关市供给侧结构性改革</w:t>
      </w:r>
      <w:r>
        <w:rPr>
          <w:rFonts w:ascii="方正小标宋简体" w:eastAsia="方正小标宋简体"/>
          <w:bCs/>
          <w:kern w:val="36"/>
          <w:sz w:val="44"/>
          <w:szCs w:val="44"/>
        </w:rPr>
        <w:t>2018</w:t>
      </w:r>
      <w:r>
        <w:rPr>
          <w:rFonts w:hint="eastAsia" w:ascii="方正小标宋简体" w:eastAsia="方正小标宋简体"/>
          <w:bCs/>
          <w:kern w:val="36"/>
          <w:sz w:val="44"/>
          <w:szCs w:val="44"/>
        </w:rPr>
        <w:t>年</w:t>
      </w:r>
    </w:p>
    <w:p>
      <w:pPr>
        <w:spacing w:line="560" w:lineRule="exact"/>
        <w:jc w:val="center"/>
        <w:rPr>
          <w:rFonts w:ascii="方正小标宋简体" w:eastAsia="方正小标宋简体"/>
          <w:bCs/>
          <w:kern w:val="36"/>
          <w:sz w:val="44"/>
          <w:szCs w:val="44"/>
        </w:rPr>
      </w:pPr>
      <w:r>
        <w:rPr>
          <w:rFonts w:hint="eastAsia" w:ascii="方正小标宋简体" w:eastAsia="方正小标宋简体"/>
          <w:bCs/>
          <w:kern w:val="36"/>
          <w:sz w:val="44"/>
          <w:szCs w:val="44"/>
        </w:rPr>
        <w:t>打造服务高地工作方案</w:t>
      </w:r>
    </w:p>
    <w:p>
      <w:pPr>
        <w:autoSpaceDN w:val="0"/>
        <w:spacing w:line="560" w:lineRule="exact"/>
        <w:rPr>
          <w:rFonts w:hAnsi="Calibri" w:cs="宋体"/>
          <w:kern w:val="0"/>
          <w:sz w:val="21"/>
          <w:szCs w:val="21"/>
        </w:rPr>
      </w:pPr>
    </w:p>
    <w:p>
      <w:pPr>
        <w:autoSpaceDN w:val="0"/>
        <w:spacing w:line="560" w:lineRule="exact"/>
        <w:ind w:firstLine="640"/>
        <w:rPr>
          <w:rFonts w:hAnsi="Calibri" w:cs="宋体"/>
          <w:kern w:val="0"/>
        </w:rPr>
      </w:pPr>
      <w:r>
        <w:rPr>
          <w:rFonts w:hint="eastAsia" w:hAnsi="Calibri" w:cs="宋体"/>
          <w:kern w:val="0"/>
        </w:rPr>
        <w:t>为贯彻落实市委、市政府关于深化供给侧结构性改革的决策部署，切实做好我市“提高行政效率，打造政务服务高地”工作，更快更好地促进企业注册、投资项目、投资审批等事项落地，对照《韶关市人民政府关于印发韶关市供给侧结构性改革总体方案（</w:t>
      </w:r>
      <w:r>
        <w:rPr>
          <w:rFonts w:hAnsi="Calibri" w:cs="宋体"/>
          <w:kern w:val="0"/>
        </w:rPr>
        <w:t>2016—2018</w:t>
      </w:r>
      <w:r>
        <w:rPr>
          <w:rFonts w:hint="eastAsia" w:hAnsi="Calibri" w:cs="宋体"/>
          <w:kern w:val="0"/>
        </w:rPr>
        <w:t>年）及五个行动计划的通知》（韶府〔</w:t>
      </w:r>
      <w:r>
        <w:rPr>
          <w:rFonts w:hAnsi="Calibri" w:cs="宋体"/>
          <w:kern w:val="0"/>
        </w:rPr>
        <w:t>2016</w:t>
      </w:r>
      <w:r>
        <w:rPr>
          <w:rFonts w:hint="eastAsia" w:hAnsi="Calibri" w:cs="宋体"/>
          <w:kern w:val="0"/>
        </w:rPr>
        <w:t>〕</w:t>
      </w:r>
      <w:r>
        <w:rPr>
          <w:rFonts w:hAnsi="Calibri" w:cs="宋体"/>
          <w:kern w:val="0"/>
        </w:rPr>
        <w:t>17</w:t>
      </w:r>
      <w:r>
        <w:rPr>
          <w:rFonts w:hint="eastAsia" w:hAnsi="Calibri" w:cs="宋体"/>
          <w:kern w:val="0"/>
        </w:rPr>
        <w:t>号）和《韶关市人民政府办公室印发关于深化供给侧结构性改革加快经济振兴发展三年行动计划及五个行动计划的通知》（韶府办〔</w:t>
      </w:r>
      <w:r>
        <w:rPr>
          <w:rFonts w:hAnsi="Calibri" w:cs="宋体"/>
          <w:kern w:val="0"/>
        </w:rPr>
        <w:t>2018</w:t>
      </w:r>
      <w:r>
        <w:rPr>
          <w:rFonts w:hint="eastAsia" w:hAnsi="Calibri" w:cs="宋体"/>
          <w:kern w:val="0"/>
        </w:rPr>
        <w:t>〕</w:t>
      </w:r>
      <w:r>
        <w:rPr>
          <w:rFonts w:hAnsi="Calibri" w:cs="宋体"/>
          <w:kern w:val="0"/>
        </w:rPr>
        <w:t>1</w:t>
      </w:r>
      <w:r>
        <w:rPr>
          <w:rFonts w:hint="eastAsia" w:hAnsi="Calibri" w:cs="宋体"/>
          <w:kern w:val="0"/>
        </w:rPr>
        <w:t>号），制定本方案。</w:t>
      </w:r>
    </w:p>
    <w:p>
      <w:pPr>
        <w:autoSpaceDN w:val="0"/>
        <w:spacing w:line="560" w:lineRule="exact"/>
        <w:ind w:firstLine="640"/>
        <w:rPr>
          <w:rFonts w:ascii="黑体" w:hAnsi="黑体" w:eastAsia="黑体" w:cs="Arial"/>
          <w:kern w:val="0"/>
        </w:rPr>
      </w:pPr>
      <w:r>
        <w:rPr>
          <w:rFonts w:hint="eastAsia" w:ascii="黑体" w:hAnsi="黑体" w:eastAsia="黑体" w:cs="Arial"/>
          <w:kern w:val="0"/>
        </w:rPr>
        <w:t>一、工作目标</w:t>
      </w:r>
    </w:p>
    <w:p>
      <w:pPr>
        <w:autoSpaceDN w:val="0"/>
        <w:spacing w:line="560" w:lineRule="exact"/>
        <w:ind w:firstLine="640"/>
        <w:rPr>
          <w:rFonts w:hAnsi="Calibri" w:cs="宋体"/>
          <w:kern w:val="0"/>
        </w:rPr>
      </w:pPr>
      <w:r>
        <w:rPr>
          <w:rFonts w:hint="eastAsia" w:hAnsi="Calibri" w:cs="宋体"/>
          <w:kern w:val="0"/>
        </w:rPr>
        <w:t>通过改革，创新政府管理和服务方式，推进体制、机制和管理手段的完善，将我市打造成政务服务高效、营商环境优良、监督体系健全的政务服务高地，为提升我市经济发展，深化供给侧结构性改革，加快企业注册、投资项目、投资审批等事项落地，推进服务型政府建设打好坚实基础。</w:t>
      </w:r>
    </w:p>
    <w:p>
      <w:pPr>
        <w:autoSpaceDN w:val="0"/>
        <w:spacing w:line="560" w:lineRule="exact"/>
        <w:ind w:firstLine="640"/>
        <w:rPr>
          <w:rFonts w:ascii="黑体" w:hAnsi="黑体" w:eastAsia="黑体" w:cs="Arial"/>
          <w:kern w:val="0"/>
        </w:rPr>
      </w:pPr>
      <w:r>
        <w:rPr>
          <w:rFonts w:hint="eastAsia" w:ascii="黑体" w:hAnsi="黑体" w:eastAsia="黑体" w:cs="Arial"/>
          <w:kern w:val="0"/>
        </w:rPr>
        <w:t>二、重点任务与政策措施</w:t>
      </w:r>
    </w:p>
    <w:p>
      <w:pPr>
        <w:autoSpaceDN w:val="0"/>
        <w:spacing w:line="560" w:lineRule="exact"/>
        <w:ind w:firstLine="640"/>
        <w:rPr>
          <w:rFonts w:hAnsi="Calibri"/>
          <w:kern w:val="0"/>
        </w:rPr>
      </w:pPr>
      <w:r>
        <w:rPr>
          <w:rFonts w:hint="eastAsia" w:ascii="楷体_GB2312" w:eastAsia="楷体_GB2312"/>
          <w:kern w:val="0"/>
        </w:rPr>
        <w:t>（一）全面提升行政审批效率。</w:t>
      </w:r>
    </w:p>
    <w:p>
      <w:pPr>
        <w:autoSpaceDN w:val="0"/>
        <w:spacing w:line="560" w:lineRule="exact"/>
        <w:ind w:firstLine="640"/>
        <w:rPr>
          <w:rFonts w:ascii="Calibri" w:hAnsi="Calibri" w:eastAsia="宋体" w:cs="宋体"/>
          <w:kern w:val="0"/>
          <w:sz w:val="21"/>
          <w:szCs w:val="21"/>
        </w:rPr>
      </w:pPr>
      <w:r>
        <w:rPr>
          <w:rFonts w:hAnsi="Calibri" w:cs="宋体"/>
          <w:kern w:val="0"/>
        </w:rPr>
        <w:t>1</w:t>
      </w:r>
      <w:r>
        <w:rPr>
          <w:rFonts w:hint="eastAsia" w:hAnsi="Calibri" w:cs="宋体"/>
          <w:kern w:val="0"/>
        </w:rPr>
        <w:t>．加快推进行政审批改革。</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1</w:t>
      </w:r>
      <w:r>
        <w:rPr>
          <w:rFonts w:hint="eastAsia" w:hAnsi="Calibri" w:cs="宋体"/>
          <w:kern w:val="0"/>
        </w:rPr>
        <w:t>）继续精简规范行政许可事项。根据国家和省改革情况以及广东省行政许可事项通用目录更新情况，动态出台《韶关市市级行政许可事项目录（</w:t>
      </w:r>
      <w:r>
        <w:rPr>
          <w:rFonts w:hAnsi="Calibri" w:cs="宋体"/>
          <w:kern w:val="0"/>
        </w:rPr>
        <w:t>2018</w:t>
      </w:r>
      <w:r>
        <w:rPr>
          <w:rFonts w:hint="eastAsia" w:hAnsi="Calibri" w:cs="宋体"/>
          <w:kern w:val="0"/>
        </w:rPr>
        <w:t>年版）》，继续精简、规范行政许可事项，持续推进职权下沉和服务前移。</w:t>
      </w:r>
      <w:r>
        <w:rPr>
          <w:rFonts w:hint="eastAsia" w:ascii="楷体_GB2312" w:hAnsi="黑体" w:eastAsia="楷体_GB2312" w:cs="宋体"/>
          <w:kern w:val="0"/>
        </w:rPr>
        <w:t>（市编办）</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2</w:t>
      </w:r>
      <w:r>
        <w:rPr>
          <w:rFonts w:hint="eastAsia" w:hAnsi="Calibri" w:cs="宋体"/>
          <w:kern w:val="0"/>
        </w:rPr>
        <w:t>）深化中介服务改革。根据国家和省的清理规范情况，继续开展我市政府部门行政审批中介服务事项清理，出台《韶关市人民政府决定第三批清理规范的市政府部门行政审批中介服务事项目录》。</w:t>
      </w:r>
      <w:r>
        <w:rPr>
          <w:rFonts w:hint="eastAsia" w:ascii="楷体_GB2312" w:hAnsi="黑体" w:eastAsia="楷体_GB2312" w:cs="宋体"/>
          <w:kern w:val="0"/>
        </w:rPr>
        <w:t>（市编办）</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3</w:t>
      </w:r>
      <w:r>
        <w:rPr>
          <w:rFonts w:hint="eastAsia" w:hAnsi="Calibri" w:cs="宋体"/>
          <w:kern w:val="0"/>
        </w:rPr>
        <w:t>）加强权责清单管理。落实权责清单管理要求，做好省委托、下放行政职权承接工作。根据省的部署要求，以权责清单为基础，大力规范政府权力事项，编制和公开各项行政权力事项的办事指南，推动我市政府治理能力现代化和建设法治政府、服务型政府不断取得新的进步。</w:t>
      </w:r>
      <w:r>
        <w:rPr>
          <w:rFonts w:hint="eastAsia" w:ascii="楷体_GB2312" w:hAnsi="黑体" w:eastAsia="楷体_GB2312" w:cs="宋体"/>
          <w:kern w:val="0"/>
        </w:rPr>
        <w:t>（市编办）</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4</w:t>
      </w:r>
      <w:r>
        <w:rPr>
          <w:rFonts w:hint="eastAsia" w:hAnsi="Calibri" w:cs="宋体"/>
          <w:kern w:val="0"/>
        </w:rPr>
        <w:t>）推进“减证便民”行动。坚持以为群众办事生活增便利为出发点和立足点，围绕解决烦扰群众的各种“奇葩”证明、循环证明、重复证明等问题，开展“减证便民”行动，清理规范涉及群众创业办事各类证明，出台韶关市取消的证明事项目录，坚决砍掉各类无谓的证明和繁琐的手续，最大限度方便群众办事创业。</w:t>
      </w:r>
      <w:r>
        <w:rPr>
          <w:rFonts w:hint="eastAsia" w:ascii="楷体_GB2312" w:hAnsi="黑体" w:eastAsia="楷体_GB2312" w:cs="宋体"/>
          <w:kern w:val="0"/>
        </w:rPr>
        <w:t>（市编办）</w:t>
      </w:r>
    </w:p>
    <w:p>
      <w:pPr>
        <w:autoSpaceDN w:val="0"/>
        <w:spacing w:line="560" w:lineRule="exact"/>
        <w:ind w:firstLine="640"/>
        <w:rPr>
          <w:rFonts w:hAnsi="Calibri" w:cs="宋体"/>
          <w:kern w:val="0"/>
        </w:rPr>
      </w:pPr>
      <w:r>
        <w:rPr>
          <w:rFonts w:hAnsi="Calibri" w:cs="宋体"/>
          <w:kern w:val="0"/>
        </w:rPr>
        <w:t>2</w:t>
      </w:r>
      <w:r>
        <w:rPr>
          <w:rFonts w:hint="eastAsia" w:hAnsi="Calibri" w:cs="宋体"/>
          <w:kern w:val="0"/>
        </w:rPr>
        <w:t>．加快推进“一门式一网式”政务服务改革。</w:t>
      </w:r>
    </w:p>
    <w:p>
      <w:pPr>
        <w:autoSpaceDN w:val="0"/>
        <w:spacing w:line="560" w:lineRule="exact"/>
        <w:ind w:firstLine="640"/>
        <w:rPr>
          <w:rFonts w:ascii="楷体_GB2312" w:hAnsi="黑体" w:eastAsia="楷体_GB2312" w:cs="宋体"/>
          <w:kern w:val="0"/>
        </w:rPr>
      </w:pPr>
      <w:r>
        <w:rPr>
          <w:rFonts w:hint="eastAsia" w:hAnsi="Calibri" w:cs="宋体"/>
          <w:kern w:val="0"/>
        </w:rPr>
        <w:t>（</w:t>
      </w:r>
      <w:r>
        <w:rPr>
          <w:rFonts w:hAnsi="Calibri" w:cs="宋体"/>
          <w:kern w:val="0"/>
        </w:rPr>
        <w:t>1</w:t>
      </w:r>
      <w:r>
        <w:rPr>
          <w:rFonts w:hint="eastAsia" w:hAnsi="Calibri" w:cs="宋体"/>
          <w:kern w:val="0"/>
        </w:rPr>
        <w:t>）升级完善市级“一门式一网式”政务服务平台。全面推广应用“一门式一网式”政务服务模式，推行标准化审批服务，行政许可事项、公共服务事项基本实现标准化审批，打造“阳光审批”。升级市级“一门式一网式”政务服务平台，不断完善“一门式一网式”运行机制，加强前台和后台无缝对接。加快继续扩大综合服务窗口进驻单位和事项，推动行政审批事项进驻实体办事大厅。优化事项审批流程，提高事项即办率，鼓励简单事项推行即来即办、无纸化审批、网上全流程办理模式，建立容缺受理制度，推行容缺受理模式，优化部门内部审批流程，鼓励部门压缩承诺件时限，提高承诺件提速率。推广事项同办联办服务模式，推进多个事项同办服务、特定事项联办服务，扩展联办事项，实现小微企业“只跑一次”目标。创新管理体制，加强综合服务窗口建设和人员管理，强化办事大厅管理，提升服务水平。</w:t>
      </w:r>
      <w:r>
        <w:rPr>
          <w:rFonts w:hint="eastAsia" w:ascii="楷体_GB2312" w:hAnsi="黑体" w:eastAsia="楷体_GB2312" w:cs="宋体"/>
          <w:kern w:val="0"/>
        </w:rPr>
        <w:t>（市行政服务中心、市发改局、市直有关单位</w:t>
      </w:r>
      <w:r>
        <w:rPr>
          <w:rFonts w:hint="eastAsia" w:ascii="楷体_GB2312" w:hAnsi="黑体" w:eastAsia="楷体_GB2312"/>
          <w:kern w:val="0"/>
        </w:rPr>
        <w:t>，排名第一的单位为牵头单位，下同</w:t>
      </w:r>
      <w:r>
        <w:rPr>
          <w:rFonts w:hint="eastAsia" w:ascii="楷体_GB2312" w:hAnsi="黑体" w:eastAsia="楷体_GB2312" w:cs="宋体"/>
          <w:kern w:val="0"/>
        </w:rPr>
        <w:t>）</w:t>
      </w:r>
    </w:p>
    <w:p>
      <w:pPr>
        <w:autoSpaceDN w:val="0"/>
        <w:spacing w:line="560" w:lineRule="exact"/>
        <w:ind w:firstLine="640"/>
        <w:rPr>
          <w:rFonts w:ascii="楷体_GB2312" w:hAnsi="黑体" w:eastAsia="楷体_GB2312" w:cs="宋体"/>
          <w:kern w:val="0"/>
        </w:rPr>
      </w:pPr>
      <w:r>
        <w:rPr>
          <w:rFonts w:hint="eastAsia" w:hAnsi="Calibri" w:cs="宋体"/>
          <w:kern w:val="0"/>
        </w:rPr>
        <w:t>（</w:t>
      </w:r>
      <w:r>
        <w:rPr>
          <w:rFonts w:hAnsi="Calibri" w:cs="宋体"/>
          <w:kern w:val="0"/>
        </w:rPr>
        <w:t>2</w:t>
      </w:r>
      <w:r>
        <w:rPr>
          <w:rFonts w:hint="eastAsia" w:hAnsi="Calibri" w:cs="宋体"/>
          <w:kern w:val="0"/>
        </w:rPr>
        <w:t>）加快推进“一网式”改革。完成市政务云平台基础（机房）建设，推进市级一门式一网式系统实施，优化技术手段和时限提醒功能，实现一网受理、分类审批、限时办理，研究确定系统功能开发和完善的内容，进一步优化完善系统，做好应用培训和工作指导。加快网上办事大厅和部门自建审批系统对接，推广应用政务信息资源共享平台，加强信息数据的互联互通，避免重复录入。大力推行“互联网</w:t>
      </w:r>
      <w:r>
        <w:rPr>
          <w:rFonts w:hAnsi="Calibri" w:cs="宋体"/>
          <w:kern w:val="0"/>
        </w:rPr>
        <w:t>+</w:t>
      </w:r>
      <w:r>
        <w:rPr>
          <w:rFonts w:hint="eastAsia" w:hAnsi="Calibri" w:cs="宋体"/>
          <w:kern w:val="0"/>
        </w:rPr>
        <w:t>政务服务”，做好“一机两页”、电子证照、政务云平台、政务信息资源共享平台等系统建设。</w:t>
      </w:r>
      <w:r>
        <w:rPr>
          <w:rFonts w:hint="eastAsia" w:ascii="楷体_GB2312" w:hAnsi="黑体" w:eastAsia="楷体_GB2312" w:cs="宋体"/>
          <w:kern w:val="0"/>
        </w:rPr>
        <w:t>〔各县（市、区）政府、市信息中心、市委网信办、市直有关单位〕</w:t>
      </w:r>
    </w:p>
    <w:p>
      <w:pPr>
        <w:autoSpaceDN w:val="0"/>
        <w:spacing w:line="560" w:lineRule="exact"/>
        <w:ind w:firstLine="640"/>
        <w:rPr>
          <w:rFonts w:ascii="楷体_GB2312" w:hAnsi="黑体" w:eastAsia="楷体_GB2312" w:cs="宋体"/>
          <w:kern w:val="0"/>
        </w:rPr>
      </w:pPr>
      <w:r>
        <w:rPr>
          <w:rFonts w:hint="eastAsia" w:hAnsi="Calibri" w:cs="宋体"/>
          <w:kern w:val="0"/>
        </w:rPr>
        <w:t>（</w:t>
      </w:r>
      <w:r>
        <w:rPr>
          <w:rFonts w:hAnsi="Calibri" w:cs="宋体"/>
          <w:kern w:val="0"/>
        </w:rPr>
        <w:t>3</w:t>
      </w:r>
      <w:r>
        <w:rPr>
          <w:rFonts w:hint="eastAsia" w:hAnsi="Calibri" w:cs="宋体"/>
          <w:kern w:val="0"/>
        </w:rPr>
        <w:t>）加快推广“一门式一网式”政务服务模式延伸至县（市、区）和镇、村。推进县（市、区）、镇、村三级政务服务事项标准化，规范统一事项目录、事项材料、申报流程，添加样本或范例，全面梳理事项办事标准。升级改造实体办事大厅，完成县、镇、村三级综合服务窗口建设，按照先易后难，先自然人后法人，成熟一批进驻一批的原则，整合单位和事项进驻综合服务窗口。各镇（街）、村（居）充分依托公共服务中心（站）设立综合服务窗口，整合镇、村全部政务服务事项进驻综合服务窗口并运行。各级按照“一门式一网式”要求完善事项目录、办事指南，建立各级综合服务窗口运行机制和操作规范。推广实施“一门式一网式”政务服务信息系统，将各级梳理的政务服务事项进驻系统平台运行，真正实现“前台综合受理、后台分类审批、统一窗口出件”的服务模式。各级政务服务平台上下左右互联互通，信息充分共享，构建线上线下服务融合机制。运用“互联网</w:t>
      </w:r>
      <w:r>
        <w:rPr>
          <w:rFonts w:hAnsi="Calibri" w:cs="宋体"/>
          <w:kern w:val="0"/>
        </w:rPr>
        <w:t>+</w:t>
      </w:r>
      <w:r>
        <w:rPr>
          <w:rFonts w:hint="eastAsia" w:hAnsi="Calibri" w:cs="宋体"/>
          <w:kern w:val="0"/>
        </w:rPr>
        <w:t>机制创新”等手段，探索服务前移、同办联办、全市通办，提升群众办事便利度，切实减少群众办事跑动次数。发展移动客户端、自助终端并实现有效应用，鼓励自助终端服务项目多点布置，显现政务服务的便捷性，保障政务服务延伸到末端。</w:t>
      </w:r>
      <w:r>
        <w:rPr>
          <w:rFonts w:hint="eastAsia" w:ascii="楷体_GB2312" w:hAnsi="黑体" w:eastAsia="楷体_GB2312" w:cs="宋体"/>
          <w:kern w:val="0"/>
        </w:rPr>
        <w:t>〔各县（市、区）政府，市经信局、市民政局、市财政局、市行政服务中心、市信息中心、市直有关单位〕</w:t>
      </w:r>
    </w:p>
    <w:p>
      <w:pPr>
        <w:autoSpaceDN w:val="0"/>
        <w:spacing w:line="560" w:lineRule="exact"/>
        <w:ind w:firstLine="640"/>
        <w:rPr>
          <w:rFonts w:hAnsi="Calibri" w:cs="宋体"/>
          <w:kern w:val="0"/>
        </w:rPr>
      </w:pPr>
      <w:r>
        <w:rPr>
          <w:rFonts w:hAnsi="Calibri" w:cs="宋体"/>
          <w:kern w:val="0"/>
        </w:rPr>
        <w:t>3</w:t>
      </w:r>
      <w:r>
        <w:rPr>
          <w:rFonts w:hint="eastAsia" w:hAnsi="Calibri" w:cs="宋体"/>
          <w:kern w:val="0"/>
        </w:rPr>
        <w:t>．加快推进项目投资审批改革。</w:t>
      </w:r>
    </w:p>
    <w:p>
      <w:pPr>
        <w:autoSpaceDN w:val="0"/>
        <w:spacing w:line="560" w:lineRule="exact"/>
        <w:ind w:firstLine="640"/>
        <w:rPr>
          <w:rFonts w:ascii="楷体_GB2312" w:hAnsi="黑体" w:eastAsia="楷体_GB2312" w:cs="宋体"/>
          <w:kern w:val="0"/>
        </w:rPr>
      </w:pPr>
      <w:r>
        <w:rPr>
          <w:rFonts w:hint="eastAsia" w:hAnsi="Calibri" w:cs="宋体"/>
          <w:kern w:val="0"/>
        </w:rPr>
        <w:t>（</w:t>
      </w:r>
      <w:r>
        <w:rPr>
          <w:rFonts w:hAnsi="Calibri" w:cs="宋体"/>
          <w:kern w:val="0"/>
        </w:rPr>
        <w:t>1</w:t>
      </w:r>
      <w:r>
        <w:rPr>
          <w:rFonts w:hint="eastAsia" w:hAnsi="Calibri" w:cs="宋体"/>
          <w:kern w:val="0"/>
        </w:rPr>
        <w:t>）推进项目审批制度改革。出台《韶关市优化投资项目审批流程实施方案》，精简建设项目审批事项，下放审批权限，进一步优化投资项目审批流程，推行并联审批、联合审图、联合验收，将不涉及新增建设用地的投资项目审批时限控制在</w:t>
      </w:r>
      <w:r>
        <w:rPr>
          <w:rFonts w:hAnsi="Calibri" w:cs="宋体"/>
          <w:kern w:val="0"/>
        </w:rPr>
        <w:t>28</w:t>
      </w:r>
      <w:r>
        <w:rPr>
          <w:rFonts w:hint="eastAsia" w:hAnsi="Calibri" w:cs="宋体"/>
          <w:kern w:val="0"/>
        </w:rPr>
        <w:t>天以内，并制定相应的审批流程图。进一步完善韶关市投资项目在线审批监管平台，加强审批部门人员培训和平台宣传推广应用，力争实现投资项目全流程在线审批、线上联合预审一次性综合告知、“</w:t>
      </w:r>
      <w:r>
        <w:rPr>
          <w:rFonts w:hAnsi="Calibri" w:cs="宋体"/>
          <w:kern w:val="0"/>
        </w:rPr>
        <w:t>N+1</w:t>
      </w:r>
      <w:r>
        <w:rPr>
          <w:rFonts w:hint="eastAsia" w:hAnsi="Calibri" w:cs="宋体"/>
          <w:kern w:val="0"/>
        </w:rPr>
        <w:t>天”并联审批。</w:t>
      </w:r>
      <w:r>
        <w:rPr>
          <w:rFonts w:hint="eastAsia" w:ascii="楷体_GB2312" w:hAnsi="黑体" w:eastAsia="楷体_GB2312" w:cs="宋体"/>
          <w:kern w:val="0"/>
        </w:rPr>
        <w:t>（市发改局、市国土资源局、市环保局、市住建管理局、市交通运输局、市规划局等市直有关单位）</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2</w:t>
      </w:r>
      <w:r>
        <w:rPr>
          <w:rFonts w:hint="eastAsia" w:hAnsi="Calibri" w:cs="宋体"/>
          <w:kern w:val="0"/>
        </w:rPr>
        <w:t>）完善协调工作机制。组建投资项目领导小组，建立项目快速协调机制，及时解决推进项目过程中遇到的各类问题，出台相关政策文件，明确具体解决办法。</w:t>
      </w:r>
      <w:r>
        <w:rPr>
          <w:rFonts w:hint="eastAsia" w:ascii="楷体_GB2312" w:hAnsi="黑体" w:eastAsia="楷体_GB2312" w:cs="宋体"/>
          <w:kern w:val="0"/>
        </w:rPr>
        <w:t>（市发改局）</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3</w:t>
      </w:r>
      <w:r>
        <w:rPr>
          <w:rFonts w:hint="eastAsia" w:hAnsi="Calibri" w:cs="宋体"/>
          <w:kern w:val="0"/>
        </w:rPr>
        <w:t>）推动对功能区放权。针对华南装备园、莞韶园等经济功能区，在法律法规的框架内，研究梳理出一批有利于园区管理、经济发展和项目落地等方面的职权，并推动以委托或授权的方式下放，助力功能区发展</w:t>
      </w:r>
      <w:r>
        <w:rPr>
          <w:rFonts w:hint="eastAsia" w:ascii="楷体_GB2312" w:hAnsi="黑体" w:eastAsia="楷体_GB2312" w:cs="宋体"/>
          <w:kern w:val="0"/>
        </w:rPr>
        <w:t>。（市发改局）</w:t>
      </w:r>
    </w:p>
    <w:p>
      <w:pPr>
        <w:autoSpaceDN w:val="0"/>
        <w:spacing w:line="560" w:lineRule="exact"/>
        <w:ind w:firstLine="640"/>
        <w:rPr>
          <w:rFonts w:ascii="楷体_GB2312" w:hAnsi="黑体" w:eastAsia="楷体_GB2312" w:cs="宋体"/>
          <w:kern w:val="0"/>
        </w:rPr>
      </w:pPr>
      <w:r>
        <w:rPr>
          <w:rFonts w:hint="eastAsia" w:hAnsi="Calibri" w:cs="宋体"/>
          <w:kern w:val="0"/>
        </w:rPr>
        <w:t>（</w:t>
      </w:r>
      <w:r>
        <w:rPr>
          <w:rFonts w:hAnsi="Calibri" w:cs="宋体"/>
          <w:kern w:val="0"/>
        </w:rPr>
        <w:t>4</w:t>
      </w:r>
      <w:r>
        <w:rPr>
          <w:rFonts w:hint="eastAsia" w:hAnsi="Calibri" w:cs="宋体"/>
          <w:kern w:val="0"/>
        </w:rPr>
        <w:t>）探索推广“管家式”政务服务。主动对接服务企业发展需求，依托专业服务团队，综合运用联席会议，“绿色通道”等方式协调企业反映的跨部门、跨地区问题。</w:t>
      </w:r>
      <w:r>
        <w:rPr>
          <w:rFonts w:hint="eastAsia" w:ascii="楷体_GB2312" w:hAnsi="黑体" w:eastAsia="楷体_GB2312" w:cs="宋体"/>
          <w:kern w:val="0"/>
        </w:rPr>
        <w:t>（市发改局、市行政服务中心）</w:t>
      </w:r>
    </w:p>
    <w:p>
      <w:pPr>
        <w:autoSpaceDN w:val="0"/>
        <w:spacing w:line="560" w:lineRule="exact"/>
        <w:ind w:firstLine="640"/>
        <w:rPr>
          <w:rFonts w:hAnsi="黑体" w:cs="宋体"/>
          <w:kern w:val="0"/>
        </w:rPr>
      </w:pPr>
      <w:r>
        <w:rPr>
          <w:rFonts w:hAnsi="黑体" w:cs="宋体"/>
          <w:kern w:val="0"/>
        </w:rPr>
        <w:t>4</w:t>
      </w:r>
      <w:r>
        <w:rPr>
          <w:rFonts w:hint="eastAsia" w:hAnsi="黑体" w:cs="宋体"/>
          <w:kern w:val="0"/>
        </w:rPr>
        <w:t>．加快推进商事制度改革。</w:t>
      </w:r>
    </w:p>
    <w:p>
      <w:pPr>
        <w:autoSpaceDN w:val="0"/>
        <w:spacing w:line="560" w:lineRule="exact"/>
        <w:ind w:firstLine="640"/>
        <w:rPr>
          <w:rFonts w:ascii="楷体_GB2312" w:hAnsi="Calibri" w:eastAsia="楷体_GB2312" w:cs="宋体"/>
          <w:kern w:val="0"/>
        </w:rPr>
      </w:pPr>
      <w:r>
        <w:rPr>
          <w:rFonts w:hint="eastAsia" w:hAnsi="Calibri" w:cs="宋体"/>
          <w:kern w:val="0"/>
        </w:rPr>
        <w:t>（</w:t>
      </w:r>
      <w:r>
        <w:rPr>
          <w:rFonts w:hAnsi="Calibri" w:cs="宋体"/>
          <w:kern w:val="0"/>
        </w:rPr>
        <w:t>1</w:t>
      </w:r>
      <w:r>
        <w:rPr>
          <w:rFonts w:hint="eastAsia" w:hAnsi="Calibri" w:cs="宋体"/>
          <w:kern w:val="0"/>
        </w:rPr>
        <w:t>）推进“多证合一”改革。对标国际先进水平，压缩开办企业的程序、环节和时间，力争在开办企业流程改革重构方面取得突破。按照全国统一的“多证合一”改革涉企证照事项目录，加强与社保、税务等部门信息共享，把属于信息采集、记载公示、管理备案类的各种证整合到营业执照上。进一步加强窗口建设，配强窗口服务力量，确保各项改革落实到“最后一公里”。</w:t>
      </w:r>
      <w:r>
        <w:rPr>
          <w:rFonts w:hint="eastAsia" w:ascii="楷体_GB2312" w:hAnsi="黑体" w:eastAsia="楷体_GB2312" w:cs="宋体"/>
          <w:kern w:val="0"/>
        </w:rPr>
        <w:t>（市工商局）</w:t>
      </w:r>
    </w:p>
    <w:p>
      <w:pPr>
        <w:autoSpaceDN w:val="0"/>
        <w:spacing w:line="560" w:lineRule="exact"/>
        <w:ind w:firstLine="640"/>
        <w:rPr>
          <w:rFonts w:ascii="楷体_GB2312" w:hAnsi="黑体" w:eastAsia="楷体_GB2312" w:cs="宋体"/>
          <w:kern w:val="0"/>
        </w:rPr>
      </w:pPr>
      <w:r>
        <w:rPr>
          <w:rFonts w:hint="eastAsia" w:hAnsi="Calibri" w:cs="宋体"/>
          <w:kern w:val="0"/>
        </w:rPr>
        <w:t>（</w:t>
      </w:r>
      <w:r>
        <w:rPr>
          <w:rFonts w:hAnsi="Calibri" w:cs="宋体"/>
          <w:kern w:val="0"/>
        </w:rPr>
        <w:t>2</w:t>
      </w:r>
      <w:r>
        <w:rPr>
          <w:rFonts w:hint="eastAsia" w:hAnsi="Calibri" w:cs="宋体"/>
          <w:kern w:val="0"/>
        </w:rPr>
        <w:t>）大力推广全程电子化商事登记和电子营业执照应用。加大力度推广全程电子化商事登记，积极引导企业和群众网上办照，在实现区域、业务、主体类型全覆盖的基础上，全面提高“网办率”，实现“互联网</w:t>
      </w:r>
      <w:r>
        <w:rPr>
          <w:rFonts w:hAnsi="Calibri" w:cs="宋体"/>
          <w:kern w:val="0"/>
        </w:rPr>
        <w:t>+</w:t>
      </w:r>
      <w:r>
        <w:rPr>
          <w:rFonts w:hint="eastAsia" w:hAnsi="Calibri" w:cs="宋体"/>
          <w:kern w:val="0"/>
        </w:rPr>
        <w:t>”环境下的“一照走天下”。</w:t>
      </w:r>
      <w:r>
        <w:rPr>
          <w:rFonts w:hint="eastAsia" w:ascii="楷体_GB2312" w:hAnsi="黑体" w:eastAsia="楷体_GB2312" w:cs="宋体"/>
          <w:kern w:val="0"/>
        </w:rPr>
        <w:t>（市工商局）</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3</w:t>
      </w:r>
      <w:r>
        <w:rPr>
          <w:rFonts w:hint="eastAsia" w:hAnsi="Calibri" w:cs="宋体"/>
          <w:kern w:val="0"/>
        </w:rPr>
        <w:t>）推行“马上办”服务模式。按照简政放权、放管结合、优化服务的要求，积极落实商事制度改革各项政策</w:t>
      </w:r>
      <w:r>
        <w:rPr>
          <w:rFonts w:hAnsi="Calibri" w:cs="宋体"/>
          <w:kern w:val="0"/>
        </w:rPr>
        <w:t>,</w:t>
      </w:r>
      <w:r>
        <w:rPr>
          <w:rFonts w:hint="eastAsia" w:hAnsi="Calibri" w:cs="宋体"/>
          <w:kern w:val="0"/>
        </w:rPr>
        <w:t>简化办事流程，对符合办理条件，能当场办结的业务应当当场办结；不能当场办结的应当压缩至最短时限内办结。进一步破解企业办证难和群众办事难的突出问题，降低准入门槛，提高服务水平，优化营商环境。</w:t>
      </w:r>
      <w:r>
        <w:rPr>
          <w:rFonts w:hint="eastAsia" w:ascii="楷体_GB2312" w:hAnsi="黑体" w:eastAsia="楷体_GB2312" w:cs="宋体"/>
          <w:kern w:val="0"/>
        </w:rPr>
        <w:t>（市工商局）</w:t>
      </w:r>
    </w:p>
    <w:p>
      <w:pPr>
        <w:autoSpaceDN w:val="0"/>
        <w:spacing w:line="560" w:lineRule="exact"/>
        <w:ind w:firstLine="640"/>
        <w:rPr>
          <w:rFonts w:ascii="楷体_GB2312" w:hAnsi="黑体" w:eastAsia="楷体_GB2312" w:cs="宋体"/>
          <w:kern w:val="0"/>
        </w:rPr>
      </w:pPr>
      <w:r>
        <w:rPr>
          <w:rFonts w:hint="eastAsia" w:hAnsi="Calibri" w:cs="宋体"/>
          <w:kern w:val="0"/>
        </w:rPr>
        <w:t>（</w:t>
      </w:r>
      <w:r>
        <w:rPr>
          <w:rFonts w:hAnsi="Calibri" w:cs="宋体"/>
          <w:kern w:val="0"/>
        </w:rPr>
        <w:t>4</w:t>
      </w:r>
      <w:r>
        <w:rPr>
          <w:rFonts w:hint="eastAsia" w:hAnsi="Calibri" w:cs="宋体"/>
          <w:kern w:val="0"/>
        </w:rPr>
        <w:t>）进一步优化审批服务。减少办证环节，压缩开办企业时间，降低市场准入制度性成本。实行标准化服务和限时办结承诺。加强办证窗口标准化管理，按照国家和省的调整而调整更新行政许可事项办事指南和业务手册，对现有企业登记注册流程进行再梳理，简化优化，做到“三个统一”，即登记流程统一、材料标准统一、审批标准统一，使群众对企业设立、变更、注销的各个步骤及流程“一看就明白、一办能办成”。</w:t>
      </w:r>
      <w:r>
        <w:rPr>
          <w:rFonts w:hint="eastAsia" w:ascii="楷体_GB2312" w:hAnsi="黑体" w:eastAsia="楷体_GB2312" w:cs="宋体"/>
          <w:kern w:val="0"/>
        </w:rPr>
        <w:t>（市工商局）</w:t>
      </w:r>
    </w:p>
    <w:p>
      <w:pPr>
        <w:autoSpaceDN w:val="0"/>
        <w:spacing w:line="560" w:lineRule="exact"/>
        <w:ind w:firstLine="640"/>
        <w:rPr>
          <w:rFonts w:hAnsi="Calibri" w:eastAsia="宋体"/>
          <w:kern w:val="0"/>
        </w:rPr>
      </w:pPr>
      <w:r>
        <w:rPr>
          <w:rFonts w:hint="eastAsia" w:ascii="楷体_GB2312" w:eastAsia="楷体_GB2312"/>
          <w:kern w:val="0"/>
        </w:rPr>
        <w:t>（二）全面提升服务企业水平。</w:t>
      </w:r>
    </w:p>
    <w:p>
      <w:pPr>
        <w:autoSpaceDN w:val="0"/>
        <w:spacing w:line="560" w:lineRule="exact"/>
        <w:ind w:firstLine="640"/>
        <w:rPr>
          <w:rFonts w:ascii="Calibri" w:hAnsi="Calibri" w:eastAsia="宋体" w:cs="宋体"/>
          <w:kern w:val="0"/>
          <w:sz w:val="21"/>
          <w:szCs w:val="21"/>
        </w:rPr>
      </w:pPr>
      <w:r>
        <w:rPr>
          <w:rFonts w:hAnsi="Calibri" w:cs="宋体"/>
          <w:kern w:val="0"/>
        </w:rPr>
        <w:t>1</w:t>
      </w:r>
      <w:r>
        <w:rPr>
          <w:rFonts w:hint="eastAsia" w:hAnsi="Calibri" w:cs="宋体"/>
          <w:kern w:val="0"/>
        </w:rPr>
        <w:t>．切实优化惠企政策。</w:t>
      </w:r>
    </w:p>
    <w:p>
      <w:pPr>
        <w:autoSpaceDN w:val="0"/>
        <w:spacing w:line="560" w:lineRule="exact"/>
        <w:ind w:firstLine="640"/>
        <w:rPr>
          <w:rFonts w:ascii="楷体_GB2312" w:hAnsi="黑体" w:eastAsia="楷体_GB2312" w:cs="宋体"/>
          <w:kern w:val="0"/>
        </w:rPr>
      </w:pPr>
      <w:r>
        <w:rPr>
          <w:rFonts w:hint="eastAsia" w:hAnsi="Calibri" w:cs="宋体"/>
          <w:kern w:val="0"/>
        </w:rPr>
        <w:t>（</w:t>
      </w:r>
      <w:r>
        <w:rPr>
          <w:rFonts w:hAnsi="Calibri" w:cs="宋体"/>
          <w:kern w:val="0"/>
        </w:rPr>
        <w:t>1</w:t>
      </w:r>
      <w:r>
        <w:rPr>
          <w:rFonts w:hint="eastAsia" w:hAnsi="Calibri" w:cs="宋体"/>
          <w:kern w:val="0"/>
        </w:rPr>
        <w:t>）梳理现有优惠政策并汇总成册，强化落实，建立扶持企业政策合力机制。落实企业研发机构扶持政策，制定企业研发机构奖补政策的实施细则和推动企业建立研发机构年度工作方案，出台《</w:t>
      </w:r>
      <w:r>
        <w:rPr>
          <w:rFonts w:hAnsi="Calibri" w:cs="宋体"/>
          <w:kern w:val="0"/>
        </w:rPr>
        <w:t>&lt;</w:t>
      </w:r>
      <w:r>
        <w:rPr>
          <w:rFonts w:hint="eastAsia" w:hAnsi="Calibri" w:cs="宋体"/>
          <w:kern w:val="0"/>
        </w:rPr>
        <w:t>韶关市培育高新技术企业扶持办法</w:t>
      </w:r>
      <w:r>
        <w:rPr>
          <w:rFonts w:hAnsi="Calibri" w:cs="宋体"/>
          <w:kern w:val="0"/>
        </w:rPr>
        <w:t>&gt;</w:t>
      </w:r>
      <w:r>
        <w:rPr>
          <w:rFonts w:hint="eastAsia" w:hAnsi="Calibri" w:cs="宋体"/>
          <w:kern w:val="0"/>
        </w:rPr>
        <w:t>实施细则》。大力开展公共就业服务</w:t>
      </w:r>
      <w:r>
        <w:rPr>
          <w:rFonts w:hAnsi="Calibri" w:cs="宋体"/>
          <w:kern w:val="0"/>
        </w:rPr>
        <w:t>,</w:t>
      </w:r>
      <w:r>
        <w:rPr>
          <w:rFonts w:hint="eastAsia" w:hAnsi="Calibri" w:cs="宋体"/>
          <w:kern w:val="0"/>
        </w:rPr>
        <w:t>降低企业社会保险成本。组织实施</w:t>
      </w:r>
      <w:r>
        <w:rPr>
          <w:rFonts w:hAnsi="Calibri" w:cs="宋体"/>
          <w:kern w:val="0"/>
        </w:rPr>
        <w:t>2018</w:t>
      </w:r>
      <w:r>
        <w:rPr>
          <w:rFonts w:hint="eastAsia" w:hAnsi="Calibri" w:cs="宋体"/>
          <w:kern w:val="0"/>
        </w:rPr>
        <w:t>年“双百”人才工程项目，制定我市产业科技人才实施细则，做好</w:t>
      </w:r>
      <w:r>
        <w:rPr>
          <w:rFonts w:hAnsi="Calibri" w:cs="宋体"/>
          <w:kern w:val="0"/>
        </w:rPr>
        <w:t>2018</w:t>
      </w:r>
      <w:r>
        <w:rPr>
          <w:rFonts w:hint="eastAsia" w:hAnsi="Calibri" w:cs="宋体"/>
          <w:kern w:val="0"/>
        </w:rPr>
        <w:t>年产业科技人才申报、受理、审核和资金发放工作。加大人才引进培养力度</w:t>
      </w:r>
      <w:r>
        <w:rPr>
          <w:rFonts w:hAnsi="Calibri" w:cs="宋体"/>
          <w:kern w:val="0"/>
        </w:rPr>
        <w:t>,</w:t>
      </w:r>
      <w:r>
        <w:rPr>
          <w:rFonts w:hint="eastAsia" w:hAnsi="Calibri" w:cs="宋体"/>
          <w:kern w:val="0"/>
        </w:rPr>
        <w:t>加强专业技术人才和技能人才队伍建设。研究出台支持有效投资、生态经济、外贸企业、民生经济等优惠政策，对符合规定条件的企业和个人享受优惠政策。</w:t>
      </w:r>
      <w:r>
        <w:rPr>
          <w:rFonts w:hint="eastAsia" w:ascii="楷体_GB2312" w:hAnsi="黑体" w:eastAsia="楷体_GB2312" w:cs="宋体"/>
          <w:kern w:val="0"/>
        </w:rPr>
        <w:t>（市经信局、市科技局、市财政局、市人社局、市商务局）</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2</w:t>
      </w:r>
      <w:r>
        <w:rPr>
          <w:rFonts w:hint="eastAsia" w:hAnsi="Calibri" w:cs="宋体"/>
          <w:kern w:val="0"/>
        </w:rPr>
        <w:t>）做好政策宣传培训。切实贯彻落实降低实体经济企业成本工作，组织举办“省实体经济十条”、《韶关市降低制造业企业成本支持实体经济发展若干政策措施》、企业研发费用税前加计扣除、财政补助、人才政策、扶持办法等政策培训宣讲培训活动，扩大政策覆盖面。</w:t>
      </w:r>
      <w:r>
        <w:rPr>
          <w:rFonts w:hint="eastAsia" w:ascii="楷体_GB2312" w:hAnsi="黑体" w:eastAsia="楷体_GB2312" w:cs="宋体"/>
          <w:kern w:val="0"/>
        </w:rPr>
        <w:t>（市经信局、市科技局）</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3</w:t>
      </w:r>
      <w:r>
        <w:rPr>
          <w:rFonts w:hint="eastAsia" w:hAnsi="Calibri" w:cs="宋体"/>
          <w:kern w:val="0"/>
        </w:rPr>
        <w:t>）发挥税收优惠政策的引导作用。认真贯彻落实棚户区改造减免、国家房地产交易环节税收优惠、小微企业税收优惠、国家高新技术企业优惠、降低制造业增值税税负、乳源少数民族地区所得税等优惠政策。扩大营改增试点范围，增加企业增值税进项抵扣。积极稳妥做好“僵尸企业”清理工作。妥善处理养老保险欠费历史遗留问题，严格落实政府性基金减免政策、涉企行政事业性收费减免政策，推进纳税信用体系建设，持续优化纳税服务、全面推行纳税人“最多跑一次”改革。</w:t>
      </w:r>
      <w:r>
        <w:rPr>
          <w:rFonts w:hint="eastAsia" w:ascii="楷体_GB2312" w:hAnsi="黑体" w:eastAsia="楷体_GB2312" w:cs="宋体"/>
          <w:kern w:val="0"/>
        </w:rPr>
        <w:t>（市税务局）</w:t>
      </w:r>
    </w:p>
    <w:p>
      <w:pPr>
        <w:autoSpaceDN w:val="0"/>
        <w:spacing w:line="560" w:lineRule="exact"/>
        <w:ind w:firstLine="640"/>
        <w:rPr>
          <w:rFonts w:hAnsi="Calibri" w:cs="宋体"/>
          <w:kern w:val="0"/>
        </w:rPr>
      </w:pPr>
      <w:r>
        <w:rPr>
          <w:rFonts w:hint="eastAsia" w:hAnsi="Calibri" w:cs="宋体"/>
          <w:kern w:val="0"/>
        </w:rPr>
        <w:t>（</w:t>
      </w:r>
      <w:r>
        <w:rPr>
          <w:rFonts w:hAnsi="Calibri" w:cs="宋体"/>
          <w:kern w:val="0"/>
        </w:rPr>
        <w:t>4</w:t>
      </w:r>
      <w:r>
        <w:rPr>
          <w:rFonts w:hint="eastAsia" w:hAnsi="Calibri" w:cs="宋体"/>
          <w:kern w:val="0"/>
        </w:rPr>
        <w:t>）组织政策措施落实情况的监督检查，委托第三方机构对政策实施效果进行评估。</w:t>
      </w:r>
      <w:r>
        <w:rPr>
          <w:rFonts w:hint="eastAsia" w:ascii="楷体_GB2312" w:hAnsi="黑体" w:eastAsia="楷体_GB2312" w:cs="宋体"/>
          <w:kern w:val="0"/>
        </w:rPr>
        <w:t>（市经信局）</w:t>
      </w:r>
    </w:p>
    <w:p>
      <w:pPr>
        <w:autoSpaceDN w:val="0"/>
        <w:spacing w:line="560" w:lineRule="exact"/>
        <w:ind w:firstLine="640"/>
        <w:rPr>
          <w:rFonts w:ascii="楷体_GB2312" w:hAnsi="黑体" w:eastAsia="楷体_GB2312" w:cs="宋体"/>
          <w:kern w:val="0"/>
        </w:rPr>
      </w:pPr>
      <w:r>
        <w:rPr>
          <w:rFonts w:hAnsi="Calibri" w:cs="宋体"/>
          <w:kern w:val="0"/>
        </w:rPr>
        <w:t>2</w:t>
      </w:r>
      <w:r>
        <w:rPr>
          <w:rFonts w:hint="eastAsia" w:hAnsi="Calibri" w:cs="宋体"/>
          <w:kern w:val="0"/>
        </w:rPr>
        <w:t>．搭建沟通服务渠道。一是建立健全政企双方网络互动平台。通过微信、网络、邮件和热线电话等渠道，为企业提供政策精选及推送、政务诉求、政务投诉、行政投诉、四风举报、办理进度提醒及自主查询、服务机构查询、服务专题查询、企业资料库、政企互动话题讨论等多项服务，扩大服务企业的渠道。完善和推广应用“政企通”服务平台，实时全程展示诉求处理动态。组织企业参加“政企通”服务平台培训，畅通企业诉求办理渠道。二是建立市领导和市直部门挂点联系企业制度，安排市四套班子成员和市直相关部门定期走访，深入所挂点联系企业开展调查研究，了解企业的运营情况，倾听企业的意见建议，协调解决企业生产经营过程中遇到的困难和问题，主动帮助协调解决问题。</w:t>
      </w:r>
      <w:r>
        <w:rPr>
          <w:rFonts w:hint="eastAsia" w:ascii="楷体_GB2312" w:hAnsi="黑体" w:eastAsia="楷体_GB2312" w:cs="宋体"/>
          <w:kern w:val="0"/>
        </w:rPr>
        <w:t>（市经信局）</w:t>
      </w:r>
    </w:p>
    <w:p>
      <w:pPr>
        <w:autoSpaceDN w:val="0"/>
        <w:spacing w:line="560" w:lineRule="exact"/>
        <w:ind w:firstLine="640"/>
        <w:rPr>
          <w:rFonts w:hAnsi="Calibri" w:cs="宋体"/>
          <w:kern w:val="0"/>
        </w:rPr>
      </w:pPr>
      <w:r>
        <w:rPr>
          <w:rFonts w:hAnsi="Calibri" w:cs="宋体"/>
          <w:kern w:val="0"/>
        </w:rPr>
        <w:t>3</w:t>
      </w:r>
      <w:r>
        <w:rPr>
          <w:rFonts w:hint="eastAsia" w:hAnsi="Calibri" w:cs="宋体"/>
          <w:kern w:val="0"/>
        </w:rPr>
        <w:t>．提高公共服务供给效率。</w:t>
      </w:r>
    </w:p>
    <w:p>
      <w:pPr>
        <w:autoSpaceDN w:val="0"/>
        <w:spacing w:line="560" w:lineRule="exact"/>
        <w:ind w:firstLine="640"/>
        <w:rPr>
          <w:rFonts w:ascii="楷体_GB2312" w:hAnsi="黑体" w:eastAsia="楷体_GB2312" w:cs="宋体"/>
          <w:kern w:val="0"/>
        </w:rPr>
      </w:pPr>
      <w:r>
        <w:rPr>
          <w:rFonts w:hint="eastAsia" w:hAnsi="Calibri" w:cs="宋体"/>
          <w:kern w:val="0"/>
        </w:rPr>
        <w:t>根据实际需要和财力状况，在城镇供水、污水垃圾处理、水利设施、公路水路基础设施、医疗机构、养老服务机构、教育机构、文化设施、体育设施等传统基础设施和公共服务领域，开展政府和社会资本合作（</w:t>
      </w:r>
      <w:r>
        <w:rPr>
          <w:rFonts w:hAnsi="Calibri" w:cs="宋体"/>
          <w:kern w:val="0"/>
        </w:rPr>
        <w:t>PPP</w:t>
      </w:r>
      <w:r>
        <w:rPr>
          <w:rFonts w:hint="eastAsia" w:hAnsi="Calibri" w:cs="宋体"/>
          <w:kern w:val="0"/>
        </w:rPr>
        <w:t>），优先通过招标、竞争性谈判等竞争性方式引进社会资本，鼓励通过市场化方式进行运营管理，扩大公共产品和服务供给。清理规范行政审批中介服务，推进中介服务市场化改革，建立韶关市网上中介超市。面向全国征集优秀中介机构进驻超市，打破中介服务地区保护壁垒，配套建立中介机构网上择优选取机制和中介服务质量信用评级机制，倒逼中介机构提高服务质量。政府投资涉及的中介服务优先从中介超市中选取，杜绝利益输送，防范政府廉政风险。</w:t>
      </w:r>
      <w:r>
        <w:rPr>
          <w:rFonts w:hint="eastAsia" w:ascii="楷体_GB2312" w:hAnsi="黑体" w:eastAsia="楷体_GB2312" w:cs="宋体"/>
          <w:kern w:val="0"/>
        </w:rPr>
        <w:t>（市发改局、市编办、市财政局、市国土资源局、市环保局、市住建管理局、市交通运输局、市规划局、市行政服务中心、市公共资源交易中心等市直有关单位）</w:t>
      </w:r>
    </w:p>
    <w:p>
      <w:pPr>
        <w:autoSpaceDN w:val="0"/>
        <w:spacing w:line="560" w:lineRule="exact"/>
        <w:ind w:firstLine="640"/>
        <w:rPr>
          <w:rFonts w:ascii="楷体_GB2312" w:hAnsi="黑体" w:eastAsia="楷体_GB2312" w:cs="宋体"/>
          <w:kern w:val="0"/>
        </w:rPr>
      </w:pPr>
      <w:r>
        <w:rPr>
          <w:rFonts w:hAnsi="Calibri" w:cs="宋体"/>
          <w:kern w:val="0"/>
        </w:rPr>
        <w:t>4</w:t>
      </w:r>
      <w:r>
        <w:rPr>
          <w:rFonts w:hint="eastAsia" w:hAnsi="Calibri" w:cs="宋体"/>
          <w:kern w:val="0"/>
        </w:rPr>
        <w:t>．增加金融有效供给。引导中小微企业利用多层次资本市场直接融资，充分发挥“政银保”、“科技信贷风险准备金”等各类风险补偿资金作用，帮助中小微企业解决融资难等瓶颈问题。</w:t>
      </w:r>
      <w:r>
        <w:rPr>
          <w:rFonts w:hint="eastAsia" w:ascii="楷体_GB2312" w:hAnsi="黑体" w:eastAsia="楷体_GB2312" w:cs="宋体"/>
          <w:kern w:val="0"/>
        </w:rPr>
        <w:t>（市金融局）</w:t>
      </w:r>
    </w:p>
    <w:p>
      <w:pPr>
        <w:autoSpaceDN w:val="0"/>
        <w:spacing w:line="560" w:lineRule="exact"/>
        <w:ind w:firstLine="640"/>
        <w:rPr>
          <w:rFonts w:hAnsi="Calibri" w:eastAsia="宋体"/>
          <w:kern w:val="0"/>
        </w:rPr>
      </w:pPr>
      <w:r>
        <w:rPr>
          <w:rFonts w:hint="eastAsia" w:ascii="楷体_GB2312" w:eastAsia="楷体_GB2312"/>
          <w:kern w:val="0"/>
        </w:rPr>
        <w:t>（三）全面完善政府购买服务。</w:t>
      </w:r>
    </w:p>
    <w:p>
      <w:pPr>
        <w:autoSpaceDN w:val="0"/>
        <w:spacing w:line="560" w:lineRule="exact"/>
        <w:ind w:firstLine="640"/>
        <w:rPr>
          <w:rFonts w:ascii="楷体_GB2312" w:hAnsi="Calibri" w:eastAsia="楷体_GB2312" w:cs="宋体"/>
          <w:kern w:val="0"/>
          <w:sz w:val="21"/>
          <w:szCs w:val="21"/>
        </w:rPr>
      </w:pPr>
      <w:r>
        <w:rPr>
          <w:rFonts w:hAnsi="Calibri" w:cs="宋体"/>
          <w:kern w:val="0"/>
        </w:rPr>
        <w:t>1</w:t>
      </w:r>
      <w:r>
        <w:rPr>
          <w:rFonts w:hint="eastAsia" w:hAnsi="Calibri" w:cs="宋体"/>
          <w:kern w:val="0"/>
        </w:rPr>
        <w:t>．完善购买服务工作机制。建立健全购买服务监管规则、绩效评价制度和操作性强的配套措施及工作流程等，形成上下结合的政策体系。将政府购买服务资金列入财政预算予以保障。加强资金管理，强化部门支出责任，加强成本效益分析，注重结果应用。制定我市公共财政发展专项规划、社会组织发展</w:t>
      </w:r>
      <w:r>
        <w:rPr>
          <w:rFonts w:hint="eastAsia" w:hAnsi="黑体" w:cs="宋体"/>
          <w:kern w:val="0"/>
        </w:rPr>
        <w:t>专项</w:t>
      </w:r>
      <w:r>
        <w:fldChar w:fldCharType="begin"/>
      </w:r>
      <w:r>
        <w:instrText xml:space="preserve"> HYPERLINK "http://www.gkstk.com/article/zhiyeguihua.htm" </w:instrText>
      </w:r>
      <w:r>
        <w:fldChar w:fldCharType="separate"/>
      </w:r>
      <w:r>
        <w:rPr>
          <w:rFonts w:hint="eastAsia" w:hAnsi="黑体" w:cs="宋体"/>
          <w:kern w:val="0"/>
        </w:rPr>
        <w:t>规划</w:t>
      </w:r>
      <w:r>
        <w:rPr>
          <w:rFonts w:hint="eastAsia" w:hAnsi="黑体" w:cs="宋体"/>
          <w:kern w:val="0"/>
        </w:rPr>
        <w:fldChar w:fldCharType="end"/>
      </w:r>
      <w:r>
        <w:rPr>
          <w:rFonts w:hint="eastAsia" w:hAnsi="黑体" w:cs="宋体"/>
          <w:kern w:val="0"/>
        </w:rPr>
        <w:t>，</w:t>
      </w:r>
      <w:r>
        <w:rPr>
          <w:rFonts w:hint="eastAsia" w:hAnsi="Calibri" w:cs="宋体"/>
          <w:kern w:val="0"/>
        </w:rPr>
        <w:t>推进政府购买服务向制度化规范化发展。</w:t>
      </w:r>
      <w:r>
        <w:rPr>
          <w:rFonts w:hint="eastAsia" w:ascii="楷体_GB2312" w:hAnsi="黑体" w:eastAsia="楷体_GB2312" w:cs="宋体"/>
          <w:kern w:val="0"/>
        </w:rPr>
        <w:t>（市财政局、市民政局、市直有关单位）</w:t>
      </w:r>
    </w:p>
    <w:p>
      <w:pPr>
        <w:autoSpaceDN w:val="0"/>
        <w:spacing w:line="560" w:lineRule="exact"/>
        <w:ind w:firstLine="640"/>
        <w:rPr>
          <w:rFonts w:ascii="楷体_GB2312" w:hAnsi="黑体" w:eastAsia="楷体_GB2312" w:cs="宋体"/>
          <w:kern w:val="0"/>
        </w:rPr>
      </w:pPr>
      <w:r>
        <w:rPr>
          <w:rFonts w:hAnsi="Calibri" w:cs="宋体"/>
          <w:kern w:val="0"/>
        </w:rPr>
        <w:t>2</w:t>
      </w:r>
      <w:r>
        <w:rPr>
          <w:rFonts w:hint="eastAsia" w:hAnsi="Calibri" w:cs="宋体"/>
          <w:kern w:val="0"/>
        </w:rPr>
        <w:t>．培育发展特色龙头社会组织。着力培育发展一批符合韶关产业特色，适应市场经济需要的行业协会。重点培育推动经济建设、解决“三农”问题、服务社区发展、发展公益事业等四类社会组织。鼓励、支持有利于解决生产安全、食品卫生、弱势群体利益等社会问题的新型社会组织。</w:t>
      </w:r>
      <w:r>
        <w:rPr>
          <w:rFonts w:hint="eastAsia" w:ascii="楷体_GB2312" w:hAnsi="黑体" w:eastAsia="楷体_GB2312" w:cs="宋体"/>
          <w:kern w:val="0"/>
        </w:rPr>
        <w:t>（市民政局）</w:t>
      </w:r>
    </w:p>
    <w:p>
      <w:pPr>
        <w:autoSpaceDN w:val="0"/>
        <w:spacing w:line="560" w:lineRule="exact"/>
        <w:ind w:firstLine="640"/>
        <w:rPr>
          <w:rFonts w:hAnsi="Calibri" w:eastAsia="宋体"/>
          <w:kern w:val="0"/>
        </w:rPr>
      </w:pPr>
      <w:r>
        <w:rPr>
          <w:rFonts w:hint="eastAsia" w:ascii="楷体_GB2312" w:eastAsia="楷体_GB2312"/>
          <w:kern w:val="0"/>
        </w:rPr>
        <w:t>（四）全面强化督查考核机制。</w:t>
      </w:r>
    </w:p>
    <w:p>
      <w:pPr>
        <w:autoSpaceDN w:val="0"/>
        <w:spacing w:line="560" w:lineRule="exact"/>
        <w:ind w:firstLine="640"/>
        <w:rPr>
          <w:rFonts w:ascii="楷体_GB2312" w:hAnsi="黑体" w:eastAsia="楷体_GB2312" w:cs="宋体"/>
          <w:kern w:val="0"/>
        </w:rPr>
      </w:pPr>
      <w:r>
        <w:rPr>
          <w:rFonts w:hAnsi="Calibri" w:cs="宋体"/>
          <w:kern w:val="0"/>
        </w:rPr>
        <w:t>1</w:t>
      </w:r>
      <w:r>
        <w:rPr>
          <w:rFonts w:hint="eastAsia" w:hAnsi="Calibri" w:cs="宋体"/>
          <w:kern w:val="0"/>
        </w:rPr>
        <w:t>．加强督查工作信息化建设。加强督查软件系统建设，构建横向到边、纵向到底的督查网络，努力提高工作效率，对督查信息平台作进一步的完善，推进平台上线运行。</w:t>
      </w:r>
      <w:r>
        <w:rPr>
          <w:rFonts w:hint="eastAsia" w:ascii="楷体_GB2312" w:hAnsi="黑体" w:eastAsia="楷体_GB2312" w:cs="宋体"/>
          <w:kern w:val="0"/>
        </w:rPr>
        <w:t>（市委市政府督查室）</w:t>
      </w:r>
    </w:p>
    <w:p>
      <w:pPr>
        <w:autoSpaceDN w:val="0"/>
        <w:spacing w:line="560" w:lineRule="exact"/>
        <w:ind w:firstLine="640"/>
        <w:rPr>
          <w:rFonts w:hAnsi="Calibri" w:cs="宋体"/>
          <w:kern w:val="0"/>
        </w:rPr>
      </w:pPr>
      <w:r>
        <w:rPr>
          <w:rFonts w:hAnsi="Calibri" w:cs="宋体"/>
          <w:kern w:val="0"/>
        </w:rPr>
        <w:t>2</w:t>
      </w:r>
      <w:r>
        <w:rPr>
          <w:rFonts w:hint="eastAsia" w:hAnsi="Calibri" w:cs="宋体"/>
          <w:kern w:val="0"/>
        </w:rPr>
        <w:t>．加强督查力量的整合。优化督查队伍的结构，完善督查机构的设置，建立一套更实用的符合工作实际的督查工作运行机制。</w:t>
      </w:r>
      <w:r>
        <w:rPr>
          <w:rFonts w:hint="eastAsia" w:ascii="楷体_GB2312" w:hAnsi="黑体" w:eastAsia="楷体_GB2312" w:cs="宋体"/>
          <w:kern w:val="0"/>
        </w:rPr>
        <w:t>（市委市政府督查室）</w:t>
      </w:r>
    </w:p>
    <w:p>
      <w:pPr>
        <w:autoSpaceDN w:val="0"/>
        <w:spacing w:line="560" w:lineRule="exact"/>
        <w:ind w:firstLine="640"/>
        <w:rPr>
          <w:rFonts w:ascii="楷体_GB2312" w:hAnsi="黑体" w:eastAsia="楷体_GB2312" w:cs="宋体"/>
          <w:kern w:val="0"/>
        </w:rPr>
      </w:pPr>
      <w:r>
        <w:rPr>
          <w:rFonts w:hAnsi="Calibri" w:cs="宋体"/>
          <w:kern w:val="0"/>
        </w:rPr>
        <w:t>3</w:t>
      </w:r>
      <w:r>
        <w:rPr>
          <w:rFonts w:hint="eastAsia" w:hAnsi="Calibri" w:cs="宋体"/>
          <w:kern w:val="0"/>
        </w:rPr>
        <w:t>．加强督查成果的转化。及时将督查结果整理汇总，通过督查报告、督查反馈、督查通报、督查专报等形式报送有关领导参阅，或者在领导讲话和文件中把督查成果融入，使督查成果转化为领导的决策成果。督促被督查单位改进工作，对督查中发现的一般性问题进行及时纠正或提出纠正意见，明确整改方向，落实整改责任，确保整改落实到位，坚持督查与考核一起抓，注重在考核中体现督查成果。</w:t>
      </w:r>
      <w:r>
        <w:rPr>
          <w:rFonts w:hint="eastAsia" w:ascii="楷体_GB2312" w:hAnsi="黑体" w:eastAsia="楷体_GB2312" w:cs="宋体"/>
          <w:kern w:val="0"/>
        </w:rPr>
        <w:t>（市委市政府督查室）</w:t>
      </w:r>
    </w:p>
    <w:p>
      <w:pPr>
        <w:autoSpaceDN w:val="0"/>
        <w:spacing w:line="560" w:lineRule="exact"/>
        <w:ind w:firstLine="640"/>
        <w:rPr>
          <w:rFonts w:ascii="黑体" w:hAnsi="黑体" w:eastAsia="黑体" w:cs="Arial"/>
          <w:kern w:val="0"/>
        </w:rPr>
      </w:pPr>
      <w:r>
        <w:rPr>
          <w:rFonts w:hint="eastAsia" w:ascii="黑体" w:hAnsi="黑体" w:eastAsia="黑体" w:cs="Arial"/>
          <w:kern w:val="0"/>
        </w:rPr>
        <w:t>三、保障措施与督查考核</w:t>
      </w:r>
    </w:p>
    <w:p>
      <w:pPr>
        <w:autoSpaceDN w:val="0"/>
        <w:spacing w:line="560" w:lineRule="exact"/>
        <w:ind w:firstLine="640"/>
        <w:rPr>
          <w:rFonts w:hAnsi="Calibri" w:cs="宋体"/>
          <w:kern w:val="0"/>
        </w:rPr>
      </w:pPr>
      <w:r>
        <w:rPr>
          <w:rFonts w:hint="eastAsia" w:ascii="楷体_GB2312" w:eastAsia="楷体_GB2312"/>
          <w:kern w:val="0"/>
        </w:rPr>
        <w:t>（一）加强组织领导。</w:t>
      </w:r>
      <w:r>
        <w:rPr>
          <w:rFonts w:hint="eastAsia" w:hAnsi="Calibri" w:cs="宋体"/>
          <w:kern w:val="0"/>
        </w:rPr>
        <w:t>牵头单位和各责任单位要组成打造政务服务高地工作小组，研究为供给侧结构性改革助力的政务服务改革工作，重点结合“放管服”改革，制定配套制度和措施，总结推广先进经验。</w:t>
      </w:r>
    </w:p>
    <w:p>
      <w:pPr>
        <w:autoSpaceDN w:val="0"/>
        <w:spacing w:line="560" w:lineRule="exact"/>
        <w:ind w:firstLine="640"/>
        <w:rPr>
          <w:rFonts w:hAnsi="Calibri" w:cs="宋体"/>
          <w:kern w:val="0"/>
        </w:rPr>
      </w:pPr>
      <w:r>
        <w:rPr>
          <w:rFonts w:hint="eastAsia" w:ascii="楷体_GB2312" w:eastAsia="楷体_GB2312"/>
          <w:kern w:val="0"/>
        </w:rPr>
        <w:t>（二）保障政策措施落实。</w:t>
      </w:r>
      <w:r>
        <w:rPr>
          <w:rFonts w:hint="eastAsia" w:hAnsi="Calibri" w:cs="宋体"/>
          <w:kern w:val="0"/>
        </w:rPr>
        <w:t>各项政策的制定要体现民主性、科学性、可操作性，各责任单位要积极推动政策的实施，要确保政策措施的有效落实。</w:t>
      </w:r>
    </w:p>
    <w:p>
      <w:pPr>
        <w:autoSpaceDN w:val="0"/>
        <w:spacing w:line="560" w:lineRule="exact"/>
        <w:ind w:firstLine="640"/>
        <w:rPr>
          <w:rFonts w:hAnsi="Calibri" w:cs="宋体"/>
          <w:kern w:val="0"/>
        </w:rPr>
      </w:pPr>
      <w:r>
        <w:rPr>
          <w:rFonts w:hint="eastAsia" w:ascii="楷体_GB2312" w:eastAsia="楷体_GB2312"/>
          <w:kern w:val="0"/>
        </w:rPr>
        <w:t>（三）保障服务措施落实。</w:t>
      </w:r>
      <w:r>
        <w:rPr>
          <w:rFonts w:hint="eastAsia" w:hAnsi="Calibri" w:cs="宋体"/>
          <w:kern w:val="0"/>
        </w:rPr>
        <w:t>各责任单位要按照责任分工的时</w:t>
      </w:r>
      <w:bookmarkStart w:id="4" w:name="_GoBack"/>
      <w:bookmarkEnd w:id="4"/>
      <w:r>
        <w:rPr>
          <w:rFonts w:hint="eastAsia" w:hAnsi="Calibri" w:cs="宋体"/>
          <w:kern w:val="0"/>
        </w:rPr>
        <w:t>间进度要求，按时制定相应的具体措施。各单位各部门要各司其职，各负其责，加强协调配合，形成工作合力。</w:t>
      </w:r>
    </w:p>
    <w:p>
      <w:pPr>
        <w:autoSpaceDN w:val="0"/>
        <w:spacing w:line="560" w:lineRule="exact"/>
        <w:ind w:firstLine="640"/>
        <w:rPr>
          <w:rFonts w:hAnsi="Calibri" w:cs="宋体"/>
          <w:kern w:val="0"/>
        </w:rPr>
      </w:pPr>
      <w:r>
        <w:rPr>
          <w:rFonts w:hint="eastAsia" w:ascii="楷体_GB2312" w:eastAsia="楷体_GB2312"/>
          <w:kern w:val="0"/>
        </w:rPr>
        <w:t>（四）严格督查考核。</w:t>
      </w:r>
      <w:r>
        <w:rPr>
          <w:rFonts w:hint="eastAsia" w:hAnsi="Calibri" w:cs="宋体"/>
          <w:kern w:val="0"/>
        </w:rPr>
        <w:t>市委市政府督查室要按照市委、市政府的统一部署，对提高行政效率，打造服务高地工作情况开展专项督查。各责任部门要将该工作纳入年度重点工作，确保工作按期完成并取得实效。</w:t>
      </w:r>
      <w:bookmarkEnd w:id="0"/>
    </w:p>
    <w:p/>
    <w:sectPr>
      <w:headerReference r:id="rId11" w:type="first"/>
      <w:footerReference r:id="rId14" w:type="first"/>
      <w:headerReference r:id="rId9" w:type="default"/>
      <w:footerReference r:id="rId12" w:type="default"/>
      <w:headerReference r:id="rId10" w:type="even"/>
      <w:footerReference r:id="rId13"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 w:name="BatangChe">
    <w:altName w:val="Malgun Gothic"/>
    <w:panose1 w:val="02030609000101010101"/>
    <w:charset w:val="81"/>
    <w:family w:val="modern"/>
    <w:pitch w:val="default"/>
    <w:sig w:usb0="00000000" w:usb1="00000000" w:usb2="00000030" w:usb3="00000000" w:csb0="0008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8" w:right="455" w:hanging="28"/>
      <w:rPr>
        <w:rStyle w:val="6"/>
        <w:sz w:val="28"/>
      </w:rPr>
    </w:pPr>
    <w:r>
      <w:rPr>
        <w:rStyle w:val="6"/>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rPr>
      <w:t>1</w:t>
    </w:r>
    <w:r>
      <w:rPr>
        <w:rStyle w:val="6"/>
        <w:sz w:val="28"/>
      </w:rPr>
      <w:fldChar w:fldCharType="end"/>
    </w:r>
    <w:r>
      <w:rPr>
        <w:rStyle w:val="6"/>
        <w:sz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76</w: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8" w:right="455" w:hanging="28"/>
      <w:rPr>
        <w:rStyle w:val="6"/>
        <w:sz w:val="28"/>
      </w:rPr>
    </w:pPr>
    <w:r>
      <w:rPr>
        <w:rStyle w:val="6"/>
        <w:sz w:val="28"/>
      </w:rPr>
      <w:t xml:space="preserve">— </w:t>
    </w:r>
    <w:r>
      <w:rPr>
        <w:rStyle w:val="6"/>
        <w:sz w:val="28"/>
      </w:rPr>
      <w:fldChar w:fldCharType="begin"/>
    </w:r>
    <w:r>
      <w:rPr>
        <w:rStyle w:val="6"/>
        <w:sz w:val="28"/>
      </w:rPr>
      <w:instrText xml:space="preserve">PAGE  </w:instrText>
    </w:r>
    <w:r>
      <w:rPr>
        <w:rStyle w:val="6"/>
        <w:sz w:val="28"/>
      </w:rPr>
      <w:fldChar w:fldCharType="separate"/>
    </w:r>
    <w:r>
      <w:rPr>
        <w:rStyle w:val="6"/>
        <w:sz w:val="28"/>
      </w:rPr>
      <w:t>70</w:t>
    </w:r>
    <w:r>
      <w:rPr>
        <w:rStyle w:val="6"/>
        <w:sz w:val="28"/>
      </w:rPr>
      <w:fldChar w:fldCharType="end"/>
    </w:r>
    <w:r>
      <w:rPr>
        <w:rStyle w:val="6"/>
        <w:sz w:val="28"/>
      </w:rPr>
      <w:t xml:space="preserve"> —</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7"/>
      <w:numFmt w:val="chineseCounting"/>
      <w:suff w:val="nothing"/>
      <w:lvlText w:val="%1、"/>
      <w:lvlJc w:val="left"/>
      <w:rPr>
        <w:rFonts w:cs="Times New Roman"/>
      </w:rPr>
    </w:lvl>
  </w:abstractNum>
  <w:abstractNum w:abstractNumId="1">
    <w:nsid w:val="00000007"/>
    <w:multiLevelType w:val="singleLevel"/>
    <w:tmpl w:val="00000007"/>
    <w:lvl w:ilvl="0" w:tentative="0">
      <w:start w:val="1"/>
      <w:numFmt w:val="chineseCounting"/>
      <w:suff w:val="nothing"/>
      <w:lvlText w:val="%1、"/>
      <w:lvlJc w:val="left"/>
      <w:rPr>
        <w:rFonts w:cs="Times New Roman"/>
      </w:rPr>
    </w:lvl>
  </w:abstractNum>
  <w:abstractNum w:abstractNumId="2">
    <w:nsid w:val="00000009"/>
    <w:multiLevelType w:val="singleLevel"/>
    <w:tmpl w:val="00000009"/>
    <w:lvl w:ilvl="0" w:tentative="0">
      <w:start w:val="13"/>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AA62559"/>
    <w:rsid w:val="00017394"/>
    <w:rsid w:val="006D0B51"/>
    <w:rsid w:val="00701EE6"/>
    <w:rsid w:val="00A94D9A"/>
    <w:rsid w:val="00F314C6"/>
    <w:rsid w:val="3AA62559"/>
    <w:rsid w:val="FF755F6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Times New Roman"/>
      <w:sz w:val="18"/>
      <w:szCs w:val="20"/>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Times New Roman"/>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uiPriority w:val="99"/>
    <w:rPr>
      <w:rFonts w:ascii="仿宋_GB2312" w:eastAsia="仿宋_GB2312"/>
      <w:sz w:val="18"/>
      <w:szCs w:val="18"/>
    </w:rPr>
  </w:style>
  <w:style w:type="character" w:customStyle="1" w:styleId="8">
    <w:name w:val="Header Char"/>
    <w:basedOn w:val="5"/>
    <w:link w:val="3"/>
    <w:semiHidden/>
    <w:qFormat/>
    <w:uiPriority w:val="99"/>
    <w:rPr>
      <w:rFonts w:ascii="仿宋_GB2312" w:eastAsia="仿宋_GB2312"/>
      <w:sz w:val="18"/>
      <w:szCs w:val="18"/>
    </w:rPr>
  </w:style>
  <w:style w:type="character" w:customStyle="1" w:styleId="9">
    <w:name w:val="msodel"/>
    <w:basedOn w:val="5"/>
    <w:qFormat/>
    <w:uiPriority w:val="99"/>
    <w:rPr>
      <w:rFonts w:cs="Times New Roman"/>
      <w:strike/>
      <w:color w:val="FF0000"/>
    </w:rPr>
  </w:style>
  <w:style w:type="character" w:customStyle="1" w:styleId="10">
    <w:name w:val="15"/>
    <w:basedOn w:val="5"/>
    <w:qFormat/>
    <w:uiPriority w:val="99"/>
    <w:rPr>
      <w:rFonts w:ascii="仿宋_GB2312" w:eastAsia="仿宋_GB2312" w:cs="仿宋_GB2312"/>
    </w:rPr>
  </w:style>
  <w:style w:type="character" w:customStyle="1" w:styleId="11">
    <w:name w:val="10"/>
    <w:basedOn w:val="5"/>
    <w:qFormat/>
    <w:uiPriority w:val="99"/>
    <w:rPr>
      <w:rFonts w:ascii="仿宋_GB2312" w:eastAsia="仿宋_GB2312" w:cs="仿宋_GB2312"/>
    </w:rPr>
  </w:style>
  <w:style w:type="character" w:customStyle="1" w:styleId="12">
    <w:name w:val="msoins"/>
    <w:basedOn w:val="5"/>
    <w:qFormat/>
    <w:uiPriority w:val="99"/>
    <w:rPr>
      <w:rFonts w:cs="Times New Roman"/>
      <w:color w:val="0000FF"/>
      <w:u w:val="single"/>
    </w:rPr>
  </w:style>
  <w:style w:type="paragraph" w:customStyle="1" w:styleId="13">
    <w:name w:val="正文 New"/>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72</Pages>
  <Words>5653</Words>
  <Lines>0</Lines>
  <Paragraphs>0</Paragraphs>
  <TotalTime>4</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2021-06-01T11:49:00Z</dcterms:created>
  <dc:creator>Administrator</dc:creator>
  <cp:lastModifiedBy>kylin</cp:lastModifiedBy>
  <dcterms:modified xsi:type="dcterms:W3CDTF">2023-09-26T15:01:27Z</dcterms:modified>
  <dc:title>韶关市供给侧结构性改革2018年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