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widowControl w:val="0"/>
        <w:autoSpaceDE w:val="0"/>
        <w:autoSpaceDN w:val="0"/>
        <w:rPr>
          <w:rFonts w:hint="eastAsia" w:ascii="黑体" w:hAnsi="黑体" w:eastAsia="黑体"/>
          <w:sz w:val="32"/>
          <w:lang w:val="en-US" w:eastAsia="zh-CN"/>
        </w:rPr>
      </w:pPr>
      <w:r>
        <w:rPr>
          <w:rFonts w:hint="eastAsia" w:ascii="黑体" w:hAnsi="黑体" w:eastAsia="黑体"/>
          <w:sz w:val="32"/>
        </w:rPr>
        <w:t>附件</w:t>
      </w:r>
      <w:r>
        <w:rPr>
          <w:rFonts w:hint="eastAsia" w:ascii="黑体" w:hAnsi="黑体" w:eastAsia="黑体"/>
          <w:sz w:val="32"/>
          <w:lang w:val="en-US" w:eastAsia="zh-CN"/>
        </w:rPr>
        <w:t>4</w:t>
      </w:r>
    </w:p>
    <w:p>
      <w:pPr>
        <w:pStyle w:val="10"/>
        <w:widowControl w:val="0"/>
        <w:autoSpaceDE w:val="0"/>
        <w:autoSpaceDN w:val="0"/>
        <w:ind w:left="0" w:leftChars="0" w:right="0" w:rightChars="0" w:firstLine="0" w:firstLineChars="0"/>
        <w:jc w:val="center"/>
        <w:rPr>
          <w:rFonts w:hint="eastAsia" w:ascii="FangSong.GB2312" w:hAnsi="FangSong.GB2312" w:eastAsia="FangSong.GB2312"/>
          <w:sz w:val="30"/>
          <w:lang w:eastAsia="zh-CN"/>
        </w:rPr>
      </w:pPr>
    </w:p>
    <w:p>
      <w:pPr>
        <w:pStyle w:val="10"/>
        <w:widowControl w:val="0"/>
        <w:autoSpaceDE w:val="0"/>
        <w:autoSpaceDN w:val="0"/>
        <w:ind w:left="0" w:leftChars="0" w:right="0" w:rightChars="0" w:firstLine="0" w:firstLineChars="0"/>
        <w:jc w:val="center"/>
        <w:rPr>
          <w:rFonts w:hint="eastAsia" w:ascii="FangSong.GB2312" w:hAnsi="FangSong.GB2312" w:eastAsia="FangSong.GB2312"/>
          <w:sz w:val="30"/>
          <w:lang w:eastAsia="zh-CN"/>
        </w:rPr>
      </w:pPr>
    </w:p>
    <w:p>
      <w:pPr>
        <w:pStyle w:val="10"/>
        <w:widowControl w:val="0"/>
        <w:autoSpaceDE w:val="0"/>
        <w:autoSpaceDN w:val="0"/>
        <w:ind w:left="0" w:leftChars="0" w:right="0" w:rightChars="0" w:firstLine="0" w:firstLineChars="0"/>
        <w:jc w:val="center"/>
        <w:rPr>
          <w:rFonts w:hint="eastAsia" w:ascii="FangSong.GB2312" w:hAnsi="FangSong.GB2312" w:eastAsia="FangSong.GB2312"/>
          <w:sz w:val="30"/>
          <w:lang w:eastAsia="zh-CN"/>
        </w:rPr>
      </w:pPr>
    </w:p>
    <w:p>
      <w:pPr>
        <w:pStyle w:val="10"/>
        <w:widowControl w:val="0"/>
        <w:autoSpaceDE w:val="0"/>
        <w:autoSpaceDN w:val="0"/>
        <w:ind w:left="0" w:leftChars="0" w:right="0" w:rightChars="0" w:firstLine="0" w:firstLineChars="0"/>
        <w:jc w:val="center"/>
        <w:rPr>
          <w:rFonts w:hint="eastAsia" w:ascii="FangSong.GB2312" w:hAnsi="FangSong.GB2312" w:eastAsia="FangSong.GB2312"/>
          <w:b/>
          <w:bCs/>
          <w:sz w:val="52"/>
          <w:lang w:eastAsia="zh-CN"/>
        </w:rPr>
      </w:pPr>
      <w:r>
        <w:rPr>
          <w:rFonts w:hint="eastAsia" w:ascii="FangSong.GB2312" w:hAnsi="FangSong.GB2312" w:eastAsia="FangSong.GB2312"/>
          <w:b/>
          <w:bCs/>
          <w:sz w:val="52"/>
          <w:lang w:eastAsia="zh-CN"/>
        </w:rPr>
        <w:t>市级部门整体支出绩效自评报告</w:t>
      </w:r>
    </w:p>
    <w:p>
      <w:pPr>
        <w:pStyle w:val="10"/>
        <w:widowControl w:val="0"/>
        <w:autoSpaceDE w:val="0"/>
        <w:autoSpaceDN w:val="0"/>
        <w:ind w:left="0" w:leftChars="0" w:right="0" w:rightChars="0" w:firstLine="0" w:firstLineChars="0"/>
        <w:jc w:val="center"/>
        <w:rPr>
          <w:rFonts w:hint="eastAsia" w:ascii="宋体" w:hAnsi="宋体" w:eastAsia="宋体"/>
          <w:sz w:val="36"/>
        </w:rPr>
      </w:pPr>
    </w:p>
    <w:p>
      <w:pPr>
        <w:pStyle w:val="10"/>
        <w:widowControl w:val="0"/>
        <w:autoSpaceDE w:val="0"/>
        <w:autoSpaceDN w:val="0"/>
        <w:ind w:left="0" w:leftChars="0" w:right="0" w:rightChars="0" w:firstLine="0" w:firstLineChars="0"/>
        <w:jc w:val="center"/>
        <w:rPr>
          <w:rFonts w:hint="eastAsia" w:ascii="宋体" w:hAnsi="宋体" w:eastAsia="宋体"/>
          <w:sz w:val="36"/>
        </w:rPr>
      </w:pPr>
    </w:p>
    <w:p>
      <w:pPr>
        <w:pStyle w:val="10"/>
        <w:widowControl w:val="0"/>
        <w:autoSpaceDE w:val="0"/>
        <w:autoSpaceDN w:val="0"/>
        <w:ind w:left="0" w:leftChars="0" w:right="0" w:rightChars="0" w:firstLine="0" w:firstLineChars="0"/>
        <w:jc w:val="center"/>
        <w:rPr>
          <w:rFonts w:hint="eastAsia" w:ascii="宋体" w:hAnsi="宋体" w:eastAsia="宋体"/>
          <w:sz w:val="36"/>
        </w:rPr>
      </w:pPr>
    </w:p>
    <w:p>
      <w:pPr>
        <w:pStyle w:val="10"/>
        <w:widowControl w:val="0"/>
        <w:autoSpaceDE w:val="0"/>
        <w:autoSpaceDN w:val="0"/>
        <w:ind w:left="0" w:leftChars="0" w:right="0" w:rightChars="0" w:firstLine="0" w:firstLineChars="0"/>
        <w:jc w:val="center"/>
        <w:rPr>
          <w:rFonts w:hint="eastAsia" w:ascii="宋体" w:hAnsi="宋体" w:eastAsia="宋体"/>
          <w:sz w:val="36"/>
        </w:rPr>
      </w:pPr>
    </w:p>
    <w:p>
      <w:pPr>
        <w:pStyle w:val="10"/>
        <w:widowControl w:val="0"/>
        <w:autoSpaceDE w:val="0"/>
        <w:autoSpaceDN w:val="0"/>
        <w:ind w:left="0" w:leftChars="0" w:right="0" w:rightChars="0" w:firstLine="0" w:firstLineChars="0"/>
        <w:jc w:val="center"/>
        <w:rPr>
          <w:rFonts w:hint="eastAsia" w:ascii="宋体" w:hAnsi="宋体" w:eastAsia="宋体"/>
          <w:sz w:val="36"/>
        </w:rPr>
      </w:pPr>
    </w:p>
    <w:p>
      <w:pPr>
        <w:pStyle w:val="10"/>
        <w:widowControl w:val="0"/>
        <w:autoSpaceDE w:val="0"/>
        <w:autoSpaceDN w:val="0"/>
        <w:ind w:left="0" w:leftChars="0" w:right="0" w:rightChars="0" w:firstLine="0" w:firstLineChars="0"/>
        <w:jc w:val="center"/>
        <w:rPr>
          <w:rFonts w:hint="eastAsia" w:ascii="宋体" w:hAnsi="宋体" w:eastAsia="宋体"/>
          <w:sz w:val="36"/>
        </w:rPr>
      </w:pPr>
    </w:p>
    <w:p>
      <w:pPr>
        <w:pStyle w:val="10"/>
        <w:widowControl w:val="0"/>
        <w:autoSpaceDE w:val="0"/>
        <w:autoSpaceDN w:val="0"/>
        <w:ind w:left="0" w:leftChars="0" w:right="0" w:rightChars="0" w:firstLine="0" w:firstLineChars="0"/>
        <w:jc w:val="center"/>
        <w:rPr>
          <w:rFonts w:hint="eastAsia" w:ascii="宋体" w:hAnsi="宋体" w:eastAsia="宋体"/>
          <w:sz w:val="36"/>
        </w:rPr>
      </w:pPr>
    </w:p>
    <w:p>
      <w:pPr>
        <w:pStyle w:val="10"/>
        <w:widowControl w:val="0"/>
        <w:autoSpaceDE w:val="0"/>
        <w:autoSpaceDN w:val="0"/>
        <w:ind w:left="0" w:leftChars="0" w:right="0" w:rightChars="0" w:firstLine="0" w:firstLineChars="0"/>
        <w:jc w:val="left"/>
        <w:rPr>
          <w:rFonts w:hint="eastAsia" w:ascii="宋体" w:hAnsi="宋体" w:eastAsia="宋体"/>
          <w:sz w:val="36"/>
        </w:rPr>
      </w:pPr>
      <w:r>
        <w:rPr>
          <w:rFonts w:hint="eastAsia" w:ascii="宋体" w:hAnsi="宋体"/>
          <w:sz w:val="36"/>
          <w:lang w:val="en-US" w:eastAsia="zh-CN"/>
        </w:rPr>
        <w:t xml:space="preserve">         </w:t>
      </w:r>
      <w:r>
        <w:rPr>
          <w:rFonts w:hint="eastAsia" w:ascii="宋体" w:hAnsi="宋体" w:eastAsia="宋体"/>
          <w:sz w:val="36"/>
        </w:rPr>
        <w:t>部门名称：</w:t>
      </w:r>
      <w:r>
        <w:rPr>
          <w:rFonts w:hint="eastAsia" w:ascii="宋体" w:hAnsi="宋体"/>
          <w:sz w:val="36"/>
          <w:lang w:eastAsia="zh-CN"/>
        </w:rPr>
        <w:t>韶关市城镇污水处理管理中心</w:t>
      </w:r>
    </w:p>
    <w:p>
      <w:pPr>
        <w:pStyle w:val="10"/>
        <w:widowControl w:val="0"/>
        <w:autoSpaceDE w:val="0"/>
        <w:autoSpaceDN w:val="0"/>
        <w:ind w:left="0" w:leftChars="0" w:right="0" w:rightChars="0" w:firstLine="0" w:firstLineChars="0"/>
        <w:jc w:val="left"/>
        <w:rPr>
          <w:rFonts w:hint="eastAsia" w:ascii="宋体" w:hAnsi="宋体"/>
          <w:sz w:val="36"/>
          <w:lang w:val="en-US" w:eastAsia="zh-CN"/>
        </w:rPr>
      </w:pPr>
      <w:r>
        <w:rPr>
          <w:rFonts w:hint="eastAsia" w:ascii="宋体" w:hAnsi="宋体"/>
          <w:sz w:val="36"/>
          <w:lang w:val="en-US" w:eastAsia="zh-CN"/>
        </w:rPr>
        <w:t xml:space="preserve">         </w:t>
      </w:r>
    </w:p>
    <w:p>
      <w:pPr>
        <w:pStyle w:val="10"/>
        <w:widowControl w:val="0"/>
        <w:autoSpaceDE w:val="0"/>
        <w:autoSpaceDN w:val="0"/>
        <w:ind w:left="0" w:leftChars="0" w:right="0" w:rightChars="0" w:firstLine="0" w:firstLineChars="0"/>
        <w:jc w:val="left"/>
        <w:rPr>
          <w:rFonts w:hint="eastAsia" w:ascii="宋体" w:hAnsi="宋体" w:eastAsia="宋体"/>
          <w:sz w:val="36"/>
          <w:lang w:eastAsia="zh-CN"/>
        </w:rPr>
      </w:pPr>
      <w:r>
        <w:rPr>
          <w:rFonts w:hint="eastAsia" w:ascii="宋体" w:hAnsi="宋体"/>
          <w:sz w:val="36"/>
          <w:lang w:val="en-US" w:eastAsia="zh-CN"/>
        </w:rPr>
        <w:t xml:space="preserve">         </w:t>
      </w:r>
      <w:r>
        <w:rPr>
          <w:rFonts w:hint="eastAsia" w:ascii="宋体" w:hAnsi="宋体" w:eastAsia="宋体"/>
          <w:sz w:val="36"/>
        </w:rPr>
        <w:t>填</w:t>
      </w:r>
      <w:r>
        <w:rPr>
          <w:rFonts w:hint="eastAsia" w:ascii="宋体" w:hAnsi="宋体"/>
          <w:sz w:val="36"/>
          <w:lang w:val="en-US" w:eastAsia="zh-CN"/>
        </w:rPr>
        <w:t xml:space="preserve"> </w:t>
      </w:r>
      <w:r>
        <w:rPr>
          <w:rFonts w:hint="eastAsia" w:ascii="宋体" w:hAnsi="宋体" w:eastAsia="宋体"/>
          <w:sz w:val="36"/>
        </w:rPr>
        <w:t>报</w:t>
      </w:r>
      <w:r>
        <w:rPr>
          <w:rFonts w:hint="eastAsia" w:ascii="宋体" w:hAnsi="宋体"/>
          <w:sz w:val="36"/>
          <w:lang w:val="en-US" w:eastAsia="zh-CN"/>
        </w:rPr>
        <w:t xml:space="preserve"> </w:t>
      </w:r>
      <w:r>
        <w:rPr>
          <w:rFonts w:hint="eastAsia" w:ascii="宋体" w:hAnsi="宋体" w:eastAsia="宋体"/>
          <w:sz w:val="36"/>
        </w:rPr>
        <w:t>人：</w:t>
      </w:r>
      <w:r>
        <w:rPr>
          <w:rFonts w:hint="eastAsia" w:ascii="宋体" w:hAnsi="宋体"/>
          <w:sz w:val="36"/>
          <w:lang w:eastAsia="zh-CN"/>
        </w:rPr>
        <w:t>黄美玲</w:t>
      </w:r>
    </w:p>
    <w:p>
      <w:pPr>
        <w:pStyle w:val="10"/>
        <w:widowControl w:val="0"/>
        <w:autoSpaceDE w:val="0"/>
        <w:autoSpaceDN w:val="0"/>
        <w:ind w:left="0" w:leftChars="0" w:right="0" w:rightChars="0" w:firstLine="0" w:firstLineChars="0"/>
        <w:jc w:val="left"/>
        <w:rPr>
          <w:rFonts w:hint="eastAsia" w:ascii="宋体" w:hAnsi="宋体"/>
          <w:sz w:val="36"/>
          <w:lang w:val="en-US" w:eastAsia="zh-CN"/>
        </w:rPr>
      </w:pPr>
      <w:r>
        <w:rPr>
          <w:rFonts w:hint="eastAsia" w:ascii="宋体" w:hAnsi="宋体"/>
          <w:sz w:val="36"/>
          <w:lang w:val="en-US" w:eastAsia="zh-CN"/>
        </w:rPr>
        <w:t xml:space="preserve">         </w:t>
      </w:r>
    </w:p>
    <w:p>
      <w:pPr>
        <w:pStyle w:val="10"/>
        <w:widowControl w:val="0"/>
        <w:autoSpaceDE w:val="0"/>
        <w:autoSpaceDN w:val="0"/>
        <w:ind w:left="0" w:leftChars="0" w:right="0" w:rightChars="0" w:firstLine="0" w:firstLineChars="0"/>
        <w:jc w:val="left"/>
        <w:rPr>
          <w:rFonts w:hint="default" w:ascii="宋体" w:hAnsi="宋体" w:eastAsia="宋体"/>
          <w:sz w:val="36"/>
          <w:lang w:val="en-US" w:eastAsia="zh-CN"/>
        </w:rPr>
      </w:pPr>
      <w:r>
        <w:rPr>
          <w:rFonts w:hint="eastAsia" w:ascii="宋体" w:hAnsi="宋体"/>
          <w:sz w:val="36"/>
          <w:lang w:val="en-US" w:eastAsia="zh-CN"/>
        </w:rPr>
        <w:t xml:space="preserve">         </w:t>
      </w:r>
      <w:r>
        <w:rPr>
          <w:rFonts w:hint="eastAsia" w:ascii="宋体" w:hAnsi="宋体" w:eastAsia="宋体"/>
          <w:sz w:val="36"/>
        </w:rPr>
        <w:t>联系电话：</w:t>
      </w:r>
      <w:r>
        <w:rPr>
          <w:rFonts w:hint="eastAsia" w:ascii="宋体" w:hAnsi="宋体"/>
          <w:sz w:val="36"/>
          <w:lang w:val="en-US" w:eastAsia="zh-CN"/>
        </w:rPr>
        <w:t>0751-8618953</w:t>
      </w:r>
    </w:p>
    <w:p>
      <w:pPr>
        <w:pStyle w:val="10"/>
        <w:widowControl w:val="0"/>
        <w:autoSpaceDE w:val="0"/>
        <w:autoSpaceDN w:val="0"/>
        <w:ind w:left="0" w:leftChars="0" w:right="0" w:rightChars="0" w:firstLine="0" w:firstLineChars="0"/>
        <w:jc w:val="left"/>
        <w:rPr>
          <w:rFonts w:hint="eastAsia" w:ascii="宋体" w:hAnsi="宋体" w:eastAsia="宋体"/>
          <w:sz w:val="36"/>
          <w:lang w:val="en-US" w:eastAsia="zh-CN"/>
        </w:rPr>
      </w:pPr>
      <w:r>
        <w:rPr>
          <w:rFonts w:hint="eastAsia" w:ascii="宋体" w:hAnsi="宋体"/>
          <w:sz w:val="36"/>
          <w:lang w:val="en-US" w:eastAsia="zh-CN"/>
        </w:rPr>
        <w:t xml:space="preserve"> </w:t>
      </w:r>
    </w:p>
    <w:p>
      <w:pPr>
        <w:ind w:left="0" w:leftChars="0" w:right="0" w:rightChars="0" w:firstLine="0" w:firstLineChars="0"/>
        <w:jc w:val="left"/>
        <w:rPr>
          <w:rFonts w:hint="default" w:ascii="宋体" w:hAnsi="宋体" w:eastAsia="宋体"/>
          <w:sz w:val="36"/>
          <w:lang w:val="en-US" w:eastAsia="zh-CN"/>
        </w:rPr>
      </w:pPr>
      <w:r>
        <w:rPr>
          <w:rFonts w:hint="eastAsia" w:ascii="宋体" w:hAnsi="宋体"/>
          <w:sz w:val="36"/>
          <w:lang w:val="en-US" w:eastAsia="zh-CN"/>
        </w:rPr>
        <w:t xml:space="preserve">         </w:t>
      </w:r>
      <w:r>
        <w:rPr>
          <w:rFonts w:hint="eastAsia" w:ascii="宋体" w:hAnsi="宋体" w:eastAsia="宋体"/>
          <w:sz w:val="36"/>
        </w:rPr>
        <w:t>填报日期：</w:t>
      </w:r>
      <w:r>
        <w:rPr>
          <w:rFonts w:hint="eastAsia" w:ascii="宋体" w:hAnsi="宋体"/>
          <w:sz w:val="36"/>
          <w:lang w:val="en-US" w:eastAsia="zh-CN"/>
        </w:rPr>
        <w:t>2023年3月13日</w:t>
      </w:r>
    </w:p>
    <w:p>
      <w:pPr>
        <w:spacing w:line="560" w:lineRule="exact"/>
        <w:ind w:left="0" w:leftChars="0" w:right="0" w:rightChars="0" w:firstLine="720" w:firstLineChars="200"/>
        <w:jc w:val="left"/>
        <w:rPr>
          <w:rFonts w:hint="eastAsia" w:ascii="宋体" w:hAnsi="宋体" w:eastAsia="宋体"/>
          <w:sz w:val="36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spacing w:line="560" w:lineRule="exact"/>
        <w:ind w:left="0" w:leftChars="0" w:right="0" w:rightChars="0" w:firstLine="640" w:firstLineChars="200"/>
        <w:jc w:val="left"/>
        <w:rPr>
          <w:rFonts w:hint="eastAsia"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一、部门基本情况</w:t>
      </w:r>
    </w:p>
    <w:p>
      <w:pPr>
        <w:spacing w:line="560" w:lineRule="exact"/>
        <w:ind w:left="0" w:leftChars="0" w:right="0" w:rightChars="0"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</w:rPr>
        <w:t>（一）部门职能</w:t>
      </w:r>
    </w:p>
    <w:p>
      <w:pPr>
        <w:spacing w:line="560" w:lineRule="exact"/>
        <w:ind w:firstLine="640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</w:rPr>
        <w:t>韶关市</w:t>
      </w:r>
      <w:r>
        <w:rPr>
          <w:rFonts w:hint="eastAsia" w:eastAsia="仿宋_GB2312"/>
          <w:sz w:val="32"/>
          <w:szCs w:val="32"/>
          <w:lang w:eastAsia="zh-CN"/>
        </w:rPr>
        <w:t>城镇污水处理</w:t>
      </w:r>
      <w:r>
        <w:rPr>
          <w:rFonts w:hint="eastAsia" w:eastAsia="仿宋_GB2312"/>
          <w:sz w:val="32"/>
          <w:szCs w:val="32"/>
        </w:rPr>
        <w:t>管理中心</w:t>
      </w:r>
      <w:r>
        <w:rPr>
          <w:rFonts w:hint="eastAsia" w:ascii="仿宋_GB2312" w:eastAsia="仿宋_GB2312"/>
          <w:sz w:val="32"/>
          <w:szCs w:val="32"/>
          <w:lang w:eastAsia="zh-CN"/>
        </w:rPr>
        <w:t>成立于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2003年5月14日,</w:t>
      </w:r>
      <w:r>
        <w:rPr>
          <w:rFonts w:hint="eastAsia" w:ascii="仿宋_GB2312" w:eastAsia="仿宋_GB2312"/>
          <w:sz w:val="32"/>
          <w:szCs w:val="32"/>
        </w:rPr>
        <w:t>属财政补助事业单位，是隶属于韶关市住房和城乡建设管理局管理的</w:t>
      </w:r>
      <w:r>
        <w:rPr>
          <w:rFonts w:hint="eastAsia" w:ascii="仿宋_GB2312" w:eastAsia="仿宋_GB2312"/>
          <w:sz w:val="32"/>
          <w:szCs w:val="32"/>
          <w:lang w:eastAsia="zh-CN"/>
        </w:rPr>
        <w:t>公益一类事业</w:t>
      </w:r>
      <w:r>
        <w:rPr>
          <w:rFonts w:hint="eastAsia" w:ascii="仿宋_GB2312" w:eastAsia="仿宋_GB2312"/>
          <w:sz w:val="32"/>
          <w:szCs w:val="32"/>
        </w:rPr>
        <w:t>单位，执行政府会计制度，</w:t>
      </w:r>
      <w:r>
        <w:rPr>
          <w:rFonts w:hint="eastAsia" w:ascii="仿宋_GB2312" w:hAnsi="Times New Roman" w:eastAsia="仿宋_GB2312" w:cs="Times New Roman"/>
          <w:sz w:val="32"/>
          <w:szCs w:val="32"/>
        </w:rPr>
        <w:t>设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仿宋_GB2312" w:hAnsi="Times New Roman" w:eastAsia="仿宋_GB2312" w:cs="Times New Roman"/>
          <w:sz w:val="32"/>
          <w:szCs w:val="32"/>
        </w:rPr>
        <w:t>个正股级内设机构，分别为：办公室、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建设管理</w:t>
      </w:r>
      <w:r>
        <w:rPr>
          <w:rFonts w:hint="eastAsia" w:ascii="仿宋_GB2312" w:hAnsi="Times New Roman" w:eastAsia="仿宋_GB2312" w:cs="Times New Roman"/>
          <w:sz w:val="32"/>
          <w:szCs w:val="32"/>
        </w:rPr>
        <w:t>股、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运行管理</w:t>
      </w:r>
      <w:r>
        <w:rPr>
          <w:rFonts w:hint="eastAsia" w:ascii="仿宋_GB2312" w:hAnsi="Times New Roman" w:eastAsia="仿宋_GB2312" w:cs="Times New Roman"/>
          <w:sz w:val="32"/>
          <w:szCs w:val="32"/>
        </w:rPr>
        <w:t>股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。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截至2022年12月31日，本单位财政核定事业编制为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16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人，年末实有在职人员为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14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人，退休人员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人，主要</w:t>
      </w:r>
      <w:r>
        <w:rPr>
          <w:rFonts w:hint="eastAsia" w:ascii="仿宋_GB2312" w:hAnsi="Times New Roman" w:eastAsia="仿宋_GB2312" w:cs="Times New Roman"/>
          <w:sz w:val="32"/>
          <w:szCs w:val="32"/>
        </w:rPr>
        <w:t>部门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职能如下：</w:t>
      </w:r>
    </w:p>
    <w:p>
      <w:pPr>
        <w:numPr>
          <w:ilvl w:val="0"/>
          <w:numId w:val="0"/>
        </w:numPr>
        <w:spacing w:line="560" w:lineRule="exact"/>
        <w:ind w:firstLine="640" w:firstLineChars="0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1、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参与指导和协调全市城镇生活污水处理厂的建设和运行管理工作。</w:t>
      </w:r>
    </w:p>
    <w:p>
      <w:pPr>
        <w:numPr>
          <w:ilvl w:val="0"/>
          <w:numId w:val="0"/>
        </w:numPr>
        <w:spacing w:line="560" w:lineRule="exact"/>
        <w:ind w:firstLine="640" w:firstLineChars="0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2、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收集、汇总各县（市、区）填报的污水处理设施项目建设与运行情况。</w:t>
      </w:r>
    </w:p>
    <w:p>
      <w:pPr>
        <w:numPr>
          <w:ilvl w:val="0"/>
          <w:numId w:val="0"/>
        </w:numPr>
        <w:spacing w:line="560" w:lineRule="exact"/>
        <w:ind w:left="0" w:leftChars="0" w:right="0" w:rightChars="0" w:firstLine="640" w:firstLineChars="0"/>
        <w:jc w:val="left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3、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承办市政府和上级有关部门交办的其他事项。</w:t>
      </w:r>
    </w:p>
    <w:p>
      <w:pPr>
        <w:numPr>
          <w:ilvl w:val="0"/>
          <w:numId w:val="0"/>
        </w:numPr>
        <w:spacing w:line="560" w:lineRule="exact"/>
        <w:ind w:left="0" w:leftChars="0" w:right="0" w:rightChars="0"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lang w:eastAsia="zh-CN"/>
        </w:rPr>
        <w:t>（二）</w:t>
      </w:r>
      <w:r>
        <w:rPr>
          <w:rFonts w:hint="eastAsia" w:ascii="楷体_GB2312" w:hAnsi="楷体_GB2312" w:eastAsia="楷体_GB2312" w:cs="楷体_GB2312"/>
          <w:sz w:val="32"/>
        </w:rPr>
        <w:t>年度总体工作和重点工作任务</w:t>
      </w:r>
    </w:p>
    <w:p>
      <w:pPr>
        <w:pStyle w:val="2"/>
        <w:numPr>
          <w:ilvl w:val="0"/>
          <w:numId w:val="0"/>
        </w:numPr>
        <w:spacing w:after="0" w:line="560" w:lineRule="exact"/>
        <w:ind w:left="0" w:leftChars="0" w:firstLine="640" w:firstLineChars="200"/>
        <w:rPr>
          <w:rFonts w:hint="eastAsia" w:ascii="仿宋_GB2312" w:hAnsi="仿宋_GB2312" w:eastAsia="仿宋_GB2312"/>
          <w:sz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lang w:val="en-US" w:eastAsia="zh-CN"/>
        </w:rPr>
        <w:t>1、年度总体工作</w:t>
      </w:r>
    </w:p>
    <w:p>
      <w:pPr>
        <w:pStyle w:val="2"/>
        <w:numPr>
          <w:ilvl w:val="0"/>
          <w:numId w:val="0"/>
        </w:numPr>
        <w:spacing w:after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2022年部门支出年初预算数为242.99万元，决算数为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1305.20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Style w:val="2"/>
        <w:numPr>
          <w:ilvl w:val="0"/>
          <w:numId w:val="0"/>
        </w:numPr>
        <w:spacing w:after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）基本支出。</w:t>
      </w:r>
      <w:r>
        <w:rPr>
          <w:rFonts w:hint="eastAsia" w:ascii="仿宋_GB2312" w:hAnsi="仿宋_GB2312" w:eastAsia="仿宋_GB2312" w:cs="仿宋_GB2312"/>
          <w:sz w:val="32"/>
          <w:szCs w:val="32"/>
        </w:rPr>
        <w:t>本年度基本支出年初预算数为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242.99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万元，基本支出决算数为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273.41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万元，占整体支出决算数的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20.95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</w:rPr>
        <w:t>，主要是用于人员工资福利支出、个人家庭补助支出及日常公用经费支出，其中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人员经费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255.65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万元，公用经费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17.76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。本年度基本支出</w:t>
      </w:r>
      <w:r>
        <w:rPr>
          <w:rFonts w:hint="eastAsia" w:ascii="仿宋_GB2312" w:hAnsi="仿宋_GB2312" w:eastAsia="仿宋_GB2312" w:cs="仿宋_GB2312"/>
          <w:sz w:val="32"/>
          <w:szCs w:val="32"/>
        </w:rPr>
        <w:t>决算数比年初预算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数增加，</w:t>
      </w:r>
      <w:r>
        <w:rPr>
          <w:rFonts w:hint="eastAsia" w:ascii="仿宋_GB2312" w:hAnsi="仿宋_GB2312" w:eastAsia="仿宋_GB2312" w:cs="仿宋_GB2312"/>
          <w:sz w:val="32"/>
          <w:szCs w:val="32"/>
        </w:rPr>
        <w:t>主要原因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是：</w:t>
      </w:r>
      <w:r>
        <w:rPr>
          <w:rFonts w:hint="eastAsia" w:ascii="仿宋_GB2312" w:hAnsi="仿宋_GB2312" w:eastAsia="仿宋_GB2312" w:cs="仿宋_GB2312"/>
          <w:sz w:val="32"/>
          <w:szCs w:val="32"/>
        </w:rPr>
        <w:t>2022年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月新增在职在编人员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（雷涛、刘思悦、傅城钢），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2022年4月去世1人（肖志毅），</w:t>
      </w:r>
      <w:r>
        <w:rPr>
          <w:rFonts w:hint="eastAsia" w:ascii="仿宋_GB2312" w:hAnsi="仿宋_GB2312" w:eastAsia="仿宋_GB2312" w:cs="仿宋_GB2312"/>
          <w:sz w:val="32"/>
          <w:szCs w:val="32"/>
        </w:rPr>
        <w:t>2022年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月调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入</w:t>
      </w:r>
      <w:r>
        <w:rPr>
          <w:rFonts w:hint="eastAsia" w:ascii="仿宋_GB2312" w:hAnsi="仿宋_GB2312" w:eastAsia="仿宋_GB2312" w:cs="仿宋_GB2312"/>
          <w:sz w:val="32"/>
          <w:szCs w:val="32"/>
        </w:rPr>
        <w:t>1人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（刘大伟）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，2022年10月辞职1人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（傅城钢）。</w:t>
      </w:r>
    </w:p>
    <w:p>
      <w:pPr>
        <w:pStyle w:val="2"/>
        <w:numPr>
          <w:ilvl w:val="0"/>
          <w:numId w:val="0"/>
        </w:numPr>
        <w:spacing w:after="0" w:line="560" w:lineRule="exact"/>
        <w:ind w:firstLine="640" w:firstLineChars="200"/>
        <w:rPr>
          <w:rFonts w:hint="eastAsia" w:ascii="仿宋_GB2312" w:hAnsi="仿宋_GB2312" w:eastAsia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）项目支出。</w:t>
      </w:r>
      <w:r>
        <w:rPr>
          <w:rFonts w:hint="eastAsia" w:ascii="仿宋_GB2312" w:hAnsi="仿宋_GB2312" w:eastAsia="仿宋_GB2312" w:cs="仿宋_GB2312"/>
          <w:sz w:val="32"/>
          <w:szCs w:val="32"/>
        </w:rPr>
        <w:t>本年度项目支出年初预算数为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万元，决算数为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1031.79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万元，占整体支出决算数的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79.05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主要是用于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支付市第二污水处理厂污水处理服务费等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本年度项目支出决算数比年初预算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增加，</w:t>
      </w:r>
      <w:r>
        <w:rPr>
          <w:rFonts w:hint="eastAsia" w:ascii="仿宋_GB2312" w:hAnsi="仿宋_GB2312" w:eastAsia="仿宋_GB2312" w:cs="仿宋_GB2312"/>
          <w:sz w:val="32"/>
          <w:szCs w:val="32"/>
        </w:rPr>
        <w:t>主要原因：一是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下达2022年“全市生活污水处理设施监督管理费”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52万元；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年中追加“韶关市第二污水处理厂运行费 ”1000 万元</w:t>
      </w:r>
      <w:r>
        <w:rPr>
          <w:rFonts w:ascii="宋体" w:hAnsi="宋体" w:eastAsia="宋体" w:cs="宋体"/>
          <w:sz w:val="32"/>
          <w:szCs w:val="32"/>
        </w:rPr>
        <w:t>。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2、重点工作任务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2022年本单位主要有2个绩效自评项目，分别为“韶关市第二污水处理厂运行费”和“全市生活污水处理设施监督管理费”。</w:t>
      </w:r>
    </w:p>
    <w:p>
      <w:pPr>
        <w:pStyle w:val="11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C00000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（1）“韶关市第二污水处理厂运行费”项目。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2022年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韶关市第二污水处理厂污水处理总量为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35156900立方米，全年均按照环保要求达标排放。2022年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污泥处理量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4613.35吨，污泥无害化处置率达100%</w:t>
      </w:r>
      <w:r>
        <w:rPr>
          <w:rFonts w:hint="eastAsia" w:ascii="仿宋_GB2312" w:eastAsia="仿宋_GB2312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（2）“全市生活污水处理设施监督管理费”项目。一是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抓好全市城镇生活污水处理设施运行监督管理工作。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2022年全市实际投入运行的城镇污水处理厂共100座，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总处理能力59.177万吨/日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，全年运行情况稳定，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均按照环保要求达标排放，污泥无害化处置率达100%。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我单位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对已建成投入运行的城镇生活污水处理厂进行全覆盖检查，加大监督管理力度，督促各县（市、区）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提高运营管理水平，确保污水处理厂正常、规范、稳定运行</w:t>
      </w:r>
      <w:r>
        <w:rPr>
          <w:rFonts w:hint="default" w:ascii="Times New Roman" w:hAnsi="Times New Roman" w:cs="Times New Roman"/>
          <w:sz w:val="30"/>
          <w:szCs w:val="30"/>
          <w:highlight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  <w:t>抓好</w:t>
      </w: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highlight w:val="none"/>
          <w:lang w:val="en-US" w:eastAsia="zh-CN" w:bidi="ar-SA"/>
        </w:rPr>
        <w:t>城镇生活污水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处理设施建设督导工作。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2022年省、市下达的纳入今年建设目标的三个项目顺利完成，其中：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 w:bidi="ar-SA"/>
        </w:rPr>
        <w:t>2022年新建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镇级污水管网任务为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 w:bidi="ar-SA"/>
        </w:rPr>
        <w:t>20.6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4公里，全年共建设154.63公里，超额完成目标；</w:t>
      </w:r>
      <w:r>
        <w:rPr>
          <w:rFonts w:hint="eastAsia" w:ascii="仿宋_GB2312" w:hAnsi="仿宋_GB2312" w:eastAsia="仿宋_GB2312" w:cs="仿宋_GB2312"/>
          <w:sz w:val="32"/>
          <w:szCs w:val="32"/>
        </w:rPr>
        <w:t>翁源县县城罗坑水污水处理厂（0.5万吨/日）、乳源瑶族自治县污水处理厂二期扩建工程（1.5万吨/日）已正式通水运行；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乐昌市坪石镇雅鲁污水处理厂提标扩建工程（2万吨/日）建设任务已完成。</w:t>
      </w:r>
    </w:p>
    <w:p>
      <w:pPr>
        <w:pStyle w:val="2"/>
        <w:numPr>
          <w:ilvl w:val="0"/>
          <w:numId w:val="0"/>
        </w:numPr>
        <w:spacing w:after="0" w:line="560" w:lineRule="exact"/>
        <w:ind w:left="63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3、上级交办工作任务</w:t>
      </w:r>
    </w:p>
    <w:p>
      <w:pPr>
        <w:pStyle w:val="2"/>
        <w:numPr>
          <w:ilvl w:val="0"/>
          <w:numId w:val="0"/>
        </w:numPr>
        <w:spacing w:after="0" w:line="560" w:lineRule="exact"/>
        <w:ind w:left="0" w:firstLine="640" w:firstLineChars="200"/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（1）做好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大陂河、良村排水渠等市区重点小河流排口整治督导工作。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每周对良村排水渠、大陂河、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犁湾河、靖村排水渠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进行巡河排查，现场查看排污情况，并使用便携式水质检测仪器对排污口水质进行采样检测，建立调查检测表，定期记录数据，汇总小河流氨氮指标，记录河流整治情况。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截至12月末，开展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现场巡查督导47次，水质检测13次（每周一次），旬报通报9次。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  <w:t>在巡河中摸清污水排口情况并建立整改台账动态更新，共排查发现需整改排口39个。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left"/>
        <w:textAlignment w:val="auto"/>
        <w:outlineLvl w:val="1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（2）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完成市区污水处理设施再生水利用情况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调研工作。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对市本级生活污水处理厂再生水利用情况进行实地调研，并形成《市区城市污水处理设施再生水利用情况的调研报告》报送上级有关部门参考决策。截至2022年12月末，市区城市再生水利用量为405.29万吨，再生水利用率为 3.48%。</w:t>
      </w:r>
    </w:p>
    <w:p>
      <w:pPr>
        <w:spacing w:line="560" w:lineRule="exact"/>
        <w:ind w:left="0" w:leftChars="0" w:right="0" w:rightChars="0"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</w:rPr>
        <w:t>（三）部门整体支出绩效目标</w:t>
      </w:r>
    </w:p>
    <w:p>
      <w:pPr>
        <w:pStyle w:val="2"/>
        <w:spacing w:after="0" w:line="560" w:lineRule="exact"/>
        <w:ind w:left="0" w:leftChars="0" w:firstLine="640" w:firstLineChars="200"/>
        <w:jc w:val="both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1、“韶关市第二污水处理厂运行费”项目</w:t>
      </w:r>
      <w:r>
        <w:rPr>
          <w:rFonts w:hint="eastAsia" w:eastAsia="仿宋_GB2312"/>
          <w:sz w:val="32"/>
          <w:szCs w:val="32"/>
          <w:lang w:val="en-US" w:eastAsia="zh-CN"/>
        </w:rPr>
        <w:t>绩效目标。确保市第二污水处理厂的正常运行，使项目设施始终处于良好的运营状态并能够安全稳定地处理污水，处理后尾水排放水质达到国家排放标准，同时使污泥处理项目正常稳定运行，确保污泥得到无害化处理，符合污染减排核查相关要求。</w:t>
      </w:r>
    </w:p>
    <w:p>
      <w:pPr>
        <w:pStyle w:val="2"/>
        <w:spacing w:after="0" w:line="56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2、“全市生活污水处理设施监督管理费”项目绩效目标。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对已建成投入运行的城镇生活污水处理厂进行全覆盖检查，加大监督管理力度，督促各县（市、区）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提高运营管理水平，确保污水处理厂正常、规范、稳定运行</w:t>
      </w:r>
      <w:r>
        <w:rPr>
          <w:rFonts w:hint="eastAsia" w:ascii="Times New Roman" w:hAnsi="Times New Roman" w:cs="Times New Roman"/>
          <w:sz w:val="30"/>
          <w:szCs w:val="30"/>
          <w:highlight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助力我市打好污染防治攻坚战，筑牢粤北生态屏障，为推动北部生态发展区高质量发展增添动力。</w:t>
      </w:r>
    </w:p>
    <w:p>
      <w:pPr>
        <w:spacing w:line="560" w:lineRule="exact"/>
        <w:ind w:left="0" w:leftChars="0" w:right="0" w:rightChars="0" w:firstLine="640" w:firstLineChars="200"/>
        <w:jc w:val="left"/>
        <w:rPr>
          <w:rFonts w:hint="eastAsia" w:ascii="仿宋_GB2312" w:hAnsi="仿宋_GB2312" w:eastAsia="仿宋_GB2312"/>
          <w:sz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</w:rPr>
        <w:t>（四）部门整体支出情况</w:t>
      </w:r>
      <w:r>
        <w:rPr>
          <w:rFonts w:hint="eastAsia" w:ascii="楷体_GB2312" w:hAnsi="楷体_GB2312" w:eastAsia="楷体_GB2312" w:cs="楷体_GB2312"/>
          <w:sz w:val="32"/>
          <w:lang w:eastAsia="zh-CN"/>
        </w:rPr>
        <w:t>（单位：万元）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9"/>
        <w:gridCol w:w="2105"/>
        <w:gridCol w:w="1476"/>
        <w:gridCol w:w="1416"/>
        <w:gridCol w:w="14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2049" w:type="dxa"/>
            <w:vMerge w:val="restart"/>
            <w:noWrap w:val="0"/>
            <w:vAlign w:val="center"/>
          </w:tcPr>
          <w:p>
            <w:pPr>
              <w:pStyle w:val="6"/>
              <w:spacing w:after="0" w:line="2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  <w:szCs w:val="24"/>
                <w:highlight w:val="none"/>
                <w:lang w:val="en-US" w:eastAsia="zh-CN"/>
              </w:rPr>
              <w:t>支出执行年度</w:t>
            </w:r>
          </w:p>
        </w:tc>
        <w:tc>
          <w:tcPr>
            <w:tcW w:w="3581" w:type="dxa"/>
            <w:gridSpan w:val="2"/>
            <w:noWrap w:val="0"/>
            <w:vAlign w:val="center"/>
          </w:tcPr>
          <w:p>
            <w:pPr>
              <w:pStyle w:val="6"/>
              <w:spacing w:after="0" w:line="240" w:lineRule="exact"/>
              <w:jc w:val="center"/>
              <w:rPr>
                <w:rFonts w:hint="eastAsia" w:ascii="仿宋_GB2312" w:hAnsi="仿宋_GB2312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  <w:szCs w:val="24"/>
                <w:highlight w:val="none"/>
                <w:lang w:val="en-US" w:eastAsia="zh-CN"/>
              </w:rPr>
              <w:t>预算资金额度</w:t>
            </w:r>
          </w:p>
        </w:tc>
        <w:tc>
          <w:tcPr>
            <w:tcW w:w="2892" w:type="dxa"/>
            <w:gridSpan w:val="2"/>
            <w:noWrap w:val="0"/>
            <w:vAlign w:val="center"/>
          </w:tcPr>
          <w:p>
            <w:pPr>
              <w:pStyle w:val="6"/>
              <w:spacing w:after="0" w:line="240" w:lineRule="exact"/>
              <w:jc w:val="center"/>
              <w:rPr>
                <w:rFonts w:hint="eastAsia" w:ascii="仿宋_GB2312" w:hAnsi="仿宋_GB2312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  <w:szCs w:val="24"/>
                <w:highlight w:val="none"/>
                <w:lang w:val="en-US" w:eastAsia="zh-CN"/>
              </w:rPr>
              <w:t>决算资金支出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2049" w:type="dxa"/>
            <w:vMerge w:val="continue"/>
            <w:noWrap w:val="0"/>
            <w:vAlign w:val="center"/>
          </w:tcPr>
          <w:p>
            <w:pPr>
              <w:pStyle w:val="6"/>
              <w:spacing w:after="0" w:line="240" w:lineRule="exact"/>
              <w:jc w:val="center"/>
              <w:rPr>
                <w:rFonts w:hint="eastAsia" w:ascii="仿宋_GB2312" w:hAnsi="仿宋_GB2312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105" w:type="dxa"/>
            <w:noWrap w:val="0"/>
            <w:vAlign w:val="center"/>
          </w:tcPr>
          <w:p>
            <w:pPr>
              <w:pStyle w:val="6"/>
              <w:spacing w:after="0" w:line="2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  <w:szCs w:val="24"/>
                <w:highlight w:val="none"/>
                <w:lang w:val="en-US" w:eastAsia="zh-CN"/>
              </w:rPr>
              <w:t>基本支出</w:t>
            </w:r>
          </w:p>
        </w:tc>
        <w:tc>
          <w:tcPr>
            <w:tcW w:w="1476" w:type="dxa"/>
            <w:noWrap w:val="0"/>
            <w:vAlign w:val="center"/>
          </w:tcPr>
          <w:p>
            <w:pPr>
              <w:pStyle w:val="6"/>
              <w:spacing w:after="0" w:line="2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  <w:szCs w:val="24"/>
                <w:highlight w:val="none"/>
                <w:lang w:val="en-US" w:eastAsia="zh-CN"/>
              </w:rPr>
              <w:t>项目支出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pStyle w:val="6"/>
              <w:spacing w:after="0" w:line="2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  <w:szCs w:val="24"/>
                <w:highlight w:val="none"/>
                <w:lang w:val="en-US" w:eastAsia="zh-CN"/>
              </w:rPr>
              <w:t>基本支出</w:t>
            </w:r>
          </w:p>
        </w:tc>
        <w:tc>
          <w:tcPr>
            <w:tcW w:w="1476" w:type="dxa"/>
            <w:noWrap w:val="0"/>
            <w:vAlign w:val="center"/>
          </w:tcPr>
          <w:p>
            <w:pPr>
              <w:pStyle w:val="6"/>
              <w:spacing w:after="0" w:line="2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  <w:szCs w:val="24"/>
                <w:highlight w:val="none"/>
                <w:lang w:val="en-US" w:eastAsia="zh-CN"/>
              </w:rPr>
              <w:t>项目支出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2049" w:type="dxa"/>
            <w:noWrap w:val="0"/>
            <w:vAlign w:val="center"/>
          </w:tcPr>
          <w:p>
            <w:pPr>
              <w:pStyle w:val="6"/>
              <w:spacing w:after="0" w:line="2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  <w:szCs w:val="24"/>
                <w:highlight w:val="none"/>
                <w:lang w:val="en-US" w:eastAsia="zh-CN"/>
              </w:rPr>
              <w:t>2021年</w:t>
            </w:r>
          </w:p>
        </w:tc>
        <w:tc>
          <w:tcPr>
            <w:tcW w:w="2105" w:type="dxa"/>
            <w:noWrap w:val="0"/>
            <w:vAlign w:val="center"/>
          </w:tcPr>
          <w:p>
            <w:pPr>
              <w:pStyle w:val="6"/>
              <w:spacing w:after="0" w:line="240" w:lineRule="exact"/>
              <w:ind w:left="0" w:leftChars="0" w:firstLine="0" w:firstLineChars="0"/>
              <w:jc w:val="center"/>
              <w:rPr>
                <w:rFonts w:hint="default" w:ascii="仿宋_GB2312" w:hAnsi="仿宋_GB2312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  <w:szCs w:val="24"/>
                <w:highlight w:val="none"/>
                <w:lang w:val="en-US" w:eastAsia="zh-CN"/>
              </w:rPr>
              <w:t>242.89</w:t>
            </w:r>
          </w:p>
        </w:tc>
        <w:tc>
          <w:tcPr>
            <w:tcW w:w="1476" w:type="dxa"/>
            <w:noWrap w:val="0"/>
            <w:vAlign w:val="center"/>
          </w:tcPr>
          <w:p>
            <w:pPr>
              <w:pStyle w:val="6"/>
              <w:spacing w:after="0" w:line="240" w:lineRule="exact"/>
              <w:ind w:left="0" w:leftChars="0" w:firstLine="0" w:firstLineChars="0"/>
              <w:jc w:val="center"/>
              <w:rPr>
                <w:rFonts w:hint="default" w:ascii="仿宋_GB2312" w:hAnsi="仿宋_GB2312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  <w:szCs w:val="24"/>
                <w:highlight w:val="none"/>
                <w:lang w:val="en-US" w:eastAsia="zh-CN"/>
              </w:rPr>
              <w:t>3000.00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pStyle w:val="6"/>
              <w:spacing w:after="0" w:line="240" w:lineRule="exact"/>
              <w:ind w:left="0" w:leftChars="0" w:firstLine="0" w:firstLineChars="0"/>
              <w:jc w:val="center"/>
              <w:rPr>
                <w:rFonts w:hint="default" w:ascii="仿宋_GB2312" w:hAnsi="仿宋_GB2312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  <w:szCs w:val="24"/>
                <w:highlight w:val="none"/>
                <w:lang w:val="en-US" w:eastAsia="zh-CN"/>
              </w:rPr>
              <w:t>233.37</w:t>
            </w:r>
          </w:p>
        </w:tc>
        <w:tc>
          <w:tcPr>
            <w:tcW w:w="1476" w:type="dxa"/>
            <w:noWrap w:val="0"/>
            <w:vAlign w:val="center"/>
          </w:tcPr>
          <w:p>
            <w:pPr>
              <w:pStyle w:val="6"/>
              <w:spacing w:after="0" w:line="240" w:lineRule="exact"/>
              <w:ind w:left="0" w:leftChars="0" w:firstLine="0" w:firstLineChars="0"/>
              <w:jc w:val="center"/>
              <w:rPr>
                <w:rFonts w:hint="default" w:ascii="仿宋_GB2312" w:hAnsi="仿宋_GB2312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  <w:szCs w:val="24"/>
                <w:highlight w:val="none"/>
                <w:lang w:val="en-US" w:eastAsia="zh-CN"/>
              </w:rPr>
              <w:t>3022.01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2049" w:type="dxa"/>
            <w:noWrap w:val="0"/>
            <w:vAlign w:val="center"/>
          </w:tcPr>
          <w:p>
            <w:pPr>
              <w:pStyle w:val="6"/>
              <w:spacing w:after="0" w:line="2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  <w:szCs w:val="24"/>
                <w:highlight w:val="none"/>
                <w:lang w:val="en-US" w:eastAsia="zh-CN"/>
              </w:rPr>
              <w:t>2022年</w:t>
            </w:r>
          </w:p>
        </w:tc>
        <w:tc>
          <w:tcPr>
            <w:tcW w:w="2105" w:type="dxa"/>
            <w:noWrap w:val="0"/>
            <w:vAlign w:val="center"/>
          </w:tcPr>
          <w:p>
            <w:pPr>
              <w:pStyle w:val="6"/>
              <w:spacing w:after="0" w:line="240" w:lineRule="exact"/>
              <w:ind w:left="0" w:leftChars="0" w:firstLine="0" w:firstLineChars="0"/>
              <w:jc w:val="center"/>
              <w:rPr>
                <w:rFonts w:hint="default" w:ascii="仿宋_GB2312" w:hAnsi="仿宋_GB2312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  <w:szCs w:val="24"/>
                <w:highlight w:val="none"/>
                <w:lang w:val="en-US" w:eastAsia="zh-CN"/>
              </w:rPr>
              <w:t>242.99</w:t>
            </w:r>
          </w:p>
        </w:tc>
        <w:tc>
          <w:tcPr>
            <w:tcW w:w="1476" w:type="dxa"/>
            <w:noWrap w:val="0"/>
            <w:vAlign w:val="center"/>
          </w:tcPr>
          <w:p>
            <w:pPr>
              <w:pStyle w:val="6"/>
              <w:spacing w:after="0" w:line="240" w:lineRule="exact"/>
              <w:ind w:left="0" w:leftChars="0" w:firstLine="0" w:firstLineChars="0"/>
              <w:jc w:val="center"/>
              <w:rPr>
                <w:rFonts w:hint="default" w:ascii="仿宋_GB2312" w:hAnsi="仿宋_GB2312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  <w:szCs w:val="24"/>
                <w:highlight w:val="none"/>
                <w:lang w:val="en-US" w:eastAsia="zh-CN"/>
              </w:rPr>
              <w:t>0.00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pStyle w:val="6"/>
              <w:spacing w:after="0" w:line="240" w:lineRule="exact"/>
              <w:ind w:left="0" w:leftChars="0" w:firstLine="0" w:firstLineChars="0"/>
              <w:jc w:val="center"/>
              <w:rPr>
                <w:rFonts w:hint="default" w:ascii="仿宋_GB2312" w:hAnsi="仿宋_GB2312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  <w:szCs w:val="24"/>
                <w:highlight w:val="none"/>
                <w:lang w:val="en-US" w:eastAsia="zh-CN"/>
              </w:rPr>
              <w:t>273.41</w:t>
            </w:r>
          </w:p>
        </w:tc>
        <w:tc>
          <w:tcPr>
            <w:tcW w:w="1476" w:type="dxa"/>
            <w:noWrap w:val="0"/>
            <w:vAlign w:val="center"/>
          </w:tcPr>
          <w:p>
            <w:pPr>
              <w:pStyle w:val="6"/>
              <w:spacing w:after="0" w:line="240" w:lineRule="exact"/>
              <w:ind w:left="0" w:leftChars="0" w:firstLine="0" w:firstLineChars="0"/>
              <w:jc w:val="center"/>
              <w:rPr>
                <w:rFonts w:hint="default" w:ascii="仿宋_GB2312" w:hAnsi="仿宋_GB2312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  <w:szCs w:val="24"/>
                <w:highlight w:val="none"/>
                <w:lang w:val="en-US" w:eastAsia="zh-CN"/>
              </w:rPr>
              <w:t>1031.79</w:t>
            </w:r>
          </w:p>
        </w:tc>
      </w:tr>
    </w:tbl>
    <w:p>
      <w:pPr>
        <w:keepNext w:val="0"/>
        <w:keepLines w:val="0"/>
        <w:widowControl/>
        <w:suppressLineNumbers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Times New Roman"/>
          <w:kern w:val="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Times New Roman"/>
          <w:kern w:val="2"/>
          <w:sz w:val="32"/>
          <w:highlight w:val="none"/>
          <w:lang w:val="en-US" w:eastAsia="zh-CN"/>
        </w:rPr>
        <w:t>本单位资金全额来源于市级财政预算资金，通过上表对比可知，2022年度比2021年度资金减少，主要原因是：“韶关市第二污水处理厂运行费”项目减少（市财政在“二下”环节未作安排）。</w:t>
      </w:r>
    </w:p>
    <w:p>
      <w:pPr>
        <w:widowControl/>
        <w:numPr>
          <w:ilvl w:val="0"/>
          <w:numId w:val="0"/>
        </w:numPr>
        <w:spacing w:line="560" w:lineRule="exact"/>
        <w:ind w:left="0" w:leftChars="0" w:right="0" w:rightChars="0" w:firstLine="640" w:firstLineChars="200"/>
        <w:jc w:val="left"/>
        <w:rPr>
          <w:rFonts w:hint="eastAsia" w:ascii="仿宋_GB2312" w:hAnsi="仿宋_GB2312" w:eastAsia="仿宋_GB2312"/>
          <w:sz w:val="32"/>
          <w:lang w:eastAsia="zh-CN"/>
        </w:rPr>
      </w:pPr>
      <w:r>
        <w:rPr>
          <w:rFonts w:hint="eastAsia" w:ascii="黑体" w:hAnsi="黑体" w:eastAsia="黑体"/>
          <w:sz w:val="32"/>
          <w:lang w:eastAsia="zh-CN"/>
        </w:rPr>
        <w:t>二、</w:t>
      </w:r>
      <w:r>
        <w:rPr>
          <w:rFonts w:hint="eastAsia" w:ascii="黑体" w:hAnsi="黑体" w:eastAsia="黑体"/>
          <w:sz w:val="32"/>
        </w:rPr>
        <w:t>绩效自评情况</w:t>
      </w:r>
    </w:p>
    <w:p>
      <w:pPr>
        <w:numPr>
          <w:ilvl w:val="0"/>
          <w:numId w:val="0"/>
        </w:numPr>
        <w:spacing w:line="560" w:lineRule="exact"/>
        <w:ind w:leftChars="0" w:right="0" w:rightChars="0" w:firstLine="640" w:firstLineChars="200"/>
        <w:jc w:val="left"/>
        <w:rPr>
          <w:rFonts w:hint="eastAsia" w:ascii="楷体_GB2312" w:hAnsi="楷体_GB2312" w:eastAsia="楷体_GB2312" w:cs="楷体_GB2312"/>
          <w:sz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lang w:eastAsia="zh-CN"/>
        </w:rPr>
        <w:t>（一）预算执行情况（</w:t>
      </w:r>
      <w:r>
        <w:rPr>
          <w:rFonts w:hint="eastAsia" w:ascii="楷体_GB2312" w:hAnsi="楷体_GB2312" w:eastAsia="楷体_GB2312" w:cs="楷体_GB2312"/>
          <w:sz w:val="32"/>
          <w:lang w:val="en-US" w:eastAsia="zh-CN"/>
        </w:rPr>
        <w:t>单位：万元）</w:t>
      </w:r>
    </w:p>
    <w:p>
      <w:pPr>
        <w:pStyle w:val="2"/>
        <w:rPr>
          <w:rFonts w:hint="eastAsia"/>
          <w:lang w:eastAsia="zh-CN"/>
        </w:rPr>
      </w:pPr>
    </w:p>
    <w:tbl>
      <w:tblPr>
        <w:tblStyle w:val="8"/>
        <w:tblW w:w="80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5"/>
        <w:gridCol w:w="888"/>
        <w:gridCol w:w="1608"/>
        <w:gridCol w:w="1950"/>
        <w:gridCol w:w="18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5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-63" w:leftChars="-30" w:right="-63" w:rightChars="-30" w:firstLine="0" w:firstLineChars="0"/>
              <w:jc w:val="center"/>
              <w:textAlignment w:val="auto"/>
              <w:rPr>
                <w:rFonts w:hint="eastAsia" w:ascii="仿宋_GB2312" w:hAnsi="仿宋_GB2312" w:eastAsia="仿宋_GB2312" w:cs="Times New Roman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2"/>
                <w:sz w:val="24"/>
                <w:szCs w:val="24"/>
                <w:highlight w:val="none"/>
                <w:lang w:val="en-US" w:eastAsia="zh-CN"/>
              </w:rPr>
              <w:t>项目</w:t>
            </w:r>
          </w:p>
        </w:tc>
        <w:tc>
          <w:tcPr>
            <w:tcW w:w="888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-63" w:leftChars="-30" w:right="-63" w:rightChars="-30" w:firstLine="0" w:firstLineChars="0"/>
              <w:jc w:val="center"/>
              <w:textAlignment w:val="auto"/>
              <w:rPr>
                <w:rFonts w:hint="eastAsia" w:ascii="仿宋_GB2312" w:hAnsi="仿宋_GB2312" w:eastAsia="仿宋_GB2312" w:cs="Times New Roman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2"/>
                <w:sz w:val="24"/>
                <w:szCs w:val="24"/>
                <w:highlight w:val="none"/>
                <w:lang w:val="en-US" w:eastAsia="zh-CN"/>
              </w:rPr>
              <w:t>人数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-63" w:leftChars="-30" w:right="-63" w:rightChars="-30" w:firstLine="0" w:firstLineChars="0"/>
              <w:jc w:val="center"/>
              <w:textAlignment w:val="auto"/>
              <w:rPr>
                <w:rFonts w:hint="eastAsia" w:ascii="仿宋_GB2312" w:hAnsi="仿宋_GB2312" w:eastAsia="仿宋_GB2312" w:cs="Times New Roman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2"/>
                <w:sz w:val="24"/>
                <w:szCs w:val="24"/>
                <w:highlight w:val="none"/>
                <w:lang w:val="en-US" w:eastAsia="zh-CN"/>
              </w:rPr>
              <w:t>人员经费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-63" w:leftChars="-30" w:right="-63" w:rightChars="-30" w:firstLine="0" w:firstLineChars="0"/>
              <w:jc w:val="center"/>
              <w:textAlignment w:val="auto"/>
              <w:rPr>
                <w:rFonts w:hint="eastAsia" w:ascii="仿宋_GB2312" w:hAnsi="仿宋_GB2312" w:eastAsia="仿宋_GB2312" w:cs="Times New Roman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2"/>
                <w:sz w:val="24"/>
                <w:szCs w:val="24"/>
                <w:highlight w:val="none"/>
                <w:lang w:val="en-US" w:eastAsia="zh-CN"/>
              </w:rPr>
              <w:t>公用经费</w:t>
            </w:r>
          </w:p>
        </w:tc>
        <w:tc>
          <w:tcPr>
            <w:tcW w:w="1883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-63" w:leftChars="-30" w:right="-63" w:rightChars="-30" w:firstLine="0" w:firstLineChars="0"/>
              <w:jc w:val="center"/>
              <w:textAlignment w:val="auto"/>
              <w:rPr>
                <w:rFonts w:hint="eastAsia" w:ascii="仿宋_GB2312" w:hAnsi="仿宋_GB2312" w:eastAsia="仿宋_GB2312" w:cs="Times New Roman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2"/>
                <w:sz w:val="24"/>
                <w:szCs w:val="24"/>
                <w:highlight w:val="none"/>
                <w:lang w:val="en-US" w:eastAsia="zh-CN"/>
              </w:rPr>
              <w:t>项目经费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675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-63" w:leftChars="-30" w:right="-63" w:rightChars="-30" w:firstLine="0" w:firstLineChars="0"/>
              <w:jc w:val="center"/>
              <w:textAlignment w:val="auto"/>
              <w:rPr>
                <w:rFonts w:hint="eastAsia" w:ascii="仿宋_GB2312" w:hAnsi="仿宋_GB2312" w:eastAsia="仿宋_GB2312" w:cs="Times New Roman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2"/>
                <w:sz w:val="24"/>
                <w:szCs w:val="24"/>
                <w:highlight w:val="none"/>
                <w:lang w:val="en-US" w:eastAsia="zh-CN"/>
              </w:rPr>
              <w:t>年初预算资金</w:t>
            </w:r>
          </w:p>
        </w:tc>
        <w:tc>
          <w:tcPr>
            <w:tcW w:w="888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-63" w:leftChars="-30" w:right="-63" w:rightChars="-30" w:firstLine="0" w:firstLineChars="0"/>
              <w:jc w:val="center"/>
              <w:textAlignment w:val="auto"/>
              <w:rPr>
                <w:rFonts w:hint="default" w:ascii="仿宋_GB2312" w:hAnsi="仿宋_GB2312" w:eastAsia="仿宋_GB2312" w:cs="Times New Roman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2"/>
                <w:sz w:val="24"/>
                <w:szCs w:val="24"/>
                <w:highlight w:val="none"/>
                <w:lang w:val="en-US" w:eastAsia="zh-CN"/>
              </w:rPr>
              <w:t>11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-63" w:leftChars="-30" w:right="-63" w:rightChars="-30" w:firstLine="0" w:firstLineChars="0"/>
              <w:jc w:val="center"/>
              <w:textAlignment w:val="auto"/>
              <w:rPr>
                <w:rFonts w:hint="default" w:ascii="仿宋_GB2312" w:hAnsi="仿宋_GB2312" w:eastAsia="仿宋_GB2312" w:cs="Times New Roman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2"/>
                <w:sz w:val="24"/>
                <w:szCs w:val="24"/>
                <w:highlight w:val="none"/>
                <w:lang w:val="en-US" w:eastAsia="zh-CN"/>
              </w:rPr>
              <w:t>226.49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-63" w:leftChars="-30" w:right="-63" w:rightChars="-30" w:firstLine="0" w:firstLineChars="0"/>
              <w:jc w:val="center"/>
              <w:textAlignment w:val="auto"/>
              <w:rPr>
                <w:rFonts w:hint="default" w:ascii="仿宋_GB2312" w:hAnsi="仿宋_GB2312" w:eastAsia="仿宋_GB2312" w:cs="Times New Roman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2"/>
                <w:sz w:val="24"/>
                <w:szCs w:val="24"/>
                <w:highlight w:val="none"/>
                <w:lang w:val="en-US" w:eastAsia="zh-CN"/>
              </w:rPr>
              <w:t>16.50</w:t>
            </w:r>
          </w:p>
        </w:tc>
        <w:tc>
          <w:tcPr>
            <w:tcW w:w="1883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-63" w:leftChars="-30" w:right="-63" w:rightChars="-30" w:firstLine="0" w:firstLineChars="0"/>
              <w:jc w:val="center"/>
              <w:textAlignment w:val="auto"/>
              <w:rPr>
                <w:rFonts w:hint="default" w:ascii="仿宋_GB2312" w:hAnsi="仿宋_GB2312" w:eastAsia="仿宋_GB2312" w:cs="Times New Roman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2"/>
                <w:sz w:val="24"/>
                <w:szCs w:val="24"/>
                <w:highlight w:val="none"/>
                <w:lang w:val="en-US" w:eastAsia="zh-CN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675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-63" w:leftChars="-30" w:right="-63" w:rightChars="-30" w:firstLine="0" w:firstLineChars="0"/>
              <w:jc w:val="center"/>
              <w:textAlignment w:val="auto"/>
              <w:rPr>
                <w:rFonts w:hint="eastAsia" w:ascii="仿宋_GB2312" w:hAnsi="仿宋_GB2312" w:eastAsia="仿宋_GB2312" w:cs="Times New Roman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2"/>
                <w:sz w:val="24"/>
                <w:szCs w:val="24"/>
                <w:highlight w:val="none"/>
                <w:lang w:val="en-US" w:eastAsia="zh-CN"/>
              </w:rPr>
              <w:t>决算资金</w:t>
            </w:r>
          </w:p>
        </w:tc>
        <w:tc>
          <w:tcPr>
            <w:tcW w:w="888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-63" w:leftChars="-30" w:right="-63" w:rightChars="-30" w:firstLine="0" w:firstLineChars="0"/>
              <w:jc w:val="center"/>
              <w:textAlignment w:val="auto"/>
              <w:rPr>
                <w:rFonts w:hint="default" w:ascii="仿宋_GB2312" w:hAnsi="仿宋_GB2312" w:eastAsia="仿宋_GB2312" w:cs="Times New Roman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2"/>
                <w:sz w:val="24"/>
                <w:szCs w:val="24"/>
                <w:highlight w:val="none"/>
                <w:lang w:val="en-US" w:eastAsia="zh-CN"/>
              </w:rPr>
              <w:t>14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-63" w:leftChars="-30" w:right="-63" w:rightChars="-30" w:firstLine="0" w:firstLineChars="0"/>
              <w:jc w:val="center"/>
              <w:textAlignment w:val="auto"/>
              <w:rPr>
                <w:rFonts w:hint="default" w:ascii="仿宋_GB2312" w:hAnsi="仿宋_GB2312" w:eastAsia="仿宋_GB2312" w:cs="Times New Roman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2"/>
                <w:sz w:val="24"/>
                <w:szCs w:val="24"/>
                <w:highlight w:val="none"/>
                <w:lang w:val="en-US" w:eastAsia="zh-CN"/>
              </w:rPr>
              <w:t>255.65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-63" w:leftChars="-30" w:right="-63" w:rightChars="-30" w:firstLine="0" w:firstLineChars="0"/>
              <w:jc w:val="center"/>
              <w:textAlignment w:val="auto"/>
              <w:rPr>
                <w:rFonts w:hint="default" w:ascii="仿宋_GB2312" w:hAnsi="仿宋_GB2312" w:eastAsia="仿宋_GB2312" w:cs="Times New Roman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2"/>
                <w:sz w:val="24"/>
                <w:szCs w:val="24"/>
                <w:highlight w:val="none"/>
                <w:lang w:val="en-US" w:eastAsia="zh-CN"/>
              </w:rPr>
              <w:t>17.76</w:t>
            </w:r>
          </w:p>
        </w:tc>
        <w:tc>
          <w:tcPr>
            <w:tcW w:w="1883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-63" w:leftChars="-30" w:right="-63" w:rightChars="-30" w:firstLine="0" w:firstLineChars="0"/>
              <w:jc w:val="center"/>
              <w:textAlignment w:val="auto"/>
              <w:rPr>
                <w:rFonts w:hint="default" w:ascii="仿宋_GB2312" w:hAnsi="仿宋_GB2312" w:eastAsia="仿宋_GB2312" w:cs="Times New Roman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2"/>
                <w:sz w:val="24"/>
                <w:szCs w:val="24"/>
                <w:highlight w:val="none"/>
                <w:lang w:val="en-US" w:eastAsia="zh-CN"/>
              </w:rPr>
              <w:t>1031.79</w:t>
            </w:r>
          </w:p>
        </w:tc>
      </w:tr>
    </w:tbl>
    <w:p>
      <w:pPr>
        <w:pStyle w:val="2"/>
        <w:numPr>
          <w:ilvl w:val="0"/>
          <w:numId w:val="0"/>
        </w:numPr>
        <w:spacing w:beforeLines="0" w:after="0" w:afterLines="0" w:line="560" w:lineRule="exact"/>
        <w:ind w:left="0"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lang w:eastAsia="zh-CN"/>
        </w:rPr>
        <w:t>（二）部门整体支出目标实现程度及使用绩效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</w:p>
    <w:p>
      <w:pPr>
        <w:pStyle w:val="2"/>
        <w:numPr>
          <w:ilvl w:val="0"/>
          <w:numId w:val="0"/>
        </w:numPr>
        <w:spacing w:beforeLines="0" w:after="0" w:afterLines="0"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2022年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韶关市第二污水处理厂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稳定运行，均按照环保要求达标排放，污泥无害化处置率达100%。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年中追加的“韶关市第二污水处理厂运行费 ”1000 万元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资金拨付到位率达到100%，群众满意度大于90％。</w:t>
      </w:r>
    </w:p>
    <w:p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2022年城市（县城）生活污水处理设施共14座，总处理能力为46.7万吨/日，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spacing w:val="11"/>
          <w:sz w:val="32"/>
          <w:szCs w:val="32"/>
          <w:highlight w:val="none"/>
          <w:lang w:val="en-US" w:eastAsia="zh-CN"/>
        </w:rPr>
        <w:t>污水处理总量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14892.55万吨。市区城市生活污水处理设施生活污水集中收集率为27.54%，生活污水集中处理率为100%。镇级污水处理设施共86座，总处理能力为12.477万吨/日，污水处理总量约1920.25万吨。</w:t>
      </w:r>
    </w:p>
    <w:p>
      <w:pPr>
        <w:pStyle w:val="2"/>
        <w:numPr>
          <w:ilvl w:val="0"/>
          <w:numId w:val="0"/>
        </w:numPr>
        <w:spacing w:beforeLines="0" w:after="0" w:afterLines="0" w:line="560" w:lineRule="exact"/>
        <w:ind w:firstLine="640" w:firstLineChars="200"/>
        <w:rPr>
          <w:rFonts w:hint="eastAsia" w:eastAsia="仿宋_GB2312"/>
          <w:b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部门整体支出目标均完满完成，污水处理厂的规范化正常运行，可有效</w:t>
      </w:r>
      <w:r>
        <w:rPr>
          <w:rFonts w:hint="eastAsia" w:ascii="仿宋_GB2312" w:eastAsia="仿宋_GB2312"/>
          <w:color w:val="auto"/>
          <w:sz w:val="32"/>
          <w:szCs w:val="32"/>
        </w:rPr>
        <w:t>改善人民的生活质量，建设绿色的和谐家园，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对</w:t>
      </w:r>
      <w:r>
        <w:rPr>
          <w:rFonts w:ascii="仿宋_GB2312" w:eastAsia="仿宋_GB2312"/>
          <w:color w:val="auto"/>
          <w:sz w:val="32"/>
          <w:szCs w:val="32"/>
        </w:rPr>
        <w:t>促进我市的可持续发展具有重大意义</w:t>
      </w:r>
      <w:r>
        <w:rPr>
          <w:rFonts w:hint="eastAsia" w:ascii="仿宋_GB2312" w:eastAsia="仿宋_GB2312"/>
          <w:color w:val="auto"/>
          <w:sz w:val="32"/>
          <w:szCs w:val="32"/>
        </w:rPr>
        <w:t>。</w:t>
      </w:r>
    </w:p>
    <w:p>
      <w:pPr>
        <w:numPr>
          <w:ilvl w:val="0"/>
          <w:numId w:val="0"/>
        </w:numPr>
        <w:spacing w:beforeLines="0" w:afterLines="0" w:line="560" w:lineRule="exact"/>
        <w:ind w:right="0" w:rightChars="0" w:firstLine="640" w:firstLineChars="200"/>
        <w:jc w:val="left"/>
        <w:rPr>
          <w:rFonts w:hint="eastAsia" w:ascii="仿宋_GB2312" w:hAnsi="仿宋_GB2312" w:eastAsia="仿宋_GB2312"/>
          <w:sz w:val="32"/>
        </w:rPr>
      </w:pPr>
      <w:r>
        <w:rPr>
          <w:rFonts w:hint="eastAsia" w:ascii="楷体_GB2312" w:hAnsi="楷体_GB2312" w:eastAsia="楷体_GB2312" w:cs="楷体_GB2312"/>
          <w:sz w:val="32"/>
          <w:lang w:eastAsia="zh-CN"/>
        </w:rPr>
        <w:t>（三）</w:t>
      </w:r>
      <w:r>
        <w:rPr>
          <w:rFonts w:hint="eastAsia" w:ascii="楷体_GB2312" w:hAnsi="楷体_GB2312" w:eastAsia="楷体_GB2312" w:cs="楷体_GB2312"/>
          <w:sz w:val="32"/>
        </w:rPr>
        <w:t>自评结论</w:t>
      </w:r>
    </w:p>
    <w:p>
      <w:pPr>
        <w:numPr>
          <w:ilvl w:val="0"/>
          <w:numId w:val="0"/>
        </w:numPr>
        <w:spacing w:beforeLines="0" w:afterLines="0" w:line="560" w:lineRule="exact"/>
        <w:ind w:right="0" w:rightChars="0" w:firstLine="640" w:firstLineChars="200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2022年部门整体支出自评</w:t>
      </w:r>
      <w:r>
        <w:rPr>
          <w:rFonts w:hint="eastAsia" w:ascii="仿宋_GB2312" w:eastAsia="仿宋_GB2312"/>
          <w:sz w:val="32"/>
          <w:szCs w:val="32"/>
          <w:lang w:eastAsia="zh-CN"/>
        </w:rPr>
        <w:t>得分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100分。从整体情况来看，我单位严格按照年初预算安排部门整体支出，在支出过程中，严格遵守各项规章制度，所有项目都制定了资金使用计划，严格按计划实施，尤其是在项目支出上，严格执行专项资金财务管理办法，专款专用，无截留、无挪用等现象。</w:t>
      </w:r>
      <w:bookmarkStart w:id="0" w:name="_GoBack"/>
      <w:bookmarkEnd w:id="0"/>
    </w:p>
    <w:p>
      <w:pPr>
        <w:numPr>
          <w:ilvl w:val="0"/>
          <w:numId w:val="0"/>
        </w:numPr>
        <w:spacing w:beforeLines="0" w:afterLines="0" w:line="560" w:lineRule="exact"/>
        <w:ind w:left="0" w:leftChars="0" w:right="0" w:rightChars="0" w:firstLine="640" w:firstLineChars="200"/>
        <w:jc w:val="left"/>
        <w:rPr>
          <w:rFonts w:hint="eastAsia" w:ascii="黑体" w:hAnsi="黑体" w:eastAsia="黑体"/>
          <w:sz w:val="32"/>
        </w:rPr>
      </w:pPr>
      <w:r>
        <w:rPr>
          <w:rFonts w:hint="eastAsia" w:ascii="黑体" w:hAnsi="黑体" w:eastAsia="黑体"/>
          <w:sz w:val="32"/>
          <w:lang w:eastAsia="zh-CN"/>
        </w:rPr>
        <w:t>三、</w:t>
      </w:r>
      <w:r>
        <w:rPr>
          <w:rFonts w:hint="eastAsia" w:ascii="黑体" w:hAnsi="黑体" w:eastAsia="黑体"/>
          <w:sz w:val="32"/>
        </w:rPr>
        <w:t>存在问题及改进意见</w:t>
      </w:r>
    </w:p>
    <w:p>
      <w:pPr>
        <w:pStyle w:val="2"/>
        <w:numPr>
          <w:ilvl w:val="0"/>
          <w:numId w:val="0"/>
        </w:numPr>
        <w:spacing w:beforeLines="0" w:after="0" w:afterLines="0" w:line="560" w:lineRule="exact"/>
        <w:ind w:left="0" w:leftChars="0" w:firstLine="640" w:firstLineChars="200"/>
        <w:rPr>
          <w:rFonts w:hint="eastAsia" w:ascii="楷体_GB2312" w:hAnsi="楷体_GB2312" w:eastAsia="楷体_GB2312" w:cs="楷体_GB2312"/>
          <w:sz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lang w:eastAsia="zh-CN"/>
        </w:rPr>
        <w:t>（一）存在问题</w:t>
      </w:r>
    </w:p>
    <w:p>
      <w:pPr>
        <w:pStyle w:val="2"/>
        <w:numPr>
          <w:ilvl w:val="0"/>
          <w:numId w:val="0"/>
        </w:numPr>
        <w:spacing w:beforeLines="0" w:after="0" w:afterLines="0" w:line="560" w:lineRule="exact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1、因市财政库款紧张，2022年部分项目资金在2023年支付。</w:t>
      </w:r>
    </w:p>
    <w:p>
      <w:pPr>
        <w:pStyle w:val="2"/>
        <w:numPr>
          <w:ilvl w:val="0"/>
          <w:numId w:val="0"/>
        </w:numPr>
        <w:spacing w:beforeLines="0" w:after="0" w:afterLines="0" w:line="560" w:lineRule="exact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2、内部控制制度需进一步完善，健全内部管理机制，规范资金使用流程。</w:t>
      </w:r>
    </w:p>
    <w:p>
      <w:pPr>
        <w:pStyle w:val="2"/>
        <w:numPr>
          <w:ilvl w:val="0"/>
          <w:numId w:val="0"/>
        </w:numPr>
        <w:spacing w:beforeLines="0" w:after="0" w:afterLines="0" w:line="560" w:lineRule="exact"/>
        <w:ind w:left="0" w:leftChars="0" w:firstLine="640" w:firstLineChars="200"/>
        <w:rPr>
          <w:rFonts w:hint="eastAsia" w:ascii="楷体_GB2312" w:hAnsi="楷体_GB2312" w:eastAsia="楷体_GB2312" w:cs="楷体_GB2312"/>
          <w:sz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lang w:eastAsia="zh-CN"/>
        </w:rPr>
        <w:t>（二）改进意见</w:t>
      </w:r>
    </w:p>
    <w:p>
      <w:pPr>
        <w:pStyle w:val="2"/>
        <w:numPr>
          <w:ilvl w:val="0"/>
          <w:numId w:val="0"/>
        </w:numPr>
        <w:spacing w:beforeLines="0" w:after="0" w:afterLines="0"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1、科学合理编制预算，严格执行预算。细化部门预算内容，保证预算的精准性，通过中期预算执行情况合理调配资金，提高资金使用效益。</w:t>
      </w:r>
    </w:p>
    <w:p>
      <w:pPr>
        <w:pStyle w:val="2"/>
        <w:numPr>
          <w:ilvl w:val="0"/>
          <w:numId w:val="0"/>
        </w:numPr>
        <w:spacing w:beforeLines="0" w:after="0" w:afterLines="0"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2、进一步加强项目资金管理。严格执行项目管理程序化，实现项目申报、实施、拨付、评价全流程监督与控制，规范资金使用及管理，提高项目执行率，提高资金的使用效益。</w:t>
      </w:r>
    </w:p>
    <w:p>
      <w:pPr>
        <w:pStyle w:val="2"/>
        <w:numPr>
          <w:ilvl w:val="0"/>
          <w:numId w:val="0"/>
        </w:numPr>
        <w:spacing w:beforeLines="0" w:after="0" w:afterLines="0"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3、进一步完善内部管理制度，提升管理效能，更好地履行单位职能。</w:t>
      </w:r>
    </w:p>
    <w:p>
      <w:pPr>
        <w:pStyle w:val="2"/>
        <w:numPr>
          <w:ilvl w:val="0"/>
          <w:numId w:val="0"/>
        </w:numPr>
        <w:spacing w:after="0" w:line="560" w:lineRule="exact"/>
        <w:ind w:leftChars="200"/>
        <w:rPr>
          <w:rFonts w:hint="eastAsia" w:ascii="仿宋_GB2312" w:hAnsi="仿宋_GB2312" w:eastAsia="仿宋_GB2312" w:cs="仿宋_GB2312"/>
          <w:sz w:val="32"/>
          <w:lang w:eastAsia="zh-CN"/>
        </w:rPr>
      </w:pPr>
    </w:p>
    <w:p>
      <w:pPr>
        <w:pStyle w:val="2"/>
        <w:numPr>
          <w:ilvl w:val="0"/>
          <w:numId w:val="0"/>
        </w:numPr>
        <w:spacing w:after="0" w:line="560" w:lineRule="exact"/>
        <w:rPr>
          <w:rFonts w:hint="eastAsia"/>
          <w:lang w:eastAsia="zh-CN"/>
        </w:rPr>
      </w:pPr>
    </w:p>
    <w:p/>
    <w:sectPr>
      <w:footerReference r:id="rId4" w:type="default"/>
      <w:pgSz w:w="11906" w:h="16838"/>
      <w:pgMar w:top="2098" w:right="1474" w:bottom="1984" w:left="1587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FangSong.GB2312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multilevel"/>
    <w:tmpl w:val="00000000"/>
    <w:lvl w:ilvl="0" w:tentative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 w:ascii="宋体" w:hAnsi="宋体" w:eastAsia="宋体" w:cs="宋体"/>
      </w:rPr>
    </w:lvl>
    <w:lvl w:ilvl="1" w:tentative="0">
      <w:start w:val="1"/>
      <w:numFmt w:val="chineseCounting"/>
      <w:pStyle w:val="3"/>
      <w:suff w:val="nothing"/>
      <w:lvlText w:val="(%2)"/>
      <w:lvlJc w:val="left"/>
      <w:pPr>
        <w:tabs>
          <w:tab w:val="left" w:pos="0"/>
        </w:tabs>
        <w:ind w:left="420" w:firstLine="0"/>
      </w:pPr>
      <w:rPr>
        <w:rFonts w:hint="eastAsia" w:ascii="楷体" w:hAnsi="楷体" w:eastAsia="楷体" w:cs="楷体"/>
        <w:b w:val="0"/>
        <w:bCs w:val="0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default" w:ascii="Times New Roman" w:hAnsi="Times New Roman" w:eastAsia="仿宋" w:cs="Times New Roman"/>
        <w:b w:val="0"/>
        <w:bCs w:val="0"/>
        <w:i w:val="0"/>
        <w:iCs w:val="0"/>
        <w:sz w:val="32"/>
        <w:szCs w:val="32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 w:ascii="宋体" w:hAnsi="宋体" w:eastAsia="宋体" w:cs="宋体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3E6690"/>
    <w:rsid w:val="09044398"/>
    <w:rsid w:val="207D2C9A"/>
    <w:rsid w:val="27921D79"/>
    <w:rsid w:val="2B8F6BBE"/>
    <w:rsid w:val="2C902915"/>
    <w:rsid w:val="2DF11AEB"/>
    <w:rsid w:val="30733B9D"/>
    <w:rsid w:val="30B00E50"/>
    <w:rsid w:val="39A51E49"/>
    <w:rsid w:val="39AA7904"/>
    <w:rsid w:val="50001D5E"/>
    <w:rsid w:val="51863FBA"/>
    <w:rsid w:val="69320B23"/>
    <w:rsid w:val="6DC54A8C"/>
    <w:rsid w:val="79C00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paragraph" w:styleId="3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spacing w:before="260" w:beforeAutospacing="0" w:after="26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99"/>
    <w:pPr>
      <w:spacing w:after="120"/>
      <w:ind w:left="420"/>
    </w:pPr>
    <w:rPr>
      <w:rFonts w:ascii="Tahoma" w:hAnsi="Tahom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 2"/>
    <w:basedOn w:val="2"/>
    <w:qFormat/>
    <w:uiPriority w:val="0"/>
    <w:pPr>
      <w:ind w:firstLine="480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</w:rPr>
  </w:style>
  <w:style w:type="paragraph" w:customStyle="1" w:styleId="11">
    <w:name w:val="正文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2">
    <w:name w:val="_Style 5"/>
    <w:qFormat/>
    <w:uiPriority w:val="99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Administrator</cp:lastModifiedBy>
  <dcterms:modified xsi:type="dcterms:W3CDTF">2023-03-14T08:01:00Z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2D8854C25E2441999D42C78BAE7F2AF2</vt:lpwstr>
  </property>
</Properties>
</file>