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2023年配电设施智能运维服务项目报价表</w:t>
      </w:r>
    </w:p>
    <w:p>
      <w:pPr>
        <w:tabs>
          <w:tab w:val="left" w:pos="3210"/>
        </w:tabs>
        <w:snapToGrid w:val="0"/>
        <w:spacing w:line="560" w:lineRule="exact"/>
        <w:ind w:firstLine="321" w:firstLineChars="100"/>
        <w:rPr>
          <w:rStyle w:val="10"/>
          <w:rFonts w:ascii="仿宋_GB2312" w:hAnsi="宋体" w:eastAsia="仿宋_GB2312"/>
          <w:b/>
          <w:bCs w:val="0"/>
          <w:color w:val="auto"/>
          <w:sz w:val="32"/>
          <w:szCs w:val="32"/>
          <w:lang w:val="zh-CN"/>
        </w:rPr>
      </w:pPr>
    </w:p>
    <w:tbl>
      <w:tblPr>
        <w:tblStyle w:val="6"/>
        <w:tblW w:w="9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434"/>
        <w:gridCol w:w="639"/>
        <w:gridCol w:w="2041"/>
        <w:gridCol w:w="1807"/>
        <w:gridCol w:w="1623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85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434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639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2041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最高报价限价</w:t>
            </w:r>
          </w:p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（人民币）</w:t>
            </w:r>
          </w:p>
        </w:tc>
        <w:tc>
          <w:tcPr>
            <w:tcW w:w="1807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运维范围</w:t>
            </w:r>
          </w:p>
        </w:tc>
        <w:tc>
          <w:tcPr>
            <w:tcW w:w="1623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交付使用期</w:t>
            </w:r>
          </w:p>
        </w:tc>
        <w:tc>
          <w:tcPr>
            <w:tcW w:w="1427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合计报价（元）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exact"/>
        </w:trPr>
        <w:tc>
          <w:tcPr>
            <w:tcW w:w="485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434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配电设施运维服务项目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639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  <w:t>1项</w:t>
            </w:r>
          </w:p>
        </w:tc>
        <w:tc>
          <w:tcPr>
            <w:tcW w:w="2041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  <w:t>20000元</w:t>
            </w:r>
          </w:p>
        </w:tc>
        <w:tc>
          <w:tcPr>
            <w:tcW w:w="1807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  <w:t>中心配电室及相关配套设施；与供电局签订的产权分界点至配电站低压出线开关柜（含柜体，不含开关柜出线）</w:t>
            </w:r>
          </w:p>
        </w:tc>
        <w:tc>
          <w:tcPr>
            <w:tcW w:w="1623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  <w:t>2023年10月15日前完成整个项目的供货、安装调试、验收合格并交付采购人合法使用。</w:t>
            </w:r>
          </w:p>
        </w:tc>
        <w:tc>
          <w:tcPr>
            <w:tcW w:w="1427" w:type="dxa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日    期：</w:t>
      </w:r>
    </w:p>
    <w:p>
      <w:pPr>
        <w:rPr>
          <w:color w:val="auto"/>
          <w:sz w:val="28"/>
          <w:szCs w:val="28"/>
        </w:rPr>
      </w:pPr>
    </w:p>
    <w:sectPr>
      <w:pgSz w:w="11906" w:h="16838"/>
      <w:pgMar w:top="1440" w:right="1576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3FE1E3F"/>
    <w:rsid w:val="06C22548"/>
    <w:rsid w:val="074D652E"/>
    <w:rsid w:val="0B5C2086"/>
    <w:rsid w:val="110B1B91"/>
    <w:rsid w:val="13032A9B"/>
    <w:rsid w:val="164459DE"/>
    <w:rsid w:val="27533C0D"/>
    <w:rsid w:val="2EC4329C"/>
    <w:rsid w:val="3B9425E0"/>
    <w:rsid w:val="41B05A8E"/>
    <w:rsid w:val="436A25CA"/>
    <w:rsid w:val="4D1B3344"/>
    <w:rsid w:val="4FC87C66"/>
    <w:rsid w:val="56DF0CE8"/>
    <w:rsid w:val="64F4071D"/>
    <w:rsid w:val="7067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宋体" w:hAnsi="宋体"/>
      <w:b/>
      <w:color w:val="000000"/>
      <w:kern w:val="0"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footnote text"/>
    <w:basedOn w:val="1"/>
    <w:qFormat/>
    <w:uiPriority w:val="0"/>
    <w:pPr>
      <w:snapToGrid w:val="0"/>
    </w:pPr>
    <w:rPr>
      <w:rFonts w:ascii="Calibri" w:hAnsi="Calibri" w:eastAsia="宋体" w:cs="Times New Roman"/>
      <w:sz w:val="20"/>
      <w:szCs w:val="24"/>
    </w:rPr>
  </w:style>
  <w:style w:type="character" w:customStyle="1" w:styleId="8">
    <w:name w:val="font8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10</TotalTime>
  <ScaleCrop>false</ScaleCrop>
  <LinksUpToDate>false</LinksUpToDate>
  <CharactersWithSpaces>108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ぃ</cp:lastModifiedBy>
  <dcterms:modified xsi:type="dcterms:W3CDTF">2023-09-20T08:14:30Z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C0B5C0FFD94C44E0A13AD8D5A0FC98A9</vt:lpwstr>
  </property>
</Properties>
</file>