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15"/>
          <w:szCs w:val="15"/>
          <w:lang w:val="en-US" w:eastAsia="zh-CN"/>
        </w:rPr>
      </w:pPr>
      <w:r>
        <w:rPr>
          <w:rFonts w:hint="eastAsia" w:ascii="黑体" w:hAnsi="黑体" w:eastAsia="黑体" w:cs="黑体"/>
          <w:sz w:val="32"/>
          <w:szCs w:val="40"/>
          <w:lang w:eastAsia="zh-CN"/>
        </w:rPr>
        <w:t>附件</w:t>
      </w:r>
      <w:r>
        <w:rPr>
          <w:rFonts w:hint="eastAsia" w:ascii="黑体" w:hAnsi="黑体" w:eastAsia="黑体" w:cs="黑体"/>
          <w:sz w:val="32"/>
          <w:szCs w:val="40"/>
          <w:lang w:val="en-US" w:eastAsia="zh-CN"/>
        </w:rPr>
        <w:t>1</w:t>
      </w:r>
    </w:p>
    <w:p>
      <w:pPr>
        <w:keepNext w:val="0"/>
        <w:keepLines w:val="0"/>
        <w:widowControl/>
        <w:suppressLineNumbers w:val="0"/>
        <w:jc w:val="center"/>
        <w:textAlignment w:val="center"/>
        <w:outlineLvl w:val="0"/>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水利工程建设安全重点检</w:t>
      </w:r>
      <w:bookmarkStart w:id="0" w:name="_GoBack"/>
      <w:bookmarkEnd w:id="0"/>
      <w:r>
        <w:rPr>
          <w:rFonts w:hint="eastAsia" w:ascii="方正小标宋简体" w:hAnsi="方正小标宋简体" w:eastAsia="方正小标宋简体" w:cs="方正小标宋简体"/>
          <w:i w:val="0"/>
          <w:color w:val="000000"/>
          <w:kern w:val="0"/>
          <w:sz w:val="44"/>
          <w:szCs w:val="44"/>
          <w:u w:val="none"/>
          <w:lang w:val="en-US" w:eastAsia="zh-CN" w:bidi="ar"/>
        </w:rPr>
        <w:t>查事项清单</w:t>
      </w:r>
    </w:p>
    <w:tbl>
      <w:tblPr>
        <w:tblStyle w:val="6"/>
        <w:tblW w:w="14007" w:type="dxa"/>
        <w:tblInd w:w="0" w:type="dxa"/>
        <w:shd w:val="clear" w:color="auto" w:fill="auto"/>
        <w:tblLayout w:type="fixed"/>
        <w:tblCellMar>
          <w:top w:w="0" w:type="dxa"/>
          <w:left w:w="0" w:type="dxa"/>
          <w:bottom w:w="0" w:type="dxa"/>
          <w:right w:w="0" w:type="dxa"/>
        </w:tblCellMar>
      </w:tblPr>
      <w:tblGrid>
        <w:gridCol w:w="957"/>
        <w:gridCol w:w="1290"/>
        <w:gridCol w:w="1305"/>
        <w:gridCol w:w="10455"/>
      </w:tblGrid>
      <w:tr>
        <w:tblPrEx>
          <w:shd w:val="clear" w:color="auto" w:fill="auto"/>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类别</w:t>
            </w: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管理环节</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检查重点</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基础管理</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人员管理</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4"/>
                <w:szCs w:val="24"/>
                <w:u w:val="none"/>
              </w:rPr>
            </w:pPr>
            <w:r>
              <w:rPr>
                <w:rFonts w:hint="default" w:ascii="Arial" w:hAnsi="Arial" w:eastAsia="仿宋_GB2312" w:cs="Arial"/>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项目法人和施工企业未按规定设置安全生产管理机构或未按规定配备专职安全生产管理人员</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4"/>
                <w:szCs w:val="24"/>
                <w:u w:val="none"/>
              </w:rPr>
            </w:pPr>
            <w:r>
              <w:rPr>
                <w:rFonts w:hint="default" w:ascii="Arial" w:hAnsi="Arial" w:eastAsia="仿宋_GB2312" w:cs="Arial"/>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施工企业主要负责人、项目负责人和专职安全生产管理人员未按规定持有效的安全生产考核合格证书</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sz w:val="24"/>
                <w:szCs w:val="24"/>
                <w:u w:val="none"/>
              </w:rPr>
            </w:pPr>
            <w:r>
              <w:rPr>
                <w:rFonts w:hint="default" w:ascii="Arial" w:hAnsi="Arial" w:eastAsia="仿宋_GB2312" w:cs="Arial"/>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特种（设备）作业人员未持有效证件上岗作业</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方案管理</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※无施工组织设计施工；危险性较大的单项工程无专项施工方案</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超过一定规模的危险性较大单项工程的专项施工方案未按规定组织专家论证、审查擅自施工</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default" w:ascii="Arial" w:hAnsi="Arial" w:eastAsia="仿宋_GB2312" w:cs="Arial"/>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未按批准的专项施工方案组织实施；需要验收的危险性较大的单项工程未经验收合格转入后续工程施工</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不按方案施工、盲目抢工期赶进度、恶劣天气强行组织施工</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六项机制</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未落实水利安全风险查找、研判、预警、防范、处置、责任“六项机制”</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资质管理</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存在非法转包分包行为</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10</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倒卖、出租、出借、挂靠或者以其他形式非法转让施工资质</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11</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eastAsia="zh-CN"/>
              </w:rPr>
              <w:t>临时工程</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营地及施工设施建设</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default" w:ascii="Arial" w:hAnsi="Arial" w:eastAsia="仿宋_GB2312" w:cs="Arial"/>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施工工厂区、施工（建设）管理及生活区、危险化学品仓库布置在洪水、雪崩、滑坡、泥石流、塌方及危石等危险区域</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12</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eastAsia="zh-CN"/>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宿舍、办公用房、厨房操作间、易燃易爆危险品库等消防重点部位安全距离不符合要求且未采取有效防护措施</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13</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宿舍、办公用房、厨房操作间、易燃易爆危险品库等建筑构件的燃烧性能等级未达到A级</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14</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围堰工程</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围堰不符合规范和设计要求；围堰位移及渗流量超过设计要求，且无有效管控措施</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15</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firstLine="0" w:firstLineChars="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宋体" w:eastAsia="仿宋_GB2312" w:cs="仿宋_GB2312"/>
                <w:i w:val="0"/>
                <w:iCs w:val="0"/>
                <w:color w:val="000000"/>
                <w:kern w:val="0"/>
                <w:sz w:val="24"/>
                <w:szCs w:val="24"/>
                <w:u w:val="none"/>
                <w:lang w:val="en-US" w:eastAsia="zh-CN" w:bidi="ar"/>
              </w:rPr>
              <w:t>专项工程</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临时用电</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eastAsia" w:ascii="东文宋体" w:hAnsi="东文宋体" w:eastAsia="东文宋体" w:cs="东文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施工现场专用的电源中性点直接接地的低压配电系统未采用TN-S接零保护系统</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16</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发电机组电源未与其他电源互相闭锁，并列运行</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17</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外电线路的安全距离不符合规范要求且未按规定采取防护措施</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18</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脚手架及</w:t>
            </w:r>
          </w:p>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模板工程</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达到或超过一定规模的作业脚手架和支撑脚手架的立杆基础承载力不符合专项施工方案的要求，且已有明显沉降</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19</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立杆采用搭接（作业脚手架顶步距除外），未按专项施工方案设置连墙件</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20</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爬模、滑模和翻模施工脱模或混凝土承重模板拆除时，混凝土强度未达到规定值</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21</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危险物品</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运输、使用、保管和处置雷管炸药等危险物品不符合安全要求</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22</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起重吊装 与运输</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※起重机械未按规定经有相应资质的检验检测机构检验合格后投入使用</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23</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起重机械未配备荷载、变幅等指示装置和荷载、力矩、高度、行程等限位、限制及连锁装置</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24</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同一作业区两台及以上起重设备运行未制定防碰撞方案，且存在碰撞可能</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25</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隧洞竖（斜）井或沉井、人工挖孔桩井载人（货）提升机械未设置安全装置或安全装置不灵敏</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26</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大中型水利水电工程金属结构施工采用临时钢梁、龙门架、天锚起吊闸门、钢管前，未对其结构和吊点进行设计计算、履行审批审查验收手续，未进行相应的负荷试验</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27</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闸门、钢管上的吊耳板、焊缝未经检查检测和强度验算投入使用</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28</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高边坡</w:t>
            </w:r>
          </w:p>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深基坑</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断层、裂隙、破碎带等不良地质构造的高边坡，未按设计要求及时采取支护措施或未经验收合格即进行下一梯段施工</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29</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eastAsia="zh-CN"/>
              </w:rPr>
            </w:pPr>
          </w:p>
        </w:tc>
        <w:tc>
          <w:tcPr>
            <w:tcW w:w="130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深基坑土方开挖放坡坡度不满足其稳定性要求且未采取加固措施</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30</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隧洞施工</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未按有关规定及时进行地质预报</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31</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断层及破碎带、缓倾角节理密集带、岩溶发育地下水丰富及膨胀岩体地段和高地应力区等不良地质条件洞段开挖未根据地质预报针对其性质和特殊的地质问题制定专项保证安全施工的工程措施</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32</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隧洞Ⅳ类、Ⅴ类围岩开挖后，支护未紧跟掌子面</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33</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both"/>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default" w:ascii="Arial" w:hAnsi="Arial" w:eastAsia="仿宋_GB2312" w:cs="Arial"/>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洞室施工过程中，未对洞内有毒有害气体进行检测、监测，有毒有害气体达到或超过规定标准时未采取有效措施</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34</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设备安装</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蜗壳、机坑里衬安装时，搭设的施工平台（组装）未经检查验收即投入使用</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35</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水上作业</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未按规定设置必要的安全作业区或警戒区；水上作业施工船舶施工安全工作条件不符合船舶使用说明书和设备状况，未停止施工</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36</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挖泥船的实际工作条件大于《疏浚与吹填工程技术规范》（SL17</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2014）表5.7.9中所列数值，未停止施工</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37</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施工现场</w:t>
            </w:r>
          </w:p>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交通运输</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施工现场临时便道未按照施工组织设计要求进行施工</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38</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临时便道在狭窄、陡坡、急弯、穿越电力通信地段时，未设置交通警示标志</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39</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机动车辆带故障或超载运行、超速行驶</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40</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自卸汽车、油罐车、平板拖车、汽车吊、转载机、翻斗车等特殊车辆违规载人</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41</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机动车驾驶无证驾驶、驾驶与准驾车型不符的机动车、酒后驾驶</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42</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动火作业</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未按照安全操作规程开展焊接、切割等动火作业，未设置隔离防护平台或铺设防火布，现场未配备消防器材等</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43</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未严格履行电气焊等动火作业审批手续</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44</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eastAsia="zh-CN"/>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未对电气焊设备进行全面安全检查，使用淘汰或危及安全的电气焊设备</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45</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其他</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防洪度汛</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有度汛要求的建设项目未按规定制定度汛方案和超标准洪水应急预案</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46</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eastAsia="zh-CN"/>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工程进度不满足度汛要求时未制定和采取相应措施</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47</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位于自然地面或河水位以下的隧洞进出口未按施工期防洪标准设置围堰或预留岩坎</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48</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未配备应急救援人员、应急救援器材和设备，未定期开展应急演练</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49</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液氨制冷</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氨压机车间控制盘柜与氨压机未分开隔离布置</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50</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lang w:eastAsia="zh-CN"/>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未设置、配备固定式氨气报警仪和便携式氨气检测仪；未设置应急疏散通道并明确标识</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51</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安全防护</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default" w:ascii="Arial" w:hAnsi="Arial" w:eastAsia="仿宋_GB2312" w:cs="Arial"/>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排架、井架、施工电梯、大坝廊道、隧洞等出入口和上部有施工作业的通道，未按规定设置防护棚</w:t>
            </w:r>
          </w:p>
        </w:tc>
      </w:tr>
      <w:tr>
        <w:tblPrEx>
          <w:tblLayout w:type="fixed"/>
          <w:tblCellMar>
            <w:top w:w="0" w:type="dxa"/>
            <w:left w:w="0" w:type="dxa"/>
            <w:bottom w:w="0" w:type="dxa"/>
            <w:right w:w="0"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52</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i w:val="0"/>
                <w:color w:val="000000"/>
                <w:sz w:val="24"/>
                <w:szCs w:val="24"/>
                <w:u w:val="none"/>
              </w:rPr>
            </w:pP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spacing w:line="400" w:lineRule="exact"/>
              <w:jc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设备检修</w:t>
            </w:r>
          </w:p>
        </w:tc>
        <w:tc>
          <w:tcPr>
            <w:tcW w:w="10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63" w:beforeLines="20" w:after="63" w:afterLines="20" w:line="300" w:lineRule="exact"/>
              <w:ind w:left="0" w:leftChars="0" w:right="0" w:rightChars="0" w:firstLine="0" w:firstLineChars="0"/>
              <w:jc w:val="both"/>
              <w:textAlignment w:val="center"/>
              <w:outlineLvl w:val="9"/>
              <w:rPr>
                <w:rFonts w:hint="eastAsia" w:ascii="仿宋_GB2312" w:hAnsi="宋体" w:eastAsia="仿宋_GB2312" w:cs="仿宋_GB2312"/>
                <w:i w:val="0"/>
                <w:iCs w:val="0"/>
                <w:color w:val="000000"/>
                <w:kern w:val="0"/>
                <w:sz w:val="24"/>
                <w:szCs w:val="24"/>
                <w:u w:val="none"/>
                <w:lang w:val="en-US" w:eastAsia="zh-CN" w:bidi="ar"/>
              </w:rPr>
            </w:pPr>
            <w:r>
              <w:rPr>
                <w:rFonts w:hint="eastAsia" w:ascii="东文宋体" w:hAnsi="东文宋体" w:eastAsia="东文宋体" w:cs="东文宋体"/>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混凝土（水泥土、水泥稳定土）拌合机、TBM及盾构设备刀盘检维修时未切断电源或开关箱未上锁且无人监管</w:t>
            </w:r>
          </w:p>
        </w:tc>
      </w:tr>
    </w:tbl>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备注：标※号的为《水利工程建设项目生产安全重大事故隐患判定清单（指南）》所列重大事故隐患。</w:t>
      </w: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东文宋体">
    <w:altName w:val="宋体"/>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方正宋体S-超大字符集">
    <w:altName w:val="宋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05098"/>
    <w:rsid w:val="08C92EC5"/>
    <w:rsid w:val="16467D65"/>
    <w:rsid w:val="198358CB"/>
    <w:rsid w:val="1FC7512D"/>
    <w:rsid w:val="2CA20B54"/>
    <w:rsid w:val="33FDF8F2"/>
    <w:rsid w:val="37FF59D8"/>
    <w:rsid w:val="3FCFA3A8"/>
    <w:rsid w:val="47677226"/>
    <w:rsid w:val="492D46FF"/>
    <w:rsid w:val="4BC6D309"/>
    <w:rsid w:val="5AE39041"/>
    <w:rsid w:val="5FE627F7"/>
    <w:rsid w:val="6173712F"/>
    <w:rsid w:val="67BBD6E0"/>
    <w:rsid w:val="6BAD106D"/>
    <w:rsid w:val="6BF1BDF6"/>
    <w:rsid w:val="73F57BDC"/>
    <w:rsid w:val="763B44D3"/>
    <w:rsid w:val="7969F796"/>
    <w:rsid w:val="7C0C1A51"/>
    <w:rsid w:val="7FF6AD09"/>
    <w:rsid w:val="A5FF5B44"/>
    <w:rsid w:val="B9EACCD9"/>
    <w:rsid w:val="BBBE0286"/>
    <w:rsid w:val="D7BF7137"/>
    <w:rsid w:val="DD977EB8"/>
    <w:rsid w:val="DF9B4BEE"/>
    <w:rsid w:val="E7688BD3"/>
    <w:rsid w:val="EFEEA2FA"/>
    <w:rsid w:val="F6DFABEB"/>
    <w:rsid w:val="FF6FDA5F"/>
    <w:rsid w:val="FF7F9F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user</dc:creator>
  <cp:lastModifiedBy>吴清华</cp:lastModifiedBy>
  <cp:lastPrinted>2023-05-06T12:00:00Z</cp:lastPrinted>
  <dcterms:modified xsi:type="dcterms:W3CDTF">2023-05-11T02:49:38Z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