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15"/>
          <w:szCs w:val="15"/>
          <w:lang w:val="en-US" w:eastAsia="zh-CN"/>
        </w:rPr>
      </w:pPr>
      <w:r>
        <w:rPr>
          <w:rFonts w:hint="eastAsia"/>
          <w:sz w:val="15"/>
          <w:szCs w:val="15"/>
          <w:lang w:val="en-US" w:eastAsia="zh-CN"/>
        </w:rPr>
        <w:t>附件：</w:t>
      </w:r>
      <w:bookmarkStart w:id="0" w:name="_GoBack"/>
      <w:bookmarkEnd w:id="0"/>
    </w:p>
    <w:p>
      <w:pPr>
        <w:jc w:val="center"/>
        <w:rPr>
          <w:rFonts w:hint="eastAsia"/>
          <w:b/>
          <w:bCs/>
          <w:sz w:val="44"/>
          <w:szCs w:val="44"/>
          <w:lang w:val="en-US" w:eastAsia="zh-CN"/>
        </w:rPr>
      </w:pPr>
      <w:r>
        <w:rPr>
          <w:rFonts w:hint="default"/>
          <w:b/>
          <w:bCs/>
          <w:sz w:val="44"/>
          <w:szCs w:val="44"/>
          <w:lang w:val="en-US" w:eastAsia="zh-CN"/>
        </w:rPr>
        <w:t>社会</w:t>
      </w:r>
      <w:r>
        <w:rPr>
          <w:rFonts w:hint="eastAsia"/>
          <w:b/>
          <w:bCs/>
          <w:sz w:val="44"/>
          <w:szCs w:val="44"/>
          <w:lang w:val="en-US" w:eastAsia="zh-CN"/>
        </w:rPr>
        <w:t>组织</w:t>
      </w:r>
      <w:r>
        <w:rPr>
          <w:rFonts w:hint="default"/>
          <w:b/>
          <w:bCs/>
          <w:sz w:val="44"/>
          <w:szCs w:val="44"/>
          <w:lang w:val="en-US" w:eastAsia="zh-CN"/>
        </w:rPr>
        <w:t>公益性捐赠税前扣除资格确认信息表</w:t>
      </w:r>
    </w:p>
    <w:p>
      <w:pPr>
        <w:jc w:val="center"/>
        <w:rPr>
          <w:rFonts w:hint="eastAsia"/>
          <w:b/>
          <w:bCs/>
          <w:sz w:val="15"/>
          <w:szCs w:val="15"/>
          <w:lang w:val="en-US" w:eastAsia="zh-CN"/>
        </w:rPr>
      </w:pPr>
    </w:p>
    <w:tbl>
      <w:tblPr>
        <w:tblStyle w:val="3"/>
        <w:tblW w:w="14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225"/>
        <w:gridCol w:w="542"/>
        <w:gridCol w:w="1429"/>
        <w:gridCol w:w="949"/>
        <w:gridCol w:w="918"/>
        <w:gridCol w:w="846"/>
        <w:gridCol w:w="872"/>
        <w:gridCol w:w="983"/>
        <w:gridCol w:w="913"/>
        <w:gridCol w:w="886"/>
        <w:gridCol w:w="1118"/>
        <w:gridCol w:w="1009"/>
        <w:gridCol w:w="941"/>
        <w:gridCol w:w="901"/>
        <w:gridCol w:w="757"/>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444" w:hRule="atLeast"/>
        </w:trPr>
        <w:tc>
          <w:tcPr>
            <w:tcW w:w="407" w:type="dxa"/>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3"/>
                <w:szCs w:val="13"/>
                <w:vertAlign w:val="baseline"/>
                <w:lang w:val="en-US" w:eastAsia="zh-CN"/>
              </w:rPr>
            </w:pPr>
            <w:r>
              <w:rPr>
                <w:rFonts w:hint="eastAsia" w:ascii="宋体" w:hAnsi="宋体" w:eastAsia="宋体" w:cs="宋体"/>
                <w:sz w:val="13"/>
                <w:szCs w:val="13"/>
              </w:rPr>
              <w:t>序号</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both"/>
              <w:textAlignment w:val="auto"/>
              <w:outlineLvl w:val="9"/>
              <w:rPr>
                <w:rFonts w:hint="eastAsia" w:ascii="宋体" w:hAnsi="宋体" w:eastAsia="宋体" w:cs="宋体"/>
                <w:sz w:val="13"/>
                <w:szCs w:val="13"/>
                <w:vertAlign w:val="baseline"/>
                <w:lang w:val="en-US" w:eastAsia="zh-CN"/>
              </w:rPr>
            </w:pPr>
            <w:r>
              <w:rPr>
                <w:rFonts w:hint="eastAsia" w:ascii="宋体" w:hAnsi="宋体" w:eastAsia="宋体" w:cs="宋体"/>
                <w:sz w:val="13"/>
                <w:szCs w:val="13"/>
                <w:lang w:val="en-US" w:eastAsia="zh-CN"/>
              </w:rPr>
              <w:t>社会组织名称</w:t>
            </w:r>
          </w:p>
        </w:tc>
        <w:tc>
          <w:tcPr>
            <w:tcW w:w="542" w:type="dxa"/>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3"/>
                <w:szCs w:val="13"/>
                <w:vertAlign w:val="baseline"/>
                <w:lang w:val="en-US" w:eastAsia="zh-CN"/>
              </w:rPr>
            </w:pPr>
            <w:r>
              <w:rPr>
                <w:rFonts w:hint="eastAsia" w:ascii="宋体" w:hAnsi="宋体" w:eastAsia="宋体" w:cs="宋体"/>
                <w:sz w:val="13"/>
                <w:szCs w:val="13"/>
                <w:lang w:val="en-US" w:eastAsia="zh-CN"/>
              </w:rPr>
              <w:t>登记管理机关</w:t>
            </w:r>
          </w:p>
        </w:tc>
        <w:tc>
          <w:tcPr>
            <w:tcW w:w="1429" w:type="dxa"/>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3"/>
                <w:szCs w:val="13"/>
                <w:lang w:val="en-US" w:eastAsia="zh-CN"/>
              </w:rPr>
            </w:pPr>
            <w:r>
              <w:rPr>
                <w:rFonts w:hint="eastAsia" w:ascii="宋体" w:hAnsi="宋体" w:eastAsia="宋体" w:cs="宋体"/>
                <w:sz w:val="13"/>
                <w:szCs w:val="13"/>
                <w:lang w:val="en-US" w:eastAsia="zh-CN"/>
              </w:rPr>
              <w:t>统一社会信用代码</w:t>
            </w:r>
          </w:p>
        </w:tc>
        <w:tc>
          <w:tcPr>
            <w:tcW w:w="949" w:type="dxa"/>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3"/>
                <w:szCs w:val="13"/>
                <w:vertAlign w:val="baseline"/>
                <w:lang w:val="en-US" w:eastAsia="zh-CN"/>
              </w:rPr>
            </w:pPr>
            <w:r>
              <w:rPr>
                <w:rFonts w:hint="eastAsia" w:ascii="宋体" w:hAnsi="宋体" w:eastAsia="宋体" w:cs="宋体"/>
                <w:sz w:val="13"/>
                <w:szCs w:val="13"/>
                <w:vertAlign w:val="baseline"/>
                <w:lang w:val="en-US" w:eastAsia="zh-CN"/>
              </w:rPr>
              <w:t>成立登记日期</w:t>
            </w:r>
          </w:p>
        </w:tc>
        <w:tc>
          <w:tcPr>
            <w:tcW w:w="10144"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13"/>
                <w:szCs w:val="13"/>
                <w:vertAlign w:val="baseline"/>
                <w:lang w:val="en-US" w:eastAsia="zh-CN"/>
              </w:rPr>
            </w:pPr>
            <w:r>
              <w:rPr>
                <w:rFonts w:hint="eastAsia" w:ascii="宋体" w:hAnsi="宋体" w:eastAsia="宋体" w:cs="宋体"/>
                <w:sz w:val="13"/>
                <w:szCs w:val="13"/>
                <w:vertAlign w:val="baseline"/>
                <w:lang w:val="en-US" w:eastAsia="zh-CN"/>
              </w:rPr>
              <w:t>确认条件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07"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3"/>
                <w:szCs w:val="13"/>
                <w:vertAlign w:val="baseline"/>
                <w:lang w:val="en-US" w:eastAsia="zh-CN"/>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3"/>
                <w:szCs w:val="13"/>
                <w:vertAlign w:val="baseline"/>
                <w:lang w:val="en-US" w:eastAsia="zh-CN"/>
              </w:rPr>
            </w:pPr>
          </w:p>
        </w:tc>
        <w:tc>
          <w:tcPr>
            <w:tcW w:w="542"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3"/>
                <w:szCs w:val="13"/>
                <w:vertAlign w:val="baseline"/>
                <w:lang w:val="en-US" w:eastAsia="zh-CN"/>
              </w:rPr>
            </w:pPr>
          </w:p>
        </w:tc>
        <w:tc>
          <w:tcPr>
            <w:tcW w:w="1429"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3"/>
                <w:szCs w:val="13"/>
                <w:vertAlign w:val="baseline"/>
                <w:lang w:val="en-US" w:eastAsia="zh-CN"/>
              </w:rPr>
            </w:pPr>
          </w:p>
        </w:tc>
        <w:tc>
          <w:tcPr>
            <w:tcW w:w="949" w:type="dxa"/>
            <w:vMerge w:val="continue"/>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3"/>
                <w:szCs w:val="13"/>
                <w:vertAlign w:val="baseline"/>
                <w:lang w:val="en-US" w:eastAsia="zh-CN"/>
              </w:rPr>
            </w:pP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3"/>
                <w:szCs w:val="13"/>
                <w:vertAlign w:val="baseline"/>
                <w:lang w:val="en-US" w:eastAsia="zh-CN"/>
              </w:rPr>
            </w:pPr>
            <w:r>
              <w:rPr>
                <w:rFonts w:hint="eastAsia" w:ascii="宋体" w:hAnsi="宋体" w:eastAsia="宋体" w:cs="宋体"/>
                <w:sz w:val="13"/>
                <w:szCs w:val="13"/>
                <w:lang w:val="en-US" w:eastAsia="zh-CN"/>
              </w:rPr>
              <w:t>1、</w:t>
            </w:r>
            <w:r>
              <w:rPr>
                <w:rFonts w:hint="eastAsia" w:ascii="宋体" w:hAnsi="宋体" w:eastAsia="宋体" w:cs="宋体"/>
                <w:sz w:val="13"/>
                <w:szCs w:val="13"/>
                <w:lang w:eastAsia="zh-CN"/>
              </w:rPr>
              <w:t>符合《中华人民共和国企业所得税法实施条例》第五十二条第（一）到（八）项规定的条件</w:t>
            </w:r>
          </w:p>
        </w:tc>
        <w:tc>
          <w:tcPr>
            <w:tcW w:w="846" w:type="dxa"/>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3"/>
                <w:szCs w:val="13"/>
                <w:vertAlign w:val="baseline"/>
                <w:lang w:val="en-US" w:eastAsia="zh-CN"/>
              </w:rPr>
            </w:pPr>
            <w:r>
              <w:rPr>
                <w:rFonts w:hint="eastAsia" w:ascii="宋体" w:hAnsi="宋体" w:eastAsia="宋体" w:cs="宋体"/>
                <w:sz w:val="13"/>
                <w:szCs w:val="13"/>
                <w:lang w:val="en-US" w:eastAsia="zh-CN"/>
              </w:rPr>
              <w:t>2、经审计上年度专项信息报告，首次确认的，需要提供经审计的前两个年度的专项信息报告。</w:t>
            </w:r>
          </w:p>
        </w:tc>
        <w:tc>
          <w:tcPr>
            <w:tcW w:w="1855" w:type="dxa"/>
            <w:gridSpan w:val="2"/>
            <w:vAlign w:val="center"/>
          </w:tcPr>
          <w:p>
            <w:pPr>
              <w:keepNext w:val="0"/>
              <w:keepLines w:val="0"/>
              <w:pageBreakBefore w:val="0"/>
              <w:widowControl w:val="0"/>
              <w:kinsoku/>
              <w:wordWrap/>
              <w:overflowPunct/>
              <w:topLinePunct w:val="0"/>
              <w:autoSpaceDE/>
              <w:autoSpaceDN/>
              <w:bidi w:val="0"/>
              <w:adjustRightInd/>
              <w:snapToGrid/>
              <w:spacing w:line="160" w:lineRule="exact"/>
              <w:jc w:val="both"/>
              <w:textAlignment w:val="auto"/>
              <w:outlineLvl w:val="9"/>
              <w:rPr>
                <w:rFonts w:hint="eastAsia" w:ascii="宋体" w:hAnsi="宋体" w:eastAsia="宋体" w:cs="宋体"/>
                <w:sz w:val="13"/>
                <w:szCs w:val="13"/>
                <w:vertAlign w:val="baseline"/>
                <w:lang w:val="en-US" w:eastAsia="zh-CN"/>
              </w:rPr>
            </w:pPr>
            <w:r>
              <w:rPr>
                <w:rFonts w:hint="eastAsia" w:ascii="宋体" w:hAnsi="宋体" w:eastAsia="宋体" w:cs="宋体"/>
                <w:sz w:val="13"/>
                <w:szCs w:val="13"/>
                <w:lang w:val="en-US" w:eastAsia="zh-CN"/>
              </w:rPr>
              <w:t>3、慈善事业支出占比</w:t>
            </w:r>
          </w:p>
        </w:tc>
        <w:tc>
          <w:tcPr>
            <w:tcW w:w="1799" w:type="dxa"/>
            <w:gridSpan w:val="2"/>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3"/>
                <w:szCs w:val="13"/>
                <w:vertAlign w:val="baseline"/>
                <w:lang w:val="en-US" w:eastAsia="zh-CN"/>
              </w:rPr>
            </w:pPr>
            <w:r>
              <w:rPr>
                <w:rFonts w:hint="eastAsia" w:ascii="宋体" w:hAnsi="宋体" w:eastAsia="宋体" w:cs="宋体"/>
                <w:sz w:val="13"/>
                <w:szCs w:val="13"/>
                <w:lang w:val="en-US" w:eastAsia="zh-CN"/>
              </w:rPr>
              <w:t>4、管理费用支出占比</w:t>
            </w:r>
          </w:p>
        </w:tc>
        <w:tc>
          <w:tcPr>
            <w:tcW w:w="1118" w:type="dxa"/>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3"/>
                <w:szCs w:val="13"/>
                <w:vertAlign w:val="baseline"/>
                <w:lang w:val="en-US" w:eastAsia="zh-CN"/>
              </w:rPr>
            </w:pPr>
            <w:r>
              <w:rPr>
                <w:rFonts w:hint="eastAsia" w:ascii="宋体" w:hAnsi="宋体" w:eastAsia="宋体" w:cs="宋体"/>
                <w:sz w:val="13"/>
                <w:szCs w:val="13"/>
                <w:lang w:val="en-US" w:eastAsia="zh-CN"/>
              </w:rPr>
              <w:t>5、具有非营利免税资格，且免税资格在有效期内。</w:t>
            </w:r>
          </w:p>
        </w:tc>
        <w:tc>
          <w:tcPr>
            <w:tcW w:w="1009" w:type="dxa"/>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3"/>
                <w:szCs w:val="13"/>
                <w:vertAlign w:val="baseline"/>
                <w:lang w:val="en-US" w:eastAsia="zh-CN"/>
              </w:rPr>
            </w:pPr>
            <w:r>
              <w:rPr>
                <w:rFonts w:hint="eastAsia" w:ascii="宋体" w:hAnsi="宋体" w:eastAsia="宋体" w:cs="宋体"/>
                <w:sz w:val="13"/>
                <w:szCs w:val="13"/>
                <w:lang w:val="en-US" w:eastAsia="zh-CN"/>
              </w:rPr>
              <w:t>6、前两年度未受到登记管理机关行政处罚（警告除外）</w:t>
            </w:r>
          </w:p>
        </w:tc>
        <w:tc>
          <w:tcPr>
            <w:tcW w:w="941" w:type="dxa"/>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both"/>
              <w:textAlignment w:val="auto"/>
              <w:outlineLvl w:val="9"/>
              <w:rPr>
                <w:rFonts w:hint="default" w:ascii="宋体" w:hAnsi="宋体" w:eastAsia="宋体" w:cs="宋体"/>
                <w:sz w:val="13"/>
                <w:szCs w:val="13"/>
                <w:vertAlign w:val="baseline"/>
                <w:lang w:val="en-US" w:eastAsia="zh-CN"/>
              </w:rPr>
            </w:pPr>
            <w:r>
              <w:rPr>
                <w:rFonts w:hint="eastAsia" w:ascii="宋体" w:hAnsi="宋体" w:eastAsia="宋体" w:cs="宋体"/>
                <w:sz w:val="13"/>
                <w:szCs w:val="13"/>
                <w:lang w:val="en-US" w:eastAsia="zh-CN"/>
              </w:rPr>
              <w:t>7、前两年未被登记管理机关列入严重违法失信名单。</w:t>
            </w:r>
          </w:p>
        </w:tc>
        <w:tc>
          <w:tcPr>
            <w:tcW w:w="901" w:type="dxa"/>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both"/>
              <w:textAlignment w:val="auto"/>
              <w:outlineLvl w:val="9"/>
              <w:rPr>
                <w:rFonts w:hint="eastAsia" w:ascii="宋体" w:hAnsi="宋体" w:eastAsia="宋体" w:cs="宋体"/>
                <w:sz w:val="13"/>
                <w:szCs w:val="13"/>
                <w:vertAlign w:val="baseline"/>
                <w:lang w:val="en-US" w:eastAsia="zh-CN"/>
              </w:rPr>
            </w:pPr>
            <w:r>
              <w:rPr>
                <w:rFonts w:hint="eastAsia" w:ascii="宋体" w:hAnsi="宋体" w:eastAsia="宋体" w:cs="宋体"/>
                <w:sz w:val="13"/>
                <w:szCs w:val="13"/>
                <w:lang w:val="en-US" w:eastAsia="zh-CN"/>
              </w:rPr>
              <w:t>8、社会组织评估等级为3A以上（含3A）且该评估结果在确认公益性捐赠税前扣除资格时仍在有效期内。</w:t>
            </w:r>
          </w:p>
        </w:tc>
        <w:tc>
          <w:tcPr>
            <w:tcW w:w="76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160" w:lineRule="exact"/>
              <w:jc w:val="both"/>
              <w:textAlignment w:val="auto"/>
              <w:outlineLvl w:val="9"/>
              <w:rPr>
                <w:rFonts w:hint="eastAsia" w:ascii="宋体" w:hAnsi="宋体" w:eastAsia="宋体" w:cs="宋体"/>
                <w:sz w:val="13"/>
                <w:szCs w:val="13"/>
                <w:vertAlign w:val="baseline"/>
                <w:lang w:val="en-US" w:eastAsia="zh-CN"/>
              </w:rPr>
            </w:pPr>
            <w:r>
              <w:rPr>
                <w:rFonts w:hint="eastAsia" w:ascii="宋体" w:hAnsi="宋体" w:eastAsia="宋体" w:cs="宋体"/>
                <w:sz w:val="13"/>
                <w:szCs w:val="13"/>
                <w:vertAlign w:val="baseline"/>
                <w:lang w:val="en-US" w:eastAsia="zh-CN"/>
              </w:rPr>
              <w:t>确认对象（当年末到期、重新符合条件、首次确认）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atLeast"/>
        </w:trPr>
        <w:tc>
          <w:tcPr>
            <w:tcW w:w="407"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sz w:val="15"/>
                <w:szCs w:val="15"/>
                <w:vertAlign w:val="baseline"/>
                <w:lang w:val="en-US" w:eastAsia="zh-CN"/>
              </w:rPr>
            </w:pP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sz w:val="15"/>
                <w:szCs w:val="15"/>
                <w:vertAlign w:val="baseline"/>
                <w:lang w:val="en-US" w:eastAsia="zh-CN"/>
              </w:rPr>
            </w:pPr>
          </w:p>
        </w:tc>
        <w:tc>
          <w:tcPr>
            <w:tcW w:w="542"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sz w:val="15"/>
                <w:szCs w:val="15"/>
                <w:vertAlign w:val="baseline"/>
                <w:lang w:val="en-US" w:eastAsia="zh-CN"/>
              </w:rPr>
            </w:pPr>
          </w:p>
        </w:tc>
        <w:tc>
          <w:tcPr>
            <w:tcW w:w="1429"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sz w:val="15"/>
                <w:szCs w:val="15"/>
                <w:vertAlign w:val="baseline"/>
                <w:lang w:val="en-US" w:eastAsia="zh-CN"/>
              </w:rPr>
            </w:pPr>
          </w:p>
        </w:tc>
        <w:tc>
          <w:tcPr>
            <w:tcW w:w="949"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sz w:val="15"/>
                <w:szCs w:val="15"/>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sz w:val="15"/>
                <w:szCs w:val="15"/>
                <w:lang w:val="en-US" w:eastAsia="zh-CN"/>
              </w:rPr>
            </w:pPr>
          </w:p>
        </w:tc>
        <w:tc>
          <w:tcPr>
            <w:tcW w:w="846"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sz w:val="15"/>
                <w:szCs w:val="15"/>
                <w:lang w:val="en-US" w:eastAsia="zh-CN"/>
              </w:rPr>
            </w:pPr>
          </w:p>
        </w:tc>
        <w:tc>
          <w:tcPr>
            <w:tcW w:w="872"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具有公开募捐资格的社会组织，前两年度每年用于公益慈善事业的支出占上年总收入的比例均不得低于70%</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outlineLvl w:val="9"/>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不具有公开募捐资格的社会组织，前两年度每年用于公益慈善事业的支出占上年末净资产的比例均不得低于8%</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宋体" w:hAnsi="宋体" w:eastAsia="宋体" w:cs="宋体"/>
                <w:sz w:val="15"/>
                <w:szCs w:val="15"/>
                <w:lang w:val="en-US"/>
              </w:rPr>
            </w:pPr>
            <w:r>
              <w:rPr>
                <w:rFonts w:hint="eastAsia" w:ascii="宋体" w:hAnsi="宋体" w:eastAsia="宋体" w:cs="宋体"/>
                <w:sz w:val="15"/>
                <w:szCs w:val="15"/>
                <w:lang w:val="en-US" w:eastAsia="zh-CN"/>
              </w:rPr>
              <w:t>具有公开募捐资格的社会组织，前两年度每年支出的管理费用占当年总支出的比例均不得高于10%</w:t>
            </w:r>
          </w:p>
        </w:tc>
        <w:tc>
          <w:tcPr>
            <w:tcW w:w="886"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不具有公开募捐资格的社会组织，前两年每年支出的管理费用占当年总支出的比例均不得高于12%</w:t>
            </w:r>
          </w:p>
        </w:tc>
        <w:tc>
          <w:tcPr>
            <w:tcW w:w="1118"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sz w:val="15"/>
                <w:szCs w:val="15"/>
              </w:rPr>
            </w:pPr>
          </w:p>
        </w:tc>
        <w:tc>
          <w:tcPr>
            <w:tcW w:w="1009"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sz w:val="15"/>
                <w:szCs w:val="15"/>
                <w:lang w:eastAsia="zh-CN"/>
              </w:rPr>
            </w:pPr>
          </w:p>
        </w:tc>
        <w:tc>
          <w:tcPr>
            <w:tcW w:w="941"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sz w:val="15"/>
                <w:szCs w:val="15"/>
                <w:lang w:eastAsia="zh-CN"/>
              </w:rPr>
            </w:pPr>
          </w:p>
        </w:tc>
        <w:tc>
          <w:tcPr>
            <w:tcW w:w="901" w:type="dxa"/>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sz w:val="15"/>
                <w:szCs w:val="15"/>
                <w:lang w:eastAsia="zh-CN"/>
              </w:rPr>
            </w:pPr>
          </w:p>
        </w:tc>
        <w:tc>
          <w:tcPr>
            <w:tcW w:w="7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sz w:val="15"/>
                <w:szCs w:val="15"/>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dxa"/>
          </w:tcPr>
          <w:p>
            <w:pPr>
              <w:rPr>
                <w:rFonts w:hint="default"/>
                <w:sz w:val="15"/>
                <w:szCs w:val="15"/>
                <w:vertAlign w:val="baseline"/>
                <w:lang w:val="en-US" w:eastAsia="zh-CN"/>
              </w:rPr>
            </w:pPr>
            <w:r>
              <w:rPr>
                <w:rFonts w:hint="eastAsia"/>
                <w:sz w:val="15"/>
                <w:szCs w:val="15"/>
                <w:vertAlign w:val="baseline"/>
                <w:lang w:val="en-US" w:eastAsia="zh-CN"/>
              </w:rPr>
              <w:t>1</w:t>
            </w:r>
          </w:p>
        </w:tc>
        <w:tc>
          <w:tcPr>
            <w:tcW w:w="1225" w:type="dxa"/>
          </w:tcPr>
          <w:p>
            <w:pPr>
              <w:rPr>
                <w:rFonts w:hint="default"/>
                <w:sz w:val="15"/>
                <w:szCs w:val="15"/>
                <w:vertAlign w:val="baseline"/>
                <w:lang w:val="en-US" w:eastAsia="zh-CN"/>
              </w:rPr>
            </w:pPr>
          </w:p>
          <w:p>
            <w:pPr>
              <w:rPr>
                <w:rFonts w:hint="default"/>
                <w:sz w:val="15"/>
                <w:szCs w:val="15"/>
                <w:vertAlign w:val="baseline"/>
                <w:lang w:val="en-US" w:eastAsia="zh-CN"/>
              </w:rPr>
            </w:pPr>
          </w:p>
        </w:tc>
        <w:tc>
          <w:tcPr>
            <w:tcW w:w="542" w:type="dxa"/>
          </w:tcPr>
          <w:p>
            <w:pPr>
              <w:rPr>
                <w:rFonts w:hint="default"/>
                <w:sz w:val="15"/>
                <w:szCs w:val="15"/>
                <w:vertAlign w:val="baseline"/>
                <w:lang w:val="en-US" w:eastAsia="zh-CN"/>
              </w:rPr>
            </w:pPr>
          </w:p>
        </w:tc>
        <w:tc>
          <w:tcPr>
            <w:tcW w:w="1429" w:type="dxa"/>
          </w:tcPr>
          <w:p>
            <w:pPr>
              <w:rPr>
                <w:rFonts w:hint="default"/>
                <w:sz w:val="15"/>
                <w:szCs w:val="15"/>
                <w:vertAlign w:val="baseline"/>
                <w:lang w:val="en-US" w:eastAsia="zh-CN"/>
              </w:rPr>
            </w:pPr>
          </w:p>
        </w:tc>
        <w:tc>
          <w:tcPr>
            <w:tcW w:w="949" w:type="dxa"/>
          </w:tcPr>
          <w:p>
            <w:pPr>
              <w:rPr>
                <w:rFonts w:hint="default"/>
                <w:sz w:val="15"/>
                <w:szCs w:val="15"/>
                <w:vertAlign w:val="baseline"/>
                <w:lang w:val="en-US" w:eastAsia="zh-CN"/>
              </w:rPr>
            </w:pPr>
          </w:p>
        </w:tc>
        <w:tc>
          <w:tcPr>
            <w:tcW w:w="918" w:type="dxa"/>
          </w:tcPr>
          <w:p>
            <w:pPr>
              <w:rPr>
                <w:rFonts w:hint="default"/>
                <w:sz w:val="15"/>
                <w:szCs w:val="15"/>
                <w:vertAlign w:val="baseline"/>
                <w:lang w:val="en-US" w:eastAsia="zh-CN"/>
              </w:rPr>
            </w:pPr>
          </w:p>
        </w:tc>
        <w:tc>
          <w:tcPr>
            <w:tcW w:w="846" w:type="dxa"/>
          </w:tcPr>
          <w:p>
            <w:pPr>
              <w:rPr>
                <w:rFonts w:hint="default"/>
                <w:sz w:val="15"/>
                <w:szCs w:val="15"/>
                <w:vertAlign w:val="baseline"/>
                <w:lang w:val="en-US" w:eastAsia="zh-CN"/>
              </w:rPr>
            </w:pPr>
          </w:p>
        </w:tc>
        <w:tc>
          <w:tcPr>
            <w:tcW w:w="872" w:type="dxa"/>
          </w:tcPr>
          <w:p>
            <w:pPr>
              <w:rPr>
                <w:rFonts w:hint="default"/>
                <w:sz w:val="15"/>
                <w:szCs w:val="15"/>
                <w:vertAlign w:val="baseline"/>
                <w:lang w:val="en-US" w:eastAsia="zh-CN"/>
              </w:rPr>
            </w:pPr>
          </w:p>
        </w:tc>
        <w:tc>
          <w:tcPr>
            <w:tcW w:w="983" w:type="dxa"/>
          </w:tcPr>
          <w:p>
            <w:pPr>
              <w:rPr>
                <w:rFonts w:hint="default"/>
                <w:sz w:val="15"/>
                <w:szCs w:val="15"/>
                <w:vertAlign w:val="baseline"/>
                <w:lang w:val="en-US" w:eastAsia="zh-CN"/>
              </w:rPr>
            </w:pPr>
          </w:p>
        </w:tc>
        <w:tc>
          <w:tcPr>
            <w:tcW w:w="913" w:type="dxa"/>
          </w:tcPr>
          <w:p>
            <w:pPr>
              <w:rPr>
                <w:rFonts w:hint="default"/>
                <w:sz w:val="15"/>
                <w:szCs w:val="15"/>
                <w:vertAlign w:val="baseline"/>
                <w:lang w:val="en-US" w:eastAsia="zh-CN"/>
              </w:rPr>
            </w:pPr>
          </w:p>
        </w:tc>
        <w:tc>
          <w:tcPr>
            <w:tcW w:w="886" w:type="dxa"/>
          </w:tcPr>
          <w:p>
            <w:pPr>
              <w:rPr>
                <w:rFonts w:hint="default"/>
                <w:sz w:val="15"/>
                <w:szCs w:val="15"/>
                <w:vertAlign w:val="baseline"/>
                <w:lang w:val="en-US" w:eastAsia="zh-CN"/>
              </w:rPr>
            </w:pPr>
          </w:p>
        </w:tc>
        <w:tc>
          <w:tcPr>
            <w:tcW w:w="1118" w:type="dxa"/>
          </w:tcPr>
          <w:p>
            <w:pPr>
              <w:rPr>
                <w:rFonts w:hint="default"/>
                <w:sz w:val="15"/>
                <w:szCs w:val="15"/>
                <w:vertAlign w:val="baseline"/>
                <w:lang w:val="en-US" w:eastAsia="zh-CN"/>
              </w:rPr>
            </w:pPr>
          </w:p>
        </w:tc>
        <w:tc>
          <w:tcPr>
            <w:tcW w:w="1009" w:type="dxa"/>
          </w:tcPr>
          <w:p>
            <w:pPr>
              <w:rPr>
                <w:rFonts w:hint="default"/>
                <w:sz w:val="15"/>
                <w:szCs w:val="15"/>
                <w:vertAlign w:val="baseline"/>
                <w:lang w:val="en-US" w:eastAsia="zh-CN"/>
              </w:rPr>
            </w:pPr>
          </w:p>
        </w:tc>
        <w:tc>
          <w:tcPr>
            <w:tcW w:w="941" w:type="dxa"/>
          </w:tcPr>
          <w:p>
            <w:pPr>
              <w:rPr>
                <w:rFonts w:hint="default"/>
                <w:sz w:val="15"/>
                <w:szCs w:val="15"/>
                <w:vertAlign w:val="baseline"/>
                <w:lang w:val="en-US" w:eastAsia="zh-CN"/>
              </w:rPr>
            </w:pPr>
          </w:p>
        </w:tc>
        <w:tc>
          <w:tcPr>
            <w:tcW w:w="901" w:type="dxa"/>
          </w:tcPr>
          <w:p>
            <w:pPr>
              <w:rPr>
                <w:rFonts w:hint="default"/>
                <w:sz w:val="15"/>
                <w:szCs w:val="15"/>
                <w:vertAlign w:val="baseline"/>
                <w:lang w:val="en-US" w:eastAsia="zh-CN"/>
              </w:rPr>
            </w:pPr>
          </w:p>
        </w:tc>
        <w:tc>
          <w:tcPr>
            <w:tcW w:w="761" w:type="dxa"/>
            <w:gridSpan w:val="2"/>
          </w:tcPr>
          <w:p>
            <w:pPr>
              <w:rPr>
                <w:rFonts w:hint="default"/>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dxa"/>
          </w:tcPr>
          <w:p>
            <w:pPr>
              <w:rPr>
                <w:rFonts w:hint="default"/>
                <w:sz w:val="15"/>
                <w:szCs w:val="15"/>
                <w:vertAlign w:val="baseline"/>
                <w:lang w:val="en-US" w:eastAsia="zh-CN"/>
              </w:rPr>
            </w:pPr>
            <w:r>
              <w:rPr>
                <w:rFonts w:hint="eastAsia"/>
                <w:sz w:val="15"/>
                <w:szCs w:val="15"/>
                <w:vertAlign w:val="baseline"/>
                <w:lang w:val="en-US" w:eastAsia="zh-CN"/>
              </w:rPr>
              <w:t>2</w:t>
            </w:r>
          </w:p>
        </w:tc>
        <w:tc>
          <w:tcPr>
            <w:tcW w:w="1225" w:type="dxa"/>
          </w:tcPr>
          <w:p>
            <w:pPr>
              <w:rPr>
                <w:rFonts w:hint="default"/>
                <w:sz w:val="15"/>
                <w:szCs w:val="15"/>
                <w:vertAlign w:val="baseline"/>
                <w:lang w:val="en-US" w:eastAsia="zh-CN"/>
              </w:rPr>
            </w:pPr>
          </w:p>
          <w:p>
            <w:pPr>
              <w:rPr>
                <w:rFonts w:hint="default"/>
                <w:sz w:val="15"/>
                <w:szCs w:val="15"/>
                <w:vertAlign w:val="baseline"/>
                <w:lang w:val="en-US" w:eastAsia="zh-CN"/>
              </w:rPr>
            </w:pPr>
          </w:p>
        </w:tc>
        <w:tc>
          <w:tcPr>
            <w:tcW w:w="542" w:type="dxa"/>
          </w:tcPr>
          <w:p>
            <w:pPr>
              <w:rPr>
                <w:rFonts w:hint="default"/>
                <w:sz w:val="15"/>
                <w:szCs w:val="15"/>
                <w:vertAlign w:val="baseline"/>
                <w:lang w:val="en-US" w:eastAsia="zh-CN"/>
              </w:rPr>
            </w:pPr>
          </w:p>
        </w:tc>
        <w:tc>
          <w:tcPr>
            <w:tcW w:w="1429" w:type="dxa"/>
          </w:tcPr>
          <w:p>
            <w:pPr>
              <w:rPr>
                <w:rFonts w:hint="default"/>
                <w:sz w:val="15"/>
                <w:szCs w:val="15"/>
                <w:vertAlign w:val="baseline"/>
                <w:lang w:val="en-US" w:eastAsia="zh-CN"/>
              </w:rPr>
            </w:pPr>
          </w:p>
        </w:tc>
        <w:tc>
          <w:tcPr>
            <w:tcW w:w="949" w:type="dxa"/>
          </w:tcPr>
          <w:p>
            <w:pPr>
              <w:rPr>
                <w:rFonts w:hint="default"/>
                <w:sz w:val="15"/>
                <w:szCs w:val="15"/>
                <w:vertAlign w:val="baseline"/>
                <w:lang w:val="en-US" w:eastAsia="zh-CN"/>
              </w:rPr>
            </w:pPr>
          </w:p>
        </w:tc>
        <w:tc>
          <w:tcPr>
            <w:tcW w:w="918" w:type="dxa"/>
          </w:tcPr>
          <w:p>
            <w:pPr>
              <w:rPr>
                <w:rFonts w:hint="default"/>
                <w:sz w:val="15"/>
                <w:szCs w:val="15"/>
                <w:vertAlign w:val="baseline"/>
                <w:lang w:val="en-US" w:eastAsia="zh-CN"/>
              </w:rPr>
            </w:pPr>
          </w:p>
        </w:tc>
        <w:tc>
          <w:tcPr>
            <w:tcW w:w="846" w:type="dxa"/>
          </w:tcPr>
          <w:p>
            <w:pPr>
              <w:rPr>
                <w:rFonts w:hint="default"/>
                <w:sz w:val="15"/>
                <w:szCs w:val="15"/>
                <w:vertAlign w:val="baseline"/>
                <w:lang w:val="en-US" w:eastAsia="zh-CN"/>
              </w:rPr>
            </w:pPr>
          </w:p>
        </w:tc>
        <w:tc>
          <w:tcPr>
            <w:tcW w:w="872" w:type="dxa"/>
          </w:tcPr>
          <w:p>
            <w:pPr>
              <w:rPr>
                <w:rFonts w:hint="default"/>
                <w:sz w:val="15"/>
                <w:szCs w:val="15"/>
                <w:vertAlign w:val="baseline"/>
                <w:lang w:val="en-US" w:eastAsia="zh-CN"/>
              </w:rPr>
            </w:pPr>
          </w:p>
        </w:tc>
        <w:tc>
          <w:tcPr>
            <w:tcW w:w="983" w:type="dxa"/>
          </w:tcPr>
          <w:p>
            <w:pPr>
              <w:rPr>
                <w:rFonts w:hint="default"/>
                <w:sz w:val="15"/>
                <w:szCs w:val="15"/>
                <w:vertAlign w:val="baseline"/>
                <w:lang w:val="en-US" w:eastAsia="zh-CN"/>
              </w:rPr>
            </w:pPr>
          </w:p>
        </w:tc>
        <w:tc>
          <w:tcPr>
            <w:tcW w:w="913" w:type="dxa"/>
          </w:tcPr>
          <w:p>
            <w:pPr>
              <w:rPr>
                <w:rFonts w:hint="default"/>
                <w:sz w:val="15"/>
                <w:szCs w:val="15"/>
                <w:vertAlign w:val="baseline"/>
                <w:lang w:val="en-US" w:eastAsia="zh-CN"/>
              </w:rPr>
            </w:pPr>
          </w:p>
        </w:tc>
        <w:tc>
          <w:tcPr>
            <w:tcW w:w="886" w:type="dxa"/>
          </w:tcPr>
          <w:p>
            <w:pPr>
              <w:rPr>
                <w:rFonts w:hint="default"/>
                <w:sz w:val="15"/>
                <w:szCs w:val="15"/>
                <w:vertAlign w:val="baseline"/>
                <w:lang w:val="en-US" w:eastAsia="zh-CN"/>
              </w:rPr>
            </w:pPr>
          </w:p>
        </w:tc>
        <w:tc>
          <w:tcPr>
            <w:tcW w:w="1118" w:type="dxa"/>
          </w:tcPr>
          <w:p>
            <w:pPr>
              <w:rPr>
                <w:rFonts w:hint="default"/>
                <w:sz w:val="15"/>
                <w:szCs w:val="15"/>
                <w:vertAlign w:val="baseline"/>
                <w:lang w:val="en-US" w:eastAsia="zh-CN"/>
              </w:rPr>
            </w:pPr>
          </w:p>
        </w:tc>
        <w:tc>
          <w:tcPr>
            <w:tcW w:w="1009" w:type="dxa"/>
          </w:tcPr>
          <w:p>
            <w:pPr>
              <w:rPr>
                <w:rFonts w:hint="default"/>
                <w:sz w:val="15"/>
                <w:szCs w:val="15"/>
                <w:vertAlign w:val="baseline"/>
                <w:lang w:val="en-US" w:eastAsia="zh-CN"/>
              </w:rPr>
            </w:pPr>
          </w:p>
        </w:tc>
        <w:tc>
          <w:tcPr>
            <w:tcW w:w="941" w:type="dxa"/>
          </w:tcPr>
          <w:p>
            <w:pPr>
              <w:rPr>
                <w:rFonts w:hint="default"/>
                <w:sz w:val="15"/>
                <w:szCs w:val="15"/>
                <w:vertAlign w:val="baseline"/>
                <w:lang w:val="en-US" w:eastAsia="zh-CN"/>
              </w:rPr>
            </w:pPr>
          </w:p>
        </w:tc>
        <w:tc>
          <w:tcPr>
            <w:tcW w:w="901" w:type="dxa"/>
          </w:tcPr>
          <w:p>
            <w:pPr>
              <w:rPr>
                <w:rFonts w:hint="default"/>
                <w:sz w:val="15"/>
                <w:szCs w:val="15"/>
                <w:vertAlign w:val="baseline"/>
                <w:lang w:val="en-US" w:eastAsia="zh-CN"/>
              </w:rPr>
            </w:pPr>
          </w:p>
        </w:tc>
        <w:tc>
          <w:tcPr>
            <w:tcW w:w="761" w:type="dxa"/>
            <w:gridSpan w:val="2"/>
          </w:tcPr>
          <w:p>
            <w:pPr>
              <w:rPr>
                <w:rFonts w:hint="default"/>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dxa"/>
          </w:tcPr>
          <w:p>
            <w:pPr>
              <w:rPr>
                <w:rFonts w:hint="default"/>
                <w:sz w:val="15"/>
                <w:szCs w:val="15"/>
                <w:vertAlign w:val="baseline"/>
                <w:lang w:val="en-US" w:eastAsia="zh-CN"/>
              </w:rPr>
            </w:pPr>
            <w:r>
              <w:rPr>
                <w:rFonts w:hint="eastAsia"/>
                <w:sz w:val="15"/>
                <w:szCs w:val="15"/>
                <w:vertAlign w:val="baseline"/>
                <w:lang w:val="en-US" w:eastAsia="zh-CN"/>
              </w:rPr>
              <w:t>3</w:t>
            </w:r>
          </w:p>
        </w:tc>
        <w:tc>
          <w:tcPr>
            <w:tcW w:w="1225" w:type="dxa"/>
          </w:tcPr>
          <w:p>
            <w:pPr>
              <w:rPr>
                <w:rFonts w:hint="default"/>
                <w:sz w:val="15"/>
                <w:szCs w:val="15"/>
                <w:vertAlign w:val="baseline"/>
                <w:lang w:val="en-US" w:eastAsia="zh-CN"/>
              </w:rPr>
            </w:pPr>
          </w:p>
          <w:p>
            <w:pPr>
              <w:rPr>
                <w:rFonts w:hint="default"/>
                <w:sz w:val="15"/>
                <w:szCs w:val="15"/>
                <w:vertAlign w:val="baseline"/>
                <w:lang w:val="en-US" w:eastAsia="zh-CN"/>
              </w:rPr>
            </w:pPr>
          </w:p>
        </w:tc>
        <w:tc>
          <w:tcPr>
            <w:tcW w:w="542" w:type="dxa"/>
          </w:tcPr>
          <w:p>
            <w:pPr>
              <w:rPr>
                <w:rFonts w:hint="default"/>
                <w:sz w:val="15"/>
                <w:szCs w:val="15"/>
                <w:vertAlign w:val="baseline"/>
                <w:lang w:val="en-US" w:eastAsia="zh-CN"/>
              </w:rPr>
            </w:pPr>
          </w:p>
        </w:tc>
        <w:tc>
          <w:tcPr>
            <w:tcW w:w="1429" w:type="dxa"/>
          </w:tcPr>
          <w:p>
            <w:pPr>
              <w:rPr>
                <w:rFonts w:hint="default"/>
                <w:sz w:val="15"/>
                <w:szCs w:val="15"/>
                <w:vertAlign w:val="baseline"/>
                <w:lang w:val="en-US" w:eastAsia="zh-CN"/>
              </w:rPr>
            </w:pPr>
          </w:p>
        </w:tc>
        <w:tc>
          <w:tcPr>
            <w:tcW w:w="949" w:type="dxa"/>
          </w:tcPr>
          <w:p>
            <w:pPr>
              <w:rPr>
                <w:rFonts w:hint="default"/>
                <w:sz w:val="15"/>
                <w:szCs w:val="15"/>
                <w:vertAlign w:val="baseline"/>
                <w:lang w:val="en-US" w:eastAsia="zh-CN"/>
              </w:rPr>
            </w:pPr>
          </w:p>
        </w:tc>
        <w:tc>
          <w:tcPr>
            <w:tcW w:w="918" w:type="dxa"/>
          </w:tcPr>
          <w:p>
            <w:pPr>
              <w:rPr>
                <w:rFonts w:hint="default"/>
                <w:sz w:val="15"/>
                <w:szCs w:val="15"/>
                <w:vertAlign w:val="baseline"/>
                <w:lang w:val="en-US" w:eastAsia="zh-CN"/>
              </w:rPr>
            </w:pPr>
          </w:p>
        </w:tc>
        <w:tc>
          <w:tcPr>
            <w:tcW w:w="846" w:type="dxa"/>
          </w:tcPr>
          <w:p>
            <w:pPr>
              <w:rPr>
                <w:rFonts w:hint="default"/>
                <w:sz w:val="15"/>
                <w:szCs w:val="15"/>
                <w:vertAlign w:val="baseline"/>
                <w:lang w:val="en-US" w:eastAsia="zh-CN"/>
              </w:rPr>
            </w:pPr>
          </w:p>
        </w:tc>
        <w:tc>
          <w:tcPr>
            <w:tcW w:w="872" w:type="dxa"/>
          </w:tcPr>
          <w:p>
            <w:pPr>
              <w:rPr>
                <w:rFonts w:hint="default"/>
                <w:sz w:val="15"/>
                <w:szCs w:val="15"/>
                <w:vertAlign w:val="baseline"/>
                <w:lang w:val="en-US" w:eastAsia="zh-CN"/>
              </w:rPr>
            </w:pPr>
          </w:p>
        </w:tc>
        <w:tc>
          <w:tcPr>
            <w:tcW w:w="983" w:type="dxa"/>
          </w:tcPr>
          <w:p>
            <w:pPr>
              <w:rPr>
                <w:rFonts w:hint="default"/>
                <w:sz w:val="15"/>
                <w:szCs w:val="15"/>
                <w:vertAlign w:val="baseline"/>
                <w:lang w:val="en-US" w:eastAsia="zh-CN"/>
              </w:rPr>
            </w:pPr>
          </w:p>
        </w:tc>
        <w:tc>
          <w:tcPr>
            <w:tcW w:w="913" w:type="dxa"/>
          </w:tcPr>
          <w:p>
            <w:pPr>
              <w:rPr>
                <w:rFonts w:hint="default"/>
                <w:sz w:val="15"/>
                <w:szCs w:val="15"/>
                <w:vertAlign w:val="baseline"/>
                <w:lang w:val="en-US" w:eastAsia="zh-CN"/>
              </w:rPr>
            </w:pPr>
          </w:p>
        </w:tc>
        <w:tc>
          <w:tcPr>
            <w:tcW w:w="886" w:type="dxa"/>
          </w:tcPr>
          <w:p>
            <w:pPr>
              <w:rPr>
                <w:rFonts w:hint="default"/>
                <w:sz w:val="15"/>
                <w:szCs w:val="15"/>
                <w:vertAlign w:val="baseline"/>
                <w:lang w:val="en-US" w:eastAsia="zh-CN"/>
              </w:rPr>
            </w:pPr>
          </w:p>
        </w:tc>
        <w:tc>
          <w:tcPr>
            <w:tcW w:w="1118" w:type="dxa"/>
          </w:tcPr>
          <w:p>
            <w:pPr>
              <w:rPr>
                <w:rFonts w:hint="default"/>
                <w:sz w:val="15"/>
                <w:szCs w:val="15"/>
                <w:vertAlign w:val="baseline"/>
                <w:lang w:val="en-US" w:eastAsia="zh-CN"/>
              </w:rPr>
            </w:pPr>
          </w:p>
        </w:tc>
        <w:tc>
          <w:tcPr>
            <w:tcW w:w="1009" w:type="dxa"/>
          </w:tcPr>
          <w:p>
            <w:pPr>
              <w:rPr>
                <w:rFonts w:hint="default"/>
                <w:sz w:val="15"/>
                <w:szCs w:val="15"/>
                <w:vertAlign w:val="baseline"/>
                <w:lang w:val="en-US" w:eastAsia="zh-CN"/>
              </w:rPr>
            </w:pPr>
          </w:p>
        </w:tc>
        <w:tc>
          <w:tcPr>
            <w:tcW w:w="941" w:type="dxa"/>
          </w:tcPr>
          <w:p>
            <w:pPr>
              <w:rPr>
                <w:rFonts w:hint="default"/>
                <w:sz w:val="15"/>
                <w:szCs w:val="15"/>
                <w:vertAlign w:val="baseline"/>
                <w:lang w:val="en-US" w:eastAsia="zh-CN"/>
              </w:rPr>
            </w:pPr>
          </w:p>
        </w:tc>
        <w:tc>
          <w:tcPr>
            <w:tcW w:w="901" w:type="dxa"/>
          </w:tcPr>
          <w:p>
            <w:pPr>
              <w:rPr>
                <w:rFonts w:hint="default"/>
                <w:sz w:val="15"/>
                <w:szCs w:val="15"/>
                <w:vertAlign w:val="baseline"/>
                <w:lang w:val="en-US" w:eastAsia="zh-CN"/>
              </w:rPr>
            </w:pPr>
          </w:p>
        </w:tc>
        <w:tc>
          <w:tcPr>
            <w:tcW w:w="761" w:type="dxa"/>
            <w:gridSpan w:val="2"/>
          </w:tcPr>
          <w:p>
            <w:pPr>
              <w:rPr>
                <w:rFonts w:hint="default"/>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dxa"/>
          </w:tcPr>
          <w:p>
            <w:pPr>
              <w:rPr>
                <w:rFonts w:hint="default"/>
                <w:sz w:val="15"/>
                <w:szCs w:val="15"/>
                <w:vertAlign w:val="baseline"/>
                <w:lang w:val="en-US" w:eastAsia="zh-CN"/>
              </w:rPr>
            </w:pPr>
            <w:r>
              <w:rPr>
                <w:rFonts w:hint="eastAsia"/>
                <w:sz w:val="15"/>
                <w:szCs w:val="15"/>
                <w:vertAlign w:val="baseline"/>
                <w:lang w:val="en-US" w:eastAsia="zh-CN"/>
              </w:rPr>
              <w:t>4</w:t>
            </w:r>
          </w:p>
        </w:tc>
        <w:tc>
          <w:tcPr>
            <w:tcW w:w="1225" w:type="dxa"/>
          </w:tcPr>
          <w:p>
            <w:pPr>
              <w:rPr>
                <w:rFonts w:hint="default"/>
                <w:sz w:val="15"/>
                <w:szCs w:val="15"/>
                <w:vertAlign w:val="baseline"/>
                <w:lang w:val="en-US" w:eastAsia="zh-CN"/>
              </w:rPr>
            </w:pPr>
          </w:p>
          <w:p>
            <w:pPr>
              <w:rPr>
                <w:rFonts w:hint="default"/>
                <w:sz w:val="15"/>
                <w:szCs w:val="15"/>
                <w:vertAlign w:val="baseline"/>
                <w:lang w:val="en-US" w:eastAsia="zh-CN"/>
              </w:rPr>
            </w:pPr>
          </w:p>
        </w:tc>
        <w:tc>
          <w:tcPr>
            <w:tcW w:w="542" w:type="dxa"/>
          </w:tcPr>
          <w:p>
            <w:pPr>
              <w:rPr>
                <w:rFonts w:hint="default"/>
                <w:sz w:val="15"/>
                <w:szCs w:val="15"/>
                <w:vertAlign w:val="baseline"/>
                <w:lang w:val="en-US" w:eastAsia="zh-CN"/>
              </w:rPr>
            </w:pPr>
          </w:p>
        </w:tc>
        <w:tc>
          <w:tcPr>
            <w:tcW w:w="1429" w:type="dxa"/>
          </w:tcPr>
          <w:p>
            <w:pPr>
              <w:rPr>
                <w:rFonts w:hint="default"/>
                <w:sz w:val="15"/>
                <w:szCs w:val="15"/>
                <w:vertAlign w:val="baseline"/>
                <w:lang w:val="en-US" w:eastAsia="zh-CN"/>
              </w:rPr>
            </w:pPr>
          </w:p>
        </w:tc>
        <w:tc>
          <w:tcPr>
            <w:tcW w:w="949" w:type="dxa"/>
          </w:tcPr>
          <w:p>
            <w:pPr>
              <w:rPr>
                <w:rFonts w:hint="default"/>
                <w:sz w:val="15"/>
                <w:szCs w:val="15"/>
                <w:vertAlign w:val="baseline"/>
                <w:lang w:val="en-US" w:eastAsia="zh-CN"/>
              </w:rPr>
            </w:pPr>
          </w:p>
        </w:tc>
        <w:tc>
          <w:tcPr>
            <w:tcW w:w="918" w:type="dxa"/>
          </w:tcPr>
          <w:p>
            <w:pPr>
              <w:rPr>
                <w:rFonts w:hint="default"/>
                <w:sz w:val="15"/>
                <w:szCs w:val="15"/>
                <w:vertAlign w:val="baseline"/>
                <w:lang w:val="en-US" w:eastAsia="zh-CN"/>
              </w:rPr>
            </w:pPr>
          </w:p>
        </w:tc>
        <w:tc>
          <w:tcPr>
            <w:tcW w:w="846" w:type="dxa"/>
          </w:tcPr>
          <w:p>
            <w:pPr>
              <w:rPr>
                <w:rFonts w:hint="default"/>
                <w:sz w:val="15"/>
                <w:szCs w:val="15"/>
                <w:vertAlign w:val="baseline"/>
                <w:lang w:val="en-US" w:eastAsia="zh-CN"/>
              </w:rPr>
            </w:pPr>
          </w:p>
        </w:tc>
        <w:tc>
          <w:tcPr>
            <w:tcW w:w="872" w:type="dxa"/>
          </w:tcPr>
          <w:p>
            <w:pPr>
              <w:rPr>
                <w:rFonts w:hint="default"/>
                <w:sz w:val="15"/>
                <w:szCs w:val="15"/>
                <w:vertAlign w:val="baseline"/>
                <w:lang w:val="en-US" w:eastAsia="zh-CN"/>
              </w:rPr>
            </w:pPr>
          </w:p>
        </w:tc>
        <w:tc>
          <w:tcPr>
            <w:tcW w:w="983" w:type="dxa"/>
          </w:tcPr>
          <w:p>
            <w:pPr>
              <w:rPr>
                <w:rFonts w:hint="default"/>
                <w:sz w:val="15"/>
                <w:szCs w:val="15"/>
                <w:vertAlign w:val="baseline"/>
                <w:lang w:val="en-US" w:eastAsia="zh-CN"/>
              </w:rPr>
            </w:pPr>
          </w:p>
        </w:tc>
        <w:tc>
          <w:tcPr>
            <w:tcW w:w="913" w:type="dxa"/>
          </w:tcPr>
          <w:p>
            <w:pPr>
              <w:rPr>
                <w:rFonts w:hint="default"/>
                <w:sz w:val="15"/>
                <w:szCs w:val="15"/>
                <w:vertAlign w:val="baseline"/>
                <w:lang w:val="en-US" w:eastAsia="zh-CN"/>
              </w:rPr>
            </w:pPr>
          </w:p>
        </w:tc>
        <w:tc>
          <w:tcPr>
            <w:tcW w:w="886" w:type="dxa"/>
          </w:tcPr>
          <w:p>
            <w:pPr>
              <w:rPr>
                <w:rFonts w:hint="default"/>
                <w:sz w:val="15"/>
                <w:szCs w:val="15"/>
                <w:vertAlign w:val="baseline"/>
                <w:lang w:val="en-US" w:eastAsia="zh-CN"/>
              </w:rPr>
            </w:pPr>
          </w:p>
        </w:tc>
        <w:tc>
          <w:tcPr>
            <w:tcW w:w="1118" w:type="dxa"/>
          </w:tcPr>
          <w:p>
            <w:pPr>
              <w:rPr>
                <w:rFonts w:hint="default"/>
                <w:sz w:val="15"/>
                <w:szCs w:val="15"/>
                <w:vertAlign w:val="baseline"/>
                <w:lang w:val="en-US" w:eastAsia="zh-CN"/>
              </w:rPr>
            </w:pPr>
          </w:p>
        </w:tc>
        <w:tc>
          <w:tcPr>
            <w:tcW w:w="1009" w:type="dxa"/>
          </w:tcPr>
          <w:p>
            <w:pPr>
              <w:rPr>
                <w:rFonts w:hint="default"/>
                <w:sz w:val="15"/>
                <w:szCs w:val="15"/>
                <w:vertAlign w:val="baseline"/>
                <w:lang w:val="en-US" w:eastAsia="zh-CN"/>
              </w:rPr>
            </w:pPr>
          </w:p>
        </w:tc>
        <w:tc>
          <w:tcPr>
            <w:tcW w:w="941" w:type="dxa"/>
          </w:tcPr>
          <w:p>
            <w:pPr>
              <w:rPr>
                <w:rFonts w:hint="default"/>
                <w:sz w:val="15"/>
                <w:szCs w:val="15"/>
                <w:vertAlign w:val="baseline"/>
                <w:lang w:val="en-US" w:eastAsia="zh-CN"/>
              </w:rPr>
            </w:pPr>
          </w:p>
        </w:tc>
        <w:tc>
          <w:tcPr>
            <w:tcW w:w="901" w:type="dxa"/>
          </w:tcPr>
          <w:p>
            <w:pPr>
              <w:rPr>
                <w:rFonts w:hint="default"/>
                <w:sz w:val="15"/>
                <w:szCs w:val="15"/>
                <w:vertAlign w:val="baseline"/>
                <w:lang w:val="en-US" w:eastAsia="zh-CN"/>
              </w:rPr>
            </w:pPr>
          </w:p>
        </w:tc>
        <w:tc>
          <w:tcPr>
            <w:tcW w:w="761" w:type="dxa"/>
            <w:gridSpan w:val="2"/>
          </w:tcPr>
          <w:p>
            <w:pPr>
              <w:rPr>
                <w:rFonts w:hint="default"/>
                <w:sz w:val="15"/>
                <w:szCs w:val="15"/>
                <w:vertAlign w:val="baseline"/>
                <w:lang w:val="en-US" w:eastAsia="zh-CN"/>
              </w:rPr>
            </w:pPr>
          </w:p>
        </w:tc>
      </w:tr>
    </w:tbl>
    <w:p>
      <w:pPr>
        <w:rPr>
          <w:rFonts w:hint="default"/>
          <w:sz w:val="15"/>
          <w:szCs w:val="15"/>
          <w:lang w:val="en-US" w:eastAsia="zh-CN"/>
        </w:rPr>
      </w:pPr>
    </w:p>
    <w:p>
      <w:pPr>
        <w:numPr>
          <w:ilvl w:val="0"/>
          <w:numId w:val="1"/>
        </w:numPr>
        <w:rPr>
          <w:rFonts w:hint="eastAsia"/>
          <w:sz w:val="15"/>
          <w:szCs w:val="15"/>
          <w:lang w:val="en-US" w:eastAsia="zh-CN"/>
        </w:rPr>
      </w:pPr>
      <w:r>
        <w:rPr>
          <w:rFonts w:hint="eastAsia"/>
          <w:sz w:val="15"/>
          <w:szCs w:val="15"/>
          <w:lang w:val="en-US" w:eastAsia="zh-CN"/>
        </w:rPr>
        <w:t>“确认条件”中除第3、4项需要填写具体比例数字，其余符合条件的打勾即可。</w:t>
      </w:r>
    </w:p>
    <w:p>
      <w:pPr>
        <w:numPr>
          <w:ilvl w:val="0"/>
          <w:numId w:val="1"/>
        </w:numPr>
        <w:rPr>
          <w:rFonts w:hint="default"/>
          <w:sz w:val="15"/>
          <w:szCs w:val="15"/>
          <w:lang w:val="en-US" w:eastAsia="zh-CN"/>
        </w:rPr>
      </w:pPr>
      <w:r>
        <w:rPr>
          <w:rFonts w:hint="eastAsia"/>
          <w:sz w:val="15"/>
          <w:szCs w:val="15"/>
          <w:lang w:val="en-US" w:eastAsia="zh-CN"/>
        </w:rPr>
        <w:t>按照</w:t>
      </w:r>
      <w:r>
        <w:rPr>
          <w:rFonts w:hint="eastAsia" w:ascii="宋体" w:hAnsi="宋体" w:eastAsia="宋体" w:cs="宋体"/>
          <w:sz w:val="15"/>
          <w:szCs w:val="15"/>
          <w:lang w:val="en-US" w:eastAsia="zh-CN"/>
        </w:rPr>
        <w:t>《中华人民共和国慈善法》新设立或新认定的慈善组织，在其取得非营利组织免税资格的当年，只需要符合确认条件的第1项、第5项、第7项目即可。</w:t>
      </w:r>
    </w:p>
    <w:sectPr>
      <w:pgSz w:w="16838" w:h="11906" w:orient="landscape"/>
      <w:pgMar w:top="1803"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995D4"/>
    <w:multiLevelType w:val="singleLevel"/>
    <w:tmpl w:val="98F995D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NDY4NjhiYjFkYjlmYzkzODYwNDE4Njc2ZTE3ZjAifQ=="/>
  </w:docVars>
  <w:rsids>
    <w:rsidRoot w:val="77C66DF1"/>
    <w:rsid w:val="005D3291"/>
    <w:rsid w:val="047D48FC"/>
    <w:rsid w:val="07365572"/>
    <w:rsid w:val="09CE29F0"/>
    <w:rsid w:val="0ACD44D0"/>
    <w:rsid w:val="125140DB"/>
    <w:rsid w:val="135038B4"/>
    <w:rsid w:val="144B34EE"/>
    <w:rsid w:val="148B053E"/>
    <w:rsid w:val="15B9690C"/>
    <w:rsid w:val="18161909"/>
    <w:rsid w:val="18B25375"/>
    <w:rsid w:val="1CDEFC07"/>
    <w:rsid w:val="1D1A04B7"/>
    <w:rsid w:val="1E8E5793"/>
    <w:rsid w:val="26E836F6"/>
    <w:rsid w:val="2E9D60D5"/>
    <w:rsid w:val="3EF664CA"/>
    <w:rsid w:val="3F79169D"/>
    <w:rsid w:val="49700DCE"/>
    <w:rsid w:val="4A5E168A"/>
    <w:rsid w:val="4BCA2BD4"/>
    <w:rsid w:val="4D362CD2"/>
    <w:rsid w:val="4D8C70A9"/>
    <w:rsid w:val="55381108"/>
    <w:rsid w:val="58FB62BA"/>
    <w:rsid w:val="5AFEB452"/>
    <w:rsid w:val="5F6A2DAE"/>
    <w:rsid w:val="63792D49"/>
    <w:rsid w:val="65D5754A"/>
    <w:rsid w:val="6BA477F9"/>
    <w:rsid w:val="6C940E61"/>
    <w:rsid w:val="6F675C2A"/>
    <w:rsid w:val="7164063E"/>
    <w:rsid w:val="72C02127"/>
    <w:rsid w:val="77C66DF1"/>
    <w:rsid w:val="78CA3464"/>
    <w:rsid w:val="78E32CE7"/>
    <w:rsid w:val="7C0040F7"/>
    <w:rsid w:val="FEFFD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587</Words>
  <Characters>596</Characters>
  <Lines>0</Lines>
  <Paragraphs>0</Paragraphs>
  <TotalTime>5</TotalTime>
  <ScaleCrop>false</ScaleCrop>
  <LinksUpToDate>false</LinksUpToDate>
  <CharactersWithSpaces>596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2020-02-25T10:47:00Z</dcterms:created>
  <dc:creator>黄文婷</dc:creator>
  <cp:lastModifiedBy>大王叫我来巡山</cp:lastModifiedBy>
  <dcterms:modified xsi:type="dcterms:W3CDTF">2022-11-09T08:06:59Z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ribbonExt">
    <vt:lpwstr>{"WPSExtOfficeTab":{"OnGetEnabled":false,"OnGetVisible":false}}</vt:lpwstr>
  </property>
  <property fmtid="{D5CDD505-2E9C-101B-9397-08002B2CF9AE}" pid="4" name="ICV">
    <vt:lpwstr>F251B3B7C25E40A682D55E576C36ACE7</vt:lpwstr>
  </property>
</Properties>
</file>