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both"/>
        <w:textAlignment w:val="auto"/>
        <w:outlineLvl w:val="9"/>
        <w:rPr>
          <w:rFonts w:hint="default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eastAsia" w:ascii="仿宋_GB2312" w:hAnsi="Calibri" w:eastAsia="仿宋_GB2312" w:cs="黑体"/>
          <w:color w:val="333333"/>
          <w:kern w:val="2"/>
          <w:sz w:val="32"/>
          <w:szCs w:val="32"/>
          <w:shd w:val="clear" w:color="auto" w:fill="FFFFFF"/>
          <w:lang w:val="en-US" w:eastAsia="zh-CN"/>
        </w:rPr>
        <w:t>附件2：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3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年度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韶关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市法律援助案件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质量同行评估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outlineLvl w:val="9"/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工作方案</w:t>
      </w:r>
    </w:p>
    <w:p>
      <w:pPr>
        <w:pStyle w:val="4"/>
        <w:autoSpaceDE w:val="0"/>
        <w:autoSpaceDN w:val="0"/>
        <w:jc w:val="center"/>
        <w:rPr>
          <w:color w:val="000000"/>
          <w:sz w:val="32"/>
        </w:rPr>
      </w:pPr>
    </w:p>
    <w:p>
      <w:pPr>
        <w:pStyle w:val="4"/>
        <w:autoSpaceDE w:val="0"/>
        <w:autoSpaceDN w:val="0"/>
        <w:ind w:firstLine="640" w:firstLineChars="200"/>
        <w:jc w:val="both"/>
        <w:rPr>
          <w:rFonts w:hint="eastAsia"/>
          <w:b/>
          <w:bCs/>
          <w:sz w:val="32"/>
          <w:lang w:val="en-US" w:eastAsia="zh-CN"/>
        </w:rPr>
      </w:pPr>
      <w:r>
        <w:rPr>
          <w:rFonts w:hint="eastAsia" w:ascii="仿宋_GB2312" w:hAnsi="Calibri" w:eastAsia="仿宋_GB2312" w:cs="黑体"/>
          <w:color w:val="333333"/>
          <w:kern w:val="2"/>
          <w:sz w:val="32"/>
          <w:szCs w:val="32"/>
          <w:shd w:val="clear" w:color="auto" w:fill="FFFFFF"/>
          <w:lang w:val="en-US" w:eastAsia="zh-CN"/>
        </w:rPr>
        <w:t>为顺利完成2023年韶关市法律援助案件质量同行评估工作，特制定评估方案如下：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一、评估对象 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从全市法律援助机构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指定范围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抽取民事法律援助案件和刑事法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律援助案件各3个案件案卷，全市共66个案件案卷。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firstLine="620" w:firstLineChars="200"/>
        <w:jc w:val="left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初评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、复评、复核</w:t>
      </w:r>
    </w:p>
    <w:p>
      <w:pPr>
        <w:spacing w:after="0" w:line="535" w:lineRule="exact"/>
        <w:ind w:left="40" w:firstLine="638"/>
        <w:rPr>
          <w:rFonts w:ascii="仿宋_GB2312" w:hAnsi="仿宋_GB2312" w:eastAsia="仿宋_GB2312" w:cs="仿宋_GB2312"/>
          <w:color w:val="auto"/>
          <w:sz w:val="31"/>
          <w:szCs w:val="31"/>
        </w:rPr>
      </w:pPr>
      <w:r>
        <w:rPr>
          <w:rFonts w:ascii="仿宋_GB2312" w:hAnsi="仿宋_GB2312" w:eastAsia="仿宋_GB2312" w:cs="仿宋_GB2312"/>
          <w:color w:val="auto"/>
          <w:sz w:val="31"/>
          <w:szCs w:val="31"/>
        </w:rPr>
        <w:t>本次评估分为初评、复评</w:t>
      </w:r>
      <w:r>
        <w:rPr>
          <w:rFonts w:hint="eastAsia" w:ascii="仿宋_GB2312" w:hAnsi="仿宋_GB2312" w:eastAsia="仿宋_GB2312" w:cs="仿宋_GB2312"/>
          <w:color w:val="auto"/>
          <w:sz w:val="31"/>
          <w:szCs w:val="31"/>
          <w:lang w:eastAsia="zh-CN"/>
        </w:rPr>
        <w:t>两</w:t>
      </w:r>
      <w:r>
        <w:rPr>
          <w:rFonts w:ascii="仿宋_GB2312" w:hAnsi="仿宋_GB2312" w:eastAsia="仿宋_GB2312" w:cs="仿宋_GB2312"/>
          <w:color w:val="auto"/>
          <w:sz w:val="31"/>
          <w:szCs w:val="31"/>
        </w:rPr>
        <w:t>个阶段，全过程均根据案件类型、回避原则分配案件，进行交叉评估。</w:t>
      </w:r>
    </w:p>
    <w:p>
      <w:pPr>
        <w:spacing w:after="0" w:line="535" w:lineRule="exact"/>
        <w:ind w:left="40" w:firstLine="638"/>
        <w:rPr>
          <w:rFonts w:hint="eastAsia" w:eastAsia="仿宋_GB2312"/>
          <w:color w:val="auto"/>
          <w:sz w:val="20"/>
          <w:szCs w:val="20"/>
          <w:lang w:eastAsia="zh-CN"/>
        </w:rPr>
      </w:pPr>
      <w:r>
        <w:rPr>
          <w:rFonts w:ascii="仿宋_GB2312" w:hAnsi="仿宋_GB2312" w:eastAsia="仿宋_GB2312" w:cs="仿宋_GB2312"/>
          <w:color w:val="auto"/>
          <w:sz w:val="31"/>
          <w:szCs w:val="31"/>
        </w:rPr>
        <w:t>初评阶段，每案由 2 名</w:t>
      </w:r>
      <w:r>
        <w:rPr>
          <w:rFonts w:hint="eastAsia" w:ascii="仿宋_GB2312" w:hAnsi="仿宋_GB2312" w:eastAsia="仿宋_GB2312" w:cs="仿宋_GB2312"/>
          <w:color w:val="auto"/>
          <w:sz w:val="31"/>
          <w:szCs w:val="31"/>
          <w:lang w:eastAsia="zh-CN"/>
        </w:rPr>
        <w:t>专家</w:t>
      </w:r>
      <w:r>
        <w:rPr>
          <w:rFonts w:ascii="仿宋_GB2312" w:hAnsi="仿宋_GB2312" w:eastAsia="仿宋_GB2312" w:cs="仿宋_GB2312"/>
          <w:color w:val="auto"/>
          <w:sz w:val="31"/>
          <w:szCs w:val="31"/>
        </w:rPr>
        <w:t>律师评估，</w:t>
      </w:r>
      <w:r>
        <w:rPr>
          <w:rFonts w:hint="eastAsia" w:ascii="仿宋_GB2312" w:hAnsi="仿宋_GB2312" w:eastAsia="仿宋_GB2312" w:cs="仿宋_GB2312"/>
          <w:color w:val="auto"/>
          <w:sz w:val="31"/>
          <w:szCs w:val="31"/>
          <w:lang w:eastAsia="zh-CN"/>
        </w:rPr>
        <w:t>取平均分值为案件质量评估成绩。如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两位</w:t>
      </w:r>
      <w:r>
        <w:rPr>
          <w:rFonts w:ascii="仿宋_GB2312" w:hAnsi="仿宋_GB2312" w:eastAsia="仿宋_GB2312" w:cs="仿宋_GB2312"/>
          <w:color w:val="auto"/>
          <w:sz w:val="31"/>
          <w:szCs w:val="31"/>
        </w:rPr>
        <w:t>初评</w:t>
      </w:r>
      <w:r>
        <w:rPr>
          <w:rFonts w:hint="eastAsia" w:ascii="仿宋_GB2312" w:hAnsi="仿宋_GB2312" w:eastAsia="仿宋_GB2312" w:cs="仿宋_GB2312"/>
          <w:color w:val="auto"/>
          <w:sz w:val="31"/>
          <w:szCs w:val="31"/>
          <w:lang w:eastAsia="zh-CN"/>
        </w:rPr>
        <w:t>专家律师评</w:t>
      </w:r>
      <w:r>
        <w:rPr>
          <w:rFonts w:ascii="仿宋_GB2312" w:hAnsi="仿宋_GB2312" w:eastAsia="仿宋_GB2312" w:cs="仿宋_GB2312"/>
          <w:color w:val="auto"/>
          <w:sz w:val="31"/>
          <w:szCs w:val="31"/>
        </w:rPr>
        <w:t>分</w:t>
      </w:r>
      <w:r>
        <w:rPr>
          <w:rFonts w:hint="eastAsia" w:ascii="仿宋_GB2312" w:hAnsi="仿宋_GB2312" w:eastAsia="仿宋_GB2312" w:cs="仿宋_GB2312"/>
          <w:color w:val="auto"/>
          <w:sz w:val="31"/>
          <w:szCs w:val="31"/>
          <w:lang w:eastAsia="zh-CN"/>
        </w:rPr>
        <w:t>相</w:t>
      </w:r>
      <w:r>
        <w:rPr>
          <w:rFonts w:ascii="仿宋_GB2312" w:hAnsi="仿宋_GB2312" w:eastAsia="仿宋_GB2312" w:cs="仿宋_GB2312"/>
          <w:color w:val="auto"/>
          <w:sz w:val="31"/>
          <w:szCs w:val="31"/>
        </w:rPr>
        <w:t>差较大</w:t>
      </w:r>
      <w:r>
        <w:rPr>
          <w:rFonts w:hint="eastAsia" w:ascii="仿宋_GB2312" w:hAnsi="仿宋_GB2312" w:eastAsia="仿宋_GB2312" w:cs="仿宋_GB2312"/>
          <w:color w:val="auto"/>
          <w:sz w:val="31"/>
          <w:szCs w:val="31"/>
          <w:lang w:eastAsia="zh-CN"/>
        </w:rPr>
        <w:t>（</w:t>
      </w:r>
      <w:r>
        <w:rPr>
          <w:rFonts w:ascii="宋体" w:hAnsi="宋体" w:eastAsia="宋体" w:cs="宋体"/>
          <w:sz w:val="24"/>
          <w:szCs w:val="24"/>
        </w:rPr>
        <w:t>≥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15分</w:t>
      </w:r>
      <w:r>
        <w:rPr>
          <w:rFonts w:hint="eastAsia" w:ascii="仿宋_GB2312" w:hAnsi="仿宋_GB2312" w:eastAsia="仿宋_GB2312" w:cs="仿宋_GB2312"/>
          <w:color w:val="auto"/>
          <w:sz w:val="31"/>
          <w:szCs w:val="31"/>
          <w:lang w:eastAsia="zh-CN"/>
        </w:rPr>
        <w:t>）的</w:t>
      </w:r>
      <w:r>
        <w:rPr>
          <w:rFonts w:ascii="仿宋_GB2312" w:hAnsi="仿宋_GB2312" w:eastAsia="仿宋_GB2312" w:cs="仿宋_GB2312"/>
          <w:color w:val="auto"/>
          <w:sz w:val="31"/>
          <w:szCs w:val="31"/>
        </w:rPr>
        <w:t>案件</w:t>
      </w:r>
      <w:r>
        <w:rPr>
          <w:rFonts w:hint="eastAsia" w:ascii="仿宋_GB2312" w:hAnsi="仿宋_GB2312" w:eastAsia="仿宋_GB2312" w:cs="仿宋_GB2312"/>
          <w:color w:val="auto"/>
          <w:sz w:val="31"/>
          <w:szCs w:val="31"/>
          <w:lang w:eastAsia="zh-CN"/>
        </w:rPr>
        <w:t>，增加一名专家律师参加初评，取三名专家律师评分的平均分值为案件质量评估成绩。</w:t>
      </w:r>
    </w:p>
    <w:p>
      <w:pPr>
        <w:spacing w:after="0" w:line="535" w:lineRule="exact"/>
        <w:ind w:left="40" w:firstLine="638"/>
        <w:rPr>
          <w:rFonts w:hint="eastAsia" w:eastAsia="仿宋_GB2312"/>
          <w:color w:val="auto"/>
          <w:sz w:val="20"/>
          <w:szCs w:val="20"/>
          <w:lang w:eastAsia="zh-CN"/>
        </w:rPr>
      </w:pPr>
      <w:r>
        <w:rPr>
          <w:rFonts w:ascii="仿宋_GB2312" w:hAnsi="仿宋_GB2312" w:eastAsia="仿宋_GB2312" w:cs="仿宋_GB2312"/>
          <w:color w:val="auto"/>
          <w:sz w:val="31"/>
          <w:szCs w:val="31"/>
        </w:rPr>
        <w:t>初评不合格案件</w:t>
      </w:r>
      <w:r>
        <w:rPr>
          <w:rFonts w:hint="eastAsia" w:ascii="仿宋_GB2312" w:hAnsi="仿宋_GB2312" w:eastAsia="仿宋_GB2312" w:cs="仿宋_GB2312"/>
          <w:color w:val="auto"/>
          <w:sz w:val="31"/>
          <w:szCs w:val="31"/>
          <w:lang w:eastAsia="zh-CN"/>
        </w:rPr>
        <w:t>，</w:t>
      </w:r>
      <w:r>
        <w:rPr>
          <w:rFonts w:ascii="仿宋_GB2312" w:hAnsi="仿宋_GB2312" w:eastAsia="仿宋_GB2312" w:cs="仿宋_GB2312"/>
          <w:color w:val="auto"/>
          <w:sz w:val="31"/>
          <w:szCs w:val="31"/>
        </w:rPr>
        <w:t>每案再</w:t>
      </w:r>
      <w:r>
        <w:rPr>
          <w:rFonts w:hint="eastAsia" w:ascii="仿宋_GB2312" w:hAnsi="仿宋_GB2312" w:eastAsia="仿宋_GB2312" w:cs="仿宋_GB2312"/>
          <w:color w:val="auto"/>
          <w:sz w:val="31"/>
          <w:szCs w:val="31"/>
          <w:lang w:eastAsia="zh-CN"/>
        </w:rPr>
        <w:t>另选</w:t>
      </w:r>
      <w:r>
        <w:rPr>
          <w:rFonts w:hint="eastAsia" w:ascii="仿宋_GB2312" w:hAnsi="仿宋_GB2312" w:eastAsia="仿宋_GB2312" w:cs="仿宋_GB2312"/>
          <w:color w:val="auto"/>
          <w:sz w:val="31"/>
          <w:szCs w:val="31"/>
          <w:lang w:val="en-US" w:eastAsia="zh-CN"/>
        </w:rPr>
        <w:t>2</w:t>
      </w:r>
      <w:r>
        <w:rPr>
          <w:rFonts w:ascii="仿宋_GB2312" w:hAnsi="仿宋_GB2312" w:eastAsia="仿宋_GB2312" w:cs="仿宋_GB2312"/>
          <w:color w:val="auto"/>
          <w:sz w:val="31"/>
          <w:szCs w:val="31"/>
        </w:rPr>
        <w:t>名</w:t>
      </w:r>
      <w:r>
        <w:rPr>
          <w:rFonts w:hint="eastAsia" w:ascii="仿宋_GB2312" w:hAnsi="仿宋_GB2312" w:eastAsia="仿宋_GB2312" w:cs="仿宋_GB2312"/>
          <w:color w:val="auto"/>
          <w:sz w:val="31"/>
          <w:szCs w:val="31"/>
          <w:lang w:eastAsia="zh-CN"/>
        </w:rPr>
        <w:t>专家</w:t>
      </w:r>
      <w:r>
        <w:rPr>
          <w:rFonts w:ascii="仿宋_GB2312" w:hAnsi="仿宋_GB2312" w:eastAsia="仿宋_GB2312" w:cs="仿宋_GB2312"/>
          <w:color w:val="auto"/>
          <w:sz w:val="31"/>
          <w:szCs w:val="31"/>
        </w:rPr>
        <w:t>律师</w:t>
      </w:r>
      <w:r>
        <w:rPr>
          <w:rFonts w:hint="eastAsia" w:ascii="仿宋_GB2312" w:hAnsi="仿宋_GB2312" w:eastAsia="仿宋_GB2312" w:cs="仿宋_GB2312"/>
          <w:color w:val="auto"/>
          <w:sz w:val="31"/>
          <w:szCs w:val="31"/>
          <w:lang w:eastAsia="zh-CN"/>
        </w:rPr>
        <w:t>进行</w:t>
      </w:r>
      <w:r>
        <w:rPr>
          <w:rFonts w:ascii="仿宋_GB2312" w:hAnsi="仿宋_GB2312" w:eastAsia="仿宋_GB2312" w:cs="仿宋_GB2312"/>
          <w:color w:val="auto"/>
          <w:sz w:val="31"/>
          <w:szCs w:val="31"/>
        </w:rPr>
        <w:t>复评，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复评结果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为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最终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成绩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2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初评时间：2023年9月8日至2023年9月17日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复评时间：2022年9月20日至2022年9月25日</w:t>
      </w:r>
    </w:p>
    <w:p>
      <w:pPr>
        <w:numPr>
          <w:ilvl w:val="0"/>
          <w:numId w:val="0"/>
        </w:numPr>
        <w:ind w:firstLine="636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三、评估人员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评估人员从市法律援助案件质量评估专家律师名单抽取，其中刑事法律援助案件质量评估专家律师有：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朱小玲、吴镜华、余春灵、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张剑波、肖懿、潘俊翔、李广宏、丘志斌、张卿雅、刘敏艳、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熊韦华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。民事事法律援助案件质量评估专家律师有：杨豪、彭美莲、 李建彪、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梁为聪、</w:t>
      </w:r>
      <w:r>
        <w:rPr>
          <w:rFonts w:hint="eastAsia" w:ascii="仿宋_GB2312" w:hAnsi="仿宋_GB2312" w:eastAsia="仿宋_GB2312" w:cs="仿宋_GB2312"/>
          <w:strike w:val="0"/>
          <w:color w:val="000000"/>
          <w:kern w:val="0"/>
          <w:sz w:val="32"/>
          <w:szCs w:val="32"/>
          <w:lang w:val="en-US" w:eastAsia="zh-CN" w:bidi="ar"/>
        </w:rPr>
        <w:t>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智斌、程晖、李茂春、杨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珍、陈爱玲、白海凤、神斯媚。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四、评估费用</w:t>
      </w:r>
    </w:p>
    <w:p>
      <w:pPr>
        <w:ind w:firstLine="640" w:firstLineChars="200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培训费用和评估劳务费用由市法律援助处在业务经费开支。社会律师担任同行评估专家劳务费标准参照省法律援助局《关于选聘 2019年广东省法律援助案件质量评估专家的通知》（粤法援〔2019〕14号）规定的同行评估专家劳务费标准执行。</w:t>
      </w:r>
    </w:p>
    <w:p>
      <w:pPr>
        <w:ind w:firstLine="640" w:firstLineChars="200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五、相关工作安排</w:t>
      </w:r>
    </w:p>
    <w:p>
      <w:pPr>
        <w:ind w:firstLine="640" w:firstLineChars="200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1.黄爱琴负责同行评估全面工作。</w:t>
      </w:r>
    </w:p>
    <w:p>
      <w:pPr>
        <w:ind w:firstLine="640" w:firstLineChars="200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2.谢茵负责刑事案件评估工作；负责案卷分配、案件卷宗派发；撰写评估结果通报、评估工作总结、评估工作通讯稿等。</w:t>
      </w:r>
    </w:p>
    <w:p>
      <w:pPr>
        <w:ind w:firstLine="640" w:firstLineChars="200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3.唱胜男负责民事案件评估工作；负责收集案卷，统计案卷信息；负责设制和配制评分表、做好评估分数登记。</w:t>
      </w:r>
    </w:p>
    <w:p>
      <w:pPr>
        <w:numPr>
          <w:ilvl w:val="0"/>
          <w:numId w:val="0"/>
        </w:numPr>
        <w:rPr>
          <w:rFonts w:hint="eastAsia" w:ascii="仿宋_GB2312" w:hAnsi="Calibri" w:eastAsia="仿宋_GB2312" w:cs="黑体"/>
          <w:color w:val="333333"/>
          <w:kern w:val="2"/>
          <w:sz w:val="32"/>
          <w:szCs w:val="32"/>
          <w:shd w:val="clear" w:color="auto" w:fill="FFFFFF"/>
          <w:lang w:val="en-US" w:eastAsia="zh-CN"/>
        </w:rPr>
      </w:pPr>
    </w:p>
    <w:p/>
    <w:sectPr>
      <w:pgSz w:w="11906" w:h="16838"/>
      <w:pgMar w:top="2098" w:right="1474" w:bottom="192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4F25"/>
    <w:multiLevelType w:val="singleLevel"/>
    <w:tmpl w:val="18964F2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933C7C"/>
    <w:rsid w:val="25933C7C"/>
    <w:rsid w:val="415D73A1"/>
    <w:rsid w:val="4A7611EA"/>
    <w:rsid w:val="64B3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customStyle="1" w:styleId="5">
    <w:name w:val="正文 New New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2023-07-19T07:27:00Z</dcterms:created>
  <dc:creator>Administrator</dc:creator>
  <cp:lastModifiedBy>Administrator</cp:lastModifiedBy>
  <dcterms:modified xsi:type="dcterms:W3CDTF">2023-07-19T08:35:27Z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