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B0A6F" w:rsidP="00BB0A6F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B0A6F">
        <w:rPr>
          <w:rFonts w:asciiTheme="majorEastAsia" w:eastAsiaTheme="majorEastAsia" w:hAnsiTheme="majorEastAsia" w:hint="eastAsia"/>
          <w:sz w:val="44"/>
          <w:szCs w:val="44"/>
        </w:rPr>
        <w:t>项目需求书</w:t>
      </w:r>
    </w:p>
    <w:p w:rsidR="00BB0A6F" w:rsidRDefault="00BB0A6F" w:rsidP="00521174">
      <w:pPr>
        <w:spacing w:line="520" w:lineRule="exact"/>
        <w:jc w:val="both"/>
        <w:rPr>
          <w:rFonts w:ascii="仿宋_GB2312" w:eastAsia="仿宋_GB2312" w:hAnsiTheme="majorEastAsia"/>
          <w:sz w:val="32"/>
          <w:szCs w:val="32"/>
        </w:rPr>
      </w:pPr>
    </w:p>
    <w:p w:rsidR="00BB0A6F" w:rsidRDefault="00D4095A" w:rsidP="00521174">
      <w:pPr>
        <w:spacing w:line="52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根据《招标投标法》第二十六条及《政府采购法》第二十二条之规定，本着公平、公开、公正、诚信的原则，现需对</w:t>
      </w:r>
      <w:r w:rsidR="00BB0A6F">
        <w:rPr>
          <w:rFonts w:ascii="仿宋_GB2312" w:eastAsia="仿宋_GB2312" w:hAnsiTheme="majorEastAsia" w:hint="eastAsia"/>
          <w:sz w:val="32"/>
          <w:szCs w:val="32"/>
        </w:rPr>
        <w:t>需要对实验室配套设施</w:t>
      </w:r>
      <w:r w:rsidR="009D6638">
        <w:rPr>
          <w:rFonts w:ascii="仿宋_GB2312" w:eastAsia="仿宋_GB2312" w:hAnsiTheme="majorEastAsia" w:hint="eastAsia"/>
          <w:sz w:val="32"/>
          <w:szCs w:val="32"/>
        </w:rPr>
        <w:t>进行维护</w:t>
      </w:r>
      <w:r>
        <w:rPr>
          <w:rFonts w:ascii="仿宋_GB2312" w:eastAsia="仿宋_GB2312" w:hAnsiTheme="majorEastAsia" w:hint="eastAsia"/>
          <w:sz w:val="32"/>
          <w:szCs w:val="32"/>
        </w:rPr>
        <w:t>保养</w:t>
      </w:r>
      <w:r w:rsidR="009D6638">
        <w:rPr>
          <w:rFonts w:ascii="仿宋_GB2312" w:eastAsia="仿宋_GB2312" w:hAnsiTheme="majorEastAsia" w:hint="eastAsia"/>
          <w:sz w:val="32"/>
          <w:szCs w:val="32"/>
        </w:rPr>
        <w:t>服务</w:t>
      </w:r>
      <w:r w:rsidR="00521174">
        <w:rPr>
          <w:rFonts w:ascii="仿宋_GB2312" w:eastAsia="仿宋_GB2312" w:hAnsiTheme="majorEastAsia" w:hint="eastAsia"/>
          <w:sz w:val="32"/>
          <w:szCs w:val="32"/>
        </w:rPr>
        <w:t>项目进行采购</w:t>
      </w:r>
      <w:r w:rsidR="009D6638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9D6638" w:rsidRPr="00FF6D63" w:rsidRDefault="009D6638" w:rsidP="00FF6D63">
      <w:pPr>
        <w:spacing w:line="220" w:lineRule="atLeast"/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FF6D63">
        <w:rPr>
          <w:rFonts w:ascii="仿宋_GB2312" w:eastAsia="仿宋_GB2312" w:hAnsiTheme="majorEastAsia" w:hint="eastAsia"/>
          <w:b/>
          <w:sz w:val="32"/>
          <w:szCs w:val="32"/>
        </w:rPr>
        <w:t>一、项目</w:t>
      </w:r>
      <w:r w:rsidR="00925CCF" w:rsidRPr="00FF6D63">
        <w:rPr>
          <w:rFonts w:ascii="仿宋_GB2312" w:eastAsia="仿宋_GB2312" w:hAnsiTheme="majorEastAsia" w:hint="eastAsia"/>
          <w:b/>
          <w:sz w:val="32"/>
          <w:szCs w:val="32"/>
        </w:rPr>
        <w:t>预算</w:t>
      </w:r>
    </w:p>
    <w:tbl>
      <w:tblPr>
        <w:tblStyle w:val="a3"/>
        <w:tblW w:w="10207" w:type="dxa"/>
        <w:tblInd w:w="-941" w:type="dxa"/>
        <w:tblLook w:val="04A0"/>
      </w:tblPr>
      <w:tblGrid>
        <w:gridCol w:w="3459"/>
        <w:gridCol w:w="1559"/>
        <w:gridCol w:w="2268"/>
        <w:gridCol w:w="1701"/>
        <w:gridCol w:w="1220"/>
      </w:tblGrid>
      <w:tr w:rsidR="00925CCF" w:rsidTr="00D4095A">
        <w:tc>
          <w:tcPr>
            <w:tcW w:w="3459" w:type="dxa"/>
            <w:vAlign w:val="center"/>
          </w:tcPr>
          <w:p w:rsidR="00925CCF" w:rsidRDefault="00925CCF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925CCF" w:rsidRDefault="00925CCF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采购预算（万元）</w:t>
            </w:r>
          </w:p>
        </w:tc>
        <w:tc>
          <w:tcPr>
            <w:tcW w:w="2268" w:type="dxa"/>
            <w:vAlign w:val="center"/>
          </w:tcPr>
          <w:p w:rsidR="00925CCF" w:rsidRDefault="00925CCF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投标保证金（万元）</w:t>
            </w:r>
          </w:p>
        </w:tc>
        <w:tc>
          <w:tcPr>
            <w:tcW w:w="1701" w:type="dxa"/>
            <w:vAlign w:val="center"/>
          </w:tcPr>
          <w:p w:rsidR="00DD28AB" w:rsidRDefault="00925CCF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中标单位</w:t>
            </w:r>
          </w:p>
          <w:p w:rsidR="00925CCF" w:rsidRDefault="00925CCF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1220" w:type="dxa"/>
            <w:vAlign w:val="center"/>
          </w:tcPr>
          <w:p w:rsidR="00DD28AB" w:rsidRDefault="00925CCF" w:rsidP="00925CC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服务</w:t>
            </w:r>
          </w:p>
          <w:p w:rsidR="00925CCF" w:rsidRDefault="00925CCF" w:rsidP="00925CC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次数</w:t>
            </w:r>
          </w:p>
        </w:tc>
      </w:tr>
      <w:tr w:rsidR="00925CCF" w:rsidTr="00D4095A">
        <w:tc>
          <w:tcPr>
            <w:tcW w:w="3459" w:type="dxa"/>
            <w:vAlign w:val="center"/>
          </w:tcPr>
          <w:p w:rsidR="00925CCF" w:rsidRDefault="00925CCF" w:rsidP="00925CCF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韶关市生态环境监测站乐昌分站实验室配套设施维护保养</w:t>
            </w:r>
            <w:r w:rsidR="00D4095A">
              <w:rPr>
                <w:rFonts w:ascii="仿宋_GB2312" w:eastAsia="仿宋_GB2312" w:hint="eastAsia"/>
                <w:sz w:val="32"/>
                <w:szCs w:val="32"/>
              </w:rPr>
              <w:t>服务项目</w:t>
            </w:r>
          </w:p>
        </w:tc>
        <w:tc>
          <w:tcPr>
            <w:tcW w:w="1559" w:type="dxa"/>
            <w:vAlign w:val="center"/>
          </w:tcPr>
          <w:p w:rsidR="00925CCF" w:rsidRDefault="002153D2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925CCF" w:rsidRDefault="00925CCF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925CCF" w:rsidRDefault="00925CCF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20" w:type="dxa"/>
            <w:vAlign w:val="center"/>
          </w:tcPr>
          <w:p w:rsidR="00925CCF" w:rsidRDefault="00925CCF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925CCF" w:rsidTr="00D4095A">
        <w:tc>
          <w:tcPr>
            <w:tcW w:w="3459" w:type="dxa"/>
            <w:vAlign w:val="center"/>
          </w:tcPr>
          <w:p w:rsidR="00925CCF" w:rsidRDefault="00925CCF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748" w:type="dxa"/>
            <w:gridSpan w:val="4"/>
            <w:vAlign w:val="center"/>
          </w:tcPr>
          <w:p w:rsidR="00925CCF" w:rsidRDefault="00925CCF" w:rsidP="00BC288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25CCF" w:rsidRDefault="00925CCF" w:rsidP="00521174">
      <w:pPr>
        <w:spacing w:line="56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ED2817">
        <w:rPr>
          <w:rFonts w:ascii="仿宋_GB2312" w:eastAsia="仿宋_GB2312" w:hint="eastAsia"/>
          <w:b/>
          <w:sz w:val="32"/>
          <w:szCs w:val="32"/>
        </w:rPr>
        <w:t>二、投标人资格要求</w:t>
      </w:r>
    </w:p>
    <w:p w:rsidR="00521174" w:rsidRDefault="00925CCF" w:rsidP="00521174">
      <w:pPr>
        <w:spacing w:line="56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502F8D">
        <w:rPr>
          <w:rFonts w:ascii="仿宋_GB2312" w:eastAsia="仿宋_GB2312" w:hint="eastAsia"/>
          <w:sz w:val="32"/>
          <w:szCs w:val="32"/>
        </w:rPr>
        <w:t>具有独立承担民事责任的能力；</w:t>
      </w:r>
    </w:p>
    <w:p w:rsidR="00925CCF" w:rsidRDefault="00925CCF" w:rsidP="00521174">
      <w:pPr>
        <w:spacing w:line="56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502F8D">
        <w:rPr>
          <w:rFonts w:ascii="仿宋_GB2312" w:eastAsia="仿宋_GB2312" w:hint="eastAsia"/>
          <w:sz w:val="32"/>
          <w:szCs w:val="32"/>
        </w:rPr>
        <w:t>具有良好的商业信誉和健全的制度；</w:t>
      </w:r>
    </w:p>
    <w:p w:rsidR="00925CCF" w:rsidRDefault="00925CCF" w:rsidP="00521174">
      <w:pPr>
        <w:spacing w:line="56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502F8D">
        <w:rPr>
          <w:rFonts w:ascii="仿宋_GB2312" w:eastAsia="仿宋_GB2312" w:hint="eastAsia"/>
          <w:sz w:val="32"/>
          <w:szCs w:val="32"/>
        </w:rPr>
        <w:t>具有履行合同所必需的设备和专业技术能力；</w:t>
      </w:r>
    </w:p>
    <w:p w:rsidR="00925CCF" w:rsidRDefault="00925CCF" w:rsidP="00521174">
      <w:pPr>
        <w:spacing w:line="56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502F8D">
        <w:rPr>
          <w:rFonts w:ascii="仿宋_GB2312" w:eastAsia="仿宋_GB2312" w:hint="eastAsia"/>
          <w:sz w:val="32"/>
          <w:szCs w:val="32"/>
        </w:rPr>
        <w:t>有依法缴纳税收和社会保障资金的良好记录；</w:t>
      </w:r>
    </w:p>
    <w:p w:rsidR="00925CCF" w:rsidRDefault="00925CCF" w:rsidP="00521174">
      <w:pPr>
        <w:spacing w:line="56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502F8D">
        <w:rPr>
          <w:rFonts w:ascii="仿宋_GB2312" w:eastAsia="仿宋_GB2312" w:hint="eastAsia"/>
          <w:sz w:val="32"/>
          <w:szCs w:val="32"/>
        </w:rPr>
        <w:t>在经营活动中没有违法记录；</w:t>
      </w:r>
    </w:p>
    <w:p w:rsidR="00275F6E" w:rsidRPr="00275F6E" w:rsidRDefault="00925CCF" w:rsidP="00275F6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Pr="00502F8D">
        <w:rPr>
          <w:rFonts w:ascii="仿宋_GB2312" w:eastAsia="仿宋_GB2312" w:hint="eastAsia"/>
          <w:sz w:val="32"/>
          <w:szCs w:val="32"/>
        </w:rPr>
        <w:t>法律、行政法规规定的其他条件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25CCF" w:rsidRDefault="00925CCF" w:rsidP="00521174">
      <w:pPr>
        <w:spacing w:line="56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0C03CB">
        <w:rPr>
          <w:rFonts w:ascii="仿宋_GB2312" w:eastAsia="仿宋_GB2312" w:hint="eastAsia"/>
          <w:b/>
          <w:sz w:val="32"/>
          <w:szCs w:val="32"/>
        </w:rPr>
        <w:t>三、项目服务要求</w:t>
      </w:r>
    </w:p>
    <w:p w:rsidR="000C03CB" w:rsidRDefault="000C03CB" w:rsidP="00521174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（一）项目概况</w:t>
      </w:r>
    </w:p>
    <w:p w:rsidR="000C03CB" w:rsidRDefault="0066412F" w:rsidP="00521174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韶关市生态环境监测站乐昌分站（乐昌市公主下路100号）实验室共四层约1500平方米，实验室配套设施包括排风及补风设备及设施、</w:t>
      </w:r>
      <w:r w:rsidR="00F25148">
        <w:rPr>
          <w:rFonts w:ascii="仿宋_GB2312" w:eastAsia="仿宋_GB2312" w:hAnsiTheme="majorEastAsia" w:hint="eastAsia"/>
          <w:sz w:val="32"/>
          <w:szCs w:val="32"/>
        </w:rPr>
        <w:t>净化空调设备及设施、实验室集中供气设施、实验室废水处理设施等四套设施</w:t>
      </w:r>
      <w:r w:rsidR="00BA540F">
        <w:rPr>
          <w:rFonts w:ascii="仿宋_GB2312" w:eastAsia="仿宋_GB2312" w:hAnsiTheme="majorEastAsia" w:hint="eastAsia"/>
          <w:sz w:val="32"/>
          <w:szCs w:val="32"/>
        </w:rPr>
        <w:t>、实验室废水处理收集管道及处理系统以及实验室紧急</w:t>
      </w:r>
      <w:r w:rsidR="00B54472">
        <w:rPr>
          <w:rFonts w:ascii="仿宋_GB2312" w:eastAsia="仿宋_GB2312" w:hAnsiTheme="majorEastAsia" w:hint="eastAsia"/>
          <w:sz w:val="32"/>
          <w:szCs w:val="32"/>
        </w:rPr>
        <w:t>洗眼</w:t>
      </w:r>
      <w:r w:rsidR="00BA540F">
        <w:rPr>
          <w:rFonts w:ascii="仿宋_GB2312" w:eastAsia="仿宋_GB2312" w:hAnsiTheme="majorEastAsia" w:hint="eastAsia"/>
          <w:sz w:val="32"/>
          <w:szCs w:val="32"/>
        </w:rPr>
        <w:t>装置</w:t>
      </w:r>
      <w:r w:rsidR="00F25148">
        <w:rPr>
          <w:rFonts w:ascii="仿宋_GB2312" w:eastAsia="仿宋_GB2312" w:hAnsiTheme="majorEastAsia" w:hint="eastAsia"/>
          <w:sz w:val="32"/>
          <w:szCs w:val="32"/>
        </w:rPr>
        <w:t>，需要对以上设施设备进行维护保养。</w:t>
      </w:r>
    </w:p>
    <w:p w:rsidR="00F25148" w:rsidRDefault="00F25148" w:rsidP="00521174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（二）维保</w:t>
      </w:r>
      <w:r w:rsidR="00DD28AB">
        <w:rPr>
          <w:rFonts w:ascii="仿宋_GB2312" w:eastAsia="仿宋_GB2312" w:hAnsiTheme="majorEastAsia" w:hint="eastAsia"/>
          <w:sz w:val="32"/>
          <w:szCs w:val="32"/>
        </w:rPr>
        <w:t>服务</w:t>
      </w:r>
      <w:r>
        <w:rPr>
          <w:rFonts w:ascii="仿宋_GB2312" w:eastAsia="仿宋_GB2312" w:hAnsiTheme="majorEastAsia" w:hint="eastAsia"/>
          <w:sz w:val="32"/>
          <w:szCs w:val="32"/>
        </w:rPr>
        <w:t>要求</w:t>
      </w:r>
    </w:p>
    <w:p w:rsidR="00F25148" w:rsidRDefault="00F25148" w:rsidP="00521174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1、检查设备设施运行状况，包括管道、阀门、控制系统等；</w:t>
      </w:r>
    </w:p>
    <w:p w:rsidR="00F25148" w:rsidRDefault="00F25148" w:rsidP="00521174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2、更换设施设备所需的损耗件</w:t>
      </w:r>
      <w:r w:rsidR="00DD28AB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DD28AB" w:rsidRDefault="00DD28AB" w:rsidP="00521174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3、对通风、净化、排风、集中供气</w:t>
      </w:r>
      <w:r w:rsidR="00BA540F">
        <w:rPr>
          <w:rFonts w:ascii="仿宋_GB2312" w:eastAsia="仿宋_GB2312" w:hAnsiTheme="majorEastAsia" w:hint="eastAsia"/>
          <w:sz w:val="32"/>
          <w:szCs w:val="32"/>
        </w:rPr>
        <w:t>、实验室废水收集处理</w:t>
      </w:r>
      <w:r>
        <w:rPr>
          <w:rFonts w:ascii="仿宋_GB2312" w:eastAsia="仿宋_GB2312" w:hAnsiTheme="majorEastAsia" w:hint="eastAsia"/>
          <w:sz w:val="32"/>
          <w:szCs w:val="32"/>
        </w:rPr>
        <w:t>等系统</w:t>
      </w:r>
      <w:r w:rsidR="00BA540F">
        <w:rPr>
          <w:rFonts w:ascii="仿宋_GB2312" w:eastAsia="仿宋_GB2312" w:hAnsiTheme="majorEastAsia" w:hint="eastAsia"/>
          <w:sz w:val="32"/>
          <w:szCs w:val="32"/>
        </w:rPr>
        <w:t>、</w:t>
      </w:r>
      <w:r w:rsidR="00BA540F" w:rsidRPr="00BA540F">
        <w:rPr>
          <w:rFonts w:ascii="仿宋_GB2312" w:eastAsia="仿宋_GB2312" w:hAnsiTheme="majorEastAsia" w:hint="eastAsia"/>
          <w:sz w:val="32"/>
          <w:szCs w:val="32"/>
        </w:rPr>
        <w:t>实验室紧急洗眼装置</w:t>
      </w:r>
      <w:r w:rsidR="00BA540F">
        <w:rPr>
          <w:rFonts w:ascii="仿宋_GB2312" w:eastAsia="仿宋_GB2312" w:hAnsiTheme="majorEastAsia" w:hint="eastAsia"/>
          <w:sz w:val="32"/>
          <w:szCs w:val="32"/>
        </w:rPr>
        <w:t>等</w:t>
      </w:r>
      <w:r>
        <w:rPr>
          <w:rFonts w:ascii="仿宋_GB2312" w:eastAsia="仿宋_GB2312" w:hAnsiTheme="majorEastAsia" w:hint="eastAsia"/>
          <w:sz w:val="32"/>
          <w:szCs w:val="32"/>
        </w:rPr>
        <w:t>进行调试；</w:t>
      </w:r>
    </w:p>
    <w:p w:rsidR="00DD28AB" w:rsidRDefault="00DD28AB" w:rsidP="00521174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4、出具检测维护保养报告；</w:t>
      </w:r>
    </w:p>
    <w:p w:rsidR="00DD28AB" w:rsidRDefault="00BA540F" w:rsidP="00521174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5</w:t>
      </w:r>
      <w:r w:rsidR="00DD28AB">
        <w:rPr>
          <w:rFonts w:ascii="仿宋_GB2312" w:eastAsia="仿宋_GB2312" w:hAnsiTheme="majorEastAsia" w:hint="eastAsia"/>
          <w:sz w:val="32"/>
          <w:szCs w:val="32"/>
        </w:rPr>
        <w:t>、服</w:t>
      </w:r>
      <w:r>
        <w:rPr>
          <w:rFonts w:ascii="仿宋_GB2312" w:eastAsia="仿宋_GB2312" w:hAnsiTheme="majorEastAsia" w:hint="eastAsia"/>
          <w:sz w:val="32"/>
          <w:szCs w:val="32"/>
        </w:rPr>
        <w:t>务期间应注意人身及设施设备安全，因操作不当而引起的人身安全事故</w:t>
      </w:r>
      <w:r w:rsidR="00DD28AB">
        <w:rPr>
          <w:rFonts w:ascii="仿宋_GB2312" w:eastAsia="仿宋_GB2312" w:hAnsiTheme="majorEastAsia" w:hint="eastAsia"/>
          <w:sz w:val="32"/>
          <w:szCs w:val="32"/>
        </w:rPr>
        <w:t>及设施设备的损坏由中标单位负责；</w:t>
      </w:r>
    </w:p>
    <w:p w:rsidR="00DD28AB" w:rsidRDefault="00DD28AB" w:rsidP="00521174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6、</w:t>
      </w:r>
      <w:r w:rsidR="00557945">
        <w:rPr>
          <w:rFonts w:ascii="仿宋_GB2312" w:eastAsia="仿宋_GB2312" w:hAnsiTheme="majorEastAsia" w:hint="eastAsia"/>
          <w:sz w:val="32"/>
          <w:szCs w:val="32"/>
        </w:rPr>
        <w:t>具体设施设备清单及要求见附件。</w:t>
      </w:r>
    </w:p>
    <w:p w:rsidR="00BA540F" w:rsidRDefault="00BA540F" w:rsidP="00521174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7、维保完成后签订后续维修协议，对实验室以上设施设备进行维修服务，金额按实际发生量进行核算。</w:t>
      </w:r>
    </w:p>
    <w:p w:rsidR="00557945" w:rsidRDefault="00557945" w:rsidP="00521174">
      <w:pPr>
        <w:spacing w:line="560" w:lineRule="exact"/>
        <w:ind w:firstLineChars="200" w:firstLine="643"/>
        <w:jc w:val="both"/>
        <w:rPr>
          <w:rFonts w:ascii="仿宋_GB2312" w:eastAsia="仿宋_GB2312" w:hAnsiTheme="majorEastAsia"/>
          <w:b/>
          <w:sz w:val="32"/>
          <w:szCs w:val="32"/>
        </w:rPr>
      </w:pPr>
      <w:r w:rsidRPr="00557945">
        <w:rPr>
          <w:rFonts w:ascii="仿宋_GB2312" w:eastAsia="仿宋_GB2312" w:hAnsiTheme="majorEastAsia" w:hint="eastAsia"/>
          <w:b/>
          <w:sz w:val="32"/>
          <w:szCs w:val="32"/>
        </w:rPr>
        <w:t>四、资金支付方式</w:t>
      </w:r>
    </w:p>
    <w:p w:rsidR="00557945" w:rsidRDefault="00BA540F" w:rsidP="00BA540F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1、</w:t>
      </w:r>
      <w:r w:rsidR="00557945">
        <w:rPr>
          <w:rFonts w:ascii="仿宋_GB2312" w:eastAsia="仿宋_GB2312" w:hAnsiTheme="majorEastAsia" w:hint="eastAsia"/>
          <w:sz w:val="32"/>
          <w:szCs w:val="32"/>
        </w:rPr>
        <w:t>维保单位完成服务工作后出具正式维保报告，经发包单位确认，服务单位开具发票后进行申请一次性支付。</w:t>
      </w:r>
    </w:p>
    <w:p w:rsidR="00BA540F" w:rsidRPr="00BA540F" w:rsidRDefault="00BA540F" w:rsidP="00BA540F">
      <w:pPr>
        <w:spacing w:line="560" w:lineRule="exact"/>
        <w:ind w:firstLineChars="200" w:firstLine="64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2、后续维修协议完成后提供确认单，经发包单位确认后，服务单位开具发票后申请支付。</w:t>
      </w:r>
    </w:p>
    <w:sectPr w:rsidR="00BA540F" w:rsidRPr="00BA54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5A" w:rsidRDefault="00D4095A" w:rsidP="00D4095A">
      <w:pPr>
        <w:spacing w:after="0"/>
      </w:pPr>
      <w:r>
        <w:separator/>
      </w:r>
    </w:p>
  </w:endnote>
  <w:endnote w:type="continuationSeparator" w:id="0">
    <w:p w:rsidR="00D4095A" w:rsidRDefault="00D4095A" w:rsidP="00D409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5A" w:rsidRDefault="00D4095A" w:rsidP="00D4095A">
      <w:pPr>
        <w:spacing w:after="0"/>
      </w:pPr>
      <w:r>
        <w:separator/>
      </w:r>
    </w:p>
  </w:footnote>
  <w:footnote w:type="continuationSeparator" w:id="0">
    <w:p w:rsidR="00D4095A" w:rsidRDefault="00D4095A" w:rsidP="00D409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3CB"/>
    <w:rsid w:val="002153D2"/>
    <w:rsid w:val="00275F6E"/>
    <w:rsid w:val="00317273"/>
    <w:rsid w:val="00323B43"/>
    <w:rsid w:val="00364F5D"/>
    <w:rsid w:val="003D37D8"/>
    <w:rsid w:val="00426133"/>
    <w:rsid w:val="004358AB"/>
    <w:rsid w:val="004B3E22"/>
    <w:rsid w:val="00515637"/>
    <w:rsid w:val="00521174"/>
    <w:rsid w:val="00521278"/>
    <w:rsid w:val="00557945"/>
    <w:rsid w:val="0066412F"/>
    <w:rsid w:val="006C6878"/>
    <w:rsid w:val="007C1851"/>
    <w:rsid w:val="00810C95"/>
    <w:rsid w:val="008B7726"/>
    <w:rsid w:val="00925CCF"/>
    <w:rsid w:val="009B79D4"/>
    <w:rsid w:val="009D6638"/>
    <w:rsid w:val="00A65B21"/>
    <w:rsid w:val="00A742C0"/>
    <w:rsid w:val="00AB6891"/>
    <w:rsid w:val="00B54472"/>
    <w:rsid w:val="00BA540F"/>
    <w:rsid w:val="00BB0A6F"/>
    <w:rsid w:val="00BE6B56"/>
    <w:rsid w:val="00C049F6"/>
    <w:rsid w:val="00C370AA"/>
    <w:rsid w:val="00D31D50"/>
    <w:rsid w:val="00D4095A"/>
    <w:rsid w:val="00DD28AB"/>
    <w:rsid w:val="00DF2DF9"/>
    <w:rsid w:val="00E70A30"/>
    <w:rsid w:val="00ED17A8"/>
    <w:rsid w:val="00F25148"/>
    <w:rsid w:val="00F477D7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CCF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09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095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09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09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cp:lastPrinted>2023-06-29T07:04:00Z</cp:lastPrinted>
  <dcterms:created xsi:type="dcterms:W3CDTF">2008-09-11T17:20:00Z</dcterms:created>
  <dcterms:modified xsi:type="dcterms:W3CDTF">2023-06-30T03:30:00Z</dcterms:modified>
</cp:coreProperties>
</file>