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Times New Roman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年韶关“丹霞杯”创业创新大赛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组织机构人员名单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一、大赛组委会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楷体_GB2312" w:hAnsi="楷体_GB2312"/>
          <w:b/>
          <w:bCs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</w:rPr>
        <w:t>主</w:t>
      </w:r>
      <w:r>
        <w:rPr>
          <w:rFonts w:hint="eastAsia" w:ascii="楷体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/>
          <w:b/>
          <w:bCs/>
          <w:color w:val="auto"/>
          <w:sz w:val="32"/>
          <w:szCs w:val="32"/>
        </w:rPr>
        <w:t>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涂为群</w:t>
      </w:r>
      <w:r>
        <w:rPr>
          <w:rFonts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市人社局局长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楷体_GB2312" w:cs="宋体"/>
          <w:b/>
          <w:bCs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赵伟明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市发改局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梁丽娟</w:t>
      </w:r>
      <w:r>
        <w:rPr>
          <w:rFonts w:hint="eastAsia" w:ascii="Times New Roman" w:hAnsi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/>
          <w:color w:val="auto"/>
          <w:sz w:val="32"/>
          <w:szCs w:val="32"/>
        </w:rPr>
        <w:t>市教育局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Times New Roman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 xml:space="preserve">范玲玲  </w:t>
      </w:r>
      <w:r>
        <w:rPr>
          <w:rFonts w:hint="eastAsia" w:ascii="仿宋_GB2312" w:hAnsi="Times New Roman"/>
          <w:color w:val="auto"/>
          <w:sz w:val="32"/>
          <w:szCs w:val="32"/>
        </w:rPr>
        <w:t>市科技局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徐建平</w:t>
      </w:r>
      <w:r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cs="仿宋"/>
          <w:color w:val="auto"/>
          <w:sz w:val="32"/>
          <w:szCs w:val="32"/>
        </w:rPr>
        <w:t>市工业和信息化局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张文华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市财政局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仿宋_GB2312" w:hAnsi="Times New Roman"/>
          <w:color w:val="auto"/>
          <w:sz w:val="32"/>
          <w:szCs w:val="32"/>
        </w:rPr>
        <w:t>邹新珍</w:t>
      </w:r>
      <w:r>
        <w:rPr>
          <w:rFonts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市人社局副局长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仿宋_GB2312" w:hAnsi="Times New Roman" w:cs="Times New Roman"/>
          <w:color w:val="auto"/>
          <w:sz w:val="32"/>
          <w:szCs w:val="32"/>
        </w:rPr>
        <w:t xml:space="preserve">许益云  </w:t>
      </w:r>
      <w:r>
        <w:rPr>
          <w:rFonts w:hint="eastAsia" w:ascii="仿宋_GB2312" w:hAnsi="仿宋" w:cs="仿宋"/>
          <w:color w:val="auto"/>
          <w:sz w:val="32"/>
          <w:szCs w:val="32"/>
        </w:rPr>
        <w:t>市委农办专职副主任、市乡村振兴局副局长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丁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冰</w:t>
      </w:r>
      <w:r>
        <w:rPr>
          <w:rFonts w:hint="eastAsia"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市商务局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杨瑞光</w:t>
      </w:r>
      <w:r>
        <w:rPr>
          <w:rFonts w:hint="eastAsia" w:ascii="仿宋_GB2312" w:hAnsi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" w:cs="仿宋"/>
          <w:color w:val="auto"/>
          <w:sz w:val="32"/>
          <w:szCs w:val="32"/>
        </w:rPr>
        <w:t>市退役军人事务局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Times New Roman"/>
          <w:color w:val="auto"/>
          <w:sz w:val="32"/>
          <w:szCs w:val="32"/>
        </w:rPr>
        <w:t>郭凡奇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团市委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Times New Roman"/>
          <w:color w:val="auto"/>
          <w:sz w:val="32"/>
          <w:szCs w:val="32"/>
        </w:rPr>
      </w:pPr>
      <w:r>
        <w:rPr>
          <w:rFonts w:hint="eastAsia" w:ascii="仿宋_GB2312" w:hAnsi="Times New Roman"/>
          <w:color w:val="auto"/>
          <w:sz w:val="32"/>
          <w:szCs w:val="32"/>
        </w:rPr>
        <w:t xml:space="preserve">伍海艳 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/>
          <w:color w:val="auto"/>
          <w:sz w:val="32"/>
          <w:szCs w:val="32"/>
        </w:rPr>
        <w:t>市妇联副主席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谭祥红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</w:rPr>
        <w:t xml:space="preserve">市残联副理事长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Times New Roman"/>
          <w:color w:val="auto"/>
          <w:spacing w:val="-16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戴泽鸿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/>
          <w:color w:val="auto"/>
          <w:spacing w:val="-16"/>
          <w:sz w:val="32"/>
          <w:szCs w:val="32"/>
        </w:rPr>
        <w:t>中国邮政储蓄银行</w:t>
      </w:r>
      <w:r>
        <w:rPr>
          <w:rFonts w:hint="eastAsia" w:ascii="仿宋_GB2312" w:hAnsi="Times New Roman"/>
          <w:color w:val="auto"/>
          <w:sz w:val="32"/>
          <w:szCs w:val="32"/>
        </w:rPr>
        <w:t>韶关市分行</w:t>
      </w:r>
      <w:r>
        <w:rPr>
          <w:rFonts w:hint="eastAsia" w:ascii="Times New Roman" w:hAnsi="Times New Roman"/>
          <w:color w:val="auto"/>
          <w:sz w:val="32"/>
          <w:szCs w:val="32"/>
        </w:rPr>
        <w:t>副行长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楷体_GB2312" w:hAnsi="楷体_GB2312"/>
          <w:b/>
          <w:bCs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</w:rPr>
        <w:t>成</w:t>
      </w:r>
      <w:r>
        <w:rPr>
          <w:rFonts w:hint="eastAsia" w:ascii="楷体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/>
          <w:b/>
          <w:bCs/>
          <w:color w:val="auto"/>
          <w:sz w:val="32"/>
          <w:szCs w:val="32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仿宋_GB2312" w:hAnsi="Times New Roman"/>
          <w:color w:val="auto"/>
          <w:sz w:val="32"/>
          <w:szCs w:val="32"/>
        </w:rPr>
        <w:t>周立文</w:t>
      </w:r>
      <w:r>
        <w:rPr>
          <w:rFonts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市人社局就业促进科科长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叶仲华</w:t>
      </w:r>
      <w:r>
        <w:rPr>
          <w:rFonts w:hint="eastAsia"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市发改局社会发展科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李国全</w:t>
      </w:r>
      <w:r>
        <w:rPr>
          <w:rFonts w:hint="eastAsia"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市教育局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职业与成人教育科科长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郭先杰  市科技局科技人才科科长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  <w:t xml:space="preserve">刘  欢  </w:t>
      </w:r>
      <w:r>
        <w:rPr>
          <w:rFonts w:hint="eastAsia" w:ascii="仿宋_GB2312" w:hAnsi="仿宋" w:cs="仿宋"/>
          <w:color w:val="auto"/>
          <w:sz w:val="32"/>
          <w:szCs w:val="32"/>
        </w:rPr>
        <w:t>市工业和信息化局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" w:leftChars="50" w:firstLine="480" w:firstLineChars="150"/>
        <w:textAlignment w:val="auto"/>
        <w:rPr>
          <w:rFonts w:hint="eastAsia" w:ascii="仿宋_GB2312" w:hAnsi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冯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飞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市财政局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社保科科长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  <w:t xml:space="preserve">刘建雄  </w:t>
      </w:r>
      <w:r>
        <w:rPr>
          <w:rFonts w:hint="eastAsia" w:ascii="仿宋_GB2312" w:hAnsi="仿宋" w:cs="仿宋"/>
          <w:color w:val="auto"/>
          <w:spacing w:val="-20"/>
          <w:sz w:val="32"/>
          <w:szCs w:val="32"/>
          <w:lang w:val="en-US" w:eastAsia="zh-CN"/>
        </w:rPr>
        <w:t>市农业农村局乡村产业发展与农村合作经济指导科科长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仿宋_GB2312" w:hAnsi="Times New Roman"/>
          <w:color w:val="auto"/>
          <w:sz w:val="32"/>
          <w:szCs w:val="32"/>
        </w:rPr>
        <w:t>唐红梅  市商务局电子商务科科长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pacing w:val="-28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</w:rPr>
        <w:t xml:space="preserve">钟厚芬  </w:t>
      </w:r>
      <w:r>
        <w:rPr>
          <w:rFonts w:hint="eastAsia" w:ascii="仿宋_GB2312" w:hAnsi="仿宋" w:cs="仿宋"/>
          <w:color w:val="auto"/>
          <w:spacing w:val="-28"/>
          <w:sz w:val="32"/>
          <w:szCs w:val="32"/>
        </w:rPr>
        <w:t>市退役军人事务局移交安置与军休管理科</w:t>
      </w:r>
      <w:r>
        <w:rPr>
          <w:rFonts w:hint="eastAsia" w:ascii="仿宋_GB2312" w:hAnsi="仿宋" w:cs="仿宋"/>
          <w:color w:val="auto"/>
          <w:spacing w:val="-28"/>
          <w:sz w:val="32"/>
          <w:szCs w:val="32"/>
          <w:lang w:val="en-US" w:eastAsia="zh-CN"/>
        </w:rPr>
        <w:t>(</w:t>
      </w:r>
      <w:r>
        <w:rPr>
          <w:rFonts w:hint="eastAsia" w:ascii="仿宋_GB2312" w:hAnsi="仿宋" w:cs="仿宋"/>
          <w:color w:val="auto"/>
          <w:spacing w:val="-28"/>
          <w:sz w:val="32"/>
          <w:szCs w:val="32"/>
        </w:rPr>
        <w:t>就业创业科</w:t>
      </w:r>
      <w:r>
        <w:rPr>
          <w:rFonts w:hint="eastAsia" w:ascii="仿宋_GB2312" w:hAnsi="仿宋" w:cs="仿宋"/>
          <w:color w:val="auto"/>
          <w:spacing w:val="-28"/>
          <w:sz w:val="32"/>
          <w:szCs w:val="32"/>
          <w:lang w:val="en-US" w:eastAsia="zh-CN"/>
        </w:rPr>
        <w:t>)</w:t>
      </w:r>
      <w:r>
        <w:rPr>
          <w:rFonts w:hint="eastAsia" w:ascii="仿宋_GB2312" w:hAnsi="仿宋" w:cs="仿宋"/>
          <w:color w:val="auto"/>
          <w:spacing w:val="-28"/>
          <w:sz w:val="32"/>
          <w:szCs w:val="32"/>
        </w:rPr>
        <w:t>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李小伟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团市委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青发部三级主任科员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吴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color w:val="auto"/>
          <w:sz w:val="32"/>
          <w:szCs w:val="32"/>
        </w:rPr>
        <w:t xml:space="preserve">丹 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</w:rPr>
        <w:t>市妇联宣传发展部部长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谷安顺  市残联四级调研员、教就科科长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Times New Roman"/>
          <w:color w:val="auto"/>
          <w:spacing w:val="-11"/>
          <w:sz w:val="32"/>
          <w:szCs w:val="32"/>
        </w:rPr>
      </w:pPr>
      <w:r>
        <w:rPr>
          <w:rFonts w:hint="eastAsia" w:ascii="仿宋_GB2312" w:hAnsi="Times New Roman"/>
          <w:color w:val="auto"/>
          <w:sz w:val="32"/>
          <w:szCs w:val="32"/>
        </w:rPr>
        <w:t>朱素美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cs="仿宋"/>
          <w:color w:val="auto"/>
          <w:spacing w:val="-11"/>
          <w:sz w:val="32"/>
          <w:szCs w:val="32"/>
        </w:rPr>
        <w:t>中国邮政储蓄银行</w:t>
      </w:r>
      <w:r>
        <w:rPr>
          <w:rFonts w:hint="eastAsia" w:ascii="仿宋_GB2312" w:hAnsi="Times New Roman"/>
          <w:color w:val="auto"/>
          <w:spacing w:val="-11"/>
          <w:sz w:val="32"/>
          <w:szCs w:val="32"/>
        </w:rPr>
        <w:t>韶关市分行三农金融事业部总经理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二、大赛组委会秘书处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</w:rPr>
        <w:t>秘</w:t>
      </w:r>
      <w:r>
        <w:rPr>
          <w:rFonts w:hint="eastAsia" w:ascii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/>
          <w:b/>
          <w:bCs/>
          <w:color w:val="auto"/>
          <w:sz w:val="32"/>
          <w:szCs w:val="32"/>
        </w:rPr>
        <w:t>书</w:t>
      </w:r>
      <w:r>
        <w:rPr>
          <w:rFonts w:hint="eastAsia" w:ascii="楷体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/>
          <w:b/>
          <w:bCs/>
          <w:color w:val="auto"/>
          <w:sz w:val="32"/>
          <w:szCs w:val="32"/>
        </w:rPr>
        <w:t>长：</w:t>
      </w:r>
      <w:r>
        <w:rPr>
          <w:rFonts w:hint="eastAsia" w:ascii="仿宋_GB2312" w:hAnsi="Times New Roman"/>
          <w:color w:val="auto"/>
          <w:sz w:val="32"/>
          <w:szCs w:val="32"/>
        </w:rPr>
        <w:t>邹新珍</w:t>
      </w:r>
      <w:r>
        <w:rPr>
          <w:rFonts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z w:val="32"/>
          <w:szCs w:val="32"/>
        </w:rPr>
        <w:t>市人社局副局长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3" w:leftChars="203" w:hanging="2233" w:hangingChars="695"/>
        <w:textAlignment w:val="auto"/>
        <w:rPr>
          <w:rFonts w:hint="eastAsia" w:ascii="Times New Roman" w:hAnsi="Times New Roman"/>
          <w:color w:val="auto"/>
          <w:spacing w:val="-12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</w:rPr>
        <w:t>副秘书长：</w:t>
      </w:r>
      <w:r>
        <w:rPr>
          <w:rFonts w:hint="eastAsia" w:ascii="仿宋_GB2312" w:hAnsi="Times New Roman"/>
          <w:color w:val="auto"/>
          <w:sz w:val="32"/>
          <w:szCs w:val="32"/>
        </w:rPr>
        <w:t>周立文</w:t>
      </w:r>
      <w:r>
        <w:rPr>
          <w:rFonts w:ascii="Times New Roman" w:hAnsi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/>
          <w:color w:val="auto"/>
          <w:spacing w:val="-12"/>
          <w:sz w:val="32"/>
          <w:szCs w:val="32"/>
        </w:rPr>
        <w:t>市人社局就业促进科科长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2023年韶关“丹霞杯”创业创新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之乡村振兴赛实施方案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仿宋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一、大赛主题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赋能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</w:rPr>
        <w:t>百千万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工程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助力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</w:rPr>
        <w:t>高质量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发展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二、大赛时间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三、组织机构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韶关市人力资源和社会保障局、韶关市发展和改革局、韶关市教育局、韶关市科学技术局、韶关市工业和信息化局、韶关市财政局、韶关市农业农村局、韶关市商务局、韶关市退役军人事务局、共青团韶关市委员会、韶关市妇女联合会、韶关市残疾人联合会，中国邮政储蓄银行股份有限公司韶关市分行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韶关市电子商务行业协会；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协办单位：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韶关学院、市关心下一代工作委员会,各县（市、区）人力资源和社会保障局;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支持单位：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广东松山职业技术学院、韶关市技师学院、南方日报社、韶关日报社、韶关广播电视台。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四、参赛条件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团队组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有创业意向或正准备在韶关创业的团队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，截至报名时，创业项目尚未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在韶关市行政区域内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登记注册；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参赛者必须为团队创始人或核心成员，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项目团队核心成员不少于3人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不超过8人，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且均已年满16周岁；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3．团队负责人及主要创始人不担任省内其他企业法人代表；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参赛项目所提出的产品或服务符合国家法律法规和产业政策，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具有商业开发价值、实际用途广泛、市场发展空间大、适合带动各类群体就业，具有一定的项目可操作性，且参赛者对参赛项目拥有合法自主的知识产权和使用权，无知识产权纠纷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5.曾获以下资助或奖项的参赛项目、企业和项目负责人不得参与本次比赛：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广东“众创杯”系列赛事金银铜奖及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他省级大赛获金银铜奖项目；省级优秀创业项目资助；韶关“丹霞杯”返乡人员创业创新大赛金银铜奖；“邮储银行杯”创业创富大赛一、二、三等奖。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1．2018年1月1日以后至报名截止前在韶关行政区域内登记注册的企业、个体工商户、社会组织、农民专业合作社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2．参赛项目负责人须为该组织创始人、法定代表人、主要负责人或股东成员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须出具相关证明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3．符合国家法律法规和产业政策，经营规范，社会信誉良好，无知识产权纠纷；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曾获以下资助或奖项的参赛项目、企业和项目负责人不得参与本次比赛：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广东“众创杯”系列赛事金银铜奖及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他省级大赛获金银铜奖项目；省级优秀创业项目资助；韶关“丹霞杯”返乡人员创业创新大赛金银铜奖；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韶关第一届“军创杯”创业</w:t>
      </w:r>
      <w:r>
        <w:rPr>
          <w:rFonts w:hint="eastAsia" w:ascii="仿宋_GB2312" w:hAnsi="仿宋" w:cs="仿宋"/>
          <w:bCs/>
          <w:color w:val="auto"/>
          <w:sz w:val="32"/>
          <w:szCs w:val="32"/>
          <w:lang w:val="en-US" w:eastAsia="zh-CN"/>
        </w:rPr>
        <w:t>创新大赛一、二、三等奖；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“邮储银行杯”创业创富大赛一、二、三等奖。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、赛事流程及时间安排（可以根据赛事进展情况进行调整）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大赛宣传发动阶段（2023年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通过发布新闻通稿、刊登新闻、官网公告等形式启动大赛；同时各主办单位、协办单位、支持媒体持续发布大赛相关信息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并联合省赛众创杯同步进行宣传，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发动符合条件的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积极参赛。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（二）报名和资格审核阶段（2023年7月中旬前）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参赛者统一登录大赛官网提交报名资料（大赛官方网站</w:t>
      </w:r>
      <w:r>
        <w:rPr>
          <w:rFonts w:hint="eastAsia" w:ascii="仿宋_GB2312" w:hAnsi="Times New Roman"/>
          <w:color w:val="auto"/>
          <w:sz w:val="32"/>
          <w:szCs w:val="32"/>
        </w:rPr>
        <w:t>http</w:t>
      </w:r>
      <w:r>
        <w:rPr>
          <w:rFonts w:hint="default" w:ascii="仿宋_GB2312" w:hAnsi="Times New Roman"/>
          <w:color w:val="auto"/>
          <w:sz w:val="32"/>
          <w:szCs w:val="32"/>
          <w:lang w:val="en"/>
        </w:rPr>
        <w:t>s</w:t>
      </w:r>
      <w:r>
        <w:rPr>
          <w:rFonts w:hint="eastAsia" w:ascii="仿宋_GB2312" w:hAnsi="Times New Roman"/>
          <w:color w:val="auto"/>
          <w:sz w:val="32"/>
          <w:szCs w:val="32"/>
        </w:rPr>
        <w:t>://rsj.sg.gov.cn/dxb</w:t>
      </w:r>
      <w:r>
        <w:rPr>
          <w:rFonts w:hint="default" w:ascii="仿宋_GB2312" w:hAnsi="Times New Roman"/>
          <w:color w:val="auto"/>
          <w:sz w:val="32"/>
          <w:szCs w:val="32"/>
          <w:lang w:val="en"/>
        </w:rPr>
        <w:t>ds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。参赛项目按注册地或项目所在地登记参赛；各县（市、区）报名项目（含团队）不少于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0个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参赛时应提交完整报名资料，并对所填写信息的准确性和真实性负责。报名结束后，大赛承办单位依托大赛官网，负责参赛项目的资格审核，指导参赛项目完善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项目计划书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。大赛执委会监督参赛项目资格审核。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单项赛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大赛将采用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市级赛与省级赛联动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报名项目同时推荐参加众创杯乡村振兴赛。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（三）初赛阶段（2023年7月）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大赛承办单位按照组别分别组织专家评委对通过审核的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参赛项目进行集中书面评审，每组别综合得分前2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名的创业项目晋级复赛。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（四）复赛阶段（2023年8月）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复赛分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企业组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分别进行。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承办单位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按照组别分别组织专家评委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，采取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展示及答辩的方式，确定晋级决赛项目。各组别按得分高低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前1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个项目进入决赛。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入围市级决赛的项目将按一定比例直接晋级省级赛复赛。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（五）决赛（2023年9月）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决赛采取计划书评审和现场展示答辩的形式进行。两部分得分权重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占50%。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大赛执委会选派评委对决赛项目进行评定，按综合得分高低，企业组决出金、银、铜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及优胜奖，团队组确定一、二、三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等奖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及优胜奖。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（六）后续跟踪服务（2023年9-11月）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为金银铜获奖项目提供游学交流、资源对接、短视频宣传等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活动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为参赛项目赋能。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团队组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一等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奖1名，奖金3万元；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二等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奖2名，奖金各2万元；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奖3名各1万元；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优胜奖4名各0.3万元。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由大赛组委会颁发奖牌及荣誉证书。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组设金奖1名，奖金5万元；银奖2名，奖金各3万元；铜奖3名，奖金各2万元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优胜奖4名各0.5万元。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由大赛组委会颁发奖牌及荣誉证书。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还将提供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营销技能培训、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创业辅导、政策支持、市场推广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资源对接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等一系列扶持服务。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、活动配套（初赛至决赛期间）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（一）线下宣讲活动（2023年6月）。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大赛启动后，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赛事宣讲活动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结合“丹霞杯”往届获奖项目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资源对接会，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为参赛者提供交流、学习、展示和合作的机会，扩大赛事影响力，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吸引更多人员参加大赛。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（二）参赛项目线上宣传推介活动（2023年7-8月）。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对于晋级复赛的每组别前2</w:t>
      </w:r>
      <w:r>
        <w:rPr>
          <w:rFonts w:hint="default" w:ascii="仿宋_GB2312" w:hAnsi="仿宋_GB2312" w:cs="仿宋_GB2312"/>
          <w:bCs/>
          <w:color w:val="auto"/>
          <w:sz w:val="32"/>
          <w:szCs w:val="32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个项目通过主办单位官网、支持单位、协会公众号、协会视频号等途径对参赛项目进行宣传推介，扩大大赛影响力，助力创业项目发展。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（三）创业集训（2023年8月）。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复赛前，邀请农村电商专家、文创专家、旅游专家、金融、风投机构、创业导师等对创业项目进行为期2天的线下集训。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集训内容包括但不限于商业模式梳理、完善创业计划书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、提高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项目路演技巧等内容。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（四）决赛入围项目调研及创业辅导（2023年8-9月）。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决赛前，从大赛专家库中挑选导师对决赛入围项目进行决赛前“一对一”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项目调研及创业规划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辅导。辅导内容包括: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项目亮点再挖掘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、团队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的高校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管理、初创公司的运营、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创业计划书、参赛PPT制作以及项目路演技巧等。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（五）游学交流暨资源对接活动（2023年10月）。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结合众创杯资源，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举行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游学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交流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资源对接活动，促进创业项目成果转化，推进参赛项目落地。帮助获奖参赛创业者对接资金、政策、人才、物流、办公场地等资源，并推荐部分获奖优秀企业免费入驻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主办单位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相关创业示范基地或孵化园，协助参赛创业者做好参赛项目落地工作。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（六）宣传推广（2023年10-11月）。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为各组别金银铜获奖项目制作项目宣传短视频，在各大主流媒体上宣传分发，树立创业典型，进一步营造创业范围。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2023年韶关“丹霞杯”创业创新大赛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黑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之创业创富赛方案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一、大赛主题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" w:cs="仿宋"/>
          <w:b/>
          <w:color w:val="auto"/>
          <w:sz w:val="32"/>
          <w:szCs w:val="32"/>
        </w:rPr>
      </w:pP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赋能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</w:rPr>
        <w:t>百千万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工程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助力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</w:rPr>
        <w:t>高质量</w:t>
      </w:r>
      <w:r>
        <w:rPr>
          <w:rFonts w:hint="eastAsia" w:ascii="仿宋_GB2312" w:hAnsi="仿宋" w:cs="仿宋"/>
          <w:b/>
          <w:bCs w:val="0"/>
          <w:color w:val="auto"/>
          <w:sz w:val="32"/>
          <w:szCs w:val="32"/>
          <w:lang w:eastAsia="zh-CN"/>
        </w:rPr>
        <w:t>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二、大赛时间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2023年</w:t>
      </w:r>
      <w:r>
        <w:rPr>
          <w:rFonts w:hint="eastAsia" w:ascii="仿宋_GB2312" w:hAnsi="仿宋" w:cs="仿宋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月—11月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7" w:firstLineChars="196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color w:val="auto"/>
          <w:sz w:val="32"/>
          <w:szCs w:val="32"/>
        </w:rPr>
        <w:t>主办单位：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市人力资源和社会保障局、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发展和改革局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市教育局、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市科学技术局、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市工业和信息化局、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市财政局、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市农业农村局、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市商务局、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市退役军人事务局、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共青团韶关市委员会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市妇女联合会、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市残疾人联合会，中国邮政储蓄银行股份有限公司韶关市分行。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b/>
          <w:color w:val="auto"/>
          <w:sz w:val="32"/>
          <w:szCs w:val="32"/>
        </w:rPr>
        <w:t>承办单位：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韶关市九龄墨意教育科技有限公司；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0" w:firstLineChars="196"/>
        <w:textAlignment w:val="auto"/>
        <w:rPr>
          <w:rFonts w:hint="default" w:ascii="仿宋_GB2312" w:hAnsi="仿宋" w:eastAsia="仿宋_GB2312" w:cs="仿宋"/>
          <w:bCs/>
          <w:color w:val="auto"/>
          <w:sz w:val="32"/>
          <w:szCs w:val="32"/>
          <w:lang w:val="en"/>
        </w:rPr>
      </w:pPr>
      <w:r>
        <w:rPr>
          <w:rFonts w:hint="eastAsia" w:ascii="楷体" w:hAnsi="楷体" w:eastAsia="楷体"/>
          <w:b/>
          <w:color w:val="auto"/>
          <w:sz w:val="32"/>
          <w:szCs w:val="32"/>
        </w:rPr>
        <w:t>协办单位</w:t>
      </w:r>
      <w:r>
        <w:rPr>
          <w:rFonts w:hint="eastAsia" w:ascii="楷体" w:hAnsi="楷体" w:eastAsia="楷体"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韶关学院、市关心下一代工作委员会</w:t>
      </w:r>
      <w:r>
        <w:rPr>
          <w:rFonts w:hint="default" w:ascii="仿宋_GB2312" w:hAnsi="仿宋" w:eastAsia="仿宋_GB2312" w:cs="仿宋"/>
          <w:bCs/>
          <w:color w:val="auto"/>
          <w:sz w:val="32"/>
          <w:szCs w:val="32"/>
          <w:lang w:val="en"/>
        </w:rPr>
        <w:t>,</w:t>
      </w:r>
      <w:r>
        <w:rPr>
          <w:rFonts w:hint="eastAsia" w:eastAsia="仿宋_GB2312"/>
          <w:color w:val="auto"/>
          <w:sz w:val="32"/>
          <w:szCs w:val="32"/>
        </w:rPr>
        <w:t>各县（市、区）人力资源和社会保障局</w:t>
      </w:r>
      <w:r>
        <w:rPr>
          <w:rFonts w:hint="default" w:eastAsia="仿宋_GB2312"/>
          <w:color w:val="auto"/>
          <w:sz w:val="32"/>
          <w:szCs w:val="32"/>
          <w:lang w:val="en"/>
        </w:rPr>
        <w:t>;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color w:val="auto"/>
          <w:sz w:val="32"/>
          <w:szCs w:val="32"/>
        </w:rPr>
        <w:t>支持单位：</w:t>
      </w:r>
      <w:r>
        <w:rPr>
          <w:rFonts w:hint="eastAsia" w:eastAsia="仿宋_GB2312"/>
          <w:color w:val="auto"/>
          <w:sz w:val="32"/>
          <w:szCs w:val="32"/>
        </w:rPr>
        <w:t>广东松山职业技术学院、韶关市技师学院、南方日报</w:t>
      </w:r>
      <w:r>
        <w:rPr>
          <w:rFonts w:hint="eastAsia" w:eastAsia="仿宋_GB2312"/>
          <w:color w:val="auto"/>
          <w:sz w:val="32"/>
          <w:szCs w:val="32"/>
          <w:lang w:eastAsia="zh-CN"/>
        </w:rPr>
        <w:t>社、</w:t>
      </w:r>
      <w:r>
        <w:rPr>
          <w:rFonts w:hint="eastAsia" w:eastAsia="仿宋_GB2312"/>
          <w:color w:val="auto"/>
          <w:sz w:val="32"/>
          <w:szCs w:val="32"/>
        </w:rPr>
        <w:t>韶关日报</w:t>
      </w:r>
      <w:r>
        <w:rPr>
          <w:rFonts w:hint="eastAsia" w:eastAsia="仿宋_GB2312"/>
          <w:color w:val="auto"/>
          <w:sz w:val="32"/>
          <w:szCs w:val="32"/>
          <w:lang w:eastAsia="zh-CN"/>
        </w:rPr>
        <w:t>社</w:t>
      </w:r>
      <w:r>
        <w:rPr>
          <w:rFonts w:hint="eastAsia" w:eastAsia="仿宋_GB2312"/>
          <w:color w:val="auto"/>
          <w:sz w:val="32"/>
          <w:szCs w:val="32"/>
        </w:rPr>
        <w:t>、韶关广播电视台。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四、参赛对象及参赛条件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（一）参赛对象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参</w:t>
      </w:r>
      <w:r>
        <w:rPr>
          <w:rFonts w:hint="eastAsia" w:ascii="Times New Roman" w:hAnsi="Times New Roman"/>
          <w:color w:val="auto"/>
          <w:sz w:val="32"/>
          <w:szCs w:val="32"/>
        </w:rPr>
        <w:t>赛对象不限户籍，已在我市登记注册的创业主体和有意在我市创业的团队均可报名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/>
          <w:color w:val="auto"/>
          <w:sz w:val="32"/>
          <w:szCs w:val="32"/>
        </w:rPr>
        <w:t>主要为自主创业的各类城乡劳动者，鼓励自主创业的高等院校在校生及毕业五年内毕业生参赛。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曾获以下奖项或资助的参赛项目,企业和项目负责人不得参与本次比赛：广东“众创杯”系列赛事金银铜奖及</w:t>
      </w:r>
      <w:r>
        <w:rPr>
          <w:rFonts w:hint="eastAsia" w:ascii="仿宋_GB2312" w:hAnsi="Times New Roman"/>
          <w:color w:val="auto"/>
          <w:sz w:val="32"/>
          <w:szCs w:val="32"/>
        </w:rPr>
        <w:t>其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他省级大赛获金银铜奖项目；省级优秀创业项目资助；韶关“丹霞杯”返乡人员创业创新大赛金银铜奖；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韶关第一届“军创杯”创业</w:t>
      </w:r>
      <w:r>
        <w:rPr>
          <w:rFonts w:hint="eastAsia" w:ascii="仿宋_GB2312" w:hAnsi="仿宋" w:cs="仿宋"/>
          <w:bCs/>
          <w:color w:val="auto"/>
          <w:sz w:val="32"/>
          <w:szCs w:val="32"/>
          <w:lang w:val="en-US" w:eastAsia="zh-CN"/>
        </w:rPr>
        <w:t>创新大赛一、二、三等奖；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“邮储银行杯”创业创富大赛一、二、三等奖。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（二）参赛条件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1.团队组：有创业意向以及正准备在韶关创业，截止报名时创业项目尚未在韶关区域内登记注册的团队。项目成员不少于3人，不超过8人，且均已年满16周岁，团队负责人及主要创始人不担任省内其他企业法人代表。项目具有社会前瞻性，商业开发价值、实际用途广泛、市场发展潜力、能带动当地经济及人员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2.企业组：2018年1月1日以后至报名截止前在韶关行政区域内登记注册的企业、个体工商户、社会组织、农民专业合作社。参赛项目团队负责人须为该组织创始人、法定代表人、主要负责人或股东成员（须出具相关证明）。有创新性产品、技术或商业模式、具有较高的成长潜力，市场发展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3.针对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技术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研发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型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、工匠精神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弘扬型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、非物质文化传承型的创业企业，在其行业领域取得一定成效的企业，经评审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同意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，可放宽登记注册超过五年的企业参与。挖掘“旅游+”“生态+”“互联网+”等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创新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模式，吸纳技能人才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青创群体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、乡村工匠以及具备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特色的文化传承（非遗）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项目参赛，同时兼顾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弱小群体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4.符合国家法律法规和产业政策，经营规范，社会信誉良好，无知识产权纠纷。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highlight w:val="none"/>
        </w:rPr>
        <w:t>五、赛事流程及时间安排（可以根据赛事进展情况进行调整）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（一）大赛宣传发动阶段（2023年6月）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7" w:firstLineChars="196"/>
        <w:textAlignment w:val="auto"/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通过大赛官网、主流媒体发布新闻通稿、刊登新闻、微信、抖音等形式广泛、持续发布大赛相关信息。同时协办单位、承办单位充分发挥优势共同做好宣传发动工作，积极推荐参加项目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定向组织活动宣讲培训会。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（二）报名和资格审核阶段（2023年7月中旬前）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参赛企业统一登录大赛官网提交报名资料（大赛官方网站</w:t>
      </w:r>
      <w:r>
        <w:rPr>
          <w:rFonts w:hint="eastAsia" w:ascii="仿宋_GB2312" w:hAnsi="Times New Roman"/>
          <w:color w:val="auto"/>
          <w:sz w:val="32"/>
          <w:szCs w:val="32"/>
        </w:rPr>
        <w:t>http</w:t>
      </w:r>
      <w:r>
        <w:rPr>
          <w:rFonts w:hint="default" w:ascii="仿宋_GB2312" w:hAnsi="Times New Roman"/>
          <w:color w:val="auto"/>
          <w:sz w:val="32"/>
          <w:szCs w:val="32"/>
          <w:lang w:val="en"/>
        </w:rPr>
        <w:t>s</w:t>
      </w:r>
      <w:r>
        <w:rPr>
          <w:rFonts w:hint="eastAsia" w:ascii="仿宋_GB2312" w:hAnsi="Times New Roman"/>
          <w:color w:val="auto"/>
          <w:sz w:val="32"/>
          <w:szCs w:val="32"/>
        </w:rPr>
        <w:t>://rsj.sg.gov.cn/dxb</w:t>
      </w:r>
      <w:r>
        <w:rPr>
          <w:rFonts w:hint="default" w:ascii="仿宋_GB2312" w:hAnsi="Times New Roman"/>
          <w:color w:val="auto"/>
          <w:sz w:val="32"/>
          <w:szCs w:val="32"/>
          <w:lang w:val="en"/>
        </w:rPr>
        <w:t>ds</w:t>
      </w:r>
      <w:r>
        <w:rPr>
          <w:rFonts w:hint="eastAsia" w:ascii="仿宋_GB2312" w:hAnsi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。参赛项目按注册地或项目所在地登记参赛。报名时应提交完整报名资料，并对所填写信息的准确性和真实性负责。报名结束后，大赛组委会对项目进行审核确认。报名项目后续推荐参加广东“众创杯”创业创新大赛。审核通过的参赛项目，由主办单位组织有经验的导师为参赛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者提供创业指导。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（三）初赛阶段（2023年7月）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大赛组委会组织专家对通过审核的参赛项目进行集中书面审核，每组别按照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综合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得分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从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高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到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低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取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不少于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20个项目晋级复赛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项目的创始人，法人代表、主要负责人曾获得相关领域职称的，可适当加分。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评审结果公示：评选出晋级复赛的项目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通过官网、微信平台进行公示（公示时排名不分先后）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（四）复赛阶段（2023年8月）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组织专家评委，采取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项目路演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及答辩的方式，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eastAsia="zh-CN"/>
        </w:rPr>
        <w:t>每个组别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筛选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  <w:lang w:val="en-US" w:eastAsia="zh-CN"/>
        </w:rPr>
        <w:t>10个</w:t>
      </w: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优秀项目晋级决赛。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（五）决赛阶段（2023年10月底前）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  <w:highlight w:val="none"/>
        </w:rPr>
        <w:t>项目决赛采取计划书评审和项目路演（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现场展示答辩）的形式进行。两部分得分权重各占50%。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大赛执委会根据评委对决赛项目的评比结果，按综合得分高低，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企业组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决出金、银、铜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奖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及优胜奖，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团队组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按综合得分高低确定一、二、三等奖及优胜奖。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（一）企业组（已登记注册的项目）设奖项10名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组设金奖1名，奖金5万元；银奖2名，奖金各3万元；铜奖3名，奖金各2万元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优胜奖4名各0.5万元。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由大赛组委会颁发奖牌及荣誉证书。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（二）团队组（未登记注册的项目）设奖项10名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团队组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一等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奖1名，奖金3万元；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二等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奖2名，奖金各2万元；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奖3名各1万元；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优胜奖4名各0.3万元。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由大赛组委会颁发奖牌及荣誉证书。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七、赛事配套活动（初赛至决赛期间）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（一）宣讲发动（2023年6月）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活动启动后，选定部分区县在当地组织赛事宣讲活动，吸纳更多优秀的创业者参与。制作参赛招募视频，在各大媒体及平台发布招募信息，扩大活动影响力。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（二）金融宏观经济交流会线上专题培训（2023年7月前）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在市区举行金融宏观政策讲解，贷款政策解读。特邀金融行业人士，解答企业及团体关于融资、风投等问题。对参赛人员进行参赛引导、比赛赛程讲解、商业计划等，并通过线上直播的方式扩大受众，各区、县级可自行安排线上观看，市区的参赛者可前往活动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（三）复赛前创业集训（2023年8月）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复赛前，根据晋级复赛的选手行业特点邀请创业导师、电商专家等对创业项目进行指导，挖掘项目亮点，答辩技巧、撰写方式等内容的培训。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邀请风投机构、银行从业者针对市场金融政策、国家宏观经济变化等热点问题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沙龙交流会。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（四）创业辅导（2023年9月）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决赛前，从大赛专家库中挑选导师对决赛入围项目进行决赛 前“一对一” 辅导。辅导内容包括:商业模式的梳理、团队的组建与管理、初创公司的运营、创业计划书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的完善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、参赛PPT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美化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以及项目路演形态礼仪演讲技巧等。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（五）交流及资源对接活动（2023年11月）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ascii="仿宋_GB2312" w:hAnsi="仿宋" w:cs="仿宋"/>
          <w:bCs/>
          <w:color w:val="auto"/>
          <w:sz w:val="32"/>
          <w:szCs w:val="32"/>
        </w:rPr>
        <w:t>举行交流及资源对接活动，促进创业项目成果转化，推进参 赛项目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提升</w:t>
      </w:r>
      <w:r>
        <w:rPr>
          <w:rFonts w:ascii="仿宋_GB2312" w:hAnsi="仿宋" w:cs="仿宋"/>
          <w:bCs/>
          <w:color w:val="auto"/>
          <w:sz w:val="32"/>
          <w:szCs w:val="32"/>
        </w:rPr>
        <w:t>。帮助获奖参赛创业者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，邀请</w:t>
      </w:r>
      <w:r>
        <w:rPr>
          <w:rFonts w:ascii="仿宋_GB2312" w:hAnsi="仿宋" w:cs="仿宋"/>
          <w:bCs/>
          <w:color w:val="auto"/>
          <w:sz w:val="32"/>
          <w:szCs w:val="32"/>
        </w:rPr>
        <w:t>珠三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角个别优质企业家返乡</w:t>
      </w:r>
      <w:r>
        <w:rPr>
          <w:rFonts w:ascii="仿宋_GB2312" w:hAnsi="仿宋" w:cs="仿宋"/>
          <w:bCs/>
          <w:color w:val="auto"/>
          <w:sz w:val="32"/>
          <w:szCs w:val="32"/>
        </w:rPr>
        <w:t>相互交流，并对接资金、政策、人才、物流、办公场地等资源，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助力</w:t>
      </w:r>
      <w:r>
        <w:rPr>
          <w:rFonts w:ascii="仿宋_GB2312" w:hAnsi="仿宋" w:cs="仿宋"/>
          <w:bCs/>
          <w:color w:val="auto"/>
          <w:sz w:val="32"/>
          <w:szCs w:val="32"/>
        </w:rPr>
        <w:t>参赛项目</w:t>
      </w:r>
      <w:r>
        <w:rPr>
          <w:rFonts w:hint="eastAsia" w:ascii="仿宋_GB2312" w:hAnsi="仿宋" w:cs="仿宋"/>
          <w:bCs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（六）优秀企业展示（2023年11月）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z w:val="32"/>
          <w:szCs w:val="32"/>
        </w:rPr>
        <w:t>活动后期为为各组分别金银铜获奖项目制作项目宣传短视频，在微信公众号、抖音平台上宣传，树立创建优秀典型、营造创造范围。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（七）颁奖暨项目展示会（暂定2023年11月底前）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  </w:t>
      </w:r>
      <w:r>
        <w:rPr>
          <w:rFonts w:hint="eastAsia" w:ascii="仿宋_GB2312" w:hAnsi="仿宋" w:cs="仿宋"/>
          <w:bCs/>
          <w:color w:val="auto"/>
          <w:sz w:val="32"/>
          <w:szCs w:val="32"/>
        </w:rPr>
        <w:t>与主流媒体合作，举办大赛颁奖暨项目展示活动。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364B1"/>
    <w:rsid w:val="268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2023-06-21T02:13:00Z</dcterms:created>
  <dc:creator>陈颖</dc:creator>
  <cp:lastModifiedBy>陈颖</cp:lastModifiedBy>
  <dcterms:modified xsi:type="dcterms:W3CDTF">2023-06-21T02:13:49Z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</Properties>
</file>