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auto"/>
          <w:sz w:val="44"/>
          <w:szCs w:val="36"/>
          <w:lang w:eastAsia="zh-CN"/>
        </w:rPr>
      </w:pPr>
      <w:r>
        <w:rPr>
          <w:rFonts w:hint="eastAsia" w:ascii="黑体" w:hAnsi="黑体" w:eastAsia="黑体" w:cs="黑体"/>
          <w:b w:val="0"/>
          <w:bCs w:val="0"/>
          <w:color w:val="auto"/>
          <w:sz w:val="44"/>
          <w:szCs w:val="36"/>
          <w:lang w:val="en-US" w:eastAsia="zh-CN"/>
        </w:rPr>
        <w:t>2023年</w:t>
      </w:r>
      <w:r>
        <w:rPr>
          <w:rFonts w:hint="eastAsia" w:ascii="黑体" w:hAnsi="黑体" w:eastAsia="黑体" w:cs="黑体"/>
          <w:b w:val="0"/>
          <w:bCs w:val="0"/>
          <w:color w:val="auto"/>
          <w:sz w:val="44"/>
          <w:szCs w:val="36"/>
        </w:rPr>
        <w:t>韶关市</w:t>
      </w:r>
      <w:r>
        <w:rPr>
          <w:rFonts w:hint="eastAsia" w:ascii="黑体" w:hAnsi="黑体" w:eastAsia="黑体" w:cs="黑体"/>
          <w:b w:val="0"/>
          <w:bCs w:val="0"/>
          <w:color w:val="auto"/>
          <w:sz w:val="44"/>
          <w:szCs w:val="36"/>
          <w:lang w:val="en-US" w:eastAsia="zh-CN"/>
        </w:rPr>
        <w:t>知识产权协同运营</w:t>
      </w:r>
      <w:r>
        <w:rPr>
          <w:rFonts w:hint="eastAsia" w:ascii="黑体" w:hAnsi="黑体" w:eastAsia="黑体" w:cs="黑体"/>
          <w:b w:val="0"/>
          <w:bCs w:val="0"/>
          <w:color w:val="auto"/>
          <w:sz w:val="44"/>
          <w:szCs w:val="36"/>
          <w:lang w:eastAsia="zh-CN"/>
        </w:rPr>
        <w:t>中心</w:t>
      </w:r>
    </w:p>
    <w:p>
      <w:pPr>
        <w:pStyle w:val="7"/>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黑体" w:eastAsia="黑体" w:cs="黑体"/>
          <w:b w:val="0"/>
          <w:bCs w:val="0"/>
          <w:color w:val="auto"/>
          <w:w w:val="99"/>
          <w:sz w:val="44"/>
          <w:szCs w:val="44"/>
        </w:rPr>
      </w:pPr>
      <w:r>
        <w:rPr>
          <w:rFonts w:hint="eastAsia" w:ascii="黑体" w:hAnsi="黑体" w:eastAsia="黑体" w:cs="黑体"/>
          <w:b w:val="0"/>
          <w:bCs w:val="0"/>
          <w:color w:val="auto"/>
          <w:sz w:val="44"/>
          <w:szCs w:val="36"/>
          <w:lang w:eastAsia="zh-CN"/>
        </w:rPr>
        <w:t>建设项目</w:t>
      </w:r>
      <w:r>
        <w:rPr>
          <w:rFonts w:hint="eastAsia" w:ascii="黑体" w:hAnsi="黑体" w:eastAsia="黑体" w:cs="黑体"/>
          <w:b w:val="0"/>
          <w:bCs w:val="0"/>
          <w:color w:val="auto"/>
          <w:w w:val="99"/>
          <w:sz w:val="44"/>
          <w:szCs w:val="36"/>
        </w:rPr>
        <w:t>申报指南</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rPr>
      </w:pP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eastAsia="仿宋_GB2312" w:cs="仿宋_GB2312"/>
          <w:color w:val="000000"/>
          <w:sz w:val="32"/>
          <w:szCs w:val="32"/>
          <w:lang w:val="en-US" w:eastAsia="zh-CN"/>
        </w:rPr>
      </w:pPr>
      <w:r>
        <w:rPr>
          <w:rFonts w:hint="eastAsia" w:ascii="黑体" w:hAnsi="黑体" w:eastAsia="黑体" w:cs="黑体"/>
          <w:sz w:val="32"/>
          <w:lang w:eastAsia="zh-CN"/>
        </w:rPr>
        <w:t>一、</w:t>
      </w:r>
      <w:r>
        <w:rPr>
          <w:rFonts w:hint="eastAsia" w:ascii="黑体" w:hAnsi="黑体" w:eastAsia="黑体" w:cs="黑体"/>
          <w:sz w:val="32"/>
        </w:rPr>
        <w:t>申报主体</w:t>
      </w:r>
      <w:r>
        <w:rPr>
          <w:rFonts w:hint="eastAsia" w:ascii="黑体" w:hAnsi="黑体" w:eastAsia="黑体" w:cs="黑体"/>
          <w:sz w:val="32"/>
          <w:lang w:eastAsia="zh-CN"/>
        </w:rPr>
        <w:t>：</w:t>
      </w:r>
      <w:r>
        <w:rPr>
          <w:rFonts w:hint="eastAsia" w:ascii="仿宋_GB2312" w:hAnsi="仿宋_GB2312" w:eastAsia="仿宋_GB2312" w:cs="仿宋_GB2312"/>
          <w:sz w:val="32"/>
          <w:lang w:val="en-US" w:eastAsia="zh-CN"/>
        </w:rPr>
        <w:t>省级高新区（省级产业园）管委会联合</w:t>
      </w:r>
      <w:r>
        <w:rPr>
          <w:rFonts w:hint="eastAsia" w:ascii="仿宋_GB2312" w:hAnsi="仿宋_GB2312" w:eastAsia="仿宋_GB2312" w:cs="仿宋"/>
          <w:b w:val="0"/>
          <w:bCs w:val="0"/>
          <w:color w:val="auto"/>
          <w:sz w:val="32"/>
          <w:szCs w:val="32"/>
          <w:lang w:val="en-US" w:eastAsia="zh-CN"/>
        </w:rPr>
        <w:t>依法</w:t>
      </w:r>
      <w:r>
        <w:rPr>
          <w:rFonts w:hint="eastAsia" w:ascii="仿宋_GB2312" w:hAnsi="仿宋_GB2312" w:eastAsia="仿宋_GB2312" w:cs="仿宋"/>
          <w:b w:val="0"/>
          <w:bCs w:val="0"/>
          <w:color w:val="auto"/>
          <w:sz w:val="32"/>
          <w:szCs w:val="32"/>
          <w:lang w:eastAsia="zh-CN"/>
        </w:rPr>
        <w:t>注册的</w:t>
      </w:r>
      <w:r>
        <w:rPr>
          <w:rFonts w:hint="eastAsia" w:ascii="仿宋_GB2312" w:hAnsi="仿宋_GB2312" w:eastAsia="仿宋_GB2312" w:cs="仿宋"/>
          <w:b w:val="0"/>
          <w:bCs w:val="0"/>
          <w:color w:val="auto"/>
          <w:kern w:val="0"/>
          <w:sz w:val="32"/>
          <w:szCs w:val="32"/>
        </w:rPr>
        <w:t>知识产权</w:t>
      </w:r>
      <w:r>
        <w:rPr>
          <w:rFonts w:hint="eastAsia" w:ascii="仿宋_GB2312" w:hAnsi="仿宋_GB2312" w:eastAsia="仿宋_GB2312" w:cs="仿宋"/>
          <w:b w:val="0"/>
          <w:bCs w:val="0"/>
          <w:color w:val="auto"/>
          <w:kern w:val="0"/>
          <w:sz w:val="32"/>
          <w:szCs w:val="32"/>
          <w:lang w:eastAsia="zh-CN"/>
        </w:rPr>
        <w:t>社会组织或</w:t>
      </w:r>
      <w:r>
        <w:rPr>
          <w:rFonts w:hint="eastAsia" w:ascii="仿宋_GB2312" w:hAnsi="仿宋_GB2312" w:eastAsia="仿宋_GB2312" w:cs="仿宋"/>
          <w:b w:val="0"/>
          <w:bCs w:val="0"/>
          <w:color w:val="auto"/>
          <w:kern w:val="0"/>
          <w:sz w:val="32"/>
          <w:szCs w:val="32"/>
          <w:lang w:val="en-US" w:eastAsia="zh-CN"/>
        </w:rPr>
        <w:t>知识产权</w:t>
      </w:r>
      <w:r>
        <w:rPr>
          <w:rFonts w:hint="eastAsia" w:ascii="仿宋_GB2312" w:hAnsi="仿宋_GB2312" w:eastAsia="仿宋_GB2312" w:cs="仿宋"/>
          <w:b w:val="0"/>
          <w:bCs w:val="0"/>
          <w:color w:val="auto"/>
          <w:kern w:val="0"/>
          <w:sz w:val="32"/>
          <w:szCs w:val="32"/>
        </w:rPr>
        <w:t>服务机构</w:t>
      </w:r>
      <w:r>
        <w:rPr>
          <w:rFonts w:hint="eastAsia" w:ascii="仿宋_GB2312" w:hAnsi="仿宋_GB2312" w:eastAsia="仿宋_GB2312" w:cs="仿宋"/>
          <w:b w:val="0"/>
          <w:bCs w:val="0"/>
          <w:color w:val="auto"/>
          <w:kern w:val="0"/>
          <w:sz w:val="32"/>
          <w:szCs w:val="32"/>
          <w:lang w:val="en-US" w:eastAsia="zh-CN"/>
        </w:rPr>
        <w:t>共同申报</w:t>
      </w:r>
      <w:r>
        <w:rPr>
          <w:rFonts w:hint="eastAsia" w:ascii="仿宋_GB2312" w:hAnsi="仿宋_GB2312" w:eastAsia="仿宋_GB2312" w:cs="仿宋_GB2312"/>
          <w:sz w:val="32"/>
          <w:lang w:val="en-US" w:eastAsia="zh-CN"/>
        </w:rPr>
        <w:t>。</w:t>
      </w:r>
    </w:p>
    <w:p>
      <w:pPr>
        <w:pStyle w:val="2"/>
        <w:pageBreakBefore w:val="0"/>
        <w:numPr>
          <w:ilvl w:val="0"/>
          <w:numId w:val="0"/>
        </w:numPr>
        <w:kinsoku/>
        <w:wordWrap/>
        <w:overflowPunct/>
        <w:topLinePunct w:val="0"/>
        <w:autoSpaceDE/>
        <w:autoSpaceDN/>
        <w:bidi w:val="0"/>
        <w:spacing w:line="560" w:lineRule="exact"/>
        <w:ind w:leftChars="0" w:firstLine="640" w:firstLineChars="200"/>
        <w:textAlignment w:val="auto"/>
        <w:rPr>
          <w:rFonts w:hint="eastAsia" w:ascii="黑体" w:hAnsi="黑体" w:eastAsia="黑体" w:cs="黑体"/>
        </w:rPr>
      </w:pPr>
      <w:r>
        <w:rPr>
          <w:rFonts w:hint="eastAsia" w:ascii="黑体" w:hAnsi="黑体" w:eastAsia="黑体" w:cs="黑体"/>
          <w:color w:val="000000"/>
          <w:sz w:val="32"/>
          <w:szCs w:val="32"/>
          <w:lang w:val="en-US" w:eastAsia="zh-CN"/>
        </w:rPr>
        <w:t>二、总体要求</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
          <w:b w:val="0"/>
          <w:bCs w:val="0"/>
          <w:color w:val="auto"/>
          <w:sz w:val="32"/>
          <w:szCs w:val="32"/>
          <w:lang w:eastAsia="zh-CN"/>
        </w:rPr>
      </w:pPr>
      <w:r>
        <w:rPr>
          <w:rFonts w:hint="eastAsia" w:ascii="仿宋_GB2312" w:hAnsi="仿宋_GB2312" w:eastAsia="仿宋_GB2312" w:cs="仿宋"/>
          <w:b w:val="0"/>
          <w:bCs w:val="0"/>
          <w:color w:val="auto"/>
          <w:sz w:val="32"/>
          <w:szCs w:val="32"/>
          <w:lang w:eastAsia="zh-CN"/>
        </w:rPr>
        <w:t>围绕韶关重点园区战略性产业创新发展，以及区域构建现代产业体系、增强产业发展新优势的迫切需求，协同集成推进区域、园区重点产业高价值专利培育布局、知识产权运营转化、知识产权保护、知识产权信息服务等工作的平台或机构。协同运营中心采取“一园一中心”“一中心多产业”的建设方式，一个中心立足一个重点园区、聚焦多个产业开展知识产权协同运营工作。建成后的重点园区知识产权协同运营中心涵盖知识产权创造、运用、保护和服务全链条，市场牵头、多样化的工作模式，在机构设置、运营管理、投入和收益分配、合作模式等方面突出市场导向，保障运营中心高水平发展。知识产权协同运营中心需实体化运作，拥有必要硬件条件和人才队伍，专兼职人数不少于10人，具有相对稳定的收入来源。</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宋体"/>
          <w:b w:val="0"/>
          <w:bCs w:val="0"/>
          <w:color w:val="auto"/>
          <w:sz w:val="32"/>
          <w:szCs w:val="32"/>
        </w:rPr>
      </w:pPr>
      <w:r>
        <w:rPr>
          <w:rFonts w:hint="eastAsia" w:ascii="黑体" w:hAnsi="黑体" w:eastAsia="黑体" w:cs="宋体"/>
          <w:b w:val="0"/>
          <w:bCs w:val="0"/>
          <w:color w:val="auto"/>
          <w:sz w:val="32"/>
          <w:szCs w:val="32"/>
          <w:lang w:eastAsia="zh-CN"/>
        </w:rPr>
        <w:t>三、目标</w:t>
      </w:r>
      <w:r>
        <w:rPr>
          <w:rFonts w:hint="eastAsia" w:ascii="黑体" w:hAnsi="黑体" w:eastAsia="黑体" w:cs="宋体"/>
          <w:b w:val="0"/>
          <w:bCs w:val="0"/>
          <w:color w:val="auto"/>
          <w:sz w:val="32"/>
          <w:szCs w:val="32"/>
        </w:rPr>
        <w:t>任务</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
          <w:b w:val="0"/>
          <w:bCs w:val="0"/>
          <w:color w:val="auto"/>
          <w:sz w:val="32"/>
          <w:szCs w:val="32"/>
          <w:lang w:eastAsia="zh-CN"/>
        </w:rPr>
      </w:pPr>
      <w:r>
        <w:rPr>
          <w:rFonts w:hint="eastAsia" w:ascii="仿宋_GB2312" w:hAnsi="仿宋_GB2312" w:eastAsia="仿宋_GB2312" w:cs="仿宋"/>
          <w:b w:val="0"/>
          <w:bCs w:val="0"/>
          <w:color w:val="auto"/>
          <w:sz w:val="32"/>
          <w:szCs w:val="32"/>
          <w:lang w:val="en-US" w:eastAsia="zh-CN"/>
        </w:rPr>
        <w:t>建设韶关重点园区知识产权协同运营中心1个，</w:t>
      </w:r>
      <w:r>
        <w:rPr>
          <w:rFonts w:hint="eastAsia" w:ascii="仿宋_GB2312" w:hAnsi="仿宋_GB2312" w:eastAsia="仿宋_GB2312" w:cs="仿宋"/>
          <w:b w:val="0"/>
          <w:bCs w:val="0"/>
          <w:color w:val="auto"/>
          <w:sz w:val="32"/>
          <w:szCs w:val="32"/>
          <w:lang w:eastAsia="zh-CN"/>
        </w:rPr>
        <w:t>选择</w:t>
      </w:r>
      <w:r>
        <w:rPr>
          <w:rFonts w:hint="eastAsia" w:ascii="仿宋_GB2312" w:hAnsi="仿宋_GB2312" w:eastAsia="仿宋_GB2312" w:cs="仿宋"/>
          <w:b w:val="0"/>
          <w:bCs w:val="0"/>
          <w:color w:val="auto"/>
          <w:sz w:val="32"/>
          <w:szCs w:val="32"/>
          <w:lang w:val="en-US" w:eastAsia="zh-CN"/>
        </w:rPr>
        <w:t>5</w:t>
      </w:r>
      <w:r>
        <w:rPr>
          <w:rFonts w:hint="eastAsia" w:ascii="仿宋_GB2312" w:hAnsi="仿宋_GB2312" w:eastAsia="仿宋_GB2312" w:cs="仿宋"/>
          <w:b w:val="0"/>
          <w:bCs w:val="0"/>
          <w:color w:val="auto"/>
          <w:sz w:val="32"/>
          <w:szCs w:val="32"/>
          <w:lang w:eastAsia="zh-CN"/>
        </w:rPr>
        <w:t>家优质知识产权服务平台或者服务机构，共建园区重点产业知识产权协同运营中心，系统性地开展知识产权全链条“一站式”集成服务工作。</w:t>
      </w:r>
    </w:p>
    <w:p>
      <w:pPr>
        <w:pageBreakBefore w:val="0"/>
        <w:widowControl/>
        <w:numPr>
          <w:ilvl w:val="0"/>
          <w:numId w:val="0"/>
        </w:numPr>
        <w:kinsoku/>
        <w:wordWrap/>
        <w:overflowPunct/>
        <w:topLinePunct w:val="0"/>
        <w:autoSpaceDE/>
        <w:autoSpaceDN/>
        <w:bidi w:val="0"/>
        <w:spacing w:line="560" w:lineRule="exact"/>
        <w:ind w:firstLine="643" w:firstLineChars="200"/>
        <w:jc w:val="both"/>
        <w:textAlignment w:val="auto"/>
        <w:rPr>
          <w:rFonts w:hint="eastAsia" w:ascii="Times New Roman" w:hAnsi="Times New Roman" w:eastAsia="仿宋_GB2312" w:cs="仿宋_GB2312"/>
          <w:b/>
          <w:bCs/>
          <w:color w:val="000000"/>
          <w:sz w:val="32"/>
          <w:szCs w:val="32"/>
        </w:rPr>
      </w:pPr>
      <w:r>
        <w:rPr>
          <w:rFonts w:hint="eastAsia" w:eastAsia="仿宋_GB2312" w:cs="仿宋_GB2312"/>
          <w:b/>
          <w:bCs/>
          <w:color w:val="000000"/>
          <w:sz w:val="32"/>
          <w:szCs w:val="32"/>
          <w:lang w:eastAsia="zh-CN"/>
        </w:rPr>
        <w:t>（</w:t>
      </w:r>
      <w:r>
        <w:rPr>
          <w:rFonts w:hint="eastAsia" w:eastAsia="仿宋_GB2312" w:cs="仿宋_GB2312"/>
          <w:b/>
          <w:bCs/>
          <w:color w:val="000000"/>
          <w:sz w:val="32"/>
          <w:szCs w:val="32"/>
          <w:lang w:val="en-US" w:eastAsia="zh-CN"/>
        </w:rPr>
        <w:t>一</w:t>
      </w:r>
      <w:r>
        <w:rPr>
          <w:rFonts w:hint="eastAsia" w:eastAsia="仿宋_GB2312" w:cs="仿宋_GB2312"/>
          <w:b/>
          <w:bCs/>
          <w:color w:val="000000"/>
          <w:sz w:val="32"/>
          <w:szCs w:val="32"/>
          <w:lang w:eastAsia="zh-CN"/>
        </w:rPr>
        <w:t>）</w:t>
      </w:r>
      <w:r>
        <w:rPr>
          <w:rFonts w:hint="eastAsia" w:ascii="Times New Roman" w:hAnsi="Times New Roman" w:eastAsia="仿宋_GB2312" w:cs="仿宋_GB2312"/>
          <w:b/>
          <w:bCs/>
          <w:color w:val="000000"/>
          <w:sz w:val="32"/>
          <w:szCs w:val="32"/>
        </w:rPr>
        <w:t>推动开展高价值专利培育布局。</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
          <w:b w:val="0"/>
          <w:bCs w:val="0"/>
          <w:color w:val="auto"/>
          <w:sz w:val="32"/>
          <w:szCs w:val="32"/>
          <w:lang w:val="en-US" w:eastAsia="zh-CN"/>
        </w:rPr>
      </w:pPr>
      <w:r>
        <w:rPr>
          <w:rFonts w:hint="eastAsia" w:ascii="仿宋_GB2312" w:hAnsi="仿宋_GB2312" w:eastAsia="仿宋_GB2312" w:cs="仿宋"/>
          <w:b w:val="0"/>
          <w:bCs w:val="0"/>
          <w:color w:val="auto"/>
          <w:sz w:val="32"/>
          <w:szCs w:val="32"/>
          <w:lang w:val="en-US" w:eastAsia="zh-CN"/>
        </w:rPr>
        <w:t>1、</w:t>
      </w:r>
      <w:r>
        <w:rPr>
          <w:rFonts w:hint="eastAsia" w:ascii="仿宋_GB2312" w:hAnsi="仿宋_GB2312" w:eastAsia="仿宋_GB2312" w:cs="仿宋"/>
          <w:b w:val="0"/>
          <w:bCs w:val="0"/>
          <w:color w:val="auto"/>
          <w:sz w:val="32"/>
          <w:szCs w:val="32"/>
          <w:lang w:eastAsia="zh-CN"/>
        </w:rPr>
        <w:t>围绕重点产业关键核心技术领域，引进具备高价值专利培育能力的知识产权服务机构</w:t>
      </w:r>
      <w:r>
        <w:rPr>
          <w:rFonts w:hint="eastAsia" w:ascii="仿宋_GB2312" w:hAnsi="仿宋_GB2312" w:eastAsia="仿宋_GB2312" w:cs="仿宋"/>
          <w:b w:val="0"/>
          <w:bCs w:val="0"/>
          <w:color w:val="auto"/>
          <w:sz w:val="32"/>
          <w:szCs w:val="32"/>
          <w:lang w:val="en-US" w:eastAsia="zh-CN"/>
        </w:rPr>
        <w:t>2家，</w:t>
      </w:r>
      <w:r>
        <w:rPr>
          <w:rFonts w:hint="eastAsia" w:ascii="仿宋_GB2312" w:hAnsi="仿宋_GB2312" w:eastAsia="仿宋_GB2312" w:cs="仿宋"/>
          <w:b w:val="0"/>
          <w:bCs w:val="0"/>
          <w:color w:val="auto"/>
          <w:sz w:val="32"/>
          <w:szCs w:val="32"/>
          <w:lang w:eastAsia="zh-CN"/>
        </w:rPr>
        <w:t>精准开展高价值专利布局，助推企业提升高价值专利培育布局水平，促进韶关万人高价值发明专利拥有量稳步增长。举办《高价值专利培育布局工作指南》地方标准</w:t>
      </w:r>
      <w:r>
        <w:rPr>
          <w:rFonts w:hint="eastAsia" w:ascii="仿宋_GB2312" w:hAnsi="仿宋_GB2312" w:eastAsia="仿宋_GB2312" w:cs="仿宋"/>
          <w:b w:val="0"/>
          <w:bCs w:val="0"/>
          <w:color w:val="auto"/>
          <w:sz w:val="32"/>
          <w:szCs w:val="32"/>
          <w:lang w:val="en-US" w:eastAsia="zh-CN"/>
        </w:rPr>
        <w:t>宣贯</w:t>
      </w:r>
      <w:r>
        <w:rPr>
          <w:rFonts w:hint="eastAsia" w:ascii="仿宋_GB2312" w:hAnsi="仿宋_GB2312" w:eastAsia="仿宋_GB2312" w:cs="仿宋"/>
          <w:b w:val="0"/>
          <w:bCs w:val="0"/>
          <w:color w:val="auto"/>
          <w:sz w:val="32"/>
          <w:szCs w:val="32"/>
          <w:lang w:eastAsia="zh-CN"/>
        </w:rPr>
        <w:t>培训班</w:t>
      </w:r>
      <w:r>
        <w:rPr>
          <w:rFonts w:hint="eastAsia" w:ascii="仿宋_GB2312" w:hAnsi="仿宋_GB2312" w:eastAsia="仿宋_GB2312" w:cs="仿宋"/>
          <w:b w:val="0"/>
          <w:bCs w:val="0"/>
          <w:color w:val="auto"/>
          <w:sz w:val="32"/>
          <w:szCs w:val="32"/>
          <w:lang w:val="en-US" w:eastAsia="zh-CN"/>
        </w:rPr>
        <w:t>2场，每场参训企业数不少于50家。</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
          <w:b w:val="0"/>
          <w:bCs w:val="0"/>
          <w:color w:val="auto"/>
          <w:sz w:val="32"/>
          <w:szCs w:val="32"/>
          <w:lang w:val="en-US" w:eastAsia="zh-CN"/>
        </w:rPr>
      </w:pPr>
      <w:r>
        <w:rPr>
          <w:rFonts w:hint="eastAsia" w:ascii="仿宋_GB2312" w:hAnsi="仿宋_GB2312" w:eastAsia="仿宋_GB2312" w:cs="仿宋"/>
          <w:b w:val="0"/>
          <w:bCs w:val="0"/>
          <w:color w:val="auto"/>
          <w:sz w:val="32"/>
          <w:szCs w:val="32"/>
          <w:lang w:val="en-US" w:eastAsia="zh-CN"/>
        </w:rPr>
        <w:t>2、</w:t>
      </w:r>
      <w:r>
        <w:rPr>
          <w:rFonts w:hint="eastAsia" w:ascii="仿宋_GB2312" w:hAnsi="仿宋_GB2312" w:eastAsia="仿宋_GB2312" w:cs="仿宋"/>
          <w:b w:val="0"/>
          <w:bCs w:val="0"/>
          <w:color w:val="auto"/>
          <w:sz w:val="32"/>
          <w:szCs w:val="32"/>
          <w:lang w:eastAsia="zh-CN"/>
        </w:rPr>
        <w:t>组织实施重点产业专利导航，</w:t>
      </w:r>
      <w:r>
        <w:rPr>
          <w:rFonts w:hint="eastAsia" w:ascii="仿宋_GB2312" w:hAnsi="仿宋_GB2312" w:eastAsia="仿宋_GB2312" w:cs="仿宋"/>
          <w:b w:val="0"/>
          <w:bCs w:val="0"/>
          <w:color w:val="auto"/>
          <w:sz w:val="32"/>
          <w:szCs w:val="32"/>
          <w:lang w:val="en-US" w:eastAsia="zh-CN"/>
        </w:rPr>
        <w:t>培育</w:t>
      </w:r>
      <w:r>
        <w:rPr>
          <w:rFonts w:hint="eastAsia" w:ascii="仿宋_GB2312" w:hAnsi="仿宋_GB2312" w:eastAsia="仿宋_GB2312" w:cs="仿宋"/>
          <w:b w:val="0"/>
          <w:bCs w:val="0"/>
          <w:color w:val="auto"/>
          <w:sz w:val="32"/>
          <w:szCs w:val="32"/>
          <w:lang w:eastAsia="zh-CN"/>
        </w:rPr>
        <w:t>专利导航服务基地建设，充分运用专利数据，梳理制约区域和园区产业发展的瓶颈问题和关键核心技术，强化产业发展方向、发展定位和发展路径分析，引导和支撑重点产业高质量发展，发布重点产业专利导航报告</w:t>
      </w:r>
      <w:r>
        <w:rPr>
          <w:rFonts w:hint="eastAsia" w:ascii="仿宋_GB2312" w:hAnsi="仿宋_GB2312" w:eastAsia="仿宋_GB2312" w:cs="仿宋"/>
          <w:b w:val="0"/>
          <w:bCs w:val="0"/>
          <w:color w:val="auto"/>
          <w:sz w:val="32"/>
          <w:szCs w:val="32"/>
          <w:lang w:val="en-US" w:eastAsia="zh-CN"/>
        </w:rPr>
        <w:t>1份，形成具有指引借鉴意义较大的产业发展报告1份。</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
          <w:b w:val="0"/>
          <w:bCs w:val="0"/>
          <w:color w:val="auto"/>
          <w:sz w:val="32"/>
          <w:szCs w:val="32"/>
          <w:lang w:val="en-US" w:eastAsia="zh-CN"/>
        </w:rPr>
      </w:pPr>
      <w:r>
        <w:rPr>
          <w:rFonts w:hint="eastAsia" w:ascii="仿宋_GB2312" w:hAnsi="仿宋_GB2312" w:eastAsia="仿宋_GB2312" w:cs="仿宋"/>
          <w:b w:val="0"/>
          <w:bCs w:val="0"/>
          <w:color w:val="auto"/>
          <w:sz w:val="32"/>
          <w:szCs w:val="32"/>
          <w:lang w:val="en-US" w:eastAsia="zh-CN"/>
        </w:rPr>
        <w:t>3、</w:t>
      </w:r>
      <w:r>
        <w:rPr>
          <w:rFonts w:hint="eastAsia" w:ascii="仿宋_GB2312" w:hAnsi="仿宋_GB2312" w:eastAsia="仿宋_GB2312" w:cs="仿宋"/>
          <w:b w:val="0"/>
          <w:bCs w:val="0"/>
          <w:color w:val="auto"/>
          <w:sz w:val="32"/>
          <w:szCs w:val="32"/>
          <w:lang w:eastAsia="zh-CN"/>
        </w:rPr>
        <w:t>开展产业专利微导航，根据导航分析结果，指导行业龙头企业、行业“专精特新”中小企业等创新主体，调整市场布局、产品等经营策略，促进创新资源的优化配置。发布产业专利微导航报告</w:t>
      </w:r>
      <w:r>
        <w:rPr>
          <w:rFonts w:hint="eastAsia" w:ascii="仿宋_GB2312" w:hAnsi="仿宋_GB2312" w:eastAsia="仿宋_GB2312" w:cs="仿宋"/>
          <w:b w:val="0"/>
          <w:bCs w:val="0"/>
          <w:color w:val="auto"/>
          <w:sz w:val="32"/>
          <w:szCs w:val="32"/>
          <w:lang w:val="en-US" w:eastAsia="zh-CN"/>
        </w:rPr>
        <w:t>5份。</w:t>
      </w:r>
    </w:p>
    <w:p>
      <w:pPr>
        <w:pageBreakBefore w:val="0"/>
        <w:widowControl/>
        <w:numPr>
          <w:ilvl w:val="0"/>
          <w:numId w:val="0"/>
        </w:numPr>
        <w:kinsoku/>
        <w:wordWrap/>
        <w:overflowPunct/>
        <w:topLinePunct w:val="0"/>
        <w:autoSpaceDE/>
        <w:autoSpaceDN/>
        <w:bidi w:val="0"/>
        <w:spacing w:line="560" w:lineRule="exact"/>
        <w:ind w:firstLine="643" w:firstLineChars="200"/>
        <w:jc w:val="both"/>
        <w:textAlignment w:val="auto"/>
        <w:rPr>
          <w:rFonts w:hint="eastAsia" w:ascii="Times New Roman" w:hAnsi="Times New Roman" w:eastAsia="仿宋_GB2312" w:cs="仿宋_GB2312"/>
          <w:b/>
          <w:bCs/>
          <w:color w:val="auto"/>
          <w:sz w:val="32"/>
          <w:szCs w:val="32"/>
        </w:rPr>
      </w:pPr>
      <w:r>
        <w:rPr>
          <w:rFonts w:hint="eastAsia" w:eastAsia="仿宋_GB2312" w:cs="仿宋_GB2312"/>
          <w:b/>
          <w:bCs/>
          <w:color w:val="auto"/>
          <w:sz w:val="32"/>
          <w:szCs w:val="32"/>
          <w:lang w:eastAsia="zh-CN"/>
        </w:rPr>
        <w:t>（</w:t>
      </w:r>
      <w:r>
        <w:rPr>
          <w:rFonts w:hint="eastAsia" w:eastAsia="仿宋_GB2312" w:cs="仿宋_GB2312"/>
          <w:b/>
          <w:bCs/>
          <w:color w:val="auto"/>
          <w:sz w:val="32"/>
          <w:szCs w:val="32"/>
          <w:lang w:val="en-US" w:eastAsia="zh-CN"/>
        </w:rPr>
        <w:t>二</w:t>
      </w:r>
      <w:r>
        <w:rPr>
          <w:rFonts w:hint="eastAsia" w:eastAsia="仿宋_GB2312" w:cs="仿宋_GB2312"/>
          <w:b/>
          <w:bCs/>
          <w:color w:val="auto"/>
          <w:sz w:val="32"/>
          <w:szCs w:val="32"/>
          <w:lang w:eastAsia="zh-CN"/>
        </w:rPr>
        <w:t>）</w:t>
      </w:r>
      <w:r>
        <w:rPr>
          <w:rFonts w:hint="eastAsia" w:ascii="Times New Roman" w:hAnsi="Times New Roman" w:eastAsia="仿宋_GB2312" w:cs="仿宋_GB2312"/>
          <w:b/>
          <w:bCs/>
          <w:color w:val="auto"/>
          <w:sz w:val="32"/>
          <w:szCs w:val="32"/>
        </w:rPr>
        <w:t>开展知识产权运营转化。</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
          <w:b w:val="0"/>
          <w:bCs w:val="0"/>
          <w:color w:val="auto"/>
          <w:sz w:val="32"/>
          <w:szCs w:val="32"/>
          <w:lang w:val="en-US" w:eastAsia="zh-CN"/>
        </w:rPr>
      </w:pPr>
      <w:r>
        <w:rPr>
          <w:rFonts w:hint="eastAsia" w:ascii="仿宋_GB2312" w:hAnsi="仿宋_GB2312" w:eastAsia="仿宋_GB2312" w:cs="仿宋"/>
          <w:b w:val="0"/>
          <w:bCs w:val="0"/>
          <w:color w:val="auto"/>
          <w:sz w:val="32"/>
          <w:szCs w:val="32"/>
          <w:lang w:val="en-US" w:eastAsia="zh-CN"/>
        </w:rPr>
        <w:t>1、</w:t>
      </w:r>
      <w:r>
        <w:rPr>
          <w:rFonts w:hint="eastAsia" w:ascii="仿宋_GB2312" w:hAnsi="仿宋_GB2312" w:eastAsia="仿宋_GB2312" w:cs="仿宋"/>
          <w:b w:val="0"/>
          <w:bCs w:val="0"/>
          <w:color w:val="auto"/>
          <w:sz w:val="32"/>
          <w:szCs w:val="32"/>
          <w:lang w:eastAsia="zh-CN"/>
        </w:rPr>
        <w:t>建立区域、园区重点产业知识产权运营平台</w:t>
      </w:r>
      <w:r>
        <w:rPr>
          <w:rFonts w:hint="eastAsia" w:ascii="仿宋_GB2312" w:hAnsi="仿宋_GB2312" w:eastAsia="仿宋_GB2312" w:cs="仿宋"/>
          <w:b w:val="0"/>
          <w:bCs w:val="0"/>
          <w:color w:val="auto"/>
          <w:sz w:val="32"/>
          <w:szCs w:val="32"/>
          <w:lang w:val="en-US" w:eastAsia="zh-CN"/>
        </w:rPr>
        <w:t>1个</w:t>
      </w:r>
      <w:r>
        <w:rPr>
          <w:rFonts w:hint="eastAsia" w:ascii="仿宋_GB2312" w:hAnsi="仿宋_GB2312" w:eastAsia="仿宋_GB2312" w:cs="仿宋"/>
          <w:b w:val="0"/>
          <w:bCs w:val="0"/>
          <w:color w:val="auto"/>
          <w:sz w:val="32"/>
          <w:szCs w:val="32"/>
          <w:lang w:eastAsia="zh-CN"/>
        </w:rPr>
        <w:t>，引进知识产权运营机构</w:t>
      </w:r>
      <w:r>
        <w:rPr>
          <w:rFonts w:hint="eastAsia" w:ascii="仿宋_GB2312" w:hAnsi="仿宋_GB2312" w:eastAsia="仿宋_GB2312" w:cs="仿宋"/>
          <w:b w:val="0"/>
          <w:bCs w:val="0"/>
          <w:color w:val="auto"/>
          <w:sz w:val="32"/>
          <w:szCs w:val="32"/>
          <w:lang w:val="en-US" w:eastAsia="zh-CN"/>
        </w:rPr>
        <w:t>1家，推动</w:t>
      </w:r>
      <w:r>
        <w:rPr>
          <w:rFonts w:hint="eastAsia" w:ascii="仿宋_GB2312" w:hAnsi="仿宋_GB2312" w:eastAsia="仿宋_GB2312" w:cs="仿宋"/>
          <w:b w:val="0"/>
          <w:bCs w:val="0"/>
          <w:color w:val="auto"/>
          <w:sz w:val="32"/>
          <w:szCs w:val="32"/>
          <w:lang w:eastAsia="zh-CN"/>
        </w:rPr>
        <w:t>园区知识产权运营服务体系建设进一步完善。探索聚焦重点产业开展知识产权资产评估、交易、转化、许可、托管、投融资等增值服务，</w:t>
      </w:r>
      <w:r>
        <w:rPr>
          <w:rFonts w:hint="eastAsia" w:ascii="仿宋_GB2312" w:hAnsi="仿宋_GB2312" w:eastAsia="仿宋_GB2312" w:cs="仿宋"/>
          <w:b w:val="0"/>
          <w:bCs w:val="0"/>
          <w:color w:val="auto"/>
          <w:sz w:val="32"/>
          <w:szCs w:val="32"/>
          <w:lang w:val="en-US" w:eastAsia="zh-CN"/>
        </w:rPr>
        <w:t>提升和实现重点产业知识产权价值，通过知识产权交易运营平台或运营机构实现运营服务50单以上。</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
          <w:b w:val="0"/>
          <w:bCs w:val="0"/>
          <w:color w:val="auto"/>
          <w:sz w:val="32"/>
          <w:szCs w:val="32"/>
          <w:lang w:val="en-US" w:eastAsia="zh-CN"/>
        </w:rPr>
      </w:pPr>
      <w:r>
        <w:rPr>
          <w:rFonts w:hint="eastAsia" w:ascii="仿宋_GB2312" w:hAnsi="仿宋_GB2312" w:eastAsia="仿宋_GB2312" w:cs="仿宋"/>
          <w:b w:val="0"/>
          <w:bCs w:val="0"/>
          <w:color w:val="auto"/>
          <w:sz w:val="32"/>
          <w:szCs w:val="32"/>
          <w:lang w:val="en-US" w:eastAsia="zh-CN"/>
        </w:rPr>
        <w:t>2、</w:t>
      </w:r>
      <w:r>
        <w:rPr>
          <w:rFonts w:hint="eastAsia" w:ascii="仿宋_GB2312" w:hAnsi="仿宋_GB2312" w:eastAsia="仿宋_GB2312" w:cs="仿宋"/>
          <w:b w:val="0"/>
          <w:bCs w:val="0"/>
          <w:color w:val="auto"/>
          <w:sz w:val="32"/>
          <w:szCs w:val="32"/>
          <w:lang w:eastAsia="zh-CN"/>
        </w:rPr>
        <w:t>梳理区域、园区重点产业中小企业专利技术需求，积极推动国有企业、高校院所专利与中小企业进行对接，举办对接活动</w:t>
      </w:r>
      <w:r>
        <w:rPr>
          <w:rFonts w:hint="eastAsia" w:ascii="仿宋_GB2312" w:hAnsi="仿宋_GB2312" w:eastAsia="仿宋_GB2312" w:cs="仿宋"/>
          <w:b w:val="0"/>
          <w:bCs w:val="0"/>
          <w:color w:val="auto"/>
          <w:sz w:val="32"/>
          <w:szCs w:val="32"/>
          <w:lang w:val="en-US" w:eastAsia="zh-CN"/>
        </w:rPr>
        <w:t>2场，每场参与企业不少于50家。</w:t>
      </w:r>
      <w:r>
        <w:rPr>
          <w:rFonts w:hint="eastAsia" w:ascii="仿宋_GB2312" w:hAnsi="仿宋_GB2312" w:eastAsia="仿宋_GB2312" w:cs="仿宋"/>
          <w:b w:val="0"/>
          <w:bCs w:val="0"/>
          <w:color w:val="auto"/>
          <w:sz w:val="32"/>
          <w:szCs w:val="32"/>
          <w:lang w:eastAsia="zh-CN"/>
        </w:rPr>
        <w:t>帮助中小企业挖掘专利转化需求，使创新资源惠及中小企业渠道更加畅通，促进区域、园区知识产权转移转化实现</w:t>
      </w:r>
      <w:r>
        <w:rPr>
          <w:rFonts w:hint="eastAsia" w:ascii="仿宋_GB2312" w:hAnsi="仿宋_GB2312" w:eastAsia="仿宋_GB2312" w:cs="仿宋"/>
          <w:b w:val="0"/>
          <w:bCs w:val="0"/>
          <w:color w:val="auto"/>
          <w:sz w:val="32"/>
          <w:szCs w:val="32"/>
          <w:lang w:val="en-US" w:eastAsia="zh-CN"/>
        </w:rPr>
        <w:t>2单。</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
          <w:b w:val="0"/>
          <w:bCs w:val="0"/>
          <w:color w:val="auto"/>
          <w:sz w:val="32"/>
          <w:szCs w:val="32"/>
          <w:lang w:eastAsia="zh-CN"/>
        </w:rPr>
      </w:pPr>
      <w:r>
        <w:rPr>
          <w:rFonts w:hint="eastAsia" w:ascii="仿宋_GB2312" w:hAnsi="仿宋_GB2312" w:eastAsia="仿宋_GB2312" w:cs="仿宋"/>
          <w:b w:val="0"/>
          <w:bCs w:val="0"/>
          <w:color w:val="auto"/>
          <w:sz w:val="32"/>
          <w:szCs w:val="32"/>
          <w:lang w:val="en-US" w:eastAsia="zh-CN"/>
        </w:rPr>
        <w:t>3、</w:t>
      </w:r>
      <w:r>
        <w:rPr>
          <w:rFonts w:hint="eastAsia" w:ascii="仿宋_GB2312" w:hAnsi="仿宋_GB2312" w:eastAsia="仿宋_GB2312" w:cs="仿宋"/>
          <w:b w:val="0"/>
          <w:bCs w:val="0"/>
          <w:color w:val="auto"/>
          <w:sz w:val="32"/>
          <w:szCs w:val="32"/>
          <w:lang w:eastAsia="zh-CN"/>
        </w:rPr>
        <w:t>推动区域、园区产业中小企业知识产权质押融资，开展知识产权质押融资“入园惠企”培训</w:t>
      </w:r>
      <w:r>
        <w:rPr>
          <w:rFonts w:hint="eastAsia" w:ascii="仿宋_GB2312" w:hAnsi="仿宋_GB2312" w:eastAsia="仿宋_GB2312" w:cs="仿宋"/>
          <w:b w:val="0"/>
          <w:bCs w:val="0"/>
          <w:color w:val="auto"/>
          <w:sz w:val="32"/>
          <w:szCs w:val="32"/>
          <w:lang w:val="en-US" w:eastAsia="zh-CN"/>
        </w:rPr>
        <w:t>3场以上，每场参与企业不少于50家。</w:t>
      </w:r>
      <w:r>
        <w:rPr>
          <w:rFonts w:hint="eastAsia" w:ascii="仿宋_GB2312" w:hAnsi="仿宋_GB2312" w:eastAsia="仿宋_GB2312" w:cs="仿宋"/>
          <w:b w:val="0"/>
          <w:bCs w:val="0"/>
          <w:color w:val="auto"/>
          <w:sz w:val="32"/>
          <w:szCs w:val="32"/>
          <w:lang w:eastAsia="zh-CN"/>
        </w:rPr>
        <w:t>协助有需求的中小企业探索开展知识产权证券化和科创企业上市培育。</w:t>
      </w:r>
    </w:p>
    <w:p>
      <w:pPr>
        <w:pageBreakBefore w:val="0"/>
        <w:widowControl/>
        <w:numPr>
          <w:ilvl w:val="0"/>
          <w:numId w:val="0"/>
        </w:numPr>
        <w:kinsoku/>
        <w:wordWrap/>
        <w:overflowPunct/>
        <w:topLinePunct w:val="0"/>
        <w:autoSpaceDE/>
        <w:autoSpaceDN/>
        <w:bidi w:val="0"/>
        <w:spacing w:line="560" w:lineRule="exact"/>
        <w:ind w:firstLine="643" w:firstLineChars="200"/>
        <w:jc w:val="both"/>
        <w:textAlignment w:val="auto"/>
        <w:rPr>
          <w:rFonts w:hint="eastAsia" w:ascii="Times New Roman" w:hAnsi="Times New Roman" w:eastAsia="仿宋_GB2312" w:cs="仿宋_GB2312"/>
          <w:b/>
          <w:bCs/>
          <w:color w:val="auto"/>
          <w:sz w:val="32"/>
          <w:szCs w:val="32"/>
        </w:rPr>
      </w:pPr>
      <w:r>
        <w:rPr>
          <w:rFonts w:hint="eastAsia" w:eastAsia="仿宋_GB2312" w:cs="仿宋_GB2312"/>
          <w:b/>
          <w:bCs/>
          <w:color w:val="auto"/>
          <w:sz w:val="32"/>
          <w:szCs w:val="32"/>
          <w:lang w:eastAsia="zh-CN"/>
        </w:rPr>
        <w:t>（</w:t>
      </w:r>
      <w:r>
        <w:rPr>
          <w:rFonts w:hint="eastAsia" w:eastAsia="仿宋_GB2312" w:cs="仿宋_GB2312"/>
          <w:b/>
          <w:bCs/>
          <w:color w:val="auto"/>
          <w:sz w:val="32"/>
          <w:szCs w:val="32"/>
          <w:lang w:val="en-US" w:eastAsia="zh-CN"/>
        </w:rPr>
        <w:t>三</w:t>
      </w:r>
      <w:r>
        <w:rPr>
          <w:rFonts w:hint="eastAsia" w:eastAsia="仿宋_GB2312" w:cs="仿宋_GB2312"/>
          <w:b/>
          <w:bCs/>
          <w:color w:val="auto"/>
          <w:sz w:val="32"/>
          <w:szCs w:val="32"/>
          <w:lang w:eastAsia="zh-CN"/>
        </w:rPr>
        <w:t>）</w:t>
      </w:r>
      <w:r>
        <w:rPr>
          <w:rFonts w:hint="eastAsia" w:ascii="Times New Roman" w:hAnsi="Times New Roman" w:eastAsia="仿宋_GB2312" w:cs="仿宋_GB2312"/>
          <w:b/>
          <w:bCs/>
          <w:color w:val="auto"/>
          <w:sz w:val="32"/>
          <w:szCs w:val="32"/>
          <w:lang w:eastAsia="zh-CN"/>
        </w:rPr>
        <w:t>开展知识产权维权援助</w:t>
      </w:r>
      <w:r>
        <w:rPr>
          <w:rFonts w:hint="eastAsia" w:ascii="Times New Roman" w:hAnsi="Times New Roman" w:eastAsia="仿宋_GB2312" w:cs="仿宋_GB2312"/>
          <w:b/>
          <w:bCs/>
          <w:color w:val="auto"/>
          <w:sz w:val="32"/>
          <w:szCs w:val="32"/>
        </w:rPr>
        <w:t>。</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
          <w:b w:val="0"/>
          <w:bCs w:val="0"/>
          <w:color w:val="auto"/>
          <w:sz w:val="32"/>
          <w:szCs w:val="32"/>
          <w:lang w:eastAsia="zh-CN"/>
        </w:rPr>
      </w:pPr>
      <w:r>
        <w:rPr>
          <w:rFonts w:hint="eastAsia" w:ascii="仿宋_GB2312" w:hAnsi="仿宋_GB2312" w:eastAsia="仿宋_GB2312" w:cs="仿宋"/>
          <w:b w:val="0"/>
          <w:bCs w:val="0"/>
          <w:color w:val="auto"/>
          <w:sz w:val="32"/>
          <w:szCs w:val="32"/>
          <w:lang w:val="en-US" w:eastAsia="zh-CN"/>
        </w:rPr>
        <w:t>1、</w:t>
      </w:r>
      <w:r>
        <w:rPr>
          <w:rFonts w:hint="eastAsia" w:ascii="仿宋_GB2312" w:hAnsi="仿宋_GB2312" w:eastAsia="仿宋_GB2312" w:cs="仿宋"/>
          <w:b w:val="0"/>
          <w:bCs w:val="0"/>
          <w:color w:val="auto"/>
          <w:sz w:val="32"/>
          <w:szCs w:val="32"/>
          <w:lang w:eastAsia="zh-CN"/>
        </w:rPr>
        <w:t>高标准设立区域和园区知识产权维权援助服务工作站</w:t>
      </w:r>
      <w:r>
        <w:rPr>
          <w:rFonts w:hint="eastAsia" w:ascii="仿宋_GB2312" w:hAnsi="仿宋_GB2312" w:eastAsia="仿宋_GB2312" w:cs="仿宋"/>
          <w:b w:val="0"/>
          <w:bCs w:val="0"/>
          <w:color w:val="auto"/>
          <w:sz w:val="32"/>
          <w:szCs w:val="32"/>
          <w:lang w:val="en-US" w:eastAsia="zh-CN"/>
        </w:rPr>
        <w:t>1个</w:t>
      </w:r>
      <w:r>
        <w:rPr>
          <w:rFonts w:hint="eastAsia" w:ascii="仿宋_GB2312" w:hAnsi="仿宋_GB2312" w:eastAsia="仿宋_GB2312" w:cs="仿宋"/>
          <w:b w:val="0"/>
          <w:bCs w:val="0"/>
          <w:color w:val="auto"/>
          <w:sz w:val="32"/>
          <w:szCs w:val="32"/>
          <w:lang w:eastAsia="zh-CN"/>
        </w:rPr>
        <w:t>，配备三名以上具有法律背景的专（兼）职工作人员，并建立健全区域、园区产业集群知识产权维权援助工作制度和自律机制。</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
          <w:b w:val="0"/>
          <w:bCs w:val="0"/>
          <w:color w:val="auto"/>
          <w:sz w:val="32"/>
          <w:szCs w:val="32"/>
          <w:lang w:val="en-US" w:eastAsia="zh-CN"/>
        </w:rPr>
      </w:pPr>
      <w:r>
        <w:rPr>
          <w:rFonts w:hint="eastAsia" w:ascii="仿宋_GB2312" w:hAnsi="仿宋_GB2312" w:eastAsia="仿宋_GB2312" w:cs="仿宋"/>
          <w:b w:val="0"/>
          <w:bCs w:val="0"/>
          <w:color w:val="auto"/>
          <w:sz w:val="32"/>
          <w:szCs w:val="32"/>
          <w:lang w:val="en-US" w:eastAsia="zh-CN"/>
        </w:rPr>
        <w:t>2、</w:t>
      </w:r>
      <w:r>
        <w:rPr>
          <w:rFonts w:hint="eastAsia" w:ascii="仿宋_GB2312" w:hAnsi="仿宋_GB2312" w:eastAsia="仿宋_GB2312" w:cs="仿宋"/>
          <w:b w:val="0"/>
          <w:bCs w:val="0"/>
          <w:color w:val="auto"/>
          <w:sz w:val="32"/>
          <w:szCs w:val="32"/>
          <w:lang w:eastAsia="zh-CN"/>
        </w:rPr>
        <w:t>配合开展重点产业知识产权协同保护，为企业提供知识产权纠纷法律咨询、授权确权维权程序、法律状态查询、纠纷解决方案等服务，切实为区域、园区重点产业集群内的创新主体提供知识产权维权援助公益服务</w:t>
      </w:r>
      <w:r>
        <w:rPr>
          <w:rFonts w:hint="eastAsia" w:ascii="仿宋_GB2312" w:hAnsi="仿宋_GB2312" w:eastAsia="仿宋_GB2312" w:cs="仿宋"/>
          <w:b w:val="0"/>
          <w:bCs w:val="0"/>
          <w:color w:val="auto"/>
          <w:sz w:val="32"/>
          <w:szCs w:val="32"/>
          <w:lang w:val="en-US" w:eastAsia="zh-CN"/>
        </w:rPr>
        <w:t>20次以上。</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
          <w:b w:val="0"/>
          <w:bCs w:val="0"/>
          <w:color w:val="auto"/>
          <w:sz w:val="32"/>
          <w:szCs w:val="32"/>
          <w:lang w:val="en-US" w:eastAsia="zh-CN"/>
        </w:rPr>
      </w:pPr>
      <w:r>
        <w:rPr>
          <w:rFonts w:hint="eastAsia" w:ascii="仿宋_GB2312" w:hAnsi="仿宋_GB2312" w:eastAsia="仿宋_GB2312" w:cs="仿宋"/>
          <w:b w:val="0"/>
          <w:bCs w:val="0"/>
          <w:color w:val="auto"/>
          <w:sz w:val="32"/>
          <w:szCs w:val="32"/>
          <w:lang w:val="en-US" w:eastAsia="zh-CN"/>
        </w:rPr>
        <w:t>3、</w:t>
      </w:r>
      <w:r>
        <w:rPr>
          <w:rFonts w:hint="eastAsia" w:ascii="仿宋_GB2312" w:hAnsi="仿宋_GB2312" w:eastAsia="仿宋_GB2312" w:cs="仿宋"/>
          <w:b w:val="0"/>
          <w:bCs w:val="0"/>
          <w:color w:val="auto"/>
          <w:sz w:val="32"/>
          <w:szCs w:val="32"/>
          <w:lang w:eastAsia="zh-CN"/>
        </w:rPr>
        <w:t>组织有关企业开展国内国际展会展前知识产权风险排查；举办知识产权保护相关培训、公益研讨沙龙、知识产权法律宣传教育活动</w:t>
      </w:r>
      <w:r>
        <w:rPr>
          <w:rFonts w:hint="eastAsia" w:ascii="仿宋_GB2312" w:hAnsi="仿宋_GB2312" w:eastAsia="仿宋_GB2312" w:cs="仿宋"/>
          <w:b w:val="0"/>
          <w:bCs w:val="0"/>
          <w:color w:val="auto"/>
          <w:sz w:val="32"/>
          <w:szCs w:val="32"/>
          <w:lang w:val="en-US" w:eastAsia="zh-CN"/>
        </w:rPr>
        <w:t>2场以上，每场参与企业不少于50家。</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
          <w:b w:val="0"/>
          <w:bCs w:val="0"/>
          <w:color w:val="auto"/>
          <w:sz w:val="32"/>
          <w:szCs w:val="32"/>
          <w:lang w:eastAsia="zh-CN"/>
        </w:rPr>
      </w:pPr>
      <w:r>
        <w:rPr>
          <w:rFonts w:hint="eastAsia" w:ascii="仿宋_GB2312" w:hAnsi="仿宋_GB2312" w:eastAsia="仿宋_GB2312" w:cs="仿宋"/>
          <w:b w:val="0"/>
          <w:bCs w:val="0"/>
          <w:color w:val="auto"/>
          <w:sz w:val="32"/>
          <w:szCs w:val="32"/>
          <w:lang w:val="en-US" w:eastAsia="zh-CN"/>
        </w:rPr>
        <w:t>4、举办</w:t>
      </w:r>
      <w:r>
        <w:rPr>
          <w:rFonts w:hint="eastAsia" w:ascii="仿宋_GB2312" w:hAnsi="仿宋_GB2312" w:eastAsia="仿宋_GB2312" w:cs="仿宋"/>
          <w:b w:val="0"/>
          <w:bCs w:val="0"/>
          <w:color w:val="auto"/>
          <w:sz w:val="32"/>
          <w:szCs w:val="32"/>
          <w:lang w:eastAsia="zh-CN"/>
        </w:rPr>
        <w:t>《企业知识产权国际合规管理规范》宣贯培训班</w:t>
      </w:r>
      <w:r>
        <w:rPr>
          <w:rFonts w:hint="eastAsia" w:ascii="仿宋_GB2312" w:hAnsi="仿宋_GB2312" w:eastAsia="仿宋_GB2312" w:cs="仿宋"/>
          <w:b w:val="0"/>
          <w:bCs w:val="0"/>
          <w:color w:val="auto"/>
          <w:sz w:val="32"/>
          <w:szCs w:val="32"/>
          <w:lang w:val="en-US" w:eastAsia="zh-CN"/>
        </w:rPr>
        <w:t>1场以上</w:t>
      </w:r>
      <w:r>
        <w:rPr>
          <w:rFonts w:hint="eastAsia" w:ascii="仿宋_GB2312" w:hAnsi="仿宋_GB2312" w:eastAsia="仿宋_GB2312" w:cs="仿宋"/>
          <w:b w:val="0"/>
          <w:bCs w:val="0"/>
          <w:color w:val="auto"/>
          <w:sz w:val="32"/>
          <w:szCs w:val="32"/>
          <w:lang w:eastAsia="zh-CN"/>
        </w:rPr>
        <w:t>，</w:t>
      </w:r>
      <w:r>
        <w:rPr>
          <w:rFonts w:hint="eastAsia" w:ascii="仿宋_GB2312" w:hAnsi="仿宋_GB2312" w:eastAsia="仿宋_GB2312" w:cs="仿宋"/>
          <w:b w:val="0"/>
          <w:bCs w:val="0"/>
          <w:color w:val="auto"/>
          <w:sz w:val="32"/>
          <w:szCs w:val="32"/>
          <w:lang w:val="en-US" w:eastAsia="zh-CN"/>
        </w:rPr>
        <w:t>参与企业不少于50家。建立以</w:t>
      </w:r>
      <w:r>
        <w:rPr>
          <w:rFonts w:hint="eastAsia" w:ascii="仿宋_GB2312" w:hAnsi="仿宋_GB2312" w:eastAsia="仿宋_GB2312" w:cs="仿宋"/>
          <w:b w:val="0"/>
          <w:bCs w:val="0"/>
          <w:color w:val="auto"/>
          <w:sz w:val="32"/>
          <w:szCs w:val="32"/>
          <w:lang w:eastAsia="zh-CN"/>
        </w:rPr>
        <w:t>区域和园区中小微企业为重点援助对象的海外知识产权援助机制，加强海外知识产权案例和风险预警信息供给。开展海外知识产权纠纷应对指导服务，支持企业“走出去”，妥善处理重大涉外知识产权纠纷或诉求，并取得积极成效。</w:t>
      </w:r>
    </w:p>
    <w:p>
      <w:pPr>
        <w:pageBreakBefore w:val="0"/>
        <w:widowControl/>
        <w:numPr>
          <w:ilvl w:val="0"/>
          <w:numId w:val="0"/>
        </w:numPr>
        <w:kinsoku/>
        <w:wordWrap/>
        <w:overflowPunct/>
        <w:topLinePunct w:val="0"/>
        <w:autoSpaceDE/>
        <w:autoSpaceDN/>
        <w:bidi w:val="0"/>
        <w:spacing w:line="560" w:lineRule="exact"/>
        <w:ind w:firstLine="643" w:firstLineChars="200"/>
        <w:jc w:val="both"/>
        <w:textAlignment w:val="auto"/>
        <w:rPr>
          <w:rFonts w:hint="eastAsia" w:ascii="Times New Roman" w:hAnsi="Times New Roman" w:eastAsia="仿宋_GB2312" w:cs="仿宋_GB2312"/>
          <w:b/>
          <w:bCs/>
          <w:color w:val="auto"/>
          <w:sz w:val="32"/>
          <w:szCs w:val="32"/>
        </w:rPr>
      </w:pPr>
      <w:r>
        <w:rPr>
          <w:rFonts w:hint="eastAsia" w:eastAsia="仿宋_GB2312" w:cs="仿宋_GB2312"/>
          <w:b/>
          <w:bCs/>
          <w:color w:val="auto"/>
          <w:sz w:val="32"/>
          <w:szCs w:val="32"/>
          <w:lang w:eastAsia="zh-CN"/>
        </w:rPr>
        <w:t>（</w:t>
      </w:r>
      <w:r>
        <w:rPr>
          <w:rFonts w:hint="eastAsia" w:eastAsia="仿宋_GB2312" w:cs="仿宋_GB2312"/>
          <w:b/>
          <w:bCs/>
          <w:color w:val="auto"/>
          <w:sz w:val="32"/>
          <w:szCs w:val="32"/>
          <w:lang w:val="en-US" w:eastAsia="zh-CN"/>
        </w:rPr>
        <w:t>四</w:t>
      </w:r>
      <w:r>
        <w:rPr>
          <w:rFonts w:hint="eastAsia" w:eastAsia="仿宋_GB2312" w:cs="仿宋_GB2312"/>
          <w:b/>
          <w:bCs/>
          <w:color w:val="auto"/>
          <w:sz w:val="32"/>
          <w:szCs w:val="32"/>
          <w:lang w:eastAsia="zh-CN"/>
        </w:rPr>
        <w:t>）</w:t>
      </w:r>
      <w:r>
        <w:rPr>
          <w:rFonts w:hint="eastAsia" w:ascii="Times New Roman" w:hAnsi="Times New Roman" w:eastAsia="仿宋_GB2312" w:cs="仿宋_GB2312"/>
          <w:b/>
          <w:bCs/>
          <w:color w:val="auto"/>
          <w:sz w:val="32"/>
          <w:szCs w:val="32"/>
        </w:rPr>
        <w:t>建设知识产权信息服务平台。</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
          <w:b w:val="0"/>
          <w:bCs w:val="0"/>
          <w:color w:val="auto"/>
          <w:sz w:val="32"/>
          <w:szCs w:val="32"/>
          <w:lang w:val="en-US" w:eastAsia="zh-CN"/>
        </w:rPr>
      </w:pPr>
      <w:r>
        <w:rPr>
          <w:rFonts w:hint="eastAsia" w:ascii="仿宋_GB2312" w:hAnsi="仿宋_GB2312" w:eastAsia="仿宋_GB2312" w:cs="仿宋"/>
          <w:b w:val="0"/>
          <w:bCs w:val="0"/>
          <w:color w:val="auto"/>
          <w:sz w:val="32"/>
          <w:szCs w:val="32"/>
          <w:lang w:val="en-US" w:eastAsia="zh-CN"/>
        </w:rPr>
        <w:t>1、建设区域、园区重点产业专利和商标数据库1个，采集园区企业专利和商标数据库并定期更新，组织产业技术及知识产权领域专家队伍对信息深度整理和开发，为区域、园区产业发展提供完整的专利和商标信息支撑。</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
          <w:b w:val="0"/>
          <w:bCs w:val="0"/>
          <w:color w:val="auto"/>
          <w:sz w:val="32"/>
          <w:szCs w:val="32"/>
          <w:lang w:val="en-US" w:eastAsia="zh-CN"/>
        </w:rPr>
      </w:pPr>
      <w:r>
        <w:rPr>
          <w:rFonts w:hint="eastAsia" w:ascii="仿宋_GB2312" w:hAnsi="仿宋_GB2312" w:eastAsia="仿宋_GB2312" w:cs="仿宋"/>
          <w:b w:val="0"/>
          <w:bCs w:val="0"/>
          <w:color w:val="auto"/>
          <w:sz w:val="32"/>
          <w:szCs w:val="32"/>
          <w:lang w:val="en-US" w:eastAsia="zh-CN"/>
        </w:rPr>
        <w:t>2、建设区域、园区知识产权信息公共服务网点1个，面向区内中小企业和初创企业等创新主体，开展知识产权信息利用培训、产业领域信息推送等基础公共服务，向社会公众提供知识产权政策、信息检索能力提升指导服务50次以上。</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
          <w:b w:val="0"/>
          <w:bCs w:val="0"/>
          <w:color w:val="auto"/>
          <w:sz w:val="32"/>
          <w:szCs w:val="32"/>
          <w:lang w:val="en-US" w:eastAsia="zh-CN"/>
        </w:rPr>
      </w:pPr>
      <w:r>
        <w:rPr>
          <w:rFonts w:hint="eastAsia" w:ascii="仿宋_GB2312" w:hAnsi="仿宋_GB2312" w:eastAsia="仿宋_GB2312" w:cs="仿宋"/>
          <w:b w:val="0"/>
          <w:bCs w:val="0"/>
          <w:color w:val="auto"/>
          <w:sz w:val="32"/>
          <w:szCs w:val="32"/>
          <w:lang w:val="en-US" w:eastAsia="zh-CN"/>
        </w:rPr>
        <w:t>3、建设区域、园区特色产业知识产权信息服务平台1个，面向创新主体提供特定检索、专利信息监测预警、知识产权分析评议、创新成果转化、知识产权金融、知识产权管理咨询等增值知识产权信息服务50次以上。</w:t>
      </w:r>
    </w:p>
    <w:p>
      <w:pPr>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
          <w:b w:val="0"/>
          <w:bCs w:val="0"/>
          <w:color w:val="auto"/>
          <w:sz w:val="32"/>
          <w:szCs w:val="32"/>
          <w:lang w:val="en-US" w:eastAsia="zh-CN"/>
        </w:rPr>
      </w:pPr>
      <w:r>
        <w:rPr>
          <w:rFonts w:hint="eastAsia" w:ascii="仿宋_GB2312" w:hAnsi="仿宋_GB2312" w:eastAsia="仿宋_GB2312" w:cs="仿宋"/>
          <w:b w:val="0"/>
          <w:bCs w:val="0"/>
          <w:color w:val="auto"/>
          <w:sz w:val="32"/>
          <w:szCs w:val="32"/>
          <w:lang w:val="en-US" w:eastAsia="zh-CN"/>
        </w:rPr>
        <w:t>4、引进区域、园区知识产权信息公共服务机构2家以上，举办知识产权信息公共服务推广活动4场以上，每场参加企业数不少于50家。</w:t>
      </w:r>
    </w:p>
    <w:p>
      <w:pPr>
        <w:pageBreakBefore w:val="0"/>
        <w:widowControl/>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
          <w:b w:val="0"/>
          <w:bCs w:val="0"/>
          <w:color w:val="auto"/>
          <w:sz w:val="32"/>
          <w:szCs w:val="32"/>
          <w:lang w:val="en-US" w:eastAsia="zh-CN"/>
        </w:rPr>
      </w:pPr>
      <w:r>
        <w:rPr>
          <w:rFonts w:hint="eastAsia" w:ascii="仿宋_GB2312" w:hAnsi="仿宋_GB2312" w:eastAsia="仿宋_GB2312" w:cs="仿宋"/>
          <w:b/>
          <w:bCs/>
          <w:color w:val="auto"/>
          <w:sz w:val="32"/>
          <w:szCs w:val="32"/>
          <w:lang w:val="en-US" w:eastAsia="zh-CN"/>
        </w:rPr>
        <w:t>（五）</w:t>
      </w:r>
      <w:r>
        <w:rPr>
          <w:rFonts w:hint="eastAsia" w:ascii="仿宋_GB2312" w:hAnsi="仿宋_GB2312" w:eastAsia="仿宋_GB2312" w:cs="仿宋"/>
          <w:b w:val="0"/>
          <w:bCs w:val="0"/>
          <w:color w:val="auto"/>
          <w:sz w:val="32"/>
          <w:szCs w:val="32"/>
          <w:lang w:val="en-US" w:eastAsia="zh-CN"/>
        </w:rPr>
        <w:t>围绕韶关市重点园区知识产权协同运营中心建设在市直以上主流媒体宣传报道3次以上。制作发布1个宣传视频（针对宣传知识产权协同运营中心建设成效宣传）。形成1篇成效性总结宣传报道，在市直以上主流媒体发布。形成不少于1个案例总结。</w:t>
      </w:r>
    </w:p>
    <w:p>
      <w:pPr>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支持方式及额度：</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23</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color w:val="auto"/>
          <w:sz w:val="32"/>
          <w:szCs w:val="32"/>
        </w:rPr>
        <w:t>支持</w:t>
      </w:r>
      <w:r>
        <w:rPr>
          <w:rFonts w:hint="eastAsia" w:ascii="仿宋_GB2312" w:hAnsi="仿宋_GB2312" w:eastAsia="仿宋_GB2312" w:cs="仿宋_GB2312"/>
          <w:color w:val="auto"/>
          <w:sz w:val="32"/>
          <w:lang w:val="en-US" w:eastAsia="zh-CN"/>
        </w:rPr>
        <w:t>协同运营中心建设</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项，额度为</w:t>
      </w:r>
      <w:r>
        <w:rPr>
          <w:rFonts w:hint="eastAsia" w:ascii="仿宋_GB2312" w:hAnsi="仿宋_GB2312" w:eastAsia="仿宋_GB2312" w:cs="仿宋_GB2312"/>
          <w:color w:val="auto"/>
          <w:sz w:val="32"/>
          <w:szCs w:val="32"/>
          <w:lang w:val="en-US" w:eastAsia="zh-CN"/>
        </w:rPr>
        <w:t>180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宋体"/>
          <w:b w:val="0"/>
          <w:bCs w:val="0"/>
          <w:color w:val="auto"/>
          <w:sz w:val="32"/>
          <w:szCs w:val="32"/>
        </w:rPr>
      </w:pPr>
      <w:r>
        <w:rPr>
          <w:rFonts w:hint="eastAsia" w:ascii="黑体" w:hAnsi="黑体" w:eastAsia="黑体" w:cs="宋体"/>
          <w:b w:val="0"/>
          <w:bCs w:val="0"/>
          <w:color w:val="auto"/>
          <w:sz w:val="32"/>
          <w:szCs w:val="32"/>
          <w:lang w:eastAsia="zh-CN"/>
        </w:rPr>
        <w:t>四、</w:t>
      </w:r>
      <w:r>
        <w:rPr>
          <w:rFonts w:hint="eastAsia" w:ascii="黑体" w:hAnsi="黑体" w:eastAsia="黑体" w:cs="宋体"/>
          <w:b w:val="0"/>
          <w:bCs w:val="0"/>
          <w:color w:val="auto"/>
          <w:sz w:val="32"/>
          <w:szCs w:val="32"/>
        </w:rPr>
        <w:t>申报材料</w:t>
      </w:r>
    </w:p>
    <w:p>
      <w:pPr>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（一）</w:t>
      </w:r>
      <w:r>
        <w:rPr>
          <w:rFonts w:hint="eastAsia" w:ascii="仿宋_GB2312" w:hAnsi="仿宋_GB2312" w:eastAsia="仿宋_GB2312" w:cs="仿宋_GB2312"/>
          <w:color w:val="auto"/>
          <w:sz w:val="32"/>
        </w:rPr>
        <w:t>《</w:t>
      </w:r>
      <w:r>
        <w:rPr>
          <w:rFonts w:hint="eastAsia" w:ascii="仿宋_GB2312" w:hAnsi="仿宋_GB2312" w:eastAsia="仿宋_GB2312" w:cs="仿宋_GB2312"/>
          <w:color w:val="auto"/>
          <w:spacing w:val="-11"/>
          <w:sz w:val="32"/>
          <w:szCs w:val="32"/>
        </w:rPr>
        <w:t>2023年度省促进经济高质量发展专项资金（市场监督管理-知识产权创造、运用和保护）项目</w:t>
      </w:r>
      <w:r>
        <w:rPr>
          <w:rFonts w:hint="eastAsia" w:ascii="仿宋_GB2312" w:hAnsi="仿宋_GB2312" w:eastAsia="仿宋_GB2312" w:cs="仿宋_GB2312"/>
          <w:color w:val="auto"/>
          <w:sz w:val="32"/>
          <w:szCs w:val="32"/>
        </w:rPr>
        <w:t>申报书》；</w:t>
      </w:r>
    </w:p>
    <w:p>
      <w:pPr>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（二）</w:t>
      </w:r>
      <w:r>
        <w:rPr>
          <w:rFonts w:hint="eastAsia" w:ascii="仿宋_GB2312" w:hAnsi="仿宋_GB2312" w:eastAsia="仿宋_GB2312" w:cs="仿宋_GB2312"/>
          <w:color w:val="auto"/>
          <w:sz w:val="32"/>
          <w:szCs w:val="32"/>
        </w:rPr>
        <w:t>机构法人资格证书</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营业执照复印件</w:t>
      </w:r>
      <w:r>
        <w:rPr>
          <w:rFonts w:hint="eastAsia" w:ascii="仿宋_GB2312" w:hAnsi="仿宋_GB2312" w:eastAsia="仿宋_GB2312" w:cs="仿宋_GB2312"/>
          <w:color w:val="auto"/>
          <w:sz w:val="32"/>
        </w:rPr>
        <w:t>；</w:t>
      </w:r>
    </w:p>
    <w:p>
      <w:pPr>
        <w:pageBreakBefore w:val="0"/>
        <w:numPr>
          <w:ilvl w:val="0"/>
          <w:numId w:val="0"/>
        </w:numPr>
        <w:kinsoku/>
        <w:wordWrap/>
        <w:overflowPunct/>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（三）</w:t>
      </w:r>
      <w:r>
        <w:rPr>
          <w:rFonts w:hint="eastAsia" w:ascii="仿宋_GB2312" w:hAnsi="仿宋_GB2312" w:eastAsia="仿宋_GB2312" w:cs="仿宋_GB2312"/>
          <w:color w:val="auto"/>
          <w:sz w:val="32"/>
        </w:rPr>
        <w:t>近两年的财务报表；</w:t>
      </w:r>
    </w:p>
    <w:p>
      <w:pPr>
        <w:pStyle w:val="2"/>
        <w:pageBreakBefore w:val="0"/>
        <w:numPr>
          <w:ilvl w:val="0"/>
          <w:numId w:val="0"/>
        </w:numPr>
        <w:tabs>
          <w:tab w:val="clear" w:pos="420"/>
        </w:tabs>
        <w:kinsoku/>
        <w:wordWrap/>
        <w:overflowPunct/>
        <w:topLinePunct w:val="0"/>
        <w:autoSpaceDE/>
        <w:autoSpaceDN/>
        <w:bidi w:val="0"/>
        <w:spacing w:beforeLines="0" w:afterLines="0" w:line="560" w:lineRule="exact"/>
        <w:ind w:left="0"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（四）</w:t>
      </w:r>
      <w:r>
        <w:rPr>
          <w:rFonts w:hint="eastAsia" w:ascii="仿宋_GB2312" w:hAnsi="仿宋_GB2312" w:eastAsia="仿宋_GB2312" w:cs="仿宋_GB2312"/>
          <w:color w:val="auto"/>
          <w:sz w:val="32"/>
        </w:rPr>
        <w:t>真实性承诺函；</w:t>
      </w:r>
    </w:p>
    <w:p>
      <w:pPr>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（五）</w:t>
      </w:r>
      <w:r>
        <w:rPr>
          <w:rFonts w:hint="eastAsia" w:ascii="仿宋_GB2312" w:hAnsi="仿宋_GB2312" w:eastAsia="仿宋_GB2312" w:cs="仿宋_GB2312"/>
          <w:color w:val="auto"/>
          <w:sz w:val="32"/>
        </w:rPr>
        <w:t>其他证明申报条件、申报优势的材料。</w:t>
      </w:r>
    </w:p>
    <w:p>
      <w:pPr>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color w:val="auto"/>
        </w:rPr>
      </w:pPr>
      <w:r>
        <w:rPr>
          <w:rFonts w:ascii="Times New Roman" w:hAnsi="Times New Roman" w:eastAsia="仿宋_GB2312"/>
          <w:color w:val="auto"/>
          <w:sz w:val="32"/>
          <w:szCs w:val="32"/>
        </w:rPr>
        <w:t>上述材料均需加盖公章。</w:t>
      </w:r>
    </w:p>
    <w:p>
      <w:pPr>
        <w:pStyle w:val="7"/>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黑体" w:hAnsi="黑体" w:eastAsia="黑体" w:cs="宋体"/>
          <w:b w:val="0"/>
          <w:bCs w:val="0"/>
          <w:color w:val="auto"/>
          <w:sz w:val="32"/>
          <w:szCs w:val="32"/>
        </w:rPr>
      </w:pPr>
      <w:r>
        <w:rPr>
          <w:rFonts w:hint="eastAsia" w:ascii="黑体" w:hAnsi="黑体" w:eastAsia="黑体" w:cs="宋体"/>
          <w:b w:val="0"/>
          <w:bCs w:val="0"/>
          <w:color w:val="auto"/>
          <w:sz w:val="32"/>
          <w:szCs w:val="32"/>
          <w:lang w:val="en-US" w:eastAsia="zh-CN"/>
        </w:rPr>
        <w:t>五</w:t>
      </w:r>
      <w:r>
        <w:rPr>
          <w:rFonts w:hint="eastAsia" w:ascii="黑体" w:hAnsi="黑体" w:eastAsia="黑体" w:cs="宋体"/>
          <w:b w:val="0"/>
          <w:bCs w:val="0"/>
          <w:color w:val="auto"/>
          <w:sz w:val="32"/>
          <w:szCs w:val="32"/>
        </w:rPr>
        <w:t>、其他事项</w:t>
      </w:r>
    </w:p>
    <w:p>
      <w:pPr>
        <w:pageBreakBefore w:val="0"/>
        <w:kinsoku/>
        <w:wordWrap/>
        <w:overflowPunct/>
        <w:topLinePunct w:val="0"/>
        <w:autoSpaceDE/>
        <w:autoSpaceDN/>
        <w:bidi w:val="0"/>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）合同管理：项目立项后，市</w:t>
      </w:r>
      <w:r>
        <w:rPr>
          <w:rFonts w:hint="eastAsia" w:ascii="仿宋_GB2312" w:hAnsi="仿宋_GB2312" w:eastAsia="仿宋_GB2312" w:cs="仿宋_GB2312"/>
          <w:color w:val="auto"/>
          <w:sz w:val="32"/>
          <w:szCs w:val="32"/>
          <w:lang w:val="en-US" w:eastAsia="zh-CN"/>
        </w:rPr>
        <w:t>知识产权</w:t>
      </w:r>
      <w:r>
        <w:rPr>
          <w:rFonts w:hint="eastAsia" w:ascii="仿宋_GB2312" w:hAnsi="仿宋_GB2312" w:eastAsia="仿宋_GB2312" w:cs="仿宋_GB2312"/>
          <w:color w:val="auto"/>
          <w:sz w:val="32"/>
          <w:szCs w:val="32"/>
        </w:rPr>
        <w:t>局与承担单位签署项目合同书，作为项目管理的重要依据。</w:t>
      </w: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）项目验收：项目完成后，项目承担单位应</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2个月内</w:t>
      </w:r>
      <w:r>
        <w:rPr>
          <w:rFonts w:hint="eastAsia" w:ascii="仿宋_GB2312" w:hAnsi="仿宋_GB2312" w:eastAsia="仿宋_GB2312" w:cs="仿宋_GB2312"/>
          <w:color w:val="auto"/>
          <w:sz w:val="32"/>
          <w:szCs w:val="32"/>
        </w:rPr>
        <w:t>申请验收，向市</w:t>
      </w:r>
      <w:r>
        <w:rPr>
          <w:rFonts w:hint="eastAsia" w:ascii="仿宋_GB2312" w:hAnsi="仿宋_GB2312" w:eastAsia="仿宋_GB2312" w:cs="仿宋_GB2312"/>
          <w:color w:val="auto"/>
          <w:sz w:val="32"/>
          <w:szCs w:val="32"/>
          <w:lang w:val="en-US" w:eastAsia="zh-CN"/>
        </w:rPr>
        <w:t>知识产权</w:t>
      </w:r>
      <w:r>
        <w:rPr>
          <w:rFonts w:hint="eastAsia" w:ascii="仿宋_GB2312" w:hAnsi="仿宋_GB2312" w:eastAsia="仿宋_GB2312" w:cs="仿宋_GB2312"/>
          <w:color w:val="auto"/>
          <w:sz w:val="32"/>
          <w:szCs w:val="32"/>
        </w:rPr>
        <w:t>局报送工作成果，由市</w:t>
      </w:r>
      <w:r>
        <w:rPr>
          <w:rFonts w:hint="eastAsia" w:ascii="仿宋_GB2312" w:hAnsi="仿宋_GB2312" w:eastAsia="仿宋_GB2312" w:cs="仿宋_GB2312"/>
          <w:color w:val="auto"/>
          <w:sz w:val="32"/>
          <w:szCs w:val="32"/>
          <w:lang w:val="en-US" w:eastAsia="zh-CN"/>
        </w:rPr>
        <w:t>知识产权</w:t>
      </w:r>
      <w:r>
        <w:rPr>
          <w:rFonts w:hint="eastAsia" w:ascii="仿宋_GB2312" w:hAnsi="仿宋_GB2312" w:eastAsia="仿宋_GB2312" w:cs="仿宋_GB2312"/>
          <w:color w:val="auto"/>
          <w:sz w:val="32"/>
          <w:szCs w:val="32"/>
        </w:rPr>
        <w:t>局组织验收通过后，方可结项。</w:t>
      </w:r>
      <w:bookmarkStart w:id="0" w:name="_GoBack"/>
      <w:bookmarkEnd w:id="0"/>
    </w:p>
    <w:p>
      <w:pPr>
        <w:pageBreakBefore w:val="0"/>
        <w:kinsoku/>
        <w:wordWrap/>
        <w:overflowPunct/>
        <w:topLinePunct w:val="0"/>
        <w:autoSpaceDE/>
        <w:autoSpaceDN/>
        <w:bidi w:val="0"/>
        <w:spacing w:beforeLines="0" w:afterLines="0" w:line="560" w:lineRule="exact"/>
        <w:textAlignment w:val="auto"/>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D35FF"/>
    <w:rsid w:val="017B1E3E"/>
    <w:rsid w:val="0BED35FF"/>
    <w:rsid w:val="181F734A"/>
    <w:rsid w:val="18E37CB8"/>
    <w:rsid w:val="1A1A3D0B"/>
    <w:rsid w:val="1DE87693"/>
    <w:rsid w:val="20E30B0D"/>
    <w:rsid w:val="235B1736"/>
    <w:rsid w:val="255531E1"/>
    <w:rsid w:val="25FA697E"/>
    <w:rsid w:val="28AB1A22"/>
    <w:rsid w:val="2AB141E4"/>
    <w:rsid w:val="2B7B5294"/>
    <w:rsid w:val="2D1E3841"/>
    <w:rsid w:val="2EB1031B"/>
    <w:rsid w:val="39136878"/>
    <w:rsid w:val="3D701DFF"/>
    <w:rsid w:val="41933F41"/>
    <w:rsid w:val="45233162"/>
    <w:rsid w:val="46745078"/>
    <w:rsid w:val="48E24BD4"/>
    <w:rsid w:val="492B560E"/>
    <w:rsid w:val="498F0A35"/>
    <w:rsid w:val="4B9A248E"/>
    <w:rsid w:val="5029371D"/>
    <w:rsid w:val="53BC55AC"/>
    <w:rsid w:val="53F77F4F"/>
    <w:rsid w:val="56CB4B5E"/>
    <w:rsid w:val="5A254FFE"/>
    <w:rsid w:val="5A2F0C17"/>
    <w:rsid w:val="5D6C7924"/>
    <w:rsid w:val="5DC71D7D"/>
    <w:rsid w:val="66862745"/>
    <w:rsid w:val="68F75A1E"/>
    <w:rsid w:val="6C556DB6"/>
    <w:rsid w:val="6DA962F5"/>
    <w:rsid w:val="721377B0"/>
    <w:rsid w:val="722E1DD7"/>
    <w:rsid w:val="74EE3BC1"/>
    <w:rsid w:val="76A10727"/>
    <w:rsid w:val="790F12BA"/>
    <w:rsid w:val="792F2AEE"/>
    <w:rsid w:val="7B6C72B5"/>
    <w:rsid w:val="7C1A6193"/>
    <w:rsid w:val="7EF34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9"/>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unhideWhenUsed/>
    <w:qFormat/>
    <w:uiPriority w:val="99"/>
    <w:rPr>
      <w:rFonts w:ascii="宋体" w:hAnsi="Courier New"/>
    </w:rPr>
  </w:style>
  <w:style w:type="character" w:styleId="5">
    <w:name w:val="Strong"/>
    <w:basedOn w:val="4"/>
    <w:qFormat/>
    <w:uiPriority w:val="22"/>
    <w:rPr>
      <w:b/>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列出段落1"/>
    <w:basedOn w:val="1"/>
    <w:qFormat/>
    <w:uiPriority w:val="0"/>
    <w:pPr>
      <w:ind w:firstLine="420" w:firstLineChars="200"/>
    </w:pPr>
    <w:rPr>
      <w:rFonts w:ascii="Calibri" w:hAnsi="Calibri" w:eastAsia="宋体" w:cs="Times New Roman"/>
      <w:szCs w:val="24"/>
    </w:rPr>
  </w:style>
  <w:style w:type="paragraph" w:customStyle="1" w:styleId="9">
    <w:name w:val="正文 New New"/>
    <w:qFormat/>
    <w:uiPriority w:val="0"/>
    <w:pPr>
      <w:widowControl w:val="0"/>
      <w:jc w:val="both"/>
    </w:pPr>
    <w:rPr>
      <w:rFonts w:ascii="Times New Roman" w:hAnsi="Times New Roman" w:eastAsia="宋体" w:cstheme="minorBidi"/>
      <w:kern w:val="2"/>
      <w:sz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省工商行政管理局</Company>
  <Pages>1</Pages>
  <Words>0</Words>
  <Characters>0</Characters>
  <Lines>0</Lines>
  <Paragraphs>0</Paragraphs>
  <TotalTime>7</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2022-02-09T02:31:00Z</dcterms:created>
  <dc:creator>蔡美华</dc:creator>
  <cp:lastModifiedBy>林仕佳</cp:lastModifiedBy>
  <dcterms:modified xsi:type="dcterms:W3CDTF">2023-05-09T09:27:57Z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ribbonExt">
    <vt:lpwstr>{"WPSExtOfficeTab":{"OnGetEnabled":false,"OnGetVisible":false}}</vt:lpwstr>
  </property>
</Properties>
</file>