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r>
        <w:rPr>
          <w:rFonts w:hint="eastAsia" w:ascii="宋体" w:hAnsi="宋体" w:cs="宋体"/>
          <w:b/>
          <w:bCs/>
          <w:sz w:val="52"/>
          <w:szCs w:val="52"/>
          <w:lang w:val="en-US" w:eastAsia="zh-CN"/>
        </w:rPr>
        <w:t xml:space="preserve"> </w:t>
      </w:r>
      <w:r>
        <w:rPr>
          <w:rFonts w:hint="eastAsia" w:ascii="宋体" w:hAnsi="宋体" w:eastAsia="宋体" w:cs="宋体"/>
          <w:b/>
          <w:bCs/>
          <w:sz w:val="52"/>
          <w:szCs w:val="52"/>
          <w:lang w:val="en-US" w:eastAsia="zh-CN"/>
        </w:rPr>
        <w:t>韶关市发展和改革局部门整体支出第三方绩效评价报告</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sz w:val="32"/>
          <w:szCs w:val="32"/>
          <w:lang w:val="en-US" w:eastAsia="zh-CN"/>
        </w:rPr>
      </w:pPr>
      <w:bookmarkStart w:id="173" w:name="_GoBack"/>
      <w:bookmarkEnd w:id="173"/>
    </w:p>
    <w:p>
      <w:pPr>
        <w:pStyle w:val="7"/>
        <w:rPr>
          <w:rFonts w:hint="eastAsia" w:ascii="宋体" w:hAnsi="宋体" w:eastAsia="宋体" w:cs="宋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52"/>
          <w:szCs w:val="52"/>
          <w:lang w:val="en-US" w:eastAsia="zh-CN"/>
        </w:rPr>
      </w:pPr>
    </w:p>
    <w:p>
      <w:pPr>
        <w:pStyle w:val="22"/>
        <w:rPr>
          <w:rFonts w:hint="eastAsia" w:ascii="仿宋_GB2312" w:hAnsi="仿宋_GB2312" w:eastAsia="仿宋_GB2312" w:cs="仿宋_GB2312"/>
          <w:b/>
          <w:bCs/>
          <w:sz w:val="52"/>
          <w:szCs w:val="52"/>
          <w:lang w:val="en-US" w:eastAsia="zh-CN"/>
        </w:rPr>
      </w:pPr>
    </w:p>
    <w:p>
      <w:pPr>
        <w:pStyle w:val="22"/>
        <w:rPr>
          <w:rFonts w:hint="eastAsia" w:ascii="仿宋_GB2312" w:hAnsi="仿宋_GB2312" w:eastAsia="仿宋_GB2312" w:cs="仿宋_GB2312"/>
          <w:b/>
          <w:bCs/>
          <w:sz w:val="52"/>
          <w:szCs w:val="52"/>
          <w:lang w:val="en-US" w:eastAsia="zh-CN"/>
        </w:rPr>
      </w:pPr>
    </w:p>
    <w:p>
      <w:pPr>
        <w:pStyle w:val="22"/>
        <w:rPr>
          <w:rFonts w:hint="eastAsia" w:ascii="仿宋_GB2312" w:hAnsi="仿宋_GB2312" w:eastAsia="仿宋_GB2312" w:cs="仿宋_GB2312"/>
          <w:b/>
          <w:bCs/>
          <w:sz w:val="52"/>
          <w:szCs w:val="52"/>
          <w:lang w:val="en-US" w:eastAsia="zh-CN"/>
        </w:rPr>
      </w:pPr>
    </w:p>
    <w:p>
      <w:pPr>
        <w:pStyle w:val="22"/>
        <w:rPr>
          <w:rFonts w:hint="eastAsia" w:ascii="仿宋_GB2312" w:hAnsi="仿宋_GB2312" w:eastAsia="仿宋_GB2312" w:cs="仿宋_GB2312"/>
          <w:b/>
          <w:bCs/>
          <w:sz w:val="52"/>
          <w:szCs w:val="52"/>
          <w:lang w:val="en-US" w:eastAsia="zh-CN"/>
        </w:rPr>
      </w:pP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898" w:leftChars="904" w:firstLine="0" w:firstLineChars="0"/>
        <w:jc w:val="left"/>
        <w:textAlignment w:val="auto"/>
        <w:rPr>
          <w:rFonts w:hint="eastAsia" w:ascii="宋体" w:hAnsi="宋体" w:eastAsia="宋体" w:cs="宋体"/>
          <w:b w:val="0"/>
          <w:bCs w:val="0"/>
          <w:sz w:val="32"/>
          <w:szCs w:val="32"/>
          <w:lang w:val="en-US" w:eastAsia="zh-CN"/>
        </w:rPr>
      </w:pP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680" w:leftChars="80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评价机构：广东中企华正诚资产房地产</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680" w:leftChars="80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土地评估造价咨询有限公司</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680" w:leftChars="80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机构负责人：黄青发</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680" w:leftChars="80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项目负责人：陈智峰</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680" w:leftChars="80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日期：2022年12月14日</w:t>
      </w:r>
    </w:p>
    <w:p>
      <w:pPr>
        <w:keepNext w:val="0"/>
        <w:keepLines w:val="0"/>
        <w:pageBreakBefore w:val="0"/>
        <w:widowControl w:val="0"/>
        <w:kinsoku/>
        <w:wordWrap/>
        <w:overflowPunct/>
        <w:topLinePunct w:val="0"/>
        <w:autoSpaceDE/>
        <w:autoSpaceDN/>
        <w:bidi w:val="0"/>
        <w:adjustRightInd/>
        <w:snapToGrid/>
        <w:spacing w:line="360" w:lineRule="auto"/>
        <w:ind w:left="1680" w:leftChars="800"/>
        <w:jc w:val="center"/>
        <w:textAlignment w:val="auto"/>
        <w:rPr>
          <w:rFonts w:hint="eastAsia" w:ascii="仿宋_GB2312" w:hAnsi="仿宋_GB2312" w:eastAsia="仿宋_GB2312" w:cs="仿宋_GB2312"/>
          <w:b w:val="0"/>
          <w:bCs w:val="0"/>
          <w:spacing w:val="20"/>
          <w:sz w:val="32"/>
          <w:szCs w:val="32"/>
          <w:lang w:val="en-US" w:eastAsia="zh-CN"/>
        </w:rPr>
        <w:sectPr>
          <w:pgSz w:w="11906" w:h="16838"/>
          <w:pgMar w:top="1440" w:right="1417" w:bottom="1440" w:left="1531" w:header="851" w:footer="454" w:gutter="0"/>
          <w:pgBorders>
            <w:top w:val="none" w:sz="0" w:space="0"/>
            <w:left w:val="none" w:sz="0" w:space="0"/>
            <w:bottom w:val="none" w:sz="0" w:space="0"/>
            <w:right w:val="none" w:sz="0" w:space="0"/>
          </w:pgBorders>
          <w:pgNumType w:fmt="numberInDash" w:start="1"/>
          <w:cols w:space="0" w:num="1"/>
          <w:rtlGutter w:val="0"/>
          <w:docGrid w:type="lines" w:linePitch="325"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pacing w:val="160"/>
          <w:sz w:val="32"/>
          <w:szCs w:val="32"/>
          <w:lang w:val="en-US" w:eastAsia="zh-CN"/>
        </w:rPr>
      </w:pPr>
      <w:r>
        <w:rPr>
          <w:rFonts w:hint="eastAsia" w:ascii="黑体" w:hAnsi="黑体" w:eastAsia="黑体" w:cs="黑体"/>
          <w:b w:val="0"/>
          <w:bCs w:val="0"/>
          <w:spacing w:val="160"/>
          <w:sz w:val="32"/>
          <w:szCs w:val="32"/>
          <w:lang w:val="en-US" w:eastAsia="zh-CN"/>
        </w:rPr>
        <w:t>摘要</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受韶关市财政局（以下简称市财政局）委托，广东中企华正诚资产房地产土地评估造价咨询有限公司（以下简称：评价组）本着客观、公平、公正的原则，对韶关市发展和改革局（以下简称市发改局）部门整体支出进行第三方绩效评价。经综合评价，评价结果为</w:t>
      </w:r>
      <w:r>
        <w:rPr>
          <w:rFonts w:hint="eastAsia" w:ascii="仿宋_GB2312" w:hAnsi="仿宋_GB2312" w:eastAsia="仿宋_GB2312" w:cs="仿宋_GB2312"/>
          <w:b w:val="0"/>
          <w:bCs w:val="0"/>
          <w:spacing w:val="20"/>
          <w:sz w:val="32"/>
          <w:szCs w:val="32"/>
          <w:highlight w:val="none"/>
          <w:lang w:val="en-US" w:eastAsia="zh-CN"/>
        </w:rPr>
        <w:t>85.96</w:t>
      </w:r>
      <w:r>
        <w:rPr>
          <w:rFonts w:hint="eastAsia" w:ascii="仿宋_GB2312" w:hAnsi="仿宋_GB2312" w:eastAsia="仿宋_GB2312" w:cs="仿宋_GB2312"/>
          <w:b w:val="0"/>
          <w:bCs w:val="0"/>
          <w:spacing w:val="20"/>
          <w:sz w:val="32"/>
          <w:szCs w:val="32"/>
          <w:lang w:val="en-US" w:eastAsia="zh-CN"/>
        </w:rPr>
        <w:t>分，绩效等级为“良”。</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2021年，市发改局整体收入合计9,770.52万元，其中，一般公共预算财政拨款收入9,679.82万元，其他收入90.69万元；截至2021年12月31日（评价基准日），支出金额为9,679.82万元，财政拨款资金支出率为99.06%。</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2021年市发改局基本完成了年初工作计划任务，“双变”改革经验得到省委、省政府高度肯定，超额完成了重点项目投资，助推全市经济增长，整体工作取得了一定成效，但仍存在一些不足：一是储备粮管理机制有待完善，市级成品粮代储点粮食储存规范性不足；二是</w:t>
      </w:r>
      <w:r>
        <w:rPr>
          <w:rFonts w:hint="eastAsia" w:ascii="仿宋_GB2312" w:hAnsi="仿宋_GB2312" w:eastAsia="仿宋_GB2312" w:cs="仿宋_GB2312"/>
          <w:sz w:val="32"/>
          <w:szCs w:val="32"/>
          <w:highlight w:val="none"/>
          <w:lang w:val="en-US" w:eastAsia="zh-CN"/>
        </w:rPr>
        <w:t>预算编制合理性不足，政府采购计划支出金额与实际支出相差较大</w:t>
      </w:r>
      <w:r>
        <w:rPr>
          <w:rFonts w:hint="eastAsia" w:ascii="仿宋_GB2312" w:hAnsi="仿宋_GB2312" w:eastAsia="仿宋_GB2312" w:cs="仿宋_GB2312"/>
          <w:b w:val="0"/>
          <w:bCs w:val="0"/>
          <w:spacing w:val="20"/>
          <w:sz w:val="32"/>
          <w:szCs w:val="32"/>
          <w:lang w:val="en-US" w:eastAsia="zh-CN"/>
        </w:rPr>
        <w:t>；三是预算绩效管理水平有待提升。</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pacing w:val="20"/>
          <w:sz w:val="32"/>
          <w:szCs w:val="32"/>
          <w:lang w:val="en-US" w:eastAsia="zh-CN"/>
        </w:rPr>
        <w:t>针对以上存在的问题，评价小组提出如下建议：一是合理编制预算，提高预算编制准确性。建议降低预算调整率，加强项目预算管理。二是完善储备粮管理体系。</w:t>
      </w:r>
      <w:r>
        <w:rPr>
          <w:rFonts w:hint="eastAsia" w:ascii="仿宋_GB2312" w:hAnsi="仿宋_GB2312" w:eastAsia="仿宋_GB2312" w:cs="仿宋_GB2312"/>
          <w:bCs w:val="0"/>
          <w:sz w:val="32"/>
          <w:szCs w:val="32"/>
          <w:highlight w:val="none"/>
          <w:lang w:val="en-US" w:eastAsia="zh-CN"/>
        </w:rPr>
        <w:t>探索新型粮食储备合作机制，提高轮换补助金额，同时允许代储企业采取其他多种方式经营，根据市场需求调整储备粮食不同品种的占比。</w:t>
      </w:r>
      <w:r>
        <w:rPr>
          <w:rFonts w:hint="eastAsia" w:ascii="仿宋_GB2312" w:hAnsi="仿宋_GB2312" w:eastAsia="仿宋_GB2312" w:cs="仿宋_GB2312"/>
          <w:b w:val="0"/>
          <w:bCs w:val="0"/>
          <w:spacing w:val="20"/>
          <w:sz w:val="32"/>
          <w:szCs w:val="32"/>
          <w:lang w:val="en-US" w:eastAsia="zh-CN"/>
        </w:rPr>
        <w:t>三是结合部门工作实际，建立预算绩效管理制度，加强预算绩效管理培训，提高项目绩效管理能水平，进一步提高绩效指标编制的完整性、合理性和可衡量性。</w:t>
      </w:r>
    </w:p>
    <w:p>
      <w:pPr>
        <w:spacing w:before="0" w:after="0" w:line="240" w:lineRule="auto"/>
        <w:ind w:left="0" w:leftChars="0" w:right="0" w:rightChars="0" w:firstLine="0" w:firstLineChars="0"/>
        <w:jc w:val="center"/>
        <w:rPr>
          <w:rFonts w:hint="eastAsia" w:ascii="仿宋_GB2312" w:hAnsi="仿宋_GB2312" w:eastAsia="仿宋_GB2312" w:cs="仿宋_GB2312"/>
          <w:b/>
          <w:bCs/>
          <w:kern w:val="2"/>
          <w:sz w:val="32"/>
          <w:szCs w:val="32"/>
          <w:lang w:val="en-US" w:eastAsia="zh-CN" w:bidi="ar-SA"/>
        </w:rPr>
        <w:sectPr>
          <w:footerReference r:id="rId3" w:type="default"/>
          <w:pgSz w:w="11906" w:h="16838"/>
          <w:pgMar w:top="1440" w:right="1417" w:bottom="1440" w:left="1531" w:header="851" w:footer="454" w:gutter="0"/>
          <w:pgBorders>
            <w:top w:val="none" w:sz="0" w:space="0"/>
            <w:left w:val="none" w:sz="0" w:space="0"/>
            <w:bottom w:val="none" w:sz="0" w:space="0"/>
            <w:right w:val="none" w:sz="0" w:space="0"/>
          </w:pgBorders>
          <w:pgNumType w:fmt="numberInDash" w:start="1"/>
          <w:cols w:space="0" w:num="1"/>
          <w:rtlGutter w:val="0"/>
          <w:docGrid w:type="lines" w:linePitch="325" w:charSpace="0"/>
        </w:sectPr>
      </w:pPr>
    </w:p>
    <w:p>
      <w:pPr>
        <w:spacing w:before="0" w:after="0" w:line="240" w:lineRule="auto"/>
        <w:ind w:left="0" w:leftChars="0" w:right="0" w:rightChars="0" w:firstLine="0" w:firstLineChars="0"/>
        <w:jc w:val="center"/>
        <w:rPr>
          <w:b/>
          <w:bCs/>
          <w:sz w:val="44"/>
          <w:szCs w:val="44"/>
        </w:rPr>
      </w:pPr>
      <w:r>
        <w:rPr>
          <w:rFonts w:ascii="宋体" w:hAnsi="宋体" w:eastAsia="宋体"/>
          <w:b/>
          <w:bCs/>
          <w:spacing w:val="200"/>
          <w:sz w:val="44"/>
          <w:szCs w:val="44"/>
        </w:rPr>
        <w:t>目录</w:t>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_Toc3581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 项目基本情况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_Toc3581 \h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_Toc32239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w:t>
      </w:r>
      <w:r>
        <w:rPr>
          <w:rFonts w:hint="eastAsia" w:ascii="宋体" w:hAnsi="宋体" w:eastAsia="宋体" w:cs="宋体"/>
          <w:bCs/>
          <w:sz w:val="28"/>
          <w:szCs w:val="28"/>
          <w:lang w:val="en-US" w:eastAsia="zh-CN"/>
        </w:rPr>
        <w:t>部门概要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_Toc32239 \h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_Toc6316 </w:instrText>
      </w:r>
      <w:r>
        <w:rPr>
          <w:rFonts w:hint="eastAsia" w:ascii="宋体" w:hAnsi="宋体" w:eastAsia="宋体" w:cs="宋体"/>
          <w:sz w:val="28"/>
          <w:szCs w:val="28"/>
        </w:rPr>
        <w:fldChar w:fldCharType="separate"/>
      </w:r>
      <w:r>
        <w:rPr>
          <w:rFonts w:hint="eastAsia" w:ascii="宋体" w:hAnsi="宋体" w:eastAsia="宋体" w:cs="宋体"/>
          <w:bCs/>
          <w:sz w:val="28"/>
          <w:szCs w:val="28"/>
        </w:rPr>
        <w:t>（</w:t>
      </w:r>
      <w:r>
        <w:rPr>
          <w:rFonts w:hint="eastAsia" w:ascii="宋体" w:hAnsi="宋体" w:eastAsia="宋体" w:cs="宋体"/>
          <w:bCs/>
          <w:sz w:val="28"/>
          <w:szCs w:val="28"/>
          <w:lang w:val="en-US" w:eastAsia="zh-CN"/>
        </w:rPr>
        <w:t>二</w:t>
      </w:r>
      <w:r>
        <w:rPr>
          <w:rFonts w:hint="eastAsia" w:ascii="宋体" w:hAnsi="宋体" w:eastAsia="宋体" w:cs="宋体"/>
          <w:bCs/>
          <w:sz w:val="28"/>
          <w:szCs w:val="28"/>
        </w:rPr>
        <w:t>）</w:t>
      </w:r>
      <w:r>
        <w:rPr>
          <w:rFonts w:hint="eastAsia" w:ascii="宋体" w:hAnsi="宋体" w:eastAsia="宋体" w:cs="宋体"/>
          <w:bCs/>
          <w:sz w:val="28"/>
          <w:szCs w:val="28"/>
          <w:lang w:val="en-US" w:eastAsia="zh-CN"/>
        </w:rPr>
        <w:t>年度总体工作任务及重点工作</w:t>
      </w:r>
      <w:r>
        <w:rPr>
          <w:rFonts w:hint="eastAsia" w:ascii="宋体" w:hAnsi="宋体" w:eastAsia="宋体" w:cs="宋体"/>
          <w:bCs/>
          <w:sz w:val="28"/>
          <w:szCs w:val="28"/>
        </w:rPr>
        <w:t>任务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_Toc6316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_Toc18027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三）资金使用的绩效目标及指标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_Toc18027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_Toc19006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四</w:t>
      </w:r>
      <w:r>
        <w:rPr>
          <w:rFonts w:hint="eastAsia" w:ascii="宋体" w:hAnsi="宋体" w:eastAsia="宋体" w:cs="宋体"/>
          <w:bCs/>
          <w:sz w:val="28"/>
          <w:szCs w:val="28"/>
          <w:highlight w:val="none"/>
        </w:rPr>
        <w:t>）部门整体收支情况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_Toc19006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_Toc17088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rPr>
        <w:t>二、</w:t>
      </w:r>
      <w:r>
        <w:rPr>
          <w:rFonts w:hint="eastAsia" w:ascii="宋体" w:hAnsi="宋体" w:eastAsia="宋体" w:cs="宋体"/>
          <w:bCs/>
          <w:sz w:val="28"/>
          <w:szCs w:val="28"/>
          <w:highlight w:val="none"/>
          <w:lang w:val="en-US" w:eastAsia="zh-CN"/>
        </w:rPr>
        <w:t>绩效评价指标分析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_Toc17088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_Toc2997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（一）</w:t>
      </w:r>
      <w:r>
        <w:rPr>
          <w:rFonts w:hint="eastAsia" w:ascii="宋体" w:hAnsi="宋体" w:eastAsia="宋体" w:cs="宋体"/>
          <w:bCs/>
          <w:sz w:val="28"/>
          <w:szCs w:val="28"/>
          <w:highlight w:val="none"/>
          <w:lang w:val="en-US" w:eastAsia="zh-CN"/>
        </w:rPr>
        <w:t>年度工作任务及绩效目标完成情况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_Toc2997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_Toc7706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二）</w:t>
      </w:r>
      <w:r>
        <w:rPr>
          <w:rFonts w:hint="eastAsia" w:ascii="宋体" w:hAnsi="宋体" w:eastAsia="宋体" w:cs="宋体"/>
          <w:bCs/>
          <w:sz w:val="28"/>
          <w:szCs w:val="28"/>
          <w:highlight w:val="none"/>
          <w:lang w:eastAsia="zh-CN"/>
        </w:rPr>
        <w:t>预算编制情况分析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_Toc7706 \h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_Toc20750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三）</w:t>
      </w:r>
      <w:r>
        <w:rPr>
          <w:rFonts w:hint="eastAsia" w:ascii="宋体" w:hAnsi="宋体" w:eastAsia="宋体" w:cs="宋体"/>
          <w:bCs/>
          <w:sz w:val="28"/>
          <w:szCs w:val="28"/>
          <w:highlight w:val="none"/>
        </w:rPr>
        <w:t>预算执行情况分析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_Toc20750 \h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_Toc9205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四）预算使用效益分析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_Toc9205 \h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_Toc10602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val="en-US" w:eastAsia="zh-CN"/>
        </w:rPr>
        <w:t>三、评价结论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_Toc10602 \h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_Toc6713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val="en-US" w:eastAsia="zh-CN"/>
        </w:rPr>
        <w:t>四</w:t>
      </w:r>
      <w:r>
        <w:rPr>
          <w:rFonts w:hint="eastAsia" w:ascii="宋体" w:hAnsi="宋体" w:eastAsia="宋体" w:cs="宋体"/>
          <w:bCs/>
          <w:sz w:val="28"/>
          <w:szCs w:val="28"/>
          <w:highlight w:val="none"/>
        </w:rPr>
        <w:t>、主要绩效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_Toc6713 \h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_Toc4401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一）</w:t>
      </w:r>
      <w:r>
        <w:rPr>
          <w:rFonts w:hint="eastAsia" w:ascii="宋体" w:hAnsi="宋体" w:eastAsia="宋体" w:cs="宋体"/>
          <w:bCs/>
          <w:sz w:val="28"/>
          <w:szCs w:val="28"/>
          <w:highlight w:val="none"/>
        </w:rPr>
        <w:t>落实“双变”改革，促进产城融合发展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_Toc4401 \h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_Toc10573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二）加大重点项目投资，助推全市经济增长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_Toc10573 \h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_Toc7777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三）加强节能预警调控，加快城市转型发展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_Toc7777 \h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_Toc10652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val="en-US" w:eastAsia="zh-CN"/>
        </w:rPr>
        <w:t>五、</w:t>
      </w:r>
      <w:r>
        <w:rPr>
          <w:rFonts w:hint="eastAsia" w:ascii="宋体" w:hAnsi="宋体" w:eastAsia="宋体" w:cs="宋体"/>
          <w:bCs/>
          <w:sz w:val="28"/>
          <w:szCs w:val="28"/>
          <w:highlight w:val="none"/>
        </w:rPr>
        <w:t>存在问题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_Toc10652 \h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_Toc8314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一</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政府采购计划前瞻性不足，预算编制合理性有待提高</w:t>
      </w:r>
      <w:r>
        <w:rPr>
          <w:rFonts w:hint="eastAsia" w:ascii="宋体" w:hAnsi="宋体" w:cs="宋体"/>
          <w:bCs/>
          <w:sz w:val="28"/>
          <w:szCs w:val="28"/>
          <w:highlight w:val="none"/>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_Toc8314 \h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_Toc10847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val="en-US" w:eastAsia="zh-CN"/>
        </w:rPr>
        <w:t>（二）代储点粮权归属不清，储备粮管理机制有待完善</w:t>
      </w:r>
      <w:r>
        <w:rPr>
          <w:rFonts w:hint="eastAsia" w:ascii="宋体" w:hAnsi="宋体" w:cs="宋体"/>
          <w:bCs/>
          <w:sz w:val="28"/>
          <w:szCs w:val="28"/>
          <w:highlight w:val="none"/>
          <w:lang w:val="en-US" w:eastAsia="zh-CN"/>
        </w:rPr>
        <w:t>。</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_Toc10847 \h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_Toc22690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val="en-US" w:eastAsia="zh-CN"/>
        </w:rPr>
        <w:t>（三）预算绩效管理体系有待完善，项目绩效管理能力有待提高</w:t>
      </w:r>
      <w:r>
        <w:rPr>
          <w:rFonts w:hint="eastAsia" w:ascii="宋体" w:hAnsi="宋体" w:eastAsia="宋体" w:cs="宋体"/>
          <w:sz w:val="28"/>
          <w:szCs w:val="28"/>
        </w:rPr>
        <w:tab/>
      </w: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_Toc22690 \h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_Toc25521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val="en-US" w:eastAsia="zh-CN"/>
        </w:rPr>
        <w:t>六、</w:t>
      </w:r>
      <w:r>
        <w:rPr>
          <w:rFonts w:hint="eastAsia" w:ascii="宋体" w:hAnsi="宋体" w:eastAsia="宋体" w:cs="宋体"/>
          <w:bCs/>
          <w:sz w:val="28"/>
          <w:szCs w:val="28"/>
          <w:highlight w:val="none"/>
        </w:rPr>
        <w:t>相关建议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_Toc25521 \h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_Toc21486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一</w:t>
      </w:r>
      <w:r>
        <w:rPr>
          <w:rFonts w:hint="eastAsia" w:ascii="宋体" w:hAnsi="宋体" w:eastAsia="宋体" w:cs="宋体"/>
          <w:bCs/>
          <w:sz w:val="28"/>
          <w:szCs w:val="28"/>
          <w:highlight w:val="none"/>
          <w:lang w:eastAsia="zh-CN"/>
        </w:rPr>
        <w:t>）加强项目预算管理，提高预算编制准确性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_Toc21486 \h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_Toc5678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二</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完善储备粮管理体系，提高储粮管理水平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_Toc5678 \h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_Toc246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三</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lang w:val="en-US" w:eastAsia="zh-CN"/>
        </w:rPr>
        <w:t>建立</w:t>
      </w:r>
      <w:r>
        <w:rPr>
          <w:rFonts w:hint="eastAsia" w:ascii="宋体" w:hAnsi="宋体" w:eastAsia="宋体" w:cs="宋体"/>
          <w:bCs/>
          <w:sz w:val="28"/>
          <w:szCs w:val="28"/>
          <w:highlight w:val="none"/>
          <w:lang w:eastAsia="zh-CN"/>
        </w:rPr>
        <w:t>预算绩效管理制度，提高项目绩效管理能力</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_Toc246 \h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_Toc11444 </w:instrText>
      </w:r>
      <w:r>
        <w:rPr>
          <w:rFonts w:hint="eastAsia" w:ascii="宋体" w:hAnsi="宋体" w:eastAsia="宋体" w:cs="宋体"/>
          <w:sz w:val="28"/>
          <w:szCs w:val="28"/>
        </w:rPr>
        <w:fldChar w:fldCharType="separate"/>
      </w:r>
      <w:r>
        <w:rPr>
          <w:rFonts w:hint="eastAsia" w:ascii="宋体" w:hAnsi="宋体" w:eastAsia="宋体" w:cs="宋体"/>
          <w:sz w:val="28"/>
          <w:szCs w:val="28"/>
        </w:rPr>
        <w:t>附件</w:t>
      </w:r>
      <w:r>
        <w:rPr>
          <w:rFonts w:hint="eastAsia" w:ascii="宋体" w:hAnsi="宋体" w:eastAsia="宋体" w:cs="宋体"/>
          <w:sz w:val="28"/>
          <w:szCs w:val="28"/>
          <w:lang w:val="en-US" w:eastAsia="zh-CN"/>
        </w:rPr>
        <w:t>1</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_Toc8998 \h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_Toc8998 </w:instrText>
      </w:r>
      <w:r>
        <w:rPr>
          <w:rFonts w:hint="eastAsia" w:ascii="宋体" w:hAnsi="宋体" w:eastAsia="宋体" w:cs="宋体"/>
          <w:sz w:val="28"/>
          <w:szCs w:val="28"/>
        </w:rPr>
        <w:fldChar w:fldCharType="separate"/>
      </w:r>
      <w:r>
        <w:rPr>
          <w:rFonts w:hint="eastAsia" w:ascii="宋体" w:hAnsi="宋体" w:eastAsia="宋体" w:cs="宋体"/>
          <w:bCs w:val="0"/>
          <w:sz w:val="28"/>
          <w:szCs w:val="28"/>
          <w:highlight w:val="none"/>
          <w:lang w:val="en-US" w:eastAsia="zh-CN"/>
        </w:rPr>
        <w:t>附件2</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_Toc8998 \h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 </w:t>
      </w:r>
      <w:r>
        <w:rPr>
          <w:rFonts w:hint="eastAsia" w:ascii="宋体" w:hAnsi="宋体" w:cs="宋体"/>
          <w:sz w:val="28"/>
          <w:szCs w:val="28"/>
          <w:lang w:val="en-US" w:eastAsia="zh-CN"/>
        </w:rPr>
        <w:t>34</w:t>
      </w:r>
      <w:r>
        <w:rPr>
          <w:rFonts w:hint="eastAsia" w:ascii="宋体" w:hAnsi="宋体" w:eastAsia="宋体" w:cs="宋体"/>
          <w:sz w:val="28"/>
          <w:szCs w:val="28"/>
        </w:rPr>
        <w:t xml:space="preserve">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3"/>
        <w:keepNext w:val="0"/>
        <w:keepLines w:val="0"/>
        <w:pageBreakBefore w:val="0"/>
        <w:tabs>
          <w:tab w:val="right" w:leader="dot" w:pos="8958"/>
        </w:tabs>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b w:val="0"/>
          <w:bCs w:val="0"/>
          <w:sz w:val="32"/>
          <w:szCs w:val="32"/>
        </w:rPr>
        <w:sectPr>
          <w:footerReference r:id="rId4" w:type="default"/>
          <w:pgSz w:w="11906" w:h="16838"/>
          <w:pgMar w:top="1440" w:right="1417" w:bottom="1440" w:left="1531" w:header="851" w:footer="454" w:gutter="0"/>
          <w:pgBorders>
            <w:top w:val="none" w:sz="0" w:space="0"/>
            <w:left w:val="none" w:sz="0" w:space="0"/>
            <w:bottom w:val="none" w:sz="0" w:space="0"/>
            <w:right w:val="none" w:sz="0" w:space="0"/>
          </w:pgBorders>
          <w:pgNumType w:fmt="numberInDash"/>
          <w:cols w:space="0" w:num="1"/>
          <w:rtlGutter w:val="0"/>
          <w:docGrid w:type="lines" w:linePitch="325" w:charSpace="0"/>
        </w:sectPr>
      </w:pPr>
      <w:r>
        <w:rPr>
          <w:rFonts w:hint="eastAsia" w:ascii="仿宋_GB2312" w:hAnsi="仿宋_GB2312" w:eastAsia="仿宋_GB2312" w:cs="仿宋_GB2312"/>
          <w:sz w:val="32"/>
          <w:szCs w:val="32"/>
        </w:rPr>
        <w:fldChar w:fldCharType="end"/>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640" w:firstLineChars="200"/>
        <w:jc w:val="left"/>
        <w:textAlignment w:val="auto"/>
        <w:rPr>
          <w:rFonts w:hint="eastAsia" w:ascii="黑体" w:hAnsi="黑体" w:eastAsia="黑体" w:cs="黑体"/>
          <w:b w:val="0"/>
          <w:bCs/>
          <w:sz w:val="32"/>
          <w:szCs w:val="32"/>
          <w:lang w:val="en-US" w:eastAsia="zh-CN"/>
        </w:rPr>
      </w:pPr>
      <w:bookmarkStart w:id="0" w:name="_Toc21495"/>
      <w:bookmarkStart w:id="1" w:name="_Toc3581"/>
      <w:bookmarkStart w:id="2" w:name="_Toc8480"/>
      <w:r>
        <w:rPr>
          <w:rFonts w:hint="eastAsia" w:ascii="黑体" w:hAnsi="黑体" w:eastAsia="黑体" w:cs="黑体"/>
          <w:b w:val="0"/>
          <w:bCs/>
          <w:sz w:val="32"/>
          <w:szCs w:val="32"/>
          <w:lang w:val="en-US" w:eastAsia="zh-CN"/>
        </w:rPr>
        <w:t>项目基本情况</w:t>
      </w:r>
      <w:bookmarkEnd w:id="0"/>
      <w:bookmarkEnd w:id="1"/>
      <w:bookmarkEnd w:id="2"/>
    </w:p>
    <w:p>
      <w:pPr>
        <w:pStyle w:val="4"/>
        <w:pageBreakBefore w:val="0"/>
        <w:widowControl w:val="0"/>
        <w:kinsoku/>
        <w:wordWrap/>
        <w:overflowPunct/>
        <w:autoSpaceDE/>
        <w:autoSpaceDN/>
        <w:bidi w:val="0"/>
        <w:adjustRightInd/>
        <w:snapToGrid/>
        <w:spacing w:before="0" w:after="0" w:line="360" w:lineRule="auto"/>
        <w:ind w:firstLine="640" w:firstLineChars="200"/>
        <w:textAlignment w:val="auto"/>
        <w:rPr>
          <w:rFonts w:hint="eastAsia" w:ascii="楷体_GB2312" w:hAnsi="楷体_GB2312" w:eastAsia="楷体_GB2312" w:cs="楷体_GB2312"/>
          <w:b w:val="0"/>
          <w:bCs/>
          <w:lang w:eastAsia="zh-CN"/>
        </w:rPr>
      </w:pPr>
      <w:bookmarkStart w:id="3" w:name="_Toc44169692"/>
      <w:bookmarkStart w:id="4" w:name="_Toc23829"/>
      <w:bookmarkStart w:id="5" w:name="_Toc28475"/>
      <w:bookmarkStart w:id="6" w:name="_Toc9315"/>
      <w:bookmarkStart w:id="7" w:name="_Toc5988_WPSOffice_Level3"/>
      <w:bookmarkStart w:id="8" w:name="_Toc17863"/>
      <w:bookmarkStart w:id="9" w:name="_Toc28518"/>
      <w:bookmarkStart w:id="10" w:name="_Toc23683"/>
      <w:bookmarkStart w:id="11" w:name="_Toc22917"/>
      <w:bookmarkStart w:id="12" w:name="_Toc32239"/>
      <w:bookmarkStart w:id="13" w:name="_Toc5443"/>
      <w:bookmarkStart w:id="14" w:name="_Toc27706"/>
      <w:bookmarkStart w:id="15" w:name="_Toc30819"/>
      <w:bookmarkStart w:id="16" w:name="_Toc10651"/>
      <w:bookmarkStart w:id="17" w:name="_Toc13383"/>
      <w:bookmarkStart w:id="18" w:name="_Toc2483"/>
      <w:bookmarkStart w:id="19" w:name="_Toc22873"/>
      <w:bookmarkStart w:id="20" w:name="_Toc15714"/>
      <w:bookmarkStart w:id="21" w:name="_Toc44169526"/>
      <w:bookmarkStart w:id="22" w:name="_Toc10874"/>
      <w:bookmarkStart w:id="23" w:name="_Toc15225"/>
      <w:bookmarkStart w:id="24" w:name="_Toc15159"/>
      <w:bookmarkStart w:id="25" w:name="_Toc44164181"/>
      <w:bookmarkStart w:id="26" w:name="_Toc31701"/>
      <w:bookmarkStart w:id="27" w:name="_Toc17544"/>
      <w:bookmarkStart w:id="28" w:name="_Toc23118"/>
      <w:bookmarkStart w:id="29" w:name="_Toc21466"/>
      <w:bookmarkStart w:id="30" w:name="_Toc8323"/>
      <w:bookmarkStart w:id="31" w:name="_Toc4024"/>
      <w:bookmarkStart w:id="32" w:name="_Toc18779"/>
      <w:bookmarkStart w:id="33" w:name="_Toc44169693"/>
      <w:r>
        <w:rPr>
          <w:rFonts w:hint="eastAsia" w:ascii="楷体_GB2312" w:hAnsi="楷体_GB2312" w:eastAsia="楷体_GB2312" w:cs="楷体_GB2312"/>
          <w:b w:val="0"/>
          <w:bCs/>
        </w:rPr>
        <w:t>（一）</w:t>
      </w:r>
      <w:bookmarkEnd w:id="3"/>
      <w:bookmarkEnd w:id="4"/>
      <w:bookmarkEnd w:id="5"/>
      <w:bookmarkEnd w:id="6"/>
      <w:bookmarkEnd w:id="7"/>
      <w:bookmarkEnd w:id="8"/>
      <w:bookmarkEnd w:id="9"/>
      <w:bookmarkEnd w:id="10"/>
      <w:r>
        <w:rPr>
          <w:rFonts w:hint="eastAsia" w:ascii="楷体_GB2312" w:hAnsi="楷体_GB2312" w:eastAsia="楷体_GB2312" w:cs="楷体_GB2312"/>
          <w:b w:val="0"/>
          <w:bCs/>
          <w:lang w:val="en-US" w:eastAsia="zh-CN"/>
        </w:rPr>
        <w:t>部门</w:t>
      </w:r>
      <w:bookmarkEnd w:id="11"/>
      <w:r>
        <w:rPr>
          <w:rFonts w:hint="eastAsia" w:ascii="楷体_GB2312" w:hAnsi="楷体_GB2312" w:eastAsia="楷体_GB2312" w:cs="楷体_GB2312"/>
          <w:b w:val="0"/>
          <w:bCs/>
          <w:lang w:val="en-US" w:eastAsia="zh-CN"/>
        </w:rPr>
        <w:t>概要</w:t>
      </w:r>
      <w:bookmarkEnd w:id="12"/>
      <w:bookmarkEnd w:id="13"/>
      <w:bookmarkEnd w:id="14"/>
    </w:p>
    <w:p>
      <w:pPr>
        <w:pStyle w:val="5"/>
        <w:pageBreakBefore w:val="0"/>
        <w:widowControl w:val="0"/>
        <w:kinsoku/>
        <w:wordWrap/>
        <w:overflowPunct/>
        <w:autoSpaceDE/>
        <w:autoSpaceDN/>
        <w:bidi w:val="0"/>
        <w:adjustRightInd/>
        <w:snapToGrid/>
        <w:spacing w:line="360" w:lineRule="auto"/>
        <w:ind w:firstLine="640" w:firstLineChars="200"/>
        <w:textAlignment w:val="auto"/>
        <w:rPr>
          <w:rFonts w:hint="default"/>
          <w:b w:val="0"/>
          <w:bCs/>
        </w:rPr>
      </w:pPr>
      <w:r>
        <w:rPr>
          <w:b w:val="0"/>
          <w:bCs/>
        </w:rPr>
        <w:t>1.部门主要职责</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ageBreakBefore w:val="0"/>
        <w:widowControl w:val="0"/>
        <w:kinsoku/>
        <w:wordWrap/>
        <w:overflowPunct/>
        <w:topLinePunct/>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根据《关于印发〈韶关市发展和改革局职能配置、内设机构和人员编制规定〉的通知》（韶办发〔2021〕2号）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市发改局下</w:t>
      </w:r>
      <w:r>
        <w:rPr>
          <w:rFonts w:hint="eastAsia" w:ascii="仿宋_GB2312" w:hAnsi="仿宋_GB2312" w:eastAsia="仿宋_GB2312" w:cs="仿宋_GB2312"/>
          <w:sz w:val="32"/>
          <w:szCs w:val="32"/>
          <w:highlight w:val="none"/>
        </w:rPr>
        <w:t>设办公室、</w:t>
      </w:r>
      <w:r>
        <w:rPr>
          <w:rFonts w:hint="eastAsia" w:ascii="仿宋_GB2312" w:hAnsi="仿宋_GB2312" w:eastAsia="仿宋_GB2312" w:cs="仿宋_GB2312"/>
          <w:sz w:val="32"/>
          <w:szCs w:val="32"/>
          <w:highlight w:val="none"/>
          <w:lang w:val="en-US" w:eastAsia="zh-CN"/>
        </w:rPr>
        <w:t>综合规划科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人事科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农村经济科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产业发展科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粮食和物资储备科等20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科室，分别</w:t>
      </w:r>
      <w:r>
        <w:rPr>
          <w:rFonts w:hint="eastAsia" w:ascii="仿宋_GB2312" w:hAnsi="仿宋_GB2312" w:eastAsia="仿宋_GB2312" w:cs="仿宋_GB2312"/>
          <w:sz w:val="32"/>
          <w:szCs w:val="32"/>
          <w:highlight w:val="none"/>
        </w:rPr>
        <w:t>履行</w:t>
      </w:r>
      <w:r>
        <w:rPr>
          <w:rFonts w:hint="eastAsia" w:ascii="仿宋_GB2312" w:hAnsi="仿宋_GB2312" w:eastAsia="仿宋_GB2312" w:cs="仿宋_GB2312"/>
          <w:sz w:val="32"/>
          <w:szCs w:val="32"/>
          <w:highlight w:val="none"/>
          <w:lang w:val="en-US" w:eastAsia="zh-CN"/>
        </w:rPr>
        <w:t>经济运行监测、促进有效投资、全社会节能工作、粮食安全和应急物资管理</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十九</w:t>
      </w:r>
      <w:r>
        <w:rPr>
          <w:rFonts w:hint="eastAsia" w:ascii="仿宋_GB2312" w:hAnsi="仿宋_GB2312" w:eastAsia="仿宋_GB2312" w:cs="仿宋_GB2312"/>
          <w:sz w:val="32"/>
          <w:szCs w:val="32"/>
          <w:highlight w:val="none"/>
        </w:rPr>
        <w:t>大项主要职责，如</w:t>
      </w:r>
      <w:r>
        <w:rPr>
          <w:rFonts w:hint="eastAsia" w:ascii="仿宋_GB2312" w:hAnsi="仿宋_GB2312" w:eastAsia="仿宋_GB2312" w:cs="仿宋_GB2312"/>
          <w:sz w:val="32"/>
          <w:szCs w:val="32"/>
          <w:highlight w:val="none"/>
          <w:lang w:val="en-US" w:eastAsia="zh-CN"/>
        </w:rPr>
        <w:t>下表</w:t>
      </w:r>
      <w:r>
        <w:rPr>
          <w:rFonts w:hint="eastAsia" w:ascii="仿宋_GB2312" w:hAnsi="仿宋_GB2312" w:eastAsia="仿宋_GB2312" w:cs="仿宋_GB2312"/>
          <w:sz w:val="32"/>
          <w:szCs w:val="32"/>
          <w:highlight w:val="none"/>
        </w:rPr>
        <w:t>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表1-1部门主要职责</w:t>
      </w:r>
    </w:p>
    <w:tbl>
      <w:tblPr>
        <w:tblStyle w:val="1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29"/>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blHeader/>
          <w:jc w:val="center"/>
        </w:trPr>
        <w:tc>
          <w:tcPr>
            <w:tcW w:w="729" w:type="dxa"/>
            <w:shd w:val="clear" w:color="auto" w:fill="FFFFFF"/>
            <w:vAlign w:val="center"/>
          </w:tcPr>
          <w:p>
            <w:pPr>
              <w:widowControl/>
              <w:spacing w:line="360" w:lineRule="auto"/>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序号</w:t>
            </w:r>
          </w:p>
        </w:tc>
        <w:tc>
          <w:tcPr>
            <w:tcW w:w="8228" w:type="dxa"/>
            <w:shd w:val="clear" w:color="auto" w:fill="FFFFFF"/>
            <w:vAlign w:val="center"/>
          </w:tcPr>
          <w:p>
            <w:pPr>
              <w:widowControl/>
              <w:spacing w:line="360" w:lineRule="auto"/>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拟订并组织实施国民经济和社会发展战略、中长期规划和年度计划。牵头组织全市统一规划体系建设，负责市级专项规划、区域规划、空间规划与市发展规划的统筹衔接，起草发展改革领域有关规范文件。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228" w:type="dxa"/>
            <w:shd w:val="clear" w:color="auto" w:fill="FFFFFF"/>
            <w:vAlign w:val="center"/>
          </w:tcPr>
          <w:p>
            <w:pPr>
              <w:widowControl/>
              <w:spacing w:line="276" w:lineRule="auto"/>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统筹提出全市国民经济和社会发展主要目标，监测预测预警宏观经济和社会发展态势趋势，提出政策建议。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指导推进和综合协调经济体制改革有关工作，提出相关改革建议。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研究提出利用外资和境外投资的战略、规划和重大政策。负责推动“一带一路”建设相关工作。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负责全市投资综合管理，拟订全社会固定资产投资总规模、结构调控目标和政策。会同有关部门编制市级政府年度投资计划。按权限审批、核准、审核、备案重大项目。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组织拟订并推进落实区域协调发展战略、规划和重大政策，协调区域发展重大问题。负责规划和统筹协调各类重大区域发展平台。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组织拟订综合性产业政策，负责协调一、二、三产业发展重大问题并统筹衔接相关发展规划和重大政策。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负责重大基础设施的综合协调。统筹重大基础设施布局，协调推进重大基础设施建设发展。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推动实施创新驱动发展战略。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负责全市社会发展与国民经济发展和政策衔接，协调有关重大问题。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推进实施全市可持续发展战略，推动生态文明建设和改革，协调生态环境保护与修复、能源资源节约和综合利用等工作。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会同有关部门组织推进全市经济建设与国防建设协调发展的战略和规划。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拟订能源发展战略、发展规划、发展计划、产业政策并组织实施。推进能源体制改革，拟订有关改革方案。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负责全社会节能工作，拟订节能专项规划和政策措施并组织实施，实施能源消费总量和强度“双控”有关工作。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指导监督全市能源安全保障工作，参与能源应急保障工作。负责主管全市石油天然气管道（城镇燃气管道和炼油、化工等企业厂区内管道除外）保护工作。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研究提出全市粮食流通和物资储备体制改革方案并组织实施。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统筹推进落实粮食安全政府责任制和相关考核工作。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拟订全市粮食流通设施和物资储备基础设施建设规划并组织实施，指导市县相关粮食流通设施和物资储备基础设施建设。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19</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承办市委、市政府和省发展改革委、省能源局、省粮食和物资储备局交办的其他事项。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rPr>
                <w:rFonts w:hint="default" w:asciiTheme="minorEastAsia" w:hAnsiTheme="minorEastAsia" w:eastAsiaTheme="minorEastAsia" w:cstheme="minorEastAsia"/>
                <w:sz w:val="18"/>
                <w:szCs w:val="18"/>
                <w:lang w:val="en-US" w:eastAsia="zh-CN"/>
              </w:rPr>
            </w:pPr>
            <w:bookmarkStart w:id="34" w:name="_Toc20744"/>
            <w:bookmarkStart w:id="35" w:name="_Toc4772"/>
            <w:bookmarkStart w:id="36" w:name="_Toc11746"/>
            <w:bookmarkStart w:id="37" w:name="_Toc25442"/>
            <w:bookmarkStart w:id="38" w:name="_Toc2876"/>
            <w:bookmarkStart w:id="39" w:name="_Toc28544"/>
            <w:bookmarkStart w:id="40" w:name="_Toc9435"/>
            <w:bookmarkStart w:id="41" w:name="_Toc23562"/>
            <w:r>
              <w:rPr>
                <w:rFonts w:hint="eastAsia" w:ascii="仿宋_GB2312" w:hAnsi="仿宋_GB2312" w:eastAsia="仿宋_GB2312" w:cs="仿宋_GB2312"/>
                <w:kern w:val="0"/>
                <w:sz w:val="24"/>
                <w:szCs w:val="24"/>
                <w:lang w:val="en-US" w:eastAsia="zh-CN"/>
              </w:rPr>
              <w:t>20</w:t>
            </w:r>
          </w:p>
        </w:tc>
        <w:tc>
          <w:tcPr>
            <w:tcW w:w="8228" w:type="dxa"/>
            <w:shd w:val="clear" w:color="auto" w:fill="FFFFFF"/>
            <w:vAlign w:val="center"/>
          </w:tcPr>
          <w:p>
            <w:pPr>
              <w:widowControl/>
              <w:spacing w:line="276"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拟订社会信用体系建设规划和政策措施，协调推进社会信用体系建设，统筹协调相关重大问题。组织建设和管理公共信用信息管理系统，组织开展公共信用信息归集和应用管理。推进信用联合激励和联合惩戒工作。</w:t>
            </w:r>
          </w:p>
        </w:tc>
      </w:tr>
    </w:tbl>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eastAsia"/>
          <w:b w:val="0"/>
          <w:bCs/>
        </w:rPr>
      </w:pPr>
      <w:r>
        <w:rPr>
          <w:rFonts w:hint="eastAsia"/>
          <w:b w:val="0"/>
          <w:bCs/>
          <w:lang w:val="en-US" w:eastAsia="zh-CN"/>
        </w:rPr>
        <w:t>2.</w:t>
      </w:r>
      <w:r>
        <w:rPr>
          <w:rFonts w:hint="eastAsia"/>
          <w:b w:val="0"/>
          <w:bCs/>
        </w:rPr>
        <w:t>纳入决算编制范围单位</w:t>
      </w:r>
      <w:bookmarkEnd w:id="34"/>
      <w:bookmarkEnd w:id="35"/>
      <w:bookmarkEnd w:id="36"/>
      <w:bookmarkEnd w:id="37"/>
      <w:bookmarkEnd w:id="38"/>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纳入财政决算编报范围的单位共</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个，包括</w:t>
      </w:r>
      <w:r>
        <w:rPr>
          <w:rFonts w:hint="eastAsia" w:ascii="仿宋_GB2312" w:hAnsi="仿宋_GB2312" w:eastAsia="仿宋_GB2312" w:cs="仿宋_GB2312"/>
          <w:sz w:val="32"/>
          <w:szCs w:val="32"/>
          <w:highlight w:val="none"/>
          <w:lang w:val="en-US" w:eastAsia="zh-CN"/>
        </w:rPr>
        <w:t>市发改局</w:t>
      </w:r>
      <w:r>
        <w:rPr>
          <w:rFonts w:hint="eastAsia" w:ascii="仿宋_GB2312" w:hAnsi="仿宋_GB2312" w:eastAsia="仿宋_GB2312" w:cs="仿宋_GB2312"/>
          <w:sz w:val="32"/>
          <w:szCs w:val="32"/>
          <w:highlight w:val="none"/>
        </w:rPr>
        <w:t>本级和</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sz w:val="32"/>
          <w:szCs w:val="32"/>
          <w:highlight w:val="none"/>
        </w:rPr>
        <w:t>预算单位，下属单位分别是：</w:t>
      </w:r>
      <w:r>
        <w:rPr>
          <w:rFonts w:hint="eastAsia" w:ascii="仿宋_GB2312" w:hAnsi="仿宋_GB2312" w:eastAsia="仿宋_GB2312" w:cs="仿宋_GB2312"/>
          <w:sz w:val="32"/>
          <w:szCs w:val="32"/>
          <w:highlight w:val="none"/>
          <w:lang w:val="en-US" w:eastAsia="zh-CN"/>
        </w:rPr>
        <w:t>韶关市价格认证中心（以下简称“市价格认证中心”，公益一类）。</w:t>
      </w:r>
    </w:p>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default"/>
          <w:b w:val="0"/>
          <w:bCs/>
        </w:rPr>
      </w:pPr>
      <w:bookmarkStart w:id="42" w:name="_Toc5509"/>
      <w:bookmarkStart w:id="43" w:name="_Toc4916"/>
      <w:bookmarkStart w:id="44" w:name="_Toc22207"/>
      <w:bookmarkStart w:id="45" w:name="_Toc32483"/>
      <w:bookmarkStart w:id="46" w:name="_Toc3010"/>
      <w:bookmarkStart w:id="47" w:name="_Toc3551"/>
      <w:bookmarkStart w:id="48" w:name="_Toc9868"/>
      <w:bookmarkStart w:id="49" w:name="_Toc11793"/>
      <w:r>
        <w:rPr>
          <w:rFonts w:hint="eastAsia"/>
          <w:b w:val="0"/>
          <w:bCs/>
          <w:lang w:val="en-US" w:eastAsia="zh-CN"/>
        </w:rPr>
        <w:t>3.</w:t>
      </w:r>
      <w:r>
        <w:rPr>
          <w:rFonts w:hint="eastAsia"/>
          <w:b w:val="0"/>
          <w:bCs/>
        </w:rPr>
        <w:t>部门人员编制构成</w:t>
      </w:r>
      <w:bookmarkEnd w:id="42"/>
      <w:bookmarkEnd w:id="43"/>
      <w:bookmarkEnd w:id="44"/>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截至2021年12月31日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市发改局部门总人数为123人。其中，本级</w:t>
      </w:r>
      <w:r>
        <w:rPr>
          <w:rFonts w:hint="eastAsia" w:ascii="仿宋_GB2312" w:hAnsi="仿宋_GB2312" w:eastAsia="仿宋_GB2312" w:cs="仿宋_GB2312"/>
          <w:sz w:val="32"/>
          <w:szCs w:val="32"/>
          <w:highlight w:val="none"/>
        </w:rPr>
        <w:t>在职公务员65人，聘用人员13人，劳务派遣11人；</w:t>
      </w:r>
      <w:r>
        <w:rPr>
          <w:rFonts w:hint="eastAsia" w:ascii="仿宋_GB2312" w:hAnsi="仿宋_GB2312" w:eastAsia="仿宋_GB2312" w:cs="仿宋_GB2312"/>
          <w:sz w:val="32"/>
          <w:szCs w:val="32"/>
          <w:highlight w:val="none"/>
          <w:lang w:val="en-US" w:eastAsia="zh-CN"/>
        </w:rPr>
        <w:t>市价格认证中心</w:t>
      </w:r>
      <w:r>
        <w:rPr>
          <w:rFonts w:hint="eastAsia" w:ascii="仿宋_GB2312" w:hAnsi="仿宋_GB2312" w:eastAsia="仿宋_GB2312" w:cs="仿宋_GB2312"/>
          <w:sz w:val="32"/>
          <w:szCs w:val="32"/>
          <w:highlight w:val="none"/>
        </w:rPr>
        <w:t>在编在职20人，聘用人员1人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CN"/>
        </w:rPr>
        <w:t>粮食和物资储备保障中心</w:t>
      </w:r>
      <w:r>
        <w:rPr>
          <w:rFonts w:hint="eastAsia" w:ascii="仿宋_GB2312" w:hAnsi="仿宋_GB2312" w:eastAsia="仿宋_GB2312" w:cs="仿宋_GB2312"/>
          <w:sz w:val="32"/>
          <w:szCs w:val="32"/>
          <w:highlight w:val="none"/>
        </w:rPr>
        <w:t>在职13人</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default"/>
          <w:b w:val="0"/>
          <w:bCs/>
        </w:rPr>
      </w:pPr>
      <w:bookmarkStart w:id="50" w:name="_Toc12987"/>
      <w:bookmarkStart w:id="51" w:name="_Toc8305"/>
      <w:bookmarkStart w:id="52" w:name="_Toc19903"/>
      <w:bookmarkStart w:id="53" w:name="_Toc21415"/>
      <w:bookmarkStart w:id="54" w:name="_Toc27415"/>
      <w:bookmarkStart w:id="55" w:name="_Toc3490"/>
      <w:bookmarkStart w:id="56" w:name="_Toc27339"/>
      <w:bookmarkStart w:id="57" w:name="_Toc19588"/>
      <w:r>
        <w:rPr>
          <w:rFonts w:hint="eastAsia"/>
          <w:b w:val="0"/>
          <w:bCs/>
        </w:rPr>
        <w:t>4.资产情况</w:t>
      </w:r>
      <w:bookmarkEnd w:id="50"/>
      <w:bookmarkEnd w:id="51"/>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val="en-US" w:eastAsia="zh-CN"/>
        </w:rPr>
        <w:t>市发改局</w:t>
      </w:r>
      <w:r>
        <w:rPr>
          <w:rFonts w:hint="eastAsia" w:ascii="仿宋_GB2312" w:hAnsi="仿宋_GB2312" w:eastAsia="仿宋_GB2312" w:cs="仿宋_GB2312"/>
          <w:sz w:val="32"/>
          <w:szCs w:val="32"/>
        </w:rPr>
        <w:t>资产总额为</w:t>
      </w:r>
      <w:r>
        <w:rPr>
          <w:rFonts w:hint="eastAsia" w:ascii="仿宋_GB2312" w:hAnsi="仿宋_GB2312" w:eastAsia="仿宋_GB2312" w:cs="仿宋_GB2312"/>
          <w:sz w:val="32"/>
          <w:szCs w:val="32"/>
          <w:lang w:val="en-US" w:eastAsia="zh-CN"/>
        </w:rPr>
        <w:t>4,153,065.84</w:t>
      </w:r>
      <w:r>
        <w:rPr>
          <w:rFonts w:hint="eastAsia" w:ascii="仿宋_GB2312" w:hAnsi="仿宋_GB2312" w:eastAsia="仿宋_GB2312" w:cs="仿宋_GB2312"/>
          <w:sz w:val="32"/>
          <w:szCs w:val="32"/>
        </w:rPr>
        <w:t>元（详见表1-2），其中：固定资产净值</w:t>
      </w:r>
      <w:r>
        <w:rPr>
          <w:rFonts w:hint="eastAsia" w:ascii="仿宋_GB2312" w:hAnsi="仿宋_GB2312" w:eastAsia="仿宋_GB2312" w:cs="仿宋_GB2312"/>
          <w:sz w:val="32"/>
          <w:szCs w:val="32"/>
          <w:lang w:val="en-US" w:eastAsia="zh-CN"/>
        </w:rPr>
        <w:t>3,064,552.41</w:t>
      </w:r>
      <w:r>
        <w:rPr>
          <w:rFonts w:hint="eastAsia" w:ascii="仿宋_GB2312" w:hAnsi="仿宋_GB2312" w:eastAsia="仿宋_GB2312" w:cs="仿宋_GB2312"/>
          <w:sz w:val="32"/>
          <w:szCs w:val="32"/>
        </w:rPr>
        <w:t>元，无形资产净值</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表1-2资产情况简表</w:t>
      </w:r>
    </w:p>
    <w:tbl>
      <w:tblPr>
        <w:tblStyle w:val="1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613"/>
        <w:gridCol w:w="892"/>
        <w:gridCol w:w="1532"/>
        <w:gridCol w:w="933"/>
        <w:gridCol w:w="167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1583" w:type="dxa"/>
            <w:vMerge w:val="restart"/>
            <w:shd w:val="clear" w:color="auto" w:fill="FFFFFF"/>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b/>
                <w:color w:val="000000"/>
                <w:kern w:val="0"/>
                <w:szCs w:val="21"/>
              </w:rPr>
              <w:t>名称</w:t>
            </w:r>
          </w:p>
        </w:tc>
        <w:tc>
          <w:tcPr>
            <w:tcW w:w="2505" w:type="dxa"/>
            <w:gridSpan w:val="2"/>
            <w:shd w:val="clear" w:color="auto" w:fill="FFFFFF"/>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202</w:t>
            </w:r>
            <w:r>
              <w:rPr>
                <w:rFonts w:hint="eastAsia" w:ascii="宋体" w:hAnsi="宋体" w:eastAsia="宋体" w:cs="宋体"/>
                <w:b/>
                <w:color w:val="000000"/>
                <w:kern w:val="0"/>
                <w:szCs w:val="21"/>
                <w:lang w:val="en-US" w:eastAsia="zh-CN"/>
              </w:rPr>
              <w:t>0</w:t>
            </w:r>
            <w:r>
              <w:rPr>
                <w:rFonts w:hint="eastAsia" w:ascii="宋体" w:hAnsi="宋体" w:eastAsia="宋体" w:cs="宋体"/>
                <w:b/>
                <w:color w:val="000000"/>
                <w:kern w:val="0"/>
                <w:szCs w:val="21"/>
              </w:rPr>
              <w:t>年12月31日</w:t>
            </w:r>
          </w:p>
        </w:tc>
        <w:tc>
          <w:tcPr>
            <w:tcW w:w="2465" w:type="dxa"/>
            <w:gridSpan w:val="2"/>
            <w:shd w:val="clear" w:color="auto" w:fill="FFFFFF"/>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20</w:t>
            </w:r>
            <w:r>
              <w:rPr>
                <w:rFonts w:hint="eastAsia" w:ascii="宋体" w:hAnsi="宋体" w:eastAsia="宋体" w:cs="宋体"/>
                <w:b/>
                <w:color w:val="000000"/>
                <w:kern w:val="0"/>
                <w:szCs w:val="21"/>
                <w:lang w:val="en-US" w:eastAsia="zh-CN"/>
              </w:rPr>
              <w:t>21</w:t>
            </w:r>
            <w:r>
              <w:rPr>
                <w:rFonts w:hint="eastAsia" w:ascii="宋体" w:hAnsi="宋体" w:eastAsia="宋体" w:cs="宋体"/>
                <w:b/>
                <w:color w:val="000000"/>
                <w:kern w:val="0"/>
                <w:szCs w:val="21"/>
              </w:rPr>
              <w:t>年12月31日</w:t>
            </w:r>
          </w:p>
        </w:tc>
        <w:tc>
          <w:tcPr>
            <w:tcW w:w="1674" w:type="dxa"/>
            <w:vMerge w:val="restart"/>
            <w:shd w:val="clear" w:color="auto" w:fill="FFFFFF"/>
            <w:vAlign w:val="center"/>
          </w:tcPr>
          <w:p>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202</w:t>
            </w:r>
            <w:r>
              <w:rPr>
                <w:rFonts w:hint="eastAsia" w:ascii="宋体" w:hAnsi="宋体" w:eastAsia="宋体" w:cs="宋体"/>
                <w:b/>
                <w:color w:val="000000"/>
                <w:kern w:val="0"/>
                <w:szCs w:val="21"/>
                <w:lang w:val="en-US" w:eastAsia="zh-CN"/>
              </w:rPr>
              <w:t>1</w:t>
            </w:r>
            <w:r>
              <w:rPr>
                <w:rFonts w:hint="eastAsia" w:ascii="宋体" w:hAnsi="宋体" w:eastAsia="宋体" w:cs="宋体"/>
                <w:b/>
                <w:color w:val="000000"/>
                <w:kern w:val="0"/>
                <w:szCs w:val="21"/>
              </w:rPr>
              <w:t>年增减变动（元）</w:t>
            </w:r>
          </w:p>
        </w:tc>
        <w:tc>
          <w:tcPr>
            <w:tcW w:w="1673" w:type="dxa"/>
            <w:vMerge w:val="restart"/>
            <w:shd w:val="clear" w:color="auto" w:fill="FFFFFF"/>
            <w:vAlign w:val="center"/>
          </w:tcPr>
          <w:p>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增减变动率（%）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1583" w:type="dxa"/>
            <w:vMerge w:val="continue"/>
            <w:shd w:val="clear" w:color="auto" w:fill="FFFFFF"/>
            <w:vAlign w:val="center"/>
          </w:tcPr>
          <w:p>
            <w:pPr>
              <w:jc w:val="center"/>
              <w:rPr>
                <w:rFonts w:hint="eastAsia" w:ascii="宋体" w:hAnsi="宋体" w:eastAsia="宋体" w:cs="宋体"/>
                <w:color w:val="000000"/>
                <w:szCs w:val="21"/>
              </w:rPr>
            </w:pPr>
          </w:p>
        </w:tc>
        <w:tc>
          <w:tcPr>
            <w:tcW w:w="1613" w:type="dxa"/>
            <w:shd w:val="clear" w:color="auto" w:fill="FFFFFF"/>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金额（元）</w:t>
            </w:r>
          </w:p>
        </w:tc>
        <w:tc>
          <w:tcPr>
            <w:tcW w:w="892" w:type="dxa"/>
            <w:shd w:val="clear" w:color="auto" w:fill="FFFFFF"/>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占比</w:t>
            </w:r>
          </w:p>
        </w:tc>
        <w:tc>
          <w:tcPr>
            <w:tcW w:w="1532" w:type="dxa"/>
            <w:shd w:val="clear" w:color="auto" w:fill="FFFFFF"/>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金额（元）</w:t>
            </w:r>
          </w:p>
        </w:tc>
        <w:tc>
          <w:tcPr>
            <w:tcW w:w="933" w:type="dxa"/>
            <w:shd w:val="clear" w:color="auto" w:fill="FFFFFF"/>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占比</w:t>
            </w:r>
          </w:p>
        </w:tc>
        <w:tc>
          <w:tcPr>
            <w:tcW w:w="1674" w:type="dxa"/>
            <w:vMerge w:val="continue"/>
            <w:shd w:val="clear" w:color="auto" w:fill="FFFFFF"/>
            <w:vAlign w:val="center"/>
          </w:tcPr>
          <w:p>
            <w:pPr>
              <w:widowControl/>
              <w:jc w:val="center"/>
              <w:textAlignment w:val="center"/>
              <w:rPr>
                <w:rFonts w:hint="eastAsia" w:ascii="宋体" w:hAnsi="宋体" w:eastAsia="宋体" w:cs="宋体"/>
                <w:b/>
                <w:color w:val="000000"/>
                <w:kern w:val="0"/>
                <w:szCs w:val="21"/>
              </w:rPr>
            </w:pPr>
          </w:p>
        </w:tc>
        <w:tc>
          <w:tcPr>
            <w:tcW w:w="1673" w:type="dxa"/>
            <w:vMerge w:val="continue"/>
            <w:shd w:val="clear" w:color="auto" w:fill="FFFFFF"/>
            <w:vAlign w:val="center"/>
          </w:tcPr>
          <w:p>
            <w:pPr>
              <w:widowControl/>
              <w:jc w:val="center"/>
              <w:textAlignment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83" w:type="dxa"/>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合计</w:t>
            </w:r>
          </w:p>
        </w:tc>
        <w:tc>
          <w:tcPr>
            <w:tcW w:w="161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90,718,728.43</w:t>
            </w:r>
          </w:p>
        </w:tc>
        <w:tc>
          <w:tcPr>
            <w:tcW w:w="892" w:type="dxa"/>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153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4,153,065.84</w:t>
            </w:r>
          </w:p>
        </w:tc>
        <w:tc>
          <w:tcPr>
            <w:tcW w:w="933"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100%</w:t>
            </w:r>
          </w:p>
        </w:tc>
        <w:tc>
          <w:tcPr>
            <w:tcW w:w="1674" w:type="dxa"/>
            <w:vAlign w:val="center"/>
          </w:tcPr>
          <w:p>
            <w:pPr>
              <w:widowControl/>
              <w:jc w:val="center"/>
              <w:textAlignment w:val="center"/>
              <w:rPr>
                <w:rFonts w:hint="eastAsia" w:ascii="宋体" w:hAnsi="宋体" w:eastAsia="宋体" w:cs="宋体"/>
                <w:b/>
                <w:color w:val="000000"/>
                <w:kern w:val="0"/>
                <w:sz w:val="18"/>
                <w:szCs w:val="18"/>
                <w:lang w:val="en-US" w:eastAsia="zh-CN"/>
              </w:rPr>
            </w:pPr>
            <w:r>
              <w:rPr>
                <w:rFonts w:hint="eastAsia" w:ascii="宋体" w:hAnsi="宋体" w:eastAsia="宋体" w:cs="宋体"/>
                <w:color w:val="000000"/>
                <w:sz w:val="18"/>
                <w:szCs w:val="18"/>
              </w:rPr>
              <w:t>-86,565,662.59</w:t>
            </w:r>
          </w:p>
        </w:tc>
        <w:tc>
          <w:tcPr>
            <w:tcW w:w="1673"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83" w:type="dxa"/>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固定资产原值</w:t>
            </w:r>
          </w:p>
        </w:tc>
        <w:tc>
          <w:tcPr>
            <w:tcW w:w="161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7,842,354.84</w:t>
            </w:r>
          </w:p>
        </w:tc>
        <w:tc>
          <w:tcPr>
            <w:tcW w:w="892" w:type="dxa"/>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8.64%</w:t>
            </w:r>
          </w:p>
        </w:tc>
        <w:tc>
          <w:tcPr>
            <w:tcW w:w="153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8,309,910.64</w:t>
            </w:r>
          </w:p>
        </w:tc>
        <w:tc>
          <w:tcPr>
            <w:tcW w:w="93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167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467,555.80</w:t>
            </w:r>
          </w:p>
        </w:tc>
        <w:tc>
          <w:tcPr>
            <w:tcW w:w="1673"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583" w:type="dxa"/>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固定资产净值</w:t>
            </w:r>
          </w:p>
        </w:tc>
        <w:tc>
          <w:tcPr>
            <w:tcW w:w="161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4,167,012.77</w:t>
            </w:r>
          </w:p>
        </w:tc>
        <w:tc>
          <w:tcPr>
            <w:tcW w:w="89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4.59%</w:t>
            </w:r>
          </w:p>
        </w:tc>
        <w:tc>
          <w:tcPr>
            <w:tcW w:w="153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3,064,552.41</w:t>
            </w:r>
          </w:p>
        </w:tc>
        <w:tc>
          <w:tcPr>
            <w:tcW w:w="933"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73.79%</w:t>
            </w:r>
          </w:p>
        </w:tc>
        <w:tc>
          <w:tcPr>
            <w:tcW w:w="167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-1,102,460.36</w:t>
            </w:r>
          </w:p>
        </w:tc>
        <w:tc>
          <w:tcPr>
            <w:tcW w:w="1673"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83" w:type="dxa"/>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无形资产原值</w:t>
            </w:r>
          </w:p>
        </w:tc>
        <w:tc>
          <w:tcPr>
            <w:tcW w:w="161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119,000.00</w:t>
            </w:r>
          </w:p>
        </w:tc>
        <w:tc>
          <w:tcPr>
            <w:tcW w:w="892"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0.13%</w:t>
            </w:r>
          </w:p>
        </w:tc>
        <w:tc>
          <w:tcPr>
            <w:tcW w:w="153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119,007.00</w:t>
            </w:r>
          </w:p>
        </w:tc>
        <w:tc>
          <w:tcPr>
            <w:tcW w:w="933" w:type="dxa"/>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w:t>
            </w:r>
          </w:p>
        </w:tc>
        <w:tc>
          <w:tcPr>
            <w:tcW w:w="1674" w:type="dxa"/>
            <w:shd w:val="clear" w:color="auto" w:fill="auto"/>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673" w:type="dxa"/>
            <w:shd w:val="clear" w:color="auto" w:fill="auto"/>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83" w:type="dxa"/>
            <w:vAlign w:val="center"/>
          </w:tcPr>
          <w:p>
            <w:pPr>
              <w:widowControl/>
              <w:jc w:val="center"/>
              <w:textAlignment w:val="center"/>
              <w:rPr>
                <w:rFonts w:hint="eastAsia" w:ascii="宋体" w:hAnsi="宋体" w:eastAsia="宋体" w:cs="宋体"/>
                <w:b/>
                <w:bCs/>
                <w:color w:val="000000"/>
                <w:szCs w:val="21"/>
              </w:rPr>
            </w:pPr>
            <w:r>
              <w:rPr>
                <w:rFonts w:hint="eastAsia" w:ascii="宋体" w:hAnsi="宋体" w:eastAsia="宋体" w:cs="宋体"/>
                <w:b/>
                <w:color w:val="000000"/>
                <w:kern w:val="0"/>
                <w:szCs w:val="21"/>
              </w:rPr>
              <w:t>无形资产净值</w:t>
            </w:r>
          </w:p>
        </w:tc>
        <w:tc>
          <w:tcPr>
            <w:tcW w:w="161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rPr>
              <w:t>-</w:t>
            </w:r>
          </w:p>
        </w:tc>
        <w:tc>
          <w:tcPr>
            <w:tcW w:w="892" w:type="dxa"/>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153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7.00</w:t>
            </w:r>
          </w:p>
        </w:tc>
        <w:tc>
          <w:tcPr>
            <w:tcW w:w="933"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0.0002%</w:t>
            </w:r>
          </w:p>
        </w:tc>
        <w:tc>
          <w:tcPr>
            <w:tcW w:w="1674"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7.00</w:t>
            </w:r>
          </w:p>
        </w:tc>
        <w:tc>
          <w:tcPr>
            <w:tcW w:w="1673" w:type="dxa"/>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00" w:type="dxa"/>
            <w:gridSpan w:val="7"/>
            <w:vAlign w:val="center"/>
          </w:tcPr>
          <w:p>
            <w:pPr>
              <w:widowControl/>
              <w:jc w:val="left"/>
              <w:textAlignment w:val="center"/>
              <w:rPr>
                <w:rFonts w:hint="default" w:ascii="宋体" w:hAnsi="宋体" w:eastAsia="宋体" w:cs="宋体"/>
                <w:color w:val="000000"/>
                <w:sz w:val="15"/>
                <w:szCs w:val="15"/>
                <w:lang w:val="en-US" w:eastAsia="zh-CN"/>
              </w:rPr>
            </w:pPr>
            <w:r>
              <w:rPr>
                <w:rFonts w:hint="eastAsia" w:ascii="宋体" w:hAnsi="宋体" w:cs="宋体"/>
                <w:b/>
                <w:color w:val="000000"/>
                <w:kern w:val="0"/>
                <w:sz w:val="18"/>
                <w:szCs w:val="18"/>
                <w:lang w:val="en-US" w:eastAsia="zh-CN"/>
              </w:rPr>
              <w:t>注：占比计算公式为：原值或净值/合计×100%。</w:t>
            </w:r>
          </w:p>
        </w:tc>
      </w:tr>
    </w:tbl>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eastAsia"/>
          <w:b w:val="0"/>
          <w:bCs/>
          <w:highlight w:val="none"/>
        </w:rPr>
      </w:pPr>
      <w:r>
        <w:rPr>
          <w:rFonts w:hint="eastAsia"/>
          <w:b w:val="0"/>
          <w:bCs/>
          <w:highlight w:val="none"/>
        </w:rPr>
        <w:t>（1）资产变动分析</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640" w:firstLineChars="200"/>
        <w:rPr>
          <w:rFonts w:ascii="仿宋_GB2312" w:hAnsi="仿宋_GB2312" w:eastAsia="仿宋_GB2312" w:cs="仿宋_GB2312"/>
          <w:sz w:val="32"/>
          <w:szCs w:val="32"/>
          <w:highlight w:val="none"/>
          <w:lang w:bidi="zh-CN"/>
        </w:rPr>
      </w:pPr>
      <w:r>
        <w:rPr>
          <w:rFonts w:hint="eastAsia" w:ascii="仿宋_GB2312" w:hAnsi="仿宋_GB2312" w:eastAsia="仿宋_GB2312" w:cs="仿宋_GB2312"/>
          <w:sz w:val="32"/>
          <w:szCs w:val="32"/>
          <w:highlight w:val="none"/>
          <w:lang w:bidi="zh-CN"/>
        </w:rPr>
        <w:t>20</w:t>
      </w:r>
      <w:r>
        <w:rPr>
          <w:rFonts w:hint="eastAsia" w:ascii="仿宋_GB2312" w:hAnsi="仿宋_GB2312" w:eastAsia="仿宋_GB2312" w:cs="仿宋_GB2312"/>
          <w:sz w:val="32"/>
          <w:szCs w:val="32"/>
          <w:highlight w:val="none"/>
          <w:lang w:val="en-US" w:bidi="zh-CN"/>
        </w:rPr>
        <w:t>21</w:t>
      </w:r>
      <w:r>
        <w:rPr>
          <w:rFonts w:hint="eastAsia" w:ascii="仿宋_GB2312" w:hAnsi="仿宋_GB2312" w:eastAsia="仿宋_GB2312" w:cs="仿宋_GB2312"/>
          <w:sz w:val="32"/>
          <w:szCs w:val="32"/>
          <w:highlight w:val="none"/>
          <w:lang w:bidi="zh-CN"/>
        </w:rPr>
        <w:t>年，</w:t>
      </w:r>
      <w:r>
        <w:rPr>
          <w:rFonts w:hint="eastAsia" w:ascii="仿宋_GB2312" w:hAnsi="仿宋_GB2312" w:eastAsia="仿宋_GB2312" w:cs="仿宋_GB2312"/>
          <w:sz w:val="32"/>
          <w:szCs w:val="32"/>
          <w:highlight w:val="none"/>
          <w:lang w:val="en-US" w:eastAsia="zh-CN"/>
        </w:rPr>
        <w:t>市发改局</w:t>
      </w:r>
      <w:r>
        <w:rPr>
          <w:rFonts w:hint="eastAsia" w:ascii="仿宋_GB2312" w:hAnsi="仿宋_GB2312" w:eastAsia="仿宋_GB2312" w:cs="仿宋_GB2312"/>
          <w:sz w:val="32"/>
          <w:szCs w:val="32"/>
          <w:highlight w:val="none"/>
          <w:lang w:bidi="zh-CN"/>
        </w:rPr>
        <w:t>资产合计减少</w:t>
      </w:r>
      <w:r>
        <w:rPr>
          <w:rFonts w:hint="eastAsia" w:ascii="仿宋_GB2312" w:hAnsi="仿宋_GB2312" w:eastAsia="仿宋_GB2312" w:cs="仿宋_GB2312"/>
          <w:sz w:val="32"/>
          <w:szCs w:val="32"/>
          <w:highlight w:val="none"/>
          <w:lang w:val="en-US" w:bidi="zh-CN"/>
        </w:rPr>
        <w:t>8,656.56</w:t>
      </w:r>
      <w:r>
        <w:rPr>
          <w:rFonts w:hint="eastAsia" w:ascii="仿宋_GB2312" w:hAnsi="仿宋_GB2312" w:eastAsia="仿宋_GB2312" w:cs="仿宋_GB2312"/>
          <w:sz w:val="32"/>
          <w:szCs w:val="32"/>
          <w:highlight w:val="none"/>
          <w:lang w:bidi="zh-CN"/>
        </w:rPr>
        <w:t>万元，主要为</w:t>
      </w:r>
      <w:r>
        <w:rPr>
          <w:rFonts w:hint="eastAsia" w:ascii="仿宋_GB2312" w:hAnsi="仿宋_GB2312" w:eastAsia="仿宋_GB2312" w:cs="仿宋_GB2312"/>
          <w:sz w:val="32"/>
          <w:szCs w:val="32"/>
          <w:highlight w:val="none"/>
          <w:lang w:val="en-US" w:bidi="zh-CN"/>
        </w:rPr>
        <w:t>原韶关市粮食局并入市发改局时的挂账资产，由原韶关市粮食局资产和粮食风险基金组成</w:t>
      </w:r>
      <w:r>
        <w:rPr>
          <w:rFonts w:hint="eastAsia" w:ascii="仿宋_GB2312" w:hAnsi="仿宋_GB2312" w:eastAsia="仿宋_GB2312" w:cs="仿宋_GB2312"/>
          <w:sz w:val="32"/>
          <w:szCs w:val="32"/>
          <w:highlight w:val="none"/>
          <w:lang w:bidi="zh-CN"/>
        </w:rPr>
        <w:t>。</w:t>
      </w:r>
    </w:p>
    <w:p>
      <w:pPr>
        <w:pStyle w:val="5"/>
        <w:keepNext w:val="0"/>
        <w:keepLines w:val="0"/>
        <w:pageBreakBefore w:val="0"/>
        <w:widowControl w:val="0"/>
        <w:kinsoku/>
        <w:wordWrap/>
        <w:overflowPunct/>
        <w:topLinePunct w:val="0"/>
        <w:autoSpaceDE/>
        <w:autoSpaceDN/>
        <w:bidi w:val="0"/>
        <w:adjustRightInd/>
        <w:snapToGrid/>
        <w:ind w:firstLine="643"/>
        <w:rPr>
          <w:rFonts w:hint="eastAsia"/>
          <w:b w:val="0"/>
          <w:bCs/>
        </w:rPr>
      </w:pPr>
      <w:r>
        <w:rPr>
          <w:rFonts w:hint="eastAsia"/>
          <w:b w:val="0"/>
          <w:bCs/>
        </w:rPr>
        <w:t>（2）固定资产情况</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640" w:firstLineChars="200"/>
        <w:rPr>
          <w:rFonts w:ascii="仿宋_GB2312" w:hAnsi="仿宋_GB2312" w:eastAsia="仿宋_GB2312" w:cs="仿宋_GB2312"/>
          <w:lang w:val="en-US"/>
        </w:rPr>
      </w:pPr>
      <w:r>
        <w:rPr>
          <w:rFonts w:hint="eastAsia" w:ascii="仿宋_GB2312" w:hAnsi="仿宋_GB2312" w:eastAsia="仿宋_GB2312" w:cs="仿宋_GB2312"/>
          <w:sz w:val="32"/>
          <w:szCs w:val="32"/>
          <w:highlight w:val="none"/>
          <w:lang w:val="en-US" w:eastAsia="zh-CN"/>
        </w:rPr>
        <w:t>市发改局</w:t>
      </w:r>
      <w:r>
        <w:rPr>
          <w:rFonts w:hint="eastAsia" w:ascii="仿宋_GB2312" w:hAnsi="仿宋_GB2312" w:eastAsia="仿宋_GB2312" w:cs="仿宋_GB2312"/>
          <w:lang w:val="en-US"/>
        </w:rPr>
        <w:t>固定资产原值</w:t>
      </w:r>
      <w:r>
        <w:rPr>
          <w:rFonts w:hint="eastAsia" w:ascii="仿宋_GB2312" w:hAnsi="仿宋_GB2312" w:eastAsia="仿宋_GB2312" w:cs="仿宋_GB2312"/>
          <w:lang w:val="en-US" w:eastAsia="zh-CN"/>
        </w:rPr>
        <w:t>830.99</w:t>
      </w:r>
      <w:r>
        <w:rPr>
          <w:rFonts w:hint="eastAsia" w:ascii="仿宋_GB2312" w:hAnsi="仿宋_GB2312" w:eastAsia="仿宋_GB2312" w:cs="仿宋_GB2312"/>
          <w:lang w:val="en-US"/>
        </w:rPr>
        <w:t>万元，累计折旧</w:t>
      </w:r>
      <w:r>
        <w:rPr>
          <w:rFonts w:hint="eastAsia" w:ascii="仿宋_GB2312" w:hAnsi="仿宋_GB2312" w:eastAsia="仿宋_GB2312" w:cs="仿宋_GB2312"/>
          <w:lang w:val="en-US" w:eastAsia="zh-CN"/>
        </w:rPr>
        <w:t>524.54</w:t>
      </w:r>
      <w:r>
        <w:rPr>
          <w:rFonts w:hint="eastAsia" w:ascii="仿宋_GB2312" w:hAnsi="仿宋_GB2312" w:eastAsia="仿宋_GB2312" w:cs="仿宋_GB2312"/>
          <w:lang w:val="en-US"/>
        </w:rPr>
        <w:t>万元，固定资产净值为</w:t>
      </w:r>
      <w:r>
        <w:rPr>
          <w:rFonts w:hint="eastAsia" w:ascii="仿宋_GB2312" w:hAnsi="仿宋_GB2312" w:eastAsia="仿宋_GB2312" w:cs="仿宋_GB2312"/>
          <w:lang w:val="en-US" w:eastAsia="zh-CN"/>
        </w:rPr>
        <w:t>306.46</w:t>
      </w:r>
      <w:r>
        <w:rPr>
          <w:rFonts w:hint="eastAsia" w:ascii="仿宋_GB2312" w:hAnsi="仿宋_GB2312" w:eastAsia="仿宋_GB2312" w:cs="仿宋_GB2312"/>
          <w:lang w:val="en-US"/>
        </w:rPr>
        <w:t>万元</w:t>
      </w:r>
      <w:r>
        <w:rPr>
          <w:rFonts w:hint="eastAsia" w:ascii="仿宋_GB2312" w:hAnsi="仿宋_GB2312" w:eastAsia="仿宋_GB2312" w:cs="仿宋_GB2312"/>
          <w:lang w:val="en-US" w:eastAsia="zh-CN"/>
        </w:rPr>
        <w:t>，其中：</w:t>
      </w:r>
      <w:r>
        <w:rPr>
          <w:rFonts w:hint="eastAsia" w:ascii="仿宋_GB2312" w:hAnsi="仿宋_GB2312" w:eastAsia="仿宋_GB2312" w:cs="仿宋_GB2312"/>
          <w:lang w:val="en-US"/>
        </w:rPr>
        <w:t>固定资产中</w:t>
      </w:r>
      <w:r>
        <w:rPr>
          <w:rFonts w:hint="eastAsia" w:ascii="仿宋_GB2312" w:hAnsi="仿宋_GB2312" w:eastAsia="仿宋_GB2312" w:cs="仿宋_GB2312"/>
          <w:lang w:val="en-US" w:eastAsia="zh-CN"/>
        </w:rPr>
        <w:t>通用设备土地、房屋及构筑物</w:t>
      </w:r>
      <w:r>
        <w:rPr>
          <w:rFonts w:hint="eastAsia" w:ascii="仿宋_GB2312" w:hAnsi="仿宋_GB2312" w:eastAsia="仿宋_GB2312" w:cs="仿宋_GB2312"/>
          <w:lang w:val="en-US"/>
        </w:rPr>
        <w:t>占比</w:t>
      </w:r>
      <w:r>
        <w:rPr>
          <w:rFonts w:hint="eastAsia" w:ascii="仿宋_GB2312" w:hAnsi="仿宋_GB2312" w:eastAsia="仿宋_GB2312" w:cs="仿宋_GB2312"/>
          <w:lang w:val="en-US" w:eastAsia="zh-CN"/>
        </w:rPr>
        <w:t>60.2</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lang w:val="en-US"/>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8"/>
          <w:szCs w:val="28"/>
          <w:lang w:val="en-US"/>
        </w:rPr>
      </w:pPr>
      <w:r>
        <w:rPr>
          <w:rFonts w:hint="eastAsia" w:ascii="宋体" w:hAnsi="宋体" w:eastAsia="宋体" w:cs="宋体"/>
          <w:b/>
          <w:bCs/>
          <w:sz w:val="28"/>
          <w:szCs w:val="28"/>
          <w:lang w:val="en-US"/>
        </w:rPr>
        <w:t>表</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val="en-US"/>
        </w:rPr>
        <w:t>3固定资产情况表</w:t>
      </w:r>
    </w:p>
    <w:tbl>
      <w:tblPr>
        <w:tblStyle w:val="15"/>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967"/>
        <w:gridCol w:w="2109"/>
        <w:gridCol w:w="190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jc w:val="center"/>
        </w:trPr>
        <w:tc>
          <w:tcPr>
            <w:tcW w:w="1976" w:type="dxa"/>
            <w:shd w:val="clear" w:color="auto" w:fill="FFFFFF"/>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资产类别</w:t>
            </w:r>
          </w:p>
        </w:tc>
        <w:tc>
          <w:tcPr>
            <w:tcW w:w="1967" w:type="dxa"/>
            <w:shd w:val="clear" w:color="auto" w:fill="FFFFFF"/>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原值（元）</w:t>
            </w:r>
          </w:p>
        </w:tc>
        <w:tc>
          <w:tcPr>
            <w:tcW w:w="2109" w:type="dxa"/>
            <w:shd w:val="clear" w:color="auto" w:fill="FFFFFF"/>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累计折旧</w:t>
            </w:r>
          </w:p>
        </w:tc>
        <w:tc>
          <w:tcPr>
            <w:tcW w:w="1901" w:type="dxa"/>
            <w:shd w:val="clear" w:color="auto" w:fill="FFFFFF"/>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净值（元）</w:t>
            </w:r>
          </w:p>
        </w:tc>
        <w:tc>
          <w:tcPr>
            <w:tcW w:w="1217" w:type="dxa"/>
            <w:shd w:val="clear" w:color="auto" w:fill="FFFFFF"/>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976" w:type="dxa"/>
            <w:vAlign w:val="center"/>
          </w:tcPr>
          <w:p>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i w:val="0"/>
                <w:iCs w:val="0"/>
                <w:color w:val="000000"/>
                <w:kern w:val="0"/>
                <w:sz w:val="21"/>
                <w:szCs w:val="21"/>
                <w:u w:val="none"/>
                <w:lang w:val="en-US" w:eastAsia="zh-CN"/>
              </w:rPr>
              <w:t>固定资产</w:t>
            </w:r>
          </w:p>
        </w:tc>
        <w:tc>
          <w:tcPr>
            <w:tcW w:w="1967"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rPr>
              <w:t>8,309,914.64</w:t>
            </w:r>
          </w:p>
        </w:tc>
        <w:tc>
          <w:tcPr>
            <w:tcW w:w="21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5,245,358.23</w:t>
            </w:r>
          </w:p>
        </w:tc>
        <w:tc>
          <w:tcPr>
            <w:tcW w:w="19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3,064,556.41</w:t>
            </w:r>
          </w:p>
        </w:tc>
        <w:tc>
          <w:tcPr>
            <w:tcW w:w="1217" w:type="dxa"/>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976" w:type="dxa"/>
            <w:vAlign w:val="center"/>
          </w:tcPr>
          <w:p>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i w:val="0"/>
                <w:iCs w:val="0"/>
                <w:color w:val="000000"/>
                <w:kern w:val="0"/>
                <w:sz w:val="21"/>
                <w:szCs w:val="21"/>
                <w:u w:val="none"/>
                <w:lang w:val="en-US" w:eastAsia="zh-CN"/>
              </w:rPr>
              <w:t>土地、房屋及构筑物</w:t>
            </w:r>
          </w:p>
        </w:tc>
        <w:tc>
          <w:tcPr>
            <w:tcW w:w="1967"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rPr>
              <w:t>3,712,080.57</w:t>
            </w:r>
          </w:p>
        </w:tc>
        <w:tc>
          <w:tcPr>
            <w:tcW w:w="21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1,865,458.69</w:t>
            </w:r>
          </w:p>
        </w:tc>
        <w:tc>
          <w:tcPr>
            <w:tcW w:w="19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1,846,621.88</w:t>
            </w:r>
          </w:p>
        </w:tc>
        <w:tc>
          <w:tcPr>
            <w:tcW w:w="1217" w:type="dxa"/>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976" w:type="dxa"/>
            <w:vAlign w:val="center"/>
          </w:tcPr>
          <w:p>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i w:val="0"/>
                <w:iCs w:val="0"/>
                <w:color w:val="000000"/>
                <w:kern w:val="0"/>
                <w:sz w:val="21"/>
                <w:szCs w:val="21"/>
                <w:u w:val="none"/>
                <w:lang w:val="en-US" w:eastAsia="zh-CN"/>
              </w:rPr>
              <w:t>通用设备</w:t>
            </w:r>
          </w:p>
        </w:tc>
        <w:tc>
          <w:tcPr>
            <w:tcW w:w="1967"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rPr>
              <w:t>4,199,263.07</w:t>
            </w:r>
          </w:p>
        </w:tc>
        <w:tc>
          <w:tcPr>
            <w:tcW w:w="21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3,138,885.14</w:t>
            </w:r>
          </w:p>
        </w:tc>
        <w:tc>
          <w:tcPr>
            <w:tcW w:w="19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1,060,377.93</w:t>
            </w:r>
          </w:p>
        </w:tc>
        <w:tc>
          <w:tcPr>
            <w:tcW w:w="1217" w:type="dxa"/>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976" w:type="dxa"/>
            <w:vAlign w:val="center"/>
          </w:tcPr>
          <w:p>
            <w:pPr>
              <w:keepNext w:val="0"/>
              <w:keepLines w:val="0"/>
              <w:widowControl/>
              <w:suppressLineNumbers w:val="0"/>
              <w:jc w:val="center"/>
              <w:textAlignment w:val="center"/>
              <w:rPr>
                <w:rFonts w:hint="eastAsia" w:ascii="宋体" w:hAnsi="宋体" w:eastAsia="宋体" w:cs="宋体"/>
                <w:b/>
                <w:bCs/>
                <w:color w:val="000000"/>
                <w:sz w:val="21"/>
                <w:szCs w:val="21"/>
              </w:rPr>
            </w:pPr>
            <w:r>
              <w:rPr>
                <w:rFonts w:hint="eastAsia" w:ascii="宋体" w:hAnsi="宋体" w:eastAsia="宋体" w:cs="宋体"/>
                <w:i w:val="0"/>
                <w:iCs w:val="0"/>
                <w:color w:val="000000"/>
                <w:kern w:val="0"/>
                <w:sz w:val="21"/>
                <w:szCs w:val="21"/>
                <w:u w:val="none"/>
                <w:lang w:val="en-US" w:eastAsia="zh-CN"/>
              </w:rPr>
              <w:t>专用设备</w:t>
            </w:r>
          </w:p>
        </w:tc>
        <w:tc>
          <w:tcPr>
            <w:tcW w:w="1967" w:type="dxa"/>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rPr>
              <w:t>1,200.00</w:t>
            </w:r>
          </w:p>
        </w:tc>
        <w:tc>
          <w:tcPr>
            <w:tcW w:w="21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1,200.00</w:t>
            </w:r>
          </w:p>
        </w:tc>
        <w:tc>
          <w:tcPr>
            <w:tcW w:w="19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1217" w:type="dxa"/>
            <w:vAlign w:val="center"/>
          </w:tcPr>
          <w:p>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19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家具、用具、装具及动植物</w:t>
            </w:r>
          </w:p>
        </w:tc>
        <w:tc>
          <w:tcPr>
            <w:tcW w:w="19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397,371.00</w:t>
            </w:r>
          </w:p>
        </w:tc>
        <w:tc>
          <w:tcPr>
            <w:tcW w:w="21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239,814.40</w:t>
            </w:r>
          </w:p>
        </w:tc>
        <w:tc>
          <w:tcPr>
            <w:tcW w:w="19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157,556.60</w:t>
            </w:r>
          </w:p>
        </w:tc>
        <w:tc>
          <w:tcPr>
            <w:tcW w:w="12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5.14%</w:t>
            </w:r>
          </w:p>
        </w:tc>
      </w:tr>
    </w:tbl>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eastAsia"/>
          <w:b w:val="0"/>
          <w:bCs/>
        </w:rPr>
      </w:pPr>
      <w:r>
        <w:rPr>
          <w:rFonts w:hint="eastAsia"/>
          <w:b w:val="0"/>
          <w:bCs/>
        </w:rPr>
        <w:t>（3）无形资产情况</w:t>
      </w:r>
    </w:p>
    <w:p>
      <w:pPr>
        <w:pStyle w:val="22"/>
        <w:pageBreakBefore w:val="0"/>
        <w:widowControl w:val="0"/>
        <w:kinsoku/>
        <w:wordWrap/>
        <w:overflowPunct/>
        <w:topLinePunct w:val="0"/>
        <w:autoSpaceDE/>
        <w:autoSpaceDN/>
        <w:bidi w:val="0"/>
        <w:adjustRightInd/>
        <w:snapToGrid/>
        <w:spacing w:after="0" w:line="360" w:lineRule="auto"/>
        <w:ind w:firstLine="640" w:firstLineChars="200"/>
        <w:rPr>
          <w:rFonts w:hint="default"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市发改局</w:t>
      </w:r>
      <w:r>
        <w:rPr>
          <w:rFonts w:hint="eastAsia" w:ascii="仿宋_GB2312" w:hAnsi="仿宋_GB2312" w:eastAsia="仿宋_GB2312" w:cs="仿宋_GB2312"/>
          <w:sz w:val="32"/>
          <w:szCs w:val="32"/>
          <w:highlight w:val="none"/>
        </w:rPr>
        <w:t>无形资产原值</w:t>
      </w:r>
      <w:r>
        <w:rPr>
          <w:rFonts w:hint="eastAsia" w:ascii="仿宋_GB2312" w:hAnsi="仿宋_GB2312" w:eastAsia="仿宋_GB2312" w:cs="仿宋_GB2312"/>
          <w:sz w:val="32"/>
          <w:szCs w:val="32"/>
          <w:highlight w:val="none"/>
          <w:lang w:val="en-US" w:eastAsia="zh-CN"/>
        </w:rPr>
        <w:t>11.9</w:t>
      </w:r>
      <w:r>
        <w:rPr>
          <w:rFonts w:hint="eastAsia" w:ascii="仿宋_GB2312" w:hAnsi="仿宋_GB2312" w:eastAsia="仿宋_GB2312" w:cs="仿宋_GB2312"/>
          <w:sz w:val="32"/>
          <w:szCs w:val="32"/>
          <w:highlight w:val="none"/>
        </w:rPr>
        <w:t>万元，累计摊销</w:t>
      </w:r>
      <w:r>
        <w:rPr>
          <w:rFonts w:hint="eastAsia" w:ascii="仿宋_GB2312" w:hAnsi="仿宋_GB2312" w:eastAsia="仿宋_GB2312" w:cs="仿宋_GB2312"/>
          <w:sz w:val="32"/>
          <w:szCs w:val="32"/>
          <w:highlight w:val="none"/>
          <w:lang w:val="en-US" w:eastAsia="zh-CN"/>
        </w:rPr>
        <w:t>11.9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其中，服务器3.9万元，联想服务器5.8万元，SYMANTE备份软件2.2万元；</w:t>
      </w:r>
      <w:r>
        <w:rPr>
          <w:rFonts w:hint="eastAsia" w:ascii="仿宋_GB2312" w:hAnsi="仿宋_GB2312" w:eastAsia="仿宋_GB2312" w:cs="仿宋_GB2312"/>
          <w:sz w:val="32"/>
          <w:szCs w:val="32"/>
          <w:highlight w:val="none"/>
        </w:rPr>
        <w:t>无形资产净值为</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韶关市物价局并入市发改局后合并资产，没有资产原值，在录入资产报表时原值改为1，具体为房屋情况表中，启明路市物价局宿舍楼104房、西堤北路市物价局宿舍楼一、二楼、西堤北路市物价局宿舍楼304、启明路市物价局宿舍楼103房四项。</w:t>
      </w:r>
    </w:p>
    <w:p>
      <w:pPr>
        <w:pStyle w:val="4"/>
        <w:pageBreakBefore w:val="0"/>
        <w:widowControl w:val="0"/>
        <w:kinsoku/>
        <w:wordWrap/>
        <w:overflowPunct/>
        <w:topLinePunct w:val="0"/>
        <w:autoSpaceDE/>
        <w:autoSpaceDN/>
        <w:bidi w:val="0"/>
        <w:spacing w:before="0" w:after="0" w:line="360" w:lineRule="auto"/>
        <w:ind w:firstLine="640" w:firstLineChars="200"/>
        <w:textAlignment w:val="auto"/>
        <w:rPr>
          <w:rFonts w:hint="eastAsia" w:ascii="楷体_GB2312" w:hAnsi="楷体_GB2312" w:eastAsia="楷体_GB2312" w:cs="楷体_GB2312"/>
          <w:b w:val="0"/>
          <w:bCs/>
          <w:lang w:eastAsia="zh-CN"/>
        </w:rPr>
      </w:pPr>
      <w:bookmarkStart w:id="58" w:name="_Toc6316"/>
      <w:bookmarkStart w:id="59" w:name="_Toc11606"/>
      <w:bookmarkStart w:id="60" w:name="_Toc2556"/>
      <w:r>
        <w:rPr>
          <w:rFonts w:hint="eastAsia" w:ascii="楷体_GB2312" w:hAnsi="楷体_GB2312" w:eastAsia="楷体_GB2312" w:cs="楷体_GB2312"/>
          <w:b w:val="0"/>
          <w:bCs/>
        </w:rPr>
        <w:t>（</w:t>
      </w:r>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rPr>
        <w:t>）</w:t>
      </w:r>
      <w:r>
        <w:rPr>
          <w:rFonts w:hint="eastAsia" w:ascii="楷体_GB2312" w:hAnsi="楷体_GB2312" w:eastAsia="楷体_GB2312" w:cs="楷体_GB2312"/>
          <w:b w:val="0"/>
          <w:bCs/>
          <w:lang w:val="en-US" w:eastAsia="zh-CN"/>
        </w:rPr>
        <w:t>年度总体工作任务及重点工作</w:t>
      </w:r>
      <w:r>
        <w:rPr>
          <w:rFonts w:hint="eastAsia" w:ascii="楷体_GB2312" w:hAnsi="楷体_GB2312" w:eastAsia="楷体_GB2312" w:cs="楷体_GB2312"/>
          <w:b w:val="0"/>
          <w:bCs/>
        </w:rPr>
        <w:t>任务</w:t>
      </w:r>
      <w:bookmarkEnd w:id="58"/>
      <w:bookmarkEnd w:id="59"/>
      <w:bookmarkEnd w:id="60"/>
    </w:p>
    <w:p>
      <w:pPr>
        <w:pStyle w:val="22"/>
        <w:pageBreakBefore w:val="0"/>
        <w:widowControl w:val="0"/>
        <w:kinsoku/>
        <w:wordWrap/>
        <w:overflowPunct/>
        <w:topLinePunct w:val="0"/>
        <w:autoSpaceDE/>
        <w:autoSpaceDN/>
        <w:bidi w:val="0"/>
        <w:adjustRightInd/>
        <w:snapToGrid/>
        <w:spacing w:after="0" w:line="360" w:lineRule="auto"/>
        <w:ind w:firstLine="640" w:firstLineChars="200"/>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1.年度总体工作任务</w:t>
      </w:r>
    </w:p>
    <w:p>
      <w:pPr>
        <w:pStyle w:val="22"/>
        <w:pageBreakBefore w:val="0"/>
        <w:widowControl w:val="0"/>
        <w:kinsoku/>
        <w:wordWrap/>
        <w:overflowPunct/>
        <w:topLinePunct w:val="0"/>
        <w:autoSpaceDE/>
        <w:autoSpaceDN/>
        <w:bidi w:val="0"/>
        <w:adjustRightInd/>
        <w:snapToGrid/>
        <w:spacing w:after="0"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发改局年度总体工作任务为：全市生产总值增长7%以上，其中第一产业增加值增长5%，第二产业增加值增长9%（工业增加值增长9%），第三产业增加值增长7%；固定资产投资增长10%；社会消费品零售总额增长7%；出口总额增长10%以上；地方一般公共预算收入增长6%；居民消费价格涨幅3%左右；城镇登记失业率控制在3.5%以内；城乡居民人均可支配收入与经济发展基本同步；研究与发展经费投入占GDP比重达到1.6%；全面完成省下达的节能减排任务。2021年，全市重点项目建设计划安排216个项目，总投资1,676亿元，年度计划投资325亿元。安排开展前期工作的预备项目247个，估算总投资1,691亿元。</w:t>
      </w:r>
    </w:p>
    <w:p>
      <w:pPr>
        <w:pStyle w:val="22"/>
        <w:pageBreakBefore w:val="0"/>
        <w:widowControl w:val="0"/>
        <w:kinsoku/>
        <w:wordWrap/>
        <w:overflowPunct/>
        <w:topLinePunct w:val="0"/>
        <w:autoSpaceDE/>
        <w:autoSpaceDN/>
        <w:bidi w:val="0"/>
        <w:adjustRightInd/>
        <w:snapToGrid/>
        <w:spacing w:after="0" w:line="360" w:lineRule="auto"/>
        <w:ind w:firstLine="640" w:firstLineChars="200"/>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eastAsia"/>
          <w:b w:val="0"/>
          <w:bCs/>
          <w:highlight w:val="none"/>
          <w:lang w:val="en-US" w:eastAsia="zh-CN"/>
        </w:rPr>
      </w:pPr>
      <w:r>
        <w:rPr>
          <w:rFonts w:hint="eastAsia"/>
          <w:b w:val="0"/>
          <w:bCs/>
          <w:highlight w:val="none"/>
          <w:lang w:val="en-US" w:eastAsia="zh-CN"/>
        </w:rPr>
        <w:t>2.重点工作任务</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市发改局提供的相关资料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年度重点工作任务主要为</w:t>
      </w:r>
      <w:r>
        <w:rPr>
          <w:rFonts w:hint="eastAsia" w:ascii="仿宋_GB2312" w:hAnsi="仿宋_GB2312" w:eastAsia="仿宋_GB2312" w:cs="仿宋_GB2312"/>
          <w:sz w:val="32"/>
          <w:szCs w:val="32"/>
          <w:highlight w:val="none"/>
          <w:lang w:val="en-US" w:eastAsia="zh-CN"/>
        </w:rPr>
        <w:t>完成《韶关市“十四五”规划纲要》相关研究、对2021年韶关市农林水利及产业项目进行社会稳定风险评估，控制社会稳定风险、</w:t>
      </w:r>
      <w:r>
        <w:rPr>
          <w:rFonts w:hint="eastAsia" w:ascii="仿宋_GB2312" w:hAnsi="仿宋_GB2312" w:eastAsia="仿宋_GB2312" w:cs="仿宋_GB2312"/>
          <w:i w:val="0"/>
          <w:iCs w:val="0"/>
          <w:color w:val="000000"/>
          <w:kern w:val="0"/>
          <w:sz w:val="32"/>
          <w:szCs w:val="32"/>
          <w:highlight w:val="none"/>
          <w:u w:val="none"/>
          <w:lang w:val="en-US" w:eastAsia="zh-CN"/>
        </w:rPr>
        <w:t>顺利通过省政府对韶关市的粮食安全责任考核</w:t>
      </w:r>
      <w:r>
        <w:rPr>
          <w:rFonts w:hint="eastAsia" w:ascii="仿宋_GB2312" w:hAnsi="仿宋_GB2312" w:eastAsia="仿宋_GB2312" w:cs="仿宋_GB2312"/>
          <w:sz w:val="32"/>
          <w:szCs w:val="32"/>
          <w:highlight w:val="none"/>
          <w:lang w:val="en-US" w:eastAsia="zh-CN"/>
        </w:rPr>
        <w:t>等18项任务</w:t>
      </w:r>
      <w:r>
        <w:rPr>
          <w:rFonts w:hint="eastAsia" w:ascii="仿宋_GB2312" w:hAnsi="仿宋_GB2312" w:eastAsia="仿宋_GB2312" w:cs="仿宋_GB2312"/>
          <w:sz w:val="32"/>
          <w:szCs w:val="32"/>
          <w:highlight w:val="none"/>
        </w:rPr>
        <w:t>。具体实施内容如下表：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表</w:t>
      </w:r>
      <w:r>
        <w:rPr>
          <w:rFonts w:hint="eastAsia" w:ascii="宋体" w:hAnsi="宋体" w:cs="宋体"/>
          <w:b/>
          <w:bCs/>
          <w:sz w:val="28"/>
          <w:szCs w:val="28"/>
          <w:lang w:val="en-US" w:eastAsia="zh-CN"/>
        </w:rPr>
        <w:t xml:space="preserve">1-4 </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年度重点工作任务</w:t>
      </w:r>
      <w:r>
        <w:rPr>
          <w:rFonts w:hint="eastAsia" w:ascii="宋体" w:hAnsi="宋体" w:cs="宋体"/>
          <w:b/>
          <w:bCs/>
          <w:sz w:val="28"/>
          <w:szCs w:val="28"/>
          <w:lang w:val="en-US" w:eastAsia="zh-CN"/>
        </w:rPr>
        <w:t>及完成情况</w:t>
      </w:r>
    </w:p>
    <w:tbl>
      <w:tblPr>
        <w:tblStyle w:val="15"/>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
        <w:gridCol w:w="1344"/>
        <w:gridCol w:w="3155"/>
        <w:gridCol w:w="969"/>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blHeader/>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bookmarkStart w:id="61" w:name="_Toc18027"/>
            <w:bookmarkStart w:id="62" w:name="_Toc25586"/>
            <w:bookmarkStart w:id="63" w:name="_Toc18964"/>
            <w:r>
              <w:rPr>
                <w:rFonts w:hint="eastAsia" w:ascii="宋体" w:hAnsi="宋体" w:eastAsia="宋体" w:cs="宋体"/>
                <w:b/>
                <w:bCs/>
                <w:i w:val="0"/>
                <w:iCs w:val="0"/>
                <w:color w:val="000000"/>
                <w:kern w:val="0"/>
                <w:sz w:val="21"/>
                <w:szCs w:val="21"/>
                <w:highlight w:val="none"/>
                <w:u w:val="none"/>
                <w:lang w:val="en-US" w:eastAsia="zh-CN"/>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任务名称</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主要实施内容</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完成情况</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2021年度水利工程抢险物资储备项目</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防御洪涝灾害，立足点或着眼点是防备、防治和防御。做好防汛物资储备，是防汛</w:t>
            </w:r>
            <w:r>
              <w:rPr>
                <w:rFonts w:hint="eastAsia" w:ascii="宋体" w:hAnsi="宋体" w:cs="宋体"/>
                <w:i w:val="0"/>
                <w:iCs w:val="0"/>
                <w:color w:val="000000"/>
                <w:kern w:val="0"/>
                <w:sz w:val="18"/>
                <w:szCs w:val="18"/>
                <w:highlight w:val="none"/>
                <w:u w:val="none"/>
                <w:lang w:val="en-US" w:eastAsia="zh-CN"/>
              </w:rPr>
              <w:t>抗洪</w:t>
            </w:r>
            <w:r>
              <w:rPr>
                <w:rFonts w:hint="eastAsia" w:ascii="宋体" w:hAnsi="宋体" w:eastAsia="宋体" w:cs="宋体"/>
                <w:i w:val="0"/>
                <w:iCs w:val="0"/>
                <w:color w:val="000000"/>
                <w:kern w:val="0"/>
                <w:sz w:val="18"/>
                <w:szCs w:val="18"/>
                <w:highlight w:val="none"/>
                <w:u w:val="none"/>
                <w:lang w:val="en-US" w:eastAsia="zh-CN"/>
              </w:rPr>
              <w:t>的重要物质保证，在防汛抗洪的紧急关头，对于确保抗洪抢险工作的顺进行，保障人民的生命和财产的安全，夺取防汛抗洪的全面胜利起着举足轻重的作用。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2021年度水利工程抢险物资验收实物数量、型号与市三防办下达2021年度水利工程抢险物资储备计划数量、型号一致，购置物资有产品检验报告，验收合格。</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市级粮食风险基金（2021）</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为了保护农民种粮的积极性，确保粮食生产的稳定和发展，</w:t>
            </w:r>
            <w:r>
              <w:rPr>
                <w:rFonts w:hint="eastAsia" w:ascii="宋体" w:hAnsi="宋体" w:cs="宋体"/>
                <w:i w:val="0"/>
                <w:iCs w:val="0"/>
                <w:color w:val="000000"/>
                <w:kern w:val="0"/>
                <w:sz w:val="18"/>
                <w:szCs w:val="18"/>
                <w:highlight w:val="none"/>
                <w:u w:val="none"/>
                <w:lang w:val="en-US" w:eastAsia="zh-CN"/>
              </w:rPr>
              <w:t>加强宏观调控</w:t>
            </w:r>
            <w:r>
              <w:rPr>
                <w:rFonts w:hint="eastAsia" w:ascii="宋体" w:hAnsi="宋体" w:eastAsia="宋体" w:cs="宋体"/>
                <w:i w:val="0"/>
                <w:iCs w:val="0"/>
                <w:color w:val="000000"/>
                <w:kern w:val="0"/>
                <w:sz w:val="18"/>
                <w:szCs w:val="18"/>
                <w:highlight w:val="none"/>
                <w:u w:val="none"/>
                <w:lang w:val="en-US" w:eastAsia="zh-CN"/>
              </w:rPr>
              <w:t>，稳定粮食市场，确保粮食安全，防止价格大幅度波动，维护粮食流通秩序，确保粮食供应安全。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由市财政局设立专户进行管理，拨付粮食承储单位承储市级储备粮发生贷款的利息、保管费、轮换费用等财政贴息或补助</w:t>
            </w:r>
            <w:r>
              <w:rPr>
                <w:rFonts w:hint="eastAsia" w:ascii="宋体" w:hAnsi="宋体" w:cs="宋体"/>
                <w:i w:val="0"/>
                <w:iCs w:val="0"/>
                <w:color w:val="000000"/>
                <w:kern w:val="0"/>
                <w:sz w:val="18"/>
                <w:szCs w:val="18"/>
                <w:highlight w:val="none"/>
                <w:u w:val="none"/>
                <w:lang w:val="en-US" w:eastAsia="zh-CN"/>
              </w:rPr>
              <w:t>，</w:t>
            </w:r>
            <w:r>
              <w:rPr>
                <w:rFonts w:hint="eastAsia" w:ascii="宋体" w:hAnsi="宋体" w:eastAsia="宋体" w:cs="宋体"/>
                <w:i w:val="0"/>
                <w:iCs w:val="0"/>
                <w:color w:val="000000"/>
                <w:kern w:val="0"/>
                <w:sz w:val="18"/>
                <w:szCs w:val="18"/>
                <w:highlight w:val="none"/>
                <w:u w:val="none"/>
                <w:lang w:val="en-US" w:eastAsia="zh-CN"/>
              </w:rPr>
              <w:t>弥补重大自然灾害造成的市级储备粮损失</w:t>
            </w:r>
            <w:r>
              <w:rPr>
                <w:rFonts w:hint="eastAsia" w:ascii="宋体" w:hAnsi="宋体" w:cs="宋体"/>
                <w:i w:val="0"/>
                <w:iCs w:val="0"/>
                <w:color w:val="000000"/>
                <w:kern w:val="0"/>
                <w:sz w:val="18"/>
                <w:szCs w:val="18"/>
                <w:highlight w:val="none"/>
                <w:u w:val="none"/>
                <w:lang w:val="en-US" w:eastAsia="zh-CN"/>
              </w:rPr>
              <w:t>，保障全市粮食价格维持在相对稳定水平</w:t>
            </w:r>
            <w:r>
              <w:rPr>
                <w:rFonts w:hint="eastAsia" w:ascii="宋体" w:hAnsi="宋体" w:eastAsia="宋体" w:cs="宋体"/>
                <w:i w:val="0"/>
                <w:iCs w:val="0"/>
                <w:color w:val="000000"/>
                <w:kern w:val="0"/>
                <w:sz w:val="18"/>
                <w:szCs w:val="18"/>
                <w:highlight w:val="none"/>
                <w:u w:val="none"/>
                <w:lang w:val="en-US" w:eastAsia="zh-CN"/>
              </w:rPr>
              <w:t>。保障市级储备粮9万吨、成品粮3040吨粮、食用油900吨的保管、轮换费用。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粮食安全责任制考核</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顺利通过省政府对</w:t>
            </w:r>
            <w:r>
              <w:rPr>
                <w:rFonts w:hint="eastAsia" w:ascii="宋体" w:hAnsi="宋体" w:cs="宋体"/>
                <w:i w:val="0"/>
                <w:iCs w:val="0"/>
                <w:color w:val="000000"/>
                <w:kern w:val="0"/>
                <w:sz w:val="18"/>
                <w:szCs w:val="18"/>
                <w:highlight w:val="none"/>
                <w:u w:val="none"/>
                <w:lang w:val="en-US" w:eastAsia="zh-CN"/>
              </w:rPr>
              <w:t>韶关市</w:t>
            </w:r>
            <w:r>
              <w:rPr>
                <w:rFonts w:hint="eastAsia" w:ascii="宋体" w:hAnsi="宋体" w:eastAsia="宋体" w:cs="宋体"/>
                <w:i w:val="0"/>
                <w:iCs w:val="0"/>
                <w:color w:val="000000"/>
                <w:kern w:val="0"/>
                <w:sz w:val="18"/>
                <w:szCs w:val="18"/>
                <w:highlight w:val="none"/>
                <w:u w:val="none"/>
                <w:lang w:val="en-US" w:eastAsia="zh-CN"/>
              </w:rPr>
              <w:t>的粮食安全责任考核，确保</w:t>
            </w:r>
            <w:r>
              <w:rPr>
                <w:rFonts w:hint="eastAsia" w:ascii="宋体" w:hAnsi="宋体" w:cs="宋体"/>
                <w:i w:val="0"/>
                <w:iCs w:val="0"/>
                <w:color w:val="000000"/>
                <w:kern w:val="0"/>
                <w:sz w:val="18"/>
                <w:szCs w:val="18"/>
                <w:highlight w:val="none"/>
                <w:u w:val="none"/>
                <w:lang w:val="en-US" w:eastAsia="zh-CN"/>
              </w:rPr>
              <w:t>韶关市</w:t>
            </w:r>
            <w:r>
              <w:rPr>
                <w:rFonts w:hint="eastAsia" w:ascii="宋体" w:hAnsi="宋体" w:eastAsia="宋体" w:cs="宋体"/>
                <w:i w:val="0"/>
                <w:iCs w:val="0"/>
                <w:color w:val="000000"/>
                <w:kern w:val="0"/>
                <w:sz w:val="18"/>
                <w:szCs w:val="18"/>
                <w:highlight w:val="none"/>
                <w:u w:val="none"/>
                <w:lang w:val="en-US" w:eastAsia="zh-CN"/>
              </w:rPr>
              <w:t>粮食安全保障各项工作，包括全市政策性粮食库存数量和质量大清查、市级储备粮油质量检验、全市军粮质量抽检、粮食应急网络建设及演练、粮食流通统计调查监测和粮食安全保障全员培训等工作落到实处。</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牵头组织全市粮食安全责任制考核，开展了市级储备粮油质量检验、全市军粮质量抽检、粮食质量检查、粮食安全演练、世界粮食日活动、军粮应急器材和保密电脑更新维护、粮食流通统计、调查、监测和应急网点维护等工作，全市建立了146个粮食应急网点，韶关市落实粮食安全政府责任制考核获省政府办公厅通报表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2021年能源发展专项工作经费（含市级节能专项工作经费）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编制能源“十四五”专项规划，开展节能考核、节能监察业务工作，推进公共机构节能管理，全面宣传节能降耗，强化用能单位节能管理；政府固定资产投资项目节能评估评审工作。</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t>能源发展“十四五”规划</w:t>
            </w:r>
            <w:r>
              <w:rPr>
                <w:rFonts w:hint="eastAsia" w:ascii="宋体" w:hAnsi="宋体" w:eastAsia="宋体" w:cs="宋体"/>
                <w:i w:val="0"/>
                <w:iCs w:val="0"/>
                <w:color w:val="000000"/>
                <w:sz w:val="18"/>
                <w:szCs w:val="18"/>
                <w:highlight w:val="none"/>
                <w:u w:val="none"/>
                <w:lang w:eastAsia="zh-CN"/>
              </w:rPr>
              <w:t>已经完成初稿，正</w:t>
            </w:r>
            <w:r>
              <w:rPr>
                <w:rFonts w:hint="eastAsia" w:ascii="宋体" w:hAnsi="宋体" w:cs="宋体"/>
                <w:i w:val="0"/>
                <w:iCs w:val="0"/>
                <w:color w:val="000000"/>
                <w:sz w:val="18"/>
                <w:szCs w:val="18"/>
                <w:highlight w:val="none"/>
                <w:u w:val="none"/>
                <w:lang w:val="en-US" w:eastAsia="zh-CN"/>
              </w:rPr>
              <w:t>由</w:t>
            </w:r>
            <w:r>
              <w:rPr>
                <w:rFonts w:hint="eastAsia" w:ascii="宋体" w:hAnsi="宋体" w:eastAsia="宋体" w:cs="宋体"/>
                <w:i w:val="0"/>
                <w:iCs w:val="0"/>
                <w:color w:val="000000"/>
                <w:sz w:val="18"/>
                <w:szCs w:val="18"/>
                <w:highlight w:val="none"/>
                <w:u w:val="none"/>
                <w:lang w:eastAsia="zh-CN"/>
              </w:rPr>
              <w:t>相关专业机构进行初步核对。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重点项目前期经费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1、确保韶关机场顺利通航。2、南水水库供水工程顺利。3、争取厦昆高铁路韶关段、沪穗高铁韶关到赣州段纳入国家中长期铁路网规划和“十四五”规划。4、厦昆高铁路韶关至龙川段“十四五”期间实现开工建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sz w:val="18"/>
                <w:szCs w:val="18"/>
                <w:lang w:eastAsia="zh-CN"/>
              </w:rPr>
            </w:pPr>
            <w:r>
              <w:rPr>
                <w:rFonts w:hint="eastAsia"/>
                <w:sz w:val="18"/>
                <w:szCs w:val="18"/>
                <w:lang w:eastAsia="zh-CN"/>
              </w:rPr>
              <w:t>1</w:t>
            </w:r>
            <w:r>
              <w:rPr>
                <w:rFonts w:hint="eastAsia"/>
                <w:sz w:val="18"/>
                <w:szCs w:val="18"/>
                <w:lang w:val="en-US" w:eastAsia="zh-CN"/>
              </w:rPr>
              <w:t>.</w:t>
            </w:r>
            <w:r>
              <w:rPr>
                <w:rFonts w:hint="eastAsia"/>
                <w:sz w:val="18"/>
                <w:szCs w:val="18"/>
                <w:lang w:eastAsia="zh-CN"/>
              </w:rPr>
              <w:t>韶关机场顺利通航。</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sz w:val="18"/>
                <w:szCs w:val="18"/>
                <w:lang w:eastAsia="zh-CN"/>
              </w:rPr>
            </w:pPr>
            <w:r>
              <w:rPr>
                <w:rFonts w:hint="eastAsia"/>
                <w:sz w:val="18"/>
                <w:szCs w:val="18"/>
                <w:lang w:eastAsia="zh-CN"/>
              </w:rPr>
              <w:t>2</w:t>
            </w:r>
            <w:r>
              <w:rPr>
                <w:rFonts w:hint="eastAsia"/>
                <w:sz w:val="18"/>
                <w:szCs w:val="18"/>
                <w:lang w:val="en-US" w:eastAsia="zh-CN"/>
              </w:rPr>
              <w:t>.</w:t>
            </w:r>
            <w:r>
              <w:rPr>
                <w:rFonts w:hint="eastAsia"/>
                <w:sz w:val="18"/>
                <w:szCs w:val="18"/>
                <w:lang w:eastAsia="zh-CN"/>
              </w:rPr>
              <w:t>南水水库供水工程顺利推进，完成南水水库供水工程建设。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sz w:val="18"/>
                <w:szCs w:val="18"/>
                <w:lang w:val="en-US" w:eastAsia="zh-CN"/>
              </w:rPr>
            </w:pPr>
            <w:r>
              <w:rPr>
                <w:rFonts w:hint="eastAsia"/>
                <w:sz w:val="18"/>
                <w:szCs w:val="18"/>
                <w:lang w:val="en-US" w:eastAsia="zh-CN"/>
              </w:rPr>
              <w:t>3.浈江区赣韶铁路征拆款按时完成支付。</w:t>
            </w:r>
          </w:p>
          <w:p>
            <w:pPr>
              <w:pStyle w:val="7"/>
              <w:keepNext w:val="0"/>
              <w:keepLines w:val="0"/>
              <w:pageBreakBefore w:val="0"/>
              <w:widowControl/>
              <w:kinsoku/>
              <w:wordWrap/>
              <w:overflowPunct/>
              <w:topLinePunct w:val="0"/>
              <w:autoSpaceDE/>
              <w:autoSpaceDN/>
              <w:bidi w:val="0"/>
              <w:adjustRightInd/>
              <w:snapToGrid/>
              <w:spacing w:line="280" w:lineRule="exact"/>
              <w:ind w:left="0" w:leftChars="0" w:firstLine="0" w:firstLineChars="0"/>
              <w:outlineLvl w:val="9"/>
              <w:rPr>
                <w:rFonts w:hint="default"/>
                <w:sz w:val="18"/>
                <w:szCs w:val="18"/>
                <w:lang w:val="en-US" w:eastAsia="zh-CN"/>
              </w:rPr>
            </w:pPr>
            <w:r>
              <w:rPr>
                <w:rFonts w:hint="eastAsia" w:ascii="宋体" w:hAnsi="宋体" w:eastAsia="宋体" w:cs="宋体"/>
                <w:i w:val="0"/>
                <w:iCs w:val="0"/>
                <w:color w:val="000000"/>
                <w:sz w:val="18"/>
                <w:szCs w:val="18"/>
                <w:highlight w:val="none"/>
                <w:u w:val="none"/>
                <w:lang w:val="en-US" w:eastAsia="zh-CN"/>
              </w:rPr>
              <w:t>4.形成《韶关站高铁枢纽规划研究》。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韶关市资源枯竭城市转型发展宣传费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贯彻落实《韶关市资源枯竭城市转型发展规划》，全面推进</w:t>
            </w:r>
            <w:r>
              <w:rPr>
                <w:rFonts w:hint="eastAsia" w:ascii="宋体" w:hAnsi="宋体" w:cs="宋体"/>
                <w:i w:val="0"/>
                <w:iCs w:val="0"/>
                <w:color w:val="000000"/>
                <w:kern w:val="0"/>
                <w:sz w:val="18"/>
                <w:szCs w:val="18"/>
                <w:highlight w:val="none"/>
                <w:u w:val="none"/>
                <w:lang w:val="en-US" w:eastAsia="zh-CN"/>
              </w:rPr>
              <w:t>韶关市</w:t>
            </w:r>
            <w:r>
              <w:rPr>
                <w:rFonts w:hint="eastAsia" w:ascii="宋体" w:hAnsi="宋体" w:eastAsia="宋体" w:cs="宋体"/>
                <w:i w:val="0"/>
                <w:iCs w:val="0"/>
                <w:color w:val="000000"/>
                <w:kern w:val="0"/>
                <w:sz w:val="18"/>
                <w:szCs w:val="18"/>
                <w:highlight w:val="none"/>
                <w:u w:val="none"/>
                <w:lang w:val="en-US" w:eastAsia="zh-CN"/>
              </w:rPr>
              <w:t>资源枯竭城市转型发展工作，提升城市综合竞争力。</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在经济日报、科技日报、人民日报、光明日报等媒体上刊登韶关产业转型升级有关报道共22篇。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韶关市产业转型升级示范区评估评审费（2021）</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贯彻落实《关于进一步推进产业转型升级示范区建设的通知》和国家发改委有关通知精神，加快老工业基地产业转型升级。</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2020年度产业转型升级示范区评估获得“优秀”等次。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2021年度编制韶关市“十四五”规划纲要工作经费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完成《韶关市“十四五”规划纲要》相关研究和</w:t>
            </w:r>
            <w:r>
              <w:rPr>
                <w:rFonts w:hint="eastAsia" w:ascii="宋体" w:hAnsi="宋体" w:cs="宋体"/>
                <w:i w:val="0"/>
                <w:iCs w:val="0"/>
                <w:color w:val="000000"/>
                <w:kern w:val="0"/>
                <w:sz w:val="18"/>
                <w:szCs w:val="18"/>
                <w:highlight w:val="none"/>
                <w:u w:val="none"/>
                <w:lang w:val="en-US" w:eastAsia="zh-CN"/>
              </w:rPr>
              <w:t>韶关市</w:t>
            </w:r>
            <w:r>
              <w:rPr>
                <w:rFonts w:hint="eastAsia" w:ascii="宋体" w:hAnsi="宋体" w:eastAsia="宋体" w:cs="宋体"/>
                <w:i w:val="0"/>
                <w:iCs w:val="0"/>
                <w:color w:val="000000"/>
                <w:kern w:val="0"/>
                <w:sz w:val="18"/>
                <w:szCs w:val="18"/>
                <w:highlight w:val="none"/>
                <w:u w:val="none"/>
                <w:lang w:val="en-US" w:eastAsia="zh-CN"/>
              </w:rPr>
              <w:t>“十四五”规划编制工作顺利实施的重要保障。</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韶关市人民政府关于印发《韶关市国民经济和社会发展第十四个五年规划和二〇三五年远景目标纲要》的通知（韶府〔2021〕7号）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rPr>
              <w:t>2021年市本级政府投资项目可行性研究报告和初步设计概算第三方评审服务费用</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rPr>
              <w:t>对2021年市本级政府投资项目可行性研究报告和初步设计概算委托第三方进行评审，进一步提高政府投资项目科学性和合理性，控制政府投资项目成本。</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yellow"/>
                <w:u w:val="none"/>
                <w:lang w:val="en-US" w:eastAsia="zh-CN"/>
              </w:rPr>
            </w:pPr>
            <w:r>
              <w:rPr>
                <w:rFonts w:hint="eastAsia" w:ascii="宋体" w:hAnsi="宋体" w:eastAsia="宋体" w:cs="宋体"/>
                <w:i w:val="0"/>
                <w:iCs w:val="0"/>
                <w:color w:val="00000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sz w:val="18"/>
                <w:szCs w:val="18"/>
                <w:lang w:val="en-US" w:eastAsia="zh-CN"/>
              </w:rPr>
            </w:pPr>
            <w:r>
              <w:rPr>
                <w:rFonts w:hint="eastAsia"/>
                <w:sz w:val="18"/>
                <w:szCs w:val="18"/>
                <w:lang w:val="en-US" w:eastAsia="zh-CN"/>
              </w:rPr>
              <w:t>1.完成粤北人民医院医疗中心建设项目、韶关开放大学综合教学楼项目等9个项目可行性研究报告。</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sz w:val="18"/>
                <w:szCs w:val="18"/>
                <w:lang w:val="en-US" w:eastAsia="zh-CN"/>
              </w:rPr>
            </w:pPr>
            <w:r>
              <w:rPr>
                <w:rFonts w:hint="eastAsia"/>
                <w:sz w:val="18"/>
                <w:szCs w:val="18"/>
                <w:lang w:val="en-US" w:eastAsia="zh-CN"/>
              </w:rPr>
              <w:t>2.完成北江右岸（百旺大桥段）排口截污工程、韶关市国防教育训练基地升级改造项目等9个项目的概算审查。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sz w:val="18"/>
                <w:szCs w:val="18"/>
                <w:lang w:val="en-US" w:eastAsia="zh-CN"/>
              </w:rPr>
            </w:pPr>
            <w:r>
              <w:rPr>
                <w:rFonts w:hint="eastAsia"/>
                <w:sz w:val="18"/>
                <w:szCs w:val="18"/>
                <w:lang w:val="en-US" w:eastAsia="zh-CN"/>
              </w:rPr>
              <w:t>3.完成韶关东郊客运枢纽中心站工程项目概算建设工程造价咨询。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韶关市市级冻猪肉储备费用（2021）</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有效应对非洲猪瘟疫情，落实省最低收储量指标任务，确保</w:t>
            </w:r>
            <w:r>
              <w:rPr>
                <w:rFonts w:hint="eastAsia" w:ascii="宋体" w:hAnsi="宋体" w:cs="宋体"/>
                <w:i w:val="0"/>
                <w:iCs w:val="0"/>
                <w:color w:val="000000"/>
                <w:kern w:val="0"/>
                <w:sz w:val="18"/>
                <w:szCs w:val="18"/>
                <w:highlight w:val="none"/>
                <w:u w:val="none"/>
                <w:lang w:val="en-US" w:eastAsia="zh-CN"/>
              </w:rPr>
              <w:t>韶关市</w:t>
            </w:r>
            <w:r>
              <w:rPr>
                <w:rFonts w:hint="eastAsia" w:ascii="宋体" w:hAnsi="宋体" w:eastAsia="宋体" w:cs="宋体"/>
                <w:i w:val="0"/>
                <w:iCs w:val="0"/>
                <w:color w:val="000000"/>
                <w:kern w:val="0"/>
                <w:sz w:val="18"/>
                <w:szCs w:val="18"/>
                <w:highlight w:val="none"/>
                <w:u w:val="none"/>
                <w:lang w:val="en-US" w:eastAsia="zh-CN"/>
              </w:rPr>
              <w:t>生猪市场保供稳价。</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2"/>
                <w:sz w:val="18"/>
                <w:szCs w:val="18"/>
                <w:highlight w:val="none"/>
                <w:u w:val="none"/>
                <w:lang w:val="en-US" w:eastAsia="zh-CN" w:bidi="ar-SA"/>
              </w:rPr>
              <w:t>按相关工作要求每季度进行巡查，确保</w:t>
            </w:r>
            <w:r>
              <w:rPr>
                <w:rFonts w:hint="eastAsia" w:ascii="宋体" w:hAnsi="宋体" w:eastAsia="宋体" w:cs="宋体"/>
                <w:i w:val="0"/>
                <w:iCs w:val="0"/>
                <w:color w:val="000000"/>
                <w:kern w:val="0"/>
                <w:sz w:val="18"/>
                <w:szCs w:val="18"/>
                <w:highlight w:val="none"/>
                <w:u w:val="none"/>
                <w:lang w:val="en-US" w:eastAsia="zh-CN"/>
              </w:rPr>
              <w:t>冻猪肉储备稳定。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物价管理工作经费（2021）</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rPr>
              <w:t>保障</w:t>
            </w:r>
            <w:r>
              <w:rPr>
                <w:rFonts w:hint="eastAsia" w:ascii="宋体" w:hAnsi="宋体" w:cs="宋体"/>
                <w:i w:val="0"/>
                <w:iCs w:val="0"/>
                <w:color w:val="000000"/>
                <w:kern w:val="0"/>
                <w:sz w:val="18"/>
                <w:szCs w:val="18"/>
                <w:u w:val="none"/>
                <w:lang w:val="en-US" w:eastAsia="zh-CN"/>
              </w:rPr>
              <w:t>韶关市</w:t>
            </w:r>
            <w:r>
              <w:rPr>
                <w:rFonts w:hint="eastAsia" w:ascii="宋体" w:hAnsi="宋体" w:eastAsia="宋体" w:cs="宋体"/>
                <w:i w:val="0"/>
                <w:iCs w:val="0"/>
                <w:color w:val="000000"/>
                <w:kern w:val="0"/>
                <w:sz w:val="18"/>
                <w:szCs w:val="18"/>
                <w:u w:val="none"/>
                <w:lang w:val="en-US" w:eastAsia="zh-CN"/>
              </w:rPr>
              <w:t>价格管理、成本监审（含委托</w:t>
            </w:r>
            <w:r>
              <w:rPr>
                <w:rFonts w:hint="eastAsia" w:ascii="宋体" w:hAnsi="宋体" w:cs="宋体"/>
                <w:i w:val="0"/>
                <w:iCs w:val="0"/>
                <w:color w:val="000000"/>
                <w:kern w:val="0"/>
                <w:sz w:val="18"/>
                <w:szCs w:val="18"/>
                <w:u w:val="none"/>
                <w:lang w:val="en-US" w:eastAsia="zh-CN"/>
              </w:rPr>
              <w:t>会计师事务所</w:t>
            </w:r>
            <w:r>
              <w:rPr>
                <w:rFonts w:hint="eastAsia" w:ascii="宋体" w:hAnsi="宋体" w:eastAsia="宋体" w:cs="宋体"/>
                <w:i w:val="0"/>
                <w:iCs w:val="0"/>
                <w:color w:val="000000"/>
                <w:kern w:val="0"/>
                <w:sz w:val="18"/>
                <w:szCs w:val="18"/>
                <w:u w:val="none"/>
                <w:lang w:val="en-US" w:eastAsia="zh-CN"/>
              </w:rPr>
              <w:t>参与的定价成本专项审计）和价格听证等物价管理顺利开展。</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sz w:val="18"/>
                <w:szCs w:val="18"/>
                <w:lang w:val="en-US" w:eastAsia="zh-CN"/>
              </w:rPr>
            </w:pPr>
            <w:r>
              <w:rPr>
                <w:rFonts w:hint="eastAsia"/>
                <w:sz w:val="18"/>
                <w:szCs w:val="18"/>
                <w:lang w:val="en-US" w:eastAsia="zh-CN"/>
              </w:rPr>
              <w:t>1.完成韶关市区自来水供水和管道燃气定价成本专项审计。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eastAsia="宋体"/>
                <w:sz w:val="18"/>
                <w:szCs w:val="18"/>
                <w:lang w:val="en-US" w:eastAsia="zh-CN"/>
              </w:rPr>
            </w:pPr>
            <w:r>
              <w:rPr>
                <w:rFonts w:hint="eastAsia"/>
                <w:sz w:val="18"/>
                <w:szCs w:val="18"/>
                <w:lang w:val="en-US" w:eastAsia="zh-CN"/>
              </w:rPr>
              <w:t>2.完成韶关市校外培训机构成本调查专项审计。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市信息化“三期日贷”还贷（2021）</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利用三期日贷建成了市信息中心局域网，并与省政府信息网联通，同时为市党政班子领导实现办公自动化安装了电脑，利用DDN专线提供了上网服务。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于2021年6月9日支付</w:t>
            </w:r>
            <w:r>
              <w:rPr>
                <w:rFonts w:hint="eastAsia" w:ascii="宋体" w:hAnsi="宋体" w:eastAsia="宋体" w:cs="宋体"/>
                <w:i w:val="0"/>
                <w:iCs w:val="0"/>
                <w:color w:val="000000"/>
                <w:kern w:val="0"/>
                <w:sz w:val="18"/>
                <w:szCs w:val="18"/>
                <w:highlight w:val="none"/>
                <w:u w:val="none"/>
                <w:lang w:val="en-US" w:eastAsia="zh-CN"/>
              </w:rPr>
              <w:t>“三期日贷”</w:t>
            </w:r>
            <w:r>
              <w:rPr>
                <w:rFonts w:hint="eastAsia" w:ascii="宋体" w:hAnsi="宋体" w:eastAsia="宋体" w:cs="宋体"/>
                <w:i w:val="0"/>
                <w:iCs w:val="0"/>
                <w:color w:val="000000"/>
                <w:sz w:val="18"/>
                <w:szCs w:val="18"/>
                <w:highlight w:val="none"/>
                <w:u w:val="none"/>
                <w:lang w:val="en-US" w:eastAsia="zh-CN"/>
              </w:rPr>
              <w:t>本年待还款项6.5万元。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2021年韶关市市级救灾物资储备专项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实现物资常出常新，进一步提升市级救灾物资应急保障能力，确保市级救灾物资高效调运，及时有效保障受灾群众基本生活。</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lang w:val="en-US" w:eastAsia="zh-CN"/>
              </w:rPr>
              <w:t>2021年度</w:t>
            </w:r>
            <w:r>
              <w:rPr>
                <w:rFonts w:hint="eastAsia" w:ascii="宋体" w:hAnsi="宋体" w:eastAsia="宋体" w:cs="宋体"/>
                <w:i w:val="0"/>
                <w:iCs w:val="0"/>
                <w:color w:val="000000"/>
                <w:kern w:val="0"/>
                <w:sz w:val="18"/>
                <w:szCs w:val="18"/>
                <w:highlight w:val="none"/>
                <w:u w:val="none"/>
                <w:lang w:val="en-US" w:eastAsia="zh-CN"/>
              </w:rPr>
              <w:t>市级救灾物资实物入库验收合格。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2020年韶关市农林水利及产业项目社会稳定风险评估第三方</w:t>
            </w:r>
            <w:r>
              <w:rPr>
                <w:rFonts w:hint="eastAsia" w:ascii="宋体" w:hAnsi="宋体" w:cs="宋体"/>
                <w:i w:val="0"/>
                <w:iCs w:val="0"/>
                <w:color w:val="000000"/>
                <w:kern w:val="0"/>
                <w:sz w:val="18"/>
                <w:szCs w:val="18"/>
                <w:highlight w:val="none"/>
                <w:u w:val="none"/>
                <w:lang w:val="en-US" w:eastAsia="zh-CN"/>
              </w:rPr>
              <w:t>服务费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对2021年韶关市农林水利及产业项目进行社会稳定风险评估，控制社会稳定风险。</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sz w:val="18"/>
                <w:szCs w:val="18"/>
                <w:highlight w:val="none"/>
                <w:u w:val="none"/>
                <w:lang w:val="en-US" w:eastAsia="zh-CN"/>
              </w:rPr>
              <w:t>完成北江水系（滃江翁源县）河段、武水乐昌市）河段、（武水浈江区）河段、（浈水南雄市）河段、（浈水始兴县）河段社会稳定风险评估。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2021年度全国信用信息共享平台（广东韶关）运行维护和等保测评等服务项目经费</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保障信用信息平台和信用网站的持续、稳定、可靠安全地运行，有效支撑政务部门开展基于信息的监管、服务和守信联合激励、失信联合惩戒工作落地实施。</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按照广东省公共信用信息管理系统的总体规范标准要求，结合</w:t>
            </w:r>
            <w:r>
              <w:rPr>
                <w:rFonts w:hint="eastAsia" w:ascii="宋体" w:hAnsi="宋体" w:cs="宋体"/>
                <w:i w:val="0"/>
                <w:iCs w:val="0"/>
                <w:color w:val="000000"/>
                <w:kern w:val="0"/>
                <w:sz w:val="18"/>
                <w:szCs w:val="18"/>
                <w:highlight w:val="none"/>
                <w:u w:val="none"/>
                <w:lang w:val="en-US" w:eastAsia="zh-CN"/>
              </w:rPr>
              <w:t>韶关市</w:t>
            </w:r>
            <w:r>
              <w:rPr>
                <w:rFonts w:hint="eastAsia" w:ascii="宋体" w:hAnsi="宋体" w:eastAsia="宋体" w:cs="宋体"/>
                <w:i w:val="0"/>
                <w:iCs w:val="0"/>
                <w:color w:val="000000"/>
                <w:kern w:val="0"/>
                <w:sz w:val="18"/>
                <w:szCs w:val="18"/>
                <w:highlight w:val="none"/>
                <w:u w:val="none"/>
                <w:lang w:val="en-US" w:eastAsia="zh-CN"/>
              </w:rPr>
              <w:t>实际情况，建立一套符合省标准、市要求的韶关市公共信用信息管理系统。项目启动到开发完成，并完成系统部署、培训及验收后三年期的运维服务，建设周期为3个月。项目如期完成。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韶关市重点建设项目管理办公室重点项目综合协调推进</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提升韶关市重点项目管理服务水平。</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按时足额支付重点办11名劳务派遣人员劳务费用，为韶关市重点项目管理服务水平提升提供保障。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物业押金</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清算租户物业押金、全部予以归还。</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因原市粮食局物业租户未按规定时间申请退还押金，</w:t>
            </w:r>
            <w:r>
              <w:rPr>
                <w:rFonts w:hint="eastAsia" w:ascii="宋体" w:hAnsi="宋体" w:cs="宋体"/>
                <w:i w:val="0"/>
                <w:iCs w:val="0"/>
                <w:color w:val="000000"/>
                <w:kern w:val="0"/>
                <w:sz w:val="18"/>
                <w:szCs w:val="18"/>
                <w:highlight w:val="none"/>
                <w:u w:val="none"/>
                <w:lang w:val="en-US" w:eastAsia="zh-CN"/>
              </w:rPr>
              <w:t>且部分租户无法取得联系，故</w:t>
            </w:r>
            <w:r>
              <w:rPr>
                <w:rFonts w:hint="eastAsia" w:ascii="宋体" w:hAnsi="宋体" w:eastAsia="宋体" w:cs="宋体"/>
                <w:i w:val="0"/>
                <w:iCs w:val="0"/>
                <w:color w:val="000000"/>
                <w:kern w:val="0"/>
                <w:sz w:val="18"/>
                <w:szCs w:val="18"/>
                <w:highlight w:val="none"/>
                <w:u w:val="none"/>
                <w:lang w:val="en-US" w:eastAsia="zh-CN"/>
              </w:rPr>
              <w:t>部分押金尚未退还</w:t>
            </w:r>
            <w:r>
              <w:rPr>
                <w:rFonts w:hint="eastAsia" w:ascii="宋体" w:hAnsi="宋体" w:cs="宋体"/>
                <w:i w:val="0"/>
                <w:iCs w:val="0"/>
                <w:color w:val="000000"/>
                <w:kern w:val="0"/>
                <w:sz w:val="18"/>
                <w:szCs w:val="18"/>
                <w:highlight w:val="none"/>
                <w:u w:val="none"/>
                <w:lang w:val="en-US" w:eastAsia="zh-CN"/>
              </w:rPr>
              <w:t>。2021年年底该部分押金已由市财政收回，待以后租户主动联系时，市发改局重新向市财政申请相关经费用于返还</w:t>
            </w:r>
            <w:r>
              <w:rPr>
                <w:rFonts w:hint="eastAsia" w:ascii="宋体" w:hAnsi="宋体" w:eastAsia="宋体" w:cs="宋体"/>
                <w:i w:val="0"/>
                <w:iCs w:val="0"/>
                <w:color w:val="000000"/>
                <w:kern w:val="0"/>
                <w:sz w:val="18"/>
                <w:szCs w:val="1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exact"/>
        </w:trPr>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18</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2021年三防物资仓库年度运行费用</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落实应急调拨预案，确保物资处于正常状态、做好抢险救灾准备工作。</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rPr>
              <w:t>完成</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市级三防抢险物资共有38大项、76小项，总有60多万件（个）物资，</w:t>
            </w:r>
            <w:r>
              <w:rPr>
                <w:rFonts w:hint="eastAsia" w:ascii="宋体" w:hAnsi="宋体" w:cs="宋体"/>
                <w:i w:val="0"/>
                <w:iCs w:val="0"/>
                <w:color w:val="000000"/>
                <w:sz w:val="18"/>
                <w:szCs w:val="18"/>
                <w:highlight w:val="none"/>
                <w:u w:val="none"/>
                <w:lang w:val="en-US" w:eastAsia="zh-CN"/>
              </w:rPr>
              <w:t>账面价值</w:t>
            </w:r>
            <w:r>
              <w:rPr>
                <w:rFonts w:hint="eastAsia" w:ascii="宋体" w:hAnsi="宋体" w:eastAsia="宋体" w:cs="宋体"/>
                <w:i w:val="0"/>
                <w:iCs w:val="0"/>
                <w:color w:val="000000"/>
                <w:sz w:val="18"/>
                <w:szCs w:val="18"/>
                <w:highlight w:val="none"/>
                <w:u w:val="none"/>
                <w:lang w:val="en-US" w:eastAsia="zh-CN"/>
              </w:rPr>
              <w:t>共计572万元，物资储存安全、数量准确、可用物资质量完好。</w:t>
            </w:r>
          </w:p>
        </w:tc>
      </w:tr>
    </w:tbl>
    <w:p>
      <w:pPr>
        <w:pStyle w:val="4"/>
        <w:keepNext/>
        <w:keepLines/>
        <w:pageBreakBefore w:val="0"/>
        <w:widowControl w:val="0"/>
        <w:kinsoku/>
        <w:wordWrap/>
        <w:overflowPunct/>
        <w:topLinePunct w:val="0"/>
        <w:autoSpaceDE/>
        <w:autoSpaceDN/>
        <w:bidi w:val="0"/>
        <w:adjustRightInd/>
        <w:snapToGrid/>
        <w:spacing w:before="326" w:beforeLines="100" w:after="0" w:line="360" w:lineRule="auto"/>
        <w:ind w:firstLine="640" w:firstLineChars="200"/>
        <w:jc w:val="both"/>
        <w:textAlignment w:val="auto"/>
        <w:outlineLvl w:val="1"/>
        <w:rPr>
          <w:rFonts w:hint="eastAsia" w:ascii="楷体_GB2312" w:hAnsi="楷体_GB2312" w:eastAsia="楷体_GB2312" w:cs="楷体_GB2312"/>
          <w:b w:val="0"/>
          <w:bCs/>
          <w:szCs w:val="32"/>
        </w:rPr>
      </w:pPr>
      <w:r>
        <w:rPr>
          <w:rFonts w:hint="eastAsia" w:ascii="楷体_GB2312" w:hAnsi="楷体_GB2312" w:eastAsia="楷体_GB2312" w:cs="楷体_GB2312"/>
          <w:b w:val="0"/>
          <w:bCs/>
          <w:szCs w:val="32"/>
          <w:lang w:eastAsia="zh-CN"/>
        </w:rPr>
        <w:t>（</w:t>
      </w:r>
      <w:r>
        <w:rPr>
          <w:rFonts w:hint="eastAsia" w:ascii="楷体_GB2312" w:hAnsi="楷体_GB2312" w:eastAsia="楷体_GB2312" w:cs="楷体_GB2312"/>
          <w:b w:val="0"/>
          <w:bCs/>
          <w:szCs w:val="32"/>
          <w:lang w:val="en-US" w:eastAsia="zh-CN"/>
        </w:rPr>
        <w:t>三）资金使用的绩效目标及指标</w:t>
      </w:r>
      <w:bookmarkEnd w:id="61"/>
      <w:bookmarkEnd w:id="62"/>
      <w:bookmarkEnd w:id="63"/>
    </w:p>
    <w:p>
      <w:pPr>
        <w:pStyle w:val="22"/>
        <w:pageBreakBefore w:val="0"/>
        <w:widowControl w:val="0"/>
        <w:kinsoku/>
        <w:wordWrap/>
        <w:overflowPunct/>
        <w:topLinePunct w:val="0"/>
        <w:autoSpaceDE/>
        <w:autoSpaceDN/>
        <w:bidi w:val="0"/>
        <w:adjustRightInd/>
        <w:snapToGrid/>
        <w:spacing w:after="0" w:line="360" w:lineRule="auto"/>
        <w:ind w:firstLine="640" w:firstLineChars="200"/>
        <w:rPr>
          <w:rFonts w:ascii="仿宋_GB2312" w:hAnsi="仿宋_GB2312" w:eastAsia="仿宋_GB2312" w:cs="仿宋_GB2312"/>
          <w:kern w:val="0"/>
          <w:sz w:val="32"/>
          <w:szCs w:val="32"/>
          <w:highlight w:val="lightGray"/>
        </w:rPr>
      </w:pPr>
      <w:r>
        <w:rPr>
          <w:rFonts w:hint="eastAsia" w:ascii="仿宋_GB2312" w:hAnsi="仿宋_GB2312" w:eastAsia="仿宋_GB2312" w:cs="仿宋_GB2312"/>
          <w:kern w:val="0"/>
          <w:sz w:val="32"/>
          <w:szCs w:val="32"/>
          <w:highlight w:val="none"/>
        </w:rPr>
        <w:t>围绕年度重点工作任务，</w:t>
      </w:r>
      <w:r>
        <w:rPr>
          <w:rFonts w:hint="eastAsia" w:ascii="仿宋_GB2312" w:hAnsi="仿宋_GB2312" w:eastAsia="仿宋_GB2312" w:cs="仿宋_GB2312"/>
          <w:kern w:val="0"/>
          <w:sz w:val="32"/>
          <w:szCs w:val="32"/>
          <w:highlight w:val="none"/>
          <w:lang w:val="en-US" w:eastAsia="zh-CN"/>
        </w:rPr>
        <w:t>市发改局</w:t>
      </w:r>
      <w:r>
        <w:rPr>
          <w:rFonts w:hint="eastAsia" w:ascii="仿宋_GB2312" w:hAnsi="仿宋_GB2312" w:eastAsia="仿宋_GB2312" w:cs="仿宋_GB2312"/>
          <w:kern w:val="0"/>
          <w:sz w:val="32"/>
          <w:szCs w:val="32"/>
          <w:highlight w:val="none"/>
        </w:rPr>
        <w:t>确定了202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年部门整体支出绩效目标：</w:t>
      </w:r>
      <w:r>
        <w:rPr>
          <w:rFonts w:hint="eastAsia" w:ascii="仿宋_GB2312" w:hAnsi="仿宋_GB2312" w:eastAsia="仿宋_GB2312" w:cs="仿宋_GB2312"/>
          <w:sz w:val="32"/>
          <w:szCs w:val="32"/>
          <w:highlight w:val="none"/>
          <w:lang w:val="en-US" w:eastAsia="zh-CN"/>
        </w:rPr>
        <w:t>2021年，计划固定资产投资增长10%；全市重点项目建设计划安排216个项目，总投资1,676亿元，年度计划投资325亿元。安排开展前期工作的预备项目247个，估算总投资1,691亿元。</w:t>
      </w:r>
    </w:p>
    <w:p>
      <w:pPr>
        <w:pStyle w:val="22"/>
        <w:pageBreakBefore w:val="0"/>
        <w:widowControl w:val="0"/>
        <w:kinsoku/>
        <w:wordWrap/>
        <w:overflowPunct/>
        <w:topLinePunct w:val="0"/>
        <w:autoSpaceDE/>
        <w:autoSpaceDN/>
        <w:bidi w:val="0"/>
        <w:adjustRightInd/>
        <w:snapToGrid/>
        <w:spacing w:after="0"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为进一步考核绩效目标落实情况，市发改局从产出指标、效果指标、满意度指标三方面设定了考核的指标，指标具体情况见下表。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val="0"/>
          <w:bCs/>
          <w:highlight w:val="none"/>
        </w:rPr>
      </w:pPr>
      <w:bookmarkStart w:id="64" w:name="_Toc1387"/>
      <w:bookmarkStart w:id="65" w:name="_Toc27404"/>
      <w:bookmarkStart w:id="66" w:name="_Toc19006"/>
      <w:r>
        <w:rPr>
          <w:rFonts w:hint="eastAsia" w:ascii="宋体" w:hAnsi="宋体" w:eastAsia="宋体" w:cs="宋体"/>
          <w:b/>
          <w:bCs/>
          <w:sz w:val="28"/>
          <w:szCs w:val="28"/>
          <w:highlight w:val="none"/>
        </w:rPr>
        <w:t>表1-</w:t>
      </w:r>
      <w:r>
        <w:rPr>
          <w:rFonts w:hint="eastAsia" w:ascii="宋体" w:hAnsi="宋体" w:cs="宋体"/>
          <w:b/>
          <w:bCs/>
          <w:sz w:val="28"/>
          <w:szCs w:val="28"/>
          <w:highlight w:val="none"/>
          <w:lang w:val="en-US" w:eastAsia="zh-CN"/>
        </w:rPr>
        <w:t>5 2021年</w:t>
      </w:r>
      <w:r>
        <w:rPr>
          <w:rFonts w:hint="eastAsia" w:ascii="宋体" w:hAnsi="宋体" w:eastAsia="宋体" w:cs="宋体"/>
          <w:b/>
          <w:bCs/>
          <w:sz w:val="28"/>
          <w:szCs w:val="28"/>
          <w:highlight w:val="none"/>
          <w:lang w:val="en-US" w:eastAsia="zh-CN"/>
        </w:rPr>
        <w:t>市发改局</w:t>
      </w:r>
      <w:r>
        <w:rPr>
          <w:rFonts w:hint="eastAsia" w:ascii="宋体" w:hAnsi="宋体" w:eastAsia="宋体" w:cs="宋体"/>
          <w:b/>
          <w:bCs/>
          <w:sz w:val="28"/>
          <w:szCs w:val="28"/>
          <w:highlight w:val="none"/>
        </w:rPr>
        <w:t>部门整体预算绩效目标申报</w:t>
      </w:r>
      <w:r>
        <w:rPr>
          <w:rFonts w:hint="eastAsia" w:ascii="宋体" w:hAnsi="宋体" w:cs="宋体"/>
          <w:b/>
          <w:bCs/>
          <w:sz w:val="28"/>
          <w:szCs w:val="28"/>
          <w:highlight w:val="none"/>
          <w:lang w:val="en-US" w:eastAsia="zh-CN"/>
        </w:rPr>
        <w:t>情况</w:t>
      </w:r>
      <w:r>
        <w:rPr>
          <w:rFonts w:hint="eastAsia" w:ascii="宋体" w:hAnsi="宋体" w:eastAsia="宋体" w:cs="宋体"/>
          <w:b/>
          <w:bCs/>
          <w:sz w:val="28"/>
          <w:szCs w:val="28"/>
          <w:highlight w:val="none"/>
          <w:lang w:val="en-US" w:eastAsia="zh-CN"/>
        </w:rPr>
        <w:t>及</w:t>
      </w:r>
      <w:r>
        <w:rPr>
          <w:rFonts w:hint="eastAsia" w:ascii="宋体" w:hAnsi="宋体" w:cs="宋体"/>
          <w:b/>
          <w:bCs/>
          <w:sz w:val="28"/>
          <w:szCs w:val="28"/>
          <w:highlight w:val="none"/>
          <w:lang w:val="en-US" w:eastAsia="zh-CN"/>
        </w:rPr>
        <w:t>指标</w:t>
      </w:r>
      <w:r>
        <w:rPr>
          <w:rFonts w:hint="eastAsia" w:ascii="宋体" w:hAnsi="宋体" w:eastAsia="宋体" w:cs="宋体"/>
          <w:b/>
          <w:bCs/>
          <w:sz w:val="28"/>
          <w:szCs w:val="28"/>
          <w:highlight w:val="none"/>
          <w:lang w:val="en-US" w:eastAsia="zh-CN"/>
        </w:rPr>
        <w:t>完成情况</w:t>
      </w:r>
    </w:p>
    <w:tbl>
      <w:tblPr>
        <w:tblStyle w:val="1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9"/>
        <w:gridCol w:w="2450"/>
        <w:gridCol w:w="2611"/>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4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指标类型</w:t>
            </w:r>
          </w:p>
        </w:tc>
        <w:tc>
          <w:tcPr>
            <w:tcW w:w="24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261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本年度计划完成水平</w:t>
            </w:r>
          </w:p>
        </w:tc>
        <w:tc>
          <w:tcPr>
            <w:tcW w:w="26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本年度实际完成水平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94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2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重点项目数</w:t>
            </w:r>
          </w:p>
        </w:tc>
        <w:tc>
          <w:tcPr>
            <w:tcW w:w="26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949" w:type="dxa"/>
            <w:vMerge w:val="continue"/>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年度计划投资额</w:t>
            </w:r>
          </w:p>
        </w:tc>
        <w:tc>
          <w:tcPr>
            <w:tcW w:w="26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7" w:hRule="atLeast"/>
          <w:jc w:val="center"/>
        </w:trPr>
        <w:tc>
          <w:tcPr>
            <w:tcW w:w="949" w:type="dxa"/>
            <w:vMerge w:val="continue"/>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项目完成时效性%</w:t>
            </w:r>
          </w:p>
        </w:tc>
        <w:tc>
          <w:tcPr>
            <w:tcW w:w="26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949" w:type="dxa"/>
            <w:vMerge w:val="continue"/>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项目完成时效性%</w:t>
            </w:r>
          </w:p>
        </w:tc>
        <w:tc>
          <w:tcPr>
            <w:tcW w:w="26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7" w:hRule="atLeast"/>
          <w:jc w:val="center"/>
        </w:trPr>
        <w:tc>
          <w:tcPr>
            <w:tcW w:w="949" w:type="dxa"/>
            <w:vMerge w:val="continue"/>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项目完成时效性%</w:t>
            </w:r>
          </w:p>
        </w:tc>
        <w:tc>
          <w:tcPr>
            <w:tcW w:w="26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4" w:hRule="atLeast"/>
          <w:jc w:val="center"/>
        </w:trPr>
        <w:tc>
          <w:tcPr>
            <w:tcW w:w="94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2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6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04" w:hRule="atLeast"/>
          <w:jc w:val="center"/>
        </w:trPr>
        <w:tc>
          <w:tcPr>
            <w:tcW w:w="949" w:type="dxa"/>
            <w:vMerge w:val="continue"/>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6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949" w:type="dxa"/>
            <w:vMerge w:val="continue"/>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可持续效益</w:t>
            </w:r>
          </w:p>
        </w:tc>
        <w:tc>
          <w:tcPr>
            <w:tcW w:w="26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35" w:hRule="atLeast"/>
          <w:jc w:val="center"/>
        </w:trPr>
        <w:tc>
          <w:tcPr>
            <w:tcW w:w="94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24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服务对像满意度</w:t>
            </w:r>
          </w:p>
        </w:tc>
        <w:tc>
          <w:tcPr>
            <w:tcW w:w="26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6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未开展满意度调查</w:t>
            </w:r>
          </w:p>
        </w:tc>
      </w:tr>
    </w:tbl>
    <w:p>
      <w:pPr>
        <w:pStyle w:val="4"/>
        <w:keepNext/>
        <w:keepLines/>
        <w:pageBreakBefore w:val="0"/>
        <w:widowControl w:val="0"/>
        <w:kinsoku/>
        <w:wordWrap/>
        <w:overflowPunct/>
        <w:topLinePunct w:val="0"/>
        <w:autoSpaceDE/>
        <w:autoSpaceDN/>
        <w:bidi w:val="0"/>
        <w:adjustRightInd/>
        <w:snapToGrid/>
        <w:spacing w:before="326" w:beforeLines="100" w:after="0" w:line="360" w:lineRule="auto"/>
        <w:ind w:firstLine="640" w:firstLineChars="200"/>
        <w:textAlignment w:val="auto"/>
        <w:rPr>
          <w:rFonts w:hint="eastAsia" w:ascii="楷体_GB2312" w:hAnsi="楷体_GB2312" w:eastAsia="楷体_GB2312" w:cs="楷体_GB2312"/>
          <w:b w:val="0"/>
          <w:bCs/>
          <w:highlight w:val="none"/>
          <w:lang w:eastAsia="zh-CN"/>
        </w:rPr>
      </w:pPr>
      <w:r>
        <w:rPr>
          <w:rFonts w:hint="eastAsia" w:ascii="楷体_GB2312" w:hAnsi="楷体_GB2312" w:eastAsia="楷体_GB2312" w:cs="楷体_GB2312"/>
          <w:b w:val="0"/>
          <w:bCs/>
          <w:highlight w:val="none"/>
        </w:rPr>
        <w:t>（</w:t>
      </w:r>
      <w:r>
        <w:rPr>
          <w:rFonts w:hint="eastAsia" w:ascii="楷体_GB2312" w:hAnsi="楷体_GB2312" w:eastAsia="楷体_GB2312" w:cs="楷体_GB2312"/>
          <w:b w:val="0"/>
          <w:bCs/>
          <w:highlight w:val="none"/>
          <w:lang w:val="en-US" w:eastAsia="zh-CN"/>
        </w:rPr>
        <w:t>四</w:t>
      </w:r>
      <w:r>
        <w:rPr>
          <w:rFonts w:hint="eastAsia" w:ascii="楷体_GB2312" w:hAnsi="楷体_GB2312" w:eastAsia="楷体_GB2312" w:cs="楷体_GB2312"/>
          <w:b w:val="0"/>
          <w:bCs/>
          <w:highlight w:val="none"/>
        </w:rPr>
        <w:t>）部门整体收支情况</w:t>
      </w:r>
      <w:bookmarkEnd w:id="64"/>
      <w:bookmarkEnd w:id="65"/>
      <w:bookmarkEnd w:id="66"/>
    </w:p>
    <w:p>
      <w:pPr>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韶关市财政局关于下达2021年度市级部门预算的通知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韶财预〔2021〕10号</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年部门决算报表，部门整体收支情况如下：</w:t>
      </w:r>
    </w:p>
    <w:p>
      <w:pPr>
        <w:pStyle w:val="5"/>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b w:val="0"/>
          <w:bCs/>
          <w:highlight w:val="none"/>
        </w:rPr>
      </w:pPr>
      <w:r>
        <w:rPr>
          <w:b w:val="0"/>
          <w:bCs/>
          <w:highlight w:val="none"/>
        </w:rPr>
        <w:t>1.部门整体收入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度，市发改局</w:t>
      </w:r>
      <w:r>
        <w:rPr>
          <w:rFonts w:hint="eastAsia" w:ascii="仿宋_GB2312" w:hAnsi="仿宋_GB2312" w:eastAsia="仿宋_GB2312" w:cs="仿宋_GB2312"/>
          <w:sz w:val="32"/>
          <w:szCs w:val="32"/>
          <w:highlight w:val="none"/>
        </w:rPr>
        <w:t>部门收入合计</w:t>
      </w:r>
      <w:r>
        <w:rPr>
          <w:rFonts w:hint="eastAsia" w:ascii="仿宋_GB2312" w:hAnsi="仿宋_GB2312" w:eastAsia="仿宋_GB2312" w:cs="仿宋_GB2312"/>
          <w:sz w:val="32"/>
          <w:szCs w:val="32"/>
          <w:highlight w:val="none"/>
          <w:lang w:val="en-US" w:eastAsia="zh-CN"/>
        </w:rPr>
        <w:t>9,770.52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其中，一般公共预算财政拨款收入9,679.82万元，其他收入90.69万元</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default"/>
          <w:b w:val="0"/>
          <w:bCs/>
        </w:rPr>
      </w:pPr>
      <w:bookmarkStart w:id="67" w:name="_Toc12652"/>
      <w:bookmarkStart w:id="68" w:name="_Toc1512"/>
      <w:bookmarkStart w:id="69" w:name="_Toc29497"/>
      <w:bookmarkStart w:id="70" w:name="_Toc44169670"/>
      <w:bookmarkStart w:id="71" w:name="_Toc19555"/>
      <w:bookmarkStart w:id="72" w:name="_Toc25905_WPSOffice_Level2"/>
      <w:bookmarkStart w:id="73" w:name="_Toc3620"/>
      <w:bookmarkStart w:id="74" w:name="_Toc2589_WPSOffice_Level2"/>
      <w:r>
        <w:rPr>
          <w:b w:val="0"/>
          <w:bCs/>
        </w:rPr>
        <w:t>2.部门整体支出情况</w:t>
      </w:r>
    </w:p>
    <w:p>
      <w:pPr>
        <w:pageBreakBefore w:val="0"/>
        <w:widowControl w:val="0"/>
        <w:kinsoku w:val="0"/>
        <w:wordWrap/>
        <w:overflowPunct w:val="0"/>
        <w:topLinePunct w:val="0"/>
        <w:autoSpaceDE w:val="0"/>
        <w:autoSpaceDN w:val="0"/>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度，市发改局</w:t>
      </w:r>
      <w:r>
        <w:rPr>
          <w:rFonts w:hint="eastAsia" w:ascii="仿宋_GB2312" w:hAnsi="仿宋_GB2312" w:eastAsia="仿宋_GB2312" w:cs="仿宋_GB2312"/>
          <w:sz w:val="32"/>
          <w:szCs w:val="32"/>
          <w:highlight w:val="none"/>
        </w:rPr>
        <w:t>部门支出合计</w:t>
      </w:r>
      <w:r>
        <w:rPr>
          <w:rFonts w:hint="eastAsia" w:ascii="仿宋_GB2312" w:hAnsi="仿宋_GB2312" w:eastAsia="仿宋_GB2312" w:cs="仿宋_GB2312"/>
          <w:sz w:val="32"/>
          <w:szCs w:val="32"/>
          <w:highlight w:val="none"/>
          <w:lang w:val="en-US" w:eastAsia="zh-CN"/>
        </w:rPr>
        <w:t>9,679.82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均为</w:t>
      </w:r>
      <w:r>
        <w:rPr>
          <w:rFonts w:hint="eastAsia" w:ascii="仿宋_GB2312" w:hAnsi="仿宋_GB2312" w:eastAsia="仿宋_GB2312" w:cs="仿宋_GB2312"/>
          <w:sz w:val="32"/>
          <w:szCs w:val="32"/>
          <w:highlight w:val="none"/>
        </w:rPr>
        <w:t>财政拨款支出，</w:t>
      </w:r>
      <w:r>
        <w:rPr>
          <w:rFonts w:hint="eastAsia" w:ascii="仿宋_GB2312" w:hAnsi="仿宋_GB2312" w:eastAsia="仿宋_GB2312" w:cs="仿宋_GB2312"/>
          <w:sz w:val="32"/>
          <w:szCs w:val="32"/>
          <w:highlight w:val="none"/>
          <w:lang w:val="en-US" w:eastAsia="zh-CN"/>
        </w:rPr>
        <w:t>与单位指标金额9,770.52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相比，</w:t>
      </w:r>
      <w:r>
        <w:rPr>
          <w:rFonts w:hint="eastAsia" w:ascii="仿宋_GB2312" w:hAnsi="仿宋_GB2312" w:eastAsia="仿宋_GB2312" w:cs="仿宋_GB2312"/>
          <w:sz w:val="32"/>
          <w:szCs w:val="32"/>
          <w:highlight w:val="none"/>
        </w:rPr>
        <w:t>财政拨款资金支出率为</w:t>
      </w:r>
      <w:r>
        <w:rPr>
          <w:rFonts w:hint="eastAsia" w:ascii="仿宋_GB2312" w:hAnsi="仿宋_GB2312" w:eastAsia="仿宋_GB2312" w:cs="仿宋_GB2312"/>
          <w:sz w:val="32"/>
          <w:szCs w:val="32"/>
          <w:highlight w:val="none"/>
          <w:lang w:val="en-US" w:eastAsia="zh-CN"/>
        </w:rPr>
        <w:t>99.06%</w:t>
      </w:r>
      <w:r>
        <w:rPr>
          <w:rFonts w:hint="eastAsia" w:ascii="仿宋_GB2312" w:hAnsi="仿宋_GB2312" w:eastAsia="仿宋_GB2312" w:cs="仿宋_GB2312"/>
          <w:sz w:val="32"/>
          <w:szCs w:val="32"/>
          <w:highlight w:val="none"/>
        </w:rPr>
        <w:t>。按支出性质分类，202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年部门整体支出分为基本支出和项目支出，其中</w:t>
      </w:r>
      <w:r>
        <w:rPr>
          <w:rFonts w:hint="eastAsia" w:ascii="仿宋_GB2312" w:hAnsi="仿宋_GB2312" w:eastAsia="仿宋_GB2312" w:cs="仿宋_GB2312"/>
          <w:sz w:val="32"/>
          <w:szCs w:val="32"/>
          <w:highlight w:val="none"/>
          <w:lang w:val="en-US" w:eastAsia="zh-CN"/>
        </w:rPr>
        <w:t>项目支出</w:t>
      </w:r>
      <w:r>
        <w:rPr>
          <w:rFonts w:hint="eastAsia" w:ascii="仿宋_GB2312" w:hAnsi="仿宋_GB2312" w:eastAsia="仿宋_GB2312" w:cs="仿宋_GB2312"/>
          <w:sz w:val="32"/>
          <w:szCs w:val="32"/>
          <w:highlight w:val="none"/>
        </w:rPr>
        <w:t>占比</w:t>
      </w:r>
      <w:r>
        <w:rPr>
          <w:rFonts w:hint="eastAsia" w:ascii="仿宋_GB2312" w:hAnsi="仿宋_GB2312" w:eastAsia="仿宋_GB2312" w:cs="仿宋_GB2312"/>
          <w:sz w:val="32"/>
          <w:szCs w:val="32"/>
          <w:highlight w:val="none"/>
          <w:lang w:val="en-US" w:eastAsia="zh-CN"/>
        </w:rPr>
        <w:t>67.25%</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表1-</w:t>
      </w:r>
      <w:r>
        <w:rPr>
          <w:rFonts w:hint="eastAsia" w:ascii="宋体" w:hAnsi="宋体" w:eastAsia="宋体" w:cs="宋体"/>
          <w:b/>
          <w:bCs/>
          <w:sz w:val="28"/>
          <w:szCs w:val="28"/>
          <w:lang w:val="en-US" w:eastAsia="zh-CN"/>
        </w:rPr>
        <w:t>6</w:t>
      </w:r>
      <w:r>
        <w:rPr>
          <w:rFonts w:hint="eastAsia" w:ascii="宋体" w:hAnsi="宋体" w:cs="宋体"/>
          <w:b/>
          <w:bCs/>
          <w:sz w:val="28"/>
          <w:szCs w:val="28"/>
          <w:lang w:val="en-US" w:eastAsia="zh-CN"/>
        </w:rPr>
        <w:t xml:space="preserve"> 2021年度</w:t>
      </w:r>
      <w:r>
        <w:rPr>
          <w:rFonts w:hint="eastAsia" w:ascii="宋体" w:hAnsi="宋体" w:eastAsia="宋体" w:cs="宋体"/>
          <w:b/>
          <w:bCs/>
          <w:sz w:val="28"/>
          <w:szCs w:val="28"/>
        </w:rPr>
        <w:t>部门整体支出基本情况表</w:t>
      </w:r>
    </w:p>
    <w:tbl>
      <w:tblPr>
        <w:tblStyle w:val="15"/>
        <w:tblW w:w="9140" w:type="dxa"/>
        <w:tblInd w:w="113" w:type="dxa"/>
        <w:tblLayout w:type="fixed"/>
        <w:tblCellMar>
          <w:top w:w="0" w:type="dxa"/>
          <w:left w:w="108" w:type="dxa"/>
          <w:bottom w:w="0" w:type="dxa"/>
          <w:right w:w="108" w:type="dxa"/>
        </w:tblCellMar>
      </w:tblPr>
      <w:tblGrid>
        <w:gridCol w:w="2500"/>
        <w:gridCol w:w="1660"/>
        <w:gridCol w:w="1660"/>
        <w:gridCol w:w="1660"/>
        <w:gridCol w:w="1660"/>
      </w:tblGrid>
      <w:tr>
        <w:trPr>
          <w:trHeight w:val="283" w:hRule="atLeast"/>
          <w:tblHead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kern w:val="0"/>
                <w:sz w:val="21"/>
                <w:szCs w:val="21"/>
              </w:rPr>
            </w:pPr>
            <w:r>
              <w:rPr>
                <w:rFonts w:hint="eastAsia" w:ascii="宋体" w:hAnsi="宋体" w:eastAsia="宋体" w:cs="宋体"/>
                <w:b/>
                <w:color w:val="000000"/>
                <w:kern w:val="0"/>
                <w:sz w:val="21"/>
                <w:szCs w:val="21"/>
              </w:rPr>
              <w:t>项目（按支出性质）</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年初预算数</w:t>
            </w:r>
          </w:p>
          <w:p>
            <w:pPr>
              <w:widowControl/>
              <w:spacing w:line="360" w:lineRule="auto"/>
              <w:jc w:val="center"/>
              <w:textAlignment w:val="center"/>
              <w:rPr>
                <w:rFonts w:hint="eastAsia" w:ascii="宋体" w:hAnsi="宋体" w:eastAsia="宋体" w:cs="宋体"/>
                <w:b/>
                <w:bCs/>
                <w:color w:val="000000"/>
                <w:kern w:val="0"/>
                <w:sz w:val="21"/>
                <w:szCs w:val="21"/>
              </w:rPr>
            </w:pPr>
            <w:r>
              <w:rPr>
                <w:rFonts w:hint="eastAsia" w:ascii="宋体" w:hAnsi="宋体" w:eastAsia="宋体" w:cs="宋体"/>
                <w:b/>
                <w:color w:val="000000"/>
                <w:kern w:val="0"/>
                <w:sz w:val="21"/>
                <w:szCs w:val="21"/>
              </w:rPr>
              <w:t>（万元）</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调整预算数</w:t>
            </w:r>
          </w:p>
          <w:p>
            <w:pPr>
              <w:widowControl/>
              <w:spacing w:line="360" w:lineRule="auto"/>
              <w:jc w:val="center"/>
              <w:textAlignment w:val="center"/>
              <w:rPr>
                <w:rFonts w:hint="eastAsia" w:ascii="宋体" w:hAnsi="宋体" w:eastAsia="宋体" w:cs="宋体"/>
                <w:b/>
                <w:bCs/>
                <w:color w:val="000000"/>
                <w:kern w:val="0"/>
                <w:sz w:val="21"/>
                <w:szCs w:val="21"/>
              </w:rPr>
            </w:pPr>
            <w:r>
              <w:rPr>
                <w:rFonts w:hint="eastAsia" w:ascii="宋体" w:hAnsi="宋体" w:eastAsia="宋体" w:cs="宋体"/>
                <w:b/>
                <w:color w:val="000000"/>
                <w:kern w:val="0"/>
                <w:sz w:val="21"/>
                <w:szCs w:val="21"/>
              </w:rPr>
              <w:t>（万元）</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决算数</w:t>
            </w:r>
          </w:p>
          <w:p>
            <w:pPr>
              <w:widowControl/>
              <w:spacing w:line="360" w:lineRule="auto"/>
              <w:jc w:val="center"/>
              <w:textAlignment w:val="center"/>
              <w:rPr>
                <w:rFonts w:hint="eastAsia" w:ascii="宋体" w:hAnsi="宋体" w:eastAsia="宋体" w:cs="宋体"/>
                <w:b/>
                <w:bCs/>
                <w:color w:val="000000"/>
                <w:kern w:val="0"/>
                <w:sz w:val="21"/>
                <w:szCs w:val="21"/>
              </w:rPr>
            </w:pPr>
            <w:r>
              <w:rPr>
                <w:rFonts w:hint="eastAsia" w:ascii="宋体" w:hAnsi="宋体" w:eastAsia="宋体" w:cs="宋体"/>
                <w:b/>
                <w:color w:val="000000"/>
                <w:kern w:val="0"/>
                <w:sz w:val="21"/>
                <w:szCs w:val="21"/>
              </w:rPr>
              <w:t>（万元）</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kern w:val="0"/>
                <w:sz w:val="21"/>
                <w:szCs w:val="21"/>
              </w:rPr>
            </w:pPr>
            <w:r>
              <w:rPr>
                <w:rFonts w:hint="eastAsia" w:ascii="宋体" w:hAnsi="宋体" w:eastAsia="宋体" w:cs="宋体"/>
                <w:b/>
                <w:color w:val="000000"/>
                <w:kern w:val="0"/>
                <w:sz w:val="21"/>
                <w:szCs w:val="21"/>
              </w:rPr>
              <w:t>占比</w:t>
            </w:r>
          </w:p>
        </w:tc>
      </w:tr>
      <w:tr>
        <w:tblPrEx>
          <w:tblCellMar>
            <w:top w:w="0" w:type="dxa"/>
            <w:left w:w="108" w:type="dxa"/>
            <w:bottom w:w="0" w:type="dxa"/>
            <w:right w:w="108" w:type="dxa"/>
          </w:tblCellMar>
        </w:tblPrEx>
        <w:trPr>
          <w:trHeight w:val="283" w:hRule="atLeast"/>
        </w:trPr>
        <w:tc>
          <w:tcPr>
            <w:tcW w:w="250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一、基本支出</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rPr>
            </w:pPr>
            <w:r>
              <w:rPr>
                <w:rFonts w:hint="eastAsia" w:ascii="宋体" w:hAnsi="宋体" w:eastAsia="宋体" w:cs="宋体"/>
                <w:i w:val="0"/>
                <w:iCs w:val="0"/>
                <w:color w:val="000000"/>
                <w:kern w:val="0"/>
                <w:sz w:val="18"/>
                <w:szCs w:val="18"/>
                <w:u w:val="none"/>
                <w:lang w:val="en-US" w:eastAsia="zh-CN"/>
              </w:rPr>
              <w:t>2,959.94</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rPr>
              <w:t>3,169.81</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rPr>
              <w:t>3,169.81</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rPr>
              <w:t>32.75%</w:t>
            </w:r>
          </w:p>
        </w:tc>
      </w:tr>
      <w:tr>
        <w:tblPrEx>
          <w:tblCellMar>
            <w:top w:w="0" w:type="dxa"/>
            <w:left w:w="108" w:type="dxa"/>
            <w:bottom w:w="0" w:type="dxa"/>
            <w:right w:w="108" w:type="dxa"/>
          </w:tblCellMar>
        </w:tblPrEx>
        <w:trPr>
          <w:trHeight w:val="283" w:hRule="atLeast"/>
        </w:trPr>
        <w:tc>
          <w:tcPr>
            <w:tcW w:w="250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人员经费</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rPr>
              <w:t>2,772.32</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rPr>
              <w:t>2,992.07</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rPr>
              <w:t>2,992.07</w:t>
            </w:r>
          </w:p>
        </w:tc>
        <w:tc>
          <w:tcPr>
            <w:tcW w:w="1660"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w:t>
            </w:r>
          </w:p>
        </w:tc>
      </w:tr>
      <w:tr>
        <w:trPr>
          <w:trHeight w:val="283" w:hRule="atLeast"/>
        </w:trPr>
        <w:tc>
          <w:tcPr>
            <w:tcW w:w="250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日常公用经费</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rPr>
              <w:t>187.62</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rPr>
              <w:t>177.74</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rPr>
              <w:t>177.74</w:t>
            </w:r>
          </w:p>
        </w:tc>
        <w:tc>
          <w:tcPr>
            <w:tcW w:w="1660" w:type="dxa"/>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w:t>
            </w:r>
          </w:p>
        </w:tc>
      </w:tr>
      <w:tr>
        <w:trPr>
          <w:trHeight w:val="283" w:hRule="atLeast"/>
        </w:trPr>
        <w:tc>
          <w:tcPr>
            <w:tcW w:w="250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二、项目支出</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rPr>
            </w:pPr>
            <w:r>
              <w:rPr>
                <w:rFonts w:hint="eastAsia" w:ascii="宋体" w:hAnsi="宋体" w:eastAsia="宋体" w:cs="宋体"/>
                <w:i w:val="0"/>
                <w:iCs w:val="0"/>
                <w:color w:val="000000"/>
                <w:kern w:val="0"/>
                <w:sz w:val="18"/>
                <w:szCs w:val="18"/>
                <w:u w:val="none"/>
                <w:lang w:val="en-US" w:eastAsia="zh-CN"/>
              </w:rPr>
              <w:t>5,249.23</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rPr>
            </w:pPr>
            <w:r>
              <w:rPr>
                <w:rFonts w:hint="eastAsia" w:ascii="宋体" w:hAnsi="宋体" w:eastAsia="宋体" w:cs="宋体"/>
                <w:i w:val="0"/>
                <w:iCs w:val="0"/>
                <w:color w:val="000000"/>
                <w:kern w:val="0"/>
                <w:sz w:val="18"/>
                <w:szCs w:val="18"/>
                <w:u w:val="none"/>
                <w:lang w:val="en-US" w:eastAsia="zh-CN"/>
              </w:rPr>
              <w:t>6,510.01</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eastAsia="宋体" w:cs="宋体"/>
                <w:i w:val="0"/>
                <w:iCs w:val="0"/>
                <w:color w:val="000000"/>
                <w:kern w:val="0"/>
                <w:sz w:val="18"/>
                <w:szCs w:val="18"/>
                <w:u w:val="none"/>
                <w:lang w:val="en-US" w:eastAsia="zh-CN"/>
              </w:rPr>
              <w:t>6,510.01</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rPr>
            </w:pPr>
            <w:r>
              <w:rPr>
                <w:rFonts w:hint="eastAsia" w:ascii="宋体" w:hAnsi="宋体" w:eastAsia="宋体" w:cs="宋体"/>
                <w:b w:val="0"/>
                <w:bCs w:val="0"/>
                <w:i w:val="0"/>
                <w:iCs w:val="0"/>
                <w:color w:val="000000"/>
                <w:kern w:val="0"/>
                <w:sz w:val="18"/>
                <w:szCs w:val="18"/>
                <w:u w:val="none"/>
                <w:lang w:val="en-US" w:eastAsia="zh-CN"/>
              </w:rPr>
              <w:t>67.25%</w:t>
            </w:r>
          </w:p>
        </w:tc>
      </w:tr>
      <w:tr>
        <w:tblPrEx>
          <w:tblCellMar>
            <w:top w:w="0" w:type="dxa"/>
            <w:left w:w="108" w:type="dxa"/>
            <w:bottom w:w="0" w:type="dxa"/>
            <w:right w:w="108" w:type="dxa"/>
          </w:tblCellMar>
        </w:tblPrEx>
        <w:trPr>
          <w:trHeight w:val="90" w:hRule="atLeast"/>
        </w:trPr>
        <w:tc>
          <w:tcPr>
            <w:tcW w:w="250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其中：基本建设类项目</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rPr>
            </w:pPr>
            <w:r>
              <w:rPr>
                <w:rFonts w:hint="eastAsia" w:ascii="宋体" w:hAnsi="宋体" w:cs="宋体"/>
                <w:b w:val="0"/>
                <w:bCs w:val="0"/>
                <w:i w:val="0"/>
                <w:iCs w:val="0"/>
                <w:color w:val="000000"/>
                <w:kern w:val="0"/>
                <w:sz w:val="18"/>
                <w:szCs w:val="18"/>
                <w:u w:val="none"/>
                <w:lang w:val="en-US" w:eastAsia="zh-CN"/>
              </w:rPr>
              <w:t>-</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w:t>
            </w:r>
          </w:p>
        </w:tc>
      </w:tr>
      <w:tr>
        <w:tblPrEx>
          <w:tblCellMar>
            <w:top w:w="0" w:type="dxa"/>
            <w:left w:w="108" w:type="dxa"/>
            <w:bottom w:w="0" w:type="dxa"/>
            <w:right w:w="108" w:type="dxa"/>
          </w:tblCellMar>
        </w:tblPrEx>
        <w:trPr>
          <w:trHeight w:val="283" w:hRule="atLeast"/>
        </w:trPr>
        <w:tc>
          <w:tcPr>
            <w:tcW w:w="2500"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本年支出合计</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8,209.17</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9,679.82</w:t>
            </w:r>
          </w:p>
        </w:tc>
        <w:tc>
          <w:tcPr>
            <w:tcW w:w="16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9,679.82</w:t>
            </w:r>
          </w:p>
        </w:tc>
        <w:tc>
          <w:tcPr>
            <w:tcW w:w="1660" w:type="dxa"/>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100%</w:t>
            </w:r>
          </w:p>
        </w:tc>
      </w:tr>
      <w:bookmarkEnd w:id="67"/>
      <w:bookmarkEnd w:id="68"/>
      <w:bookmarkEnd w:id="69"/>
      <w:bookmarkEnd w:id="70"/>
      <w:bookmarkEnd w:id="71"/>
      <w:bookmarkEnd w:id="72"/>
      <w:bookmarkEnd w:id="73"/>
      <w:bookmarkEnd w:id="74"/>
    </w:tbl>
    <w:p>
      <w:pPr>
        <w:pStyle w:val="3"/>
        <w:keepNext/>
        <w:keepLines/>
        <w:pageBreakBefore w:val="0"/>
        <w:widowControl w:val="0"/>
        <w:kinsoku/>
        <w:wordWrap/>
        <w:overflowPunct/>
        <w:topLinePunct w:val="0"/>
        <w:autoSpaceDE/>
        <w:autoSpaceDN/>
        <w:bidi w:val="0"/>
        <w:adjustRightInd/>
        <w:snapToGrid/>
        <w:spacing w:before="326" w:beforeLines="100" w:after="0" w:line="360" w:lineRule="auto"/>
        <w:ind w:firstLine="640" w:firstLineChars="200"/>
        <w:textAlignment w:val="auto"/>
        <w:rPr>
          <w:rFonts w:hint="eastAsia" w:ascii="黑体" w:hAnsi="黑体" w:eastAsia="黑体" w:cs="黑体"/>
          <w:b w:val="0"/>
          <w:bCs/>
          <w:sz w:val="32"/>
          <w:szCs w:val="32"/>
          <w:highlight w:val="none"/>
          <w:lang w:val="en-US" w:eastAsia="zh-CN"/>
        </w:rPr>
      </w:pPr>
      <w:bookmarkStart w:id="75" w:name="_Toc19131"/>
      <w:bookmarkStart w:id="76" w:name="_Toc7524"/>
      <w:bookmarkStart w:id="77" w:name="_Toc17088"/>
      <w:bookmarkStart w:id="78" w:name="_Toc11033"/>
      <w:r>
        <w:rPr>
          <w:rFonts w:hint="eastAsia" w:ascii="黑体" w:hAnsi="黑体" w:eastAsia="黑体" w:cs="黑体"/>
          <w:b w:val="0"/>
          <w:bCs/>
          <w:sz w:val="32"/>
          <w:szCs w:val="32"/>
          <w:highlight w:val="none"/>
        </w:rPr>
        <w:t>二、</w:t>
      </w:r>
      <w:r>
        <w:rPr>
          <w:rFonts w:hint="eastAsia" w:ascii="黑体" w:hAnsi="黑体" w:eastAsia="黑体" w:cs="黑体"/>
          <w:b w:val="0"/>
          <w:bCs/>
          <w:sz w:val="32"/>
          <w:szCs w:val="32"/>
          <w:highlight w:val="none"/>
          <w:lang w:val="en-US" w:eastAsia="zh-CN"/>
        </w:rPr>
        <w:t>绩效评价指标分析</w:t>
      </w:r>
      <w:bookmarkEnd w:id="75"/>
      <w:bookmarkEnd w:id="76"/>
      <w:bookmarkEnd w:id="77"/>
    </w:p>
    <w:p>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楷体_GB2312" w:hAnsi="楷体_GB2312" w:eastAsia="楷体_GB2312" w:cs="楷体_GB2312"/>
          <w:b w:val="0"/>
          <w:bCs/>
          <w:highlight w:val="none"/>
          <w:lang w:eastAsia="zh-CN"/>
        </w:rPr>
      </w:pPr>
      <w:bookmarkStart w:id="79" w:name="_Toc2997"/>
      <w:bookmarkStart w:id="80" w:name="_Toc28909"/>
      <w:bookmarkStart w:id="81" w:name="_Toc15208"/>
      <w:r>
        <w:rPr>
          <w:rFonts w:hint="eastAsia" w:ascii="楷体_GB2312" w:hAnsi="楷体_GB2312" w:eastAsia="楷体_GB2312" w:cs="楷体_GB2312"/>
          <w:b w:val="0"/>
          <w:bCs/>
          <w:highlight w:val="none"/>
          <w:lang w:eastAsia="zh-CN"/>
        </w:rPr>
        <w:t>（一）</w:t>
      </w:r>
      <w:r>
        <w:rPr>
          <w:rFonts w:hint="eastAsia" w:ascii="楷体_GB2312" w:hAnsi="楷体_GB2312" w:eastAsia="楷体_GB2312" w:cs="楷体_GB2312"/>
          <w:b w:val="0"/>
          <w:bCs/>
          <w:highlight w:val="none"/>
          <w:lang w:val="en-US" w:eastAsia="zh-CN"/>
        </w:rPr>
        <w:t>年度工作任务及绩效目标完成情况</w:t>
      </w:r>
      <w:bookmarkEnd w:id="79"/>
      <w:bookmarkEnd w:id="80"/>
      <w:bookmarkEnd w:id="81"/>
    </w:p>
    <w:p>
      <w:pPr>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对照《韶关市2021年国民经济和社会发展统计公报》公布的统计数据，市发改局本年度工作任务完成情况较好，但部分工作任务未达预期目标，如固定资产投资、地方一般公共预算收入等增长率未达预期目标，具体情况如下表所示：</w:t>
      </w:r>
    </w:p>
    <w:p>
      <w:pPr>
        <w:spacing w:before="319" w:beforeLines="100" w:line="360" w:lineRule="auto"/>
        <w:jc w:val="center"/>
        <w:rPr>
          <w:rFonts w:hint="eastAsia" w:ascii="宋体" w:hAnsi="宋体" w:eastAsia="宋体" w:cs="宋体"/>
          <w:b/>
          <w:bCs/>
          <w:sz w:val="28"/>
          <w:szCs w:val="28"/>
        </w:rPr>
      </w:pPr>
    </w:p>
    <w:p>
      <w:pPr>
        <w:spacing w:before="319" w:beforeLines="10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表</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1年度工作任务完成</w:t>
      </w:r>
      <w:r>
        <w:rPr>
          <w:rFonts w:hint="eastAsia" w:ascii="宋体" w:hAnsi="宋体" w:eastAsia="宋体" w:cs="宋体"/>
          <w:b/>
          <w:bCs/>
          <w:sz w:val="28"/>
          <w:szCs w:val="28"/>
        </w:rPr>
        <w:t>情况表</w:t>
      </w:r>
    </w:p>
    <w:tbl>
      <w:tblPr>
        <w:tblStyle w:val="1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123"/>
        <w:gridCol w:w="1024"/>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任务名称</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完成情况</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具体完成情况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全市生产总值增长7%以上，其中第一产业增加值增长5%，第二产业增加值增长9%（工业增加值增长9%），第三产业增加值增长7%。</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部分完成（第二产业增加值未达标）</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2021年韶关实现地区生产总值1553.93亿元，比上年增长8.6%。其中：第一产业增加值215.33亿元、增长13.1%，第二产业增加值572.94亿元、增长8.9%，第三产业增加值765.67亿元、增长7.2%。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固定资产投资增长10%。</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未完成</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全年固定资产投资比上年增长2.2%。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社会消费品零售总额增长7%。</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已完成</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全年社会消费品零售总额488.16亿元，比上年增长9.6%。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出口总额增长10%以上。</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已完成</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全年货物进出口总额220.5亿元，比上年增长18.1%。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地方一般公共预算收入增长6%。</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未完成</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全年地方一般公共预算收入109.07亿元、比上年增长3.8%。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居民消费价格涨幅3%左右。</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未完成</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全年韶关居民消费价格比上年上涨0.2%。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城镇登记失业率控制在3.5%以内。</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已完成</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年末城镇登记失业率2.51%，比上年末上升0.06%。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城乡居民人均可支配收入与经济发展基本同步。</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已完成</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2021年韶关实现地区生产总值1553.93亿元，比上年增长8.6%</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lang w:val="en-US" w:eastAsia="zh-CN"/>
              </w:rPr>
              <w:t>全年全市居民人均可支配收入30211元，比上年增长9.7%</w:t>
            </w:r>
            <w:r>
              <w:rPr>
                <w:rFonts w:hint="eastAsia"/>
                <w:sz w:val="18"/>
                <w:szCs w:val="18"/>
                <w:lang w:eastAsia="zh-CN"/>
              </w:rPr>
              <w:t>，</w:t>
            </w:r>
            <w:r>
              <w:rPr>
                <w:rFonts w:hint="eastAsia" w:ascii="宋体" w:hAnsi="宋体" w:eastAsia="宋体" w:cs="宋体"/>
                <w:sz w:val="18"/>
                <w:szCs w:val="18"/>
                <w:vertAlign w:val="baseline"/>
                <w:lang w:val="en-US" w:eastAsia="zh-CN"/>
              </w:rPr>
              <w:t>城乡居民人均可支配收入与经济发展基本同步</w:t>
            </w:r>
            <w:r>
              <w:rPr>
                <w:rFonts w:hint="eastAsia" w:ascii="宋体" w:hAnsi="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8"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4123"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全市重点项目建设计划安排216个项目，年度计划投资325亿元。</w:t>
            </w:r>
          </w:p>
        </w:tc>
        <w:tc>
          <w:tcPr>
            <w:tcW w:w="1024"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已完成</w:t>
            </w:r>
          </w:p>
        </w:tc>
        <w:tc>
          <w:tcPr>
            <w:tcW w:w="3665" w:type="dxa"/>
            <w:vAlign w:val="center"/>
          </w:tcPr>
          <w:p>
            <w:pPr>
              <w:pStyle w:val="14"/>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2021年安排市重点项目222个，重点项目完成投资366.49亿元。</w:t>
            </w:r>
          </w:p>
        </w:tc>
      </w:tr>
    </w:tbl>
    <w:p>
      <w:pPr>
        <w:pStyle w:val="2"/>
        <w:rPr>
          <w:rFonts w:hint="default"/>
          <w:lang w:val="en-US"/>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楷体_GB2312" w:hAnsi="楷体_GB2312" w:eastAsia="楷体_GB2312" w:cs="楷体_GB2312"/>
          <w:b w:val="0"/>
          <w:bCs/>
          <w:highlight w:val="none"/>
          <w:lang w:eastAsia="zh-CN"/>
        </w:rPr>
      </w:pPr>
      <w:bookmarkStart w:id="82" w:name="_Toc44169673"/>
      <w:bookmarkStart w:id="83" w:name="_Toc8595"/>
      <w:bookmarkStart w:id="84" w:name="_Toc26383"/>
      <w:bookmarkStart w:id="85" w:name="_Toc44169371"/>
      <w:bookmarkStart w:id="86" w:name="_Toc9151"/>
      <w:bookmarkStart w:id="87" w:name="_Toc524"/>
      <w:bookmarkStart w:id="88" w:name="_Toc22594"/>
      <w:bookmarkStart w:id="89" w:name="_Toc22050"/>
      <w:bookmarkStart w:id="90" w:name="_Toc7706"/>
      <w:bookmarkStart w:id="91" w:name="_Toc16507"/>
      <w:bookmarkStart w:id="92" w:name="_Toc13882"/>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二）</w:t>
      </w:r>
      <w:r>
        <w:rPr>
          <w:rFonts w:hint="eastAsia" w:ascii="楷体_GB2312" w:hAnsi="楷体_GB2312" w:eastAsia="楷体_GB2312" w:cs="楷体_GB2312"/>
          <w:b w:val="0"/>
          <w:bCs/>
          <w:highlight w:val="none"/>
          <w:lang w:eastAsia="zh-CN"/>
        </w:rPr>
        <w:t>预算编制情况分析</w:t>
      </w:r>
      <w:bookmarkEnd w:id="82"/>
      <w:bookmarkEnd w:id="83"/>
      <w:bookmarkEnd w:id="84"/>
      <w:bookmarkEnd w:id="85"/>
      <w:bookmarkEnd w:id="86"/>
      <w:bookmarkEnd w:id="87"/>
      <w:bookmarkEnd w:id="88"/>
      <w:bookmarkEnd w:id="89"/>
      <w:bookmarkEnd w:id="90"/>
      <w:bookmarkEnd w:id="91"/>
    </w:p>
    <w:p>
      <w:pPr>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该指标主要考核</w:t>
      </w:r>
      <w:r>
        <w:rPr>
          <w:rFonts w:hint="eastAsia" w:ascii="仿宋_GB2312" w:eastAsia="仿宋_GB2312"/>
          <w:sz w:val="32"/>
          <w:szCs w:val="32"/>
          <w:highlight w:val="none"/>
          <w:lang w:val="en-US" w:eastAsia="zh-CN"/>
        </w:rPr>
        <w:t>预算编制的合理性</w:t>
      </w:r>
      <w:r>
        <w:rPr>
          <w:rFonts w:hint="eastAsia" w:ascii="仿宋_GB2312" w:eastAsia="仿宋_GB2312"/>
          <w:sz w:val="32"/>
          <w:szCs w:val="32"/>
          <w:highlight w:val="none"/>
        </w:rPr>
        <w:t>，包括</w:t>
      </w:r>
      <w:r>
        <w:rPr>
          <w:rFonts w:hint="eastAsia" w:ascii="仿宋_GB2312" w:eastAsia="仿宋_GB2312"/>
          <w:sz w:val="32"/>
          <w:szCs w:val="32"/>
          <w:highlight w:val="none"/>
          <w:lang w:val="en-US" w:eastAsia="zh-CN"/>
        </w:rPr>
        <w:t>预算编制规范性、预算调整率、绩效目标覆盖率、绩效目标合理性、绩效指标明确性5</w:t>
      </w:r>
      <w:r>
        <w:rPr>
          <w:rFonts w:hint="eastAsia" w:ascii="仿宋_GB2312" w:eastAsia="仿宋_GB2312"/>
          <w:sz w:val="32"/>
          <w:szCs w:val="32"/>
          <w:highlight w:val="none"/>
        </w:rPr>
        <w:t>个四级指标，预算编制情况指标分值</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73.33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1.预算编制规范性（分值3分，得3分，得分率100.00%）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根据现场评价，市发改局预算编制规范性较强，预算分配基本与市委、市政府的方针政策和工作要求相符，确保了市发改局本年度各项目的顺利开展。该指标不扣分。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2.预算调整率（分值3分，得3分，得分率100%）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宋体"/>
          <w:sz w:val="32"/>
          <w:szCs w:val="32"/>
          <w:highlight w:val="none"/>
          <w:lang w:val="en-US" w:eastAsia="zh-CN"/>
        </w:rPr>
      </w:pPr>
      <w:r>
        <w:rPr>
          <w:rFonts w:hint="eastAsia" w:ascii="仿宋_GB2312" w:eastAsia="仿宋_GB2312"/>
          <w:sz w:val="32"/>
          <w:szCs w:val="32"/>
          <w:highlight w:val="none"/>
          <w:lang w:val="en-US" w:eastAsia="zh-CN"/>
        </w:rPr>
        <w:t>根据《2021年部门决算报表Z01收入支出决算总表（财决01表）》，年初预算数为8,209.17万元，调整预算数为9,679.82万元，预算调整1,470.65万元，预算调整率为17.91%。由于预算调整项目均为2021年临时安排增加的项目，年初并无预算安排，该指标暂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3.绩效目标覆盖率（</w:t>
      </w:r>
      <w:r>
        <w:rPr>
          <w:rFonts w:hint="eastAsia" w:ascii="仿宋_GB2312" w:eastAsia="仿宋_GB2312"/>
          <w:sz w:val="32"/>
          <w:szCs w:val="32"/>
          <w:highlight w:val="none"/>
          <w:lang w:val="en-US" w:eastAsia="zh-CN"/>
        </w:rPr>
        <w:t>分值2分，得2分，得分率100%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根据各项目的《市级财政支出项目绩效自评基础信息表》，市发改局本年度共24个项目，均设置对应的绩效目标，项目绩效目标覆盖率达100%，详见表2-2。该指标不扣分。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绩效目标合理性</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highlight w:val="none"/>
          <w:lang w:val="en-US" w:eastAsia="zh-CN"/>
        </w:rPr>
        <w:t>分值4分，得2分，得分率50%</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部门整体绩效目标设置合理性不足，主要体现在：一是未根据年度工作计划细化绩效目标，如绩效目标中未体现2021年国民经济和社会发展计划中提及的编制实施“十四五”规划体系、推进全市营商环境改革等内容。二是部分绩效指标值与实际差异较大，设置合理性有待商榷。如</w:t>
      </w:r>
      <w:r>
        <w:rPr>
          <w:rFonts w:hint="eastAsia" w:ascii="仿宋_GB2312" w:hAnsi="仿宋_GB2312" w:eastAsia="仿宋_GB2312" w:cs="仿宋_GB2312"/>
          <w:sz w:val="32"/>
          <w:szCs w:val="32"/>
          <w:highlight w:val="none"/>
          <w:lang w:val="en-US" w:eastAsia="zh-CN"/>
        </w:rPr>
        <w:t>固定资产投资增长率设置为10%，但</w:t>
      </w:r>
      <w:r>
        <w:rPr>
          <w:rFonts w:hint="eastAsia" w:ascii="仿宋_GB2312" w:eastAsia="仿宋_GB2312"/>
          <w:sz w:val="32"/>
          <w:szCs w:val="32"/>
          <w:highlight w:val="none"/>
          <w:lang w:val="en-US" w:eastAsia="zh-CN"/>
        </w:rPr>
        <w:t>2020年韶关市固定资产投资增长仅为2.8%，2021年实际完成值也仅为2.2%。该指标扣2分。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5.绩效指标明确性（</w:t>
      </w:r>
      <w:r>
        <w:rPr>
          <w:rFonts w:hint="eastAsia" w:ascii="仿宋_GB2312" w:eastAsia="仿宋_GB2312"/>
          <w:sz w:val="32"/>
          <w:szCs w:val="32"/>
          <w:highlight w:val="none"/>
          <w:lang w:val="en-US" w:eastAsia="zh-CN"/>
        </w:rPr>
        <w:t>分值3分，得1分，得分率33.33%</w:t>
      </w:r>
      <w:r>
        <w:rPr>
          <w:rFonts w:hint="eastAsia" w:ascii="仿宋_GB2312" w:hAnsi="仿宋_GB2312" w:eastAsia="仿宋_GB2312" w:cs="仿宋_GB2312"/>
          <w:sz w:val="32"/>
          <w:szCs w:val="32"/>
          <w:highlight w:val="none"/>
          <w:lang w:val="en-US" w:eastAsia="zh-CN"/>
        </w:rPr>
        <w:t>）</w:t>
      </w:r>
    </w:p>
    <w:p>
      <w:pPr>
        <w:pStyle w:val="2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640" w:firstLineChars="200"/>
        <w:contextualSpacing/>
        <w:textAlignment w:val="baseline"/>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市发改局围绕绩效目标设置了相应的产出指标及预期目标，但存在一些不足：一是所设置效益指标无法体现部门履职效果。效益指标仅设置为经济效益、社会效益、可持续效益指标，未对照年度工作计划细化个性化指标。二是效益指标计算方式不明确。效益指标目标值均设置为100%，但未明确计算方式。该指标扣2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楷体_GB2312" w:hAnsi="楷体_GB2312" w:eastAsia="楷体_GB2312" w:cs="楷体_GB2312"/>
          <w:b w:val="0"/>
          <w:bCs/>
          <w:highlight w:val="none"/>
        </w:rPr>
      </w:pPr>
      <w:bookmarkStart w:id="93" w:name="_Toc20750"/>
      <w:bookmarkStart w:id="94" w:name="_Toc28235"/>
      <w:bookmarkStart w:id="95" w:name="_Toc2366"/>
      <w:bookmarkStart w:id="96" w:name="_Toc20273"/>
      <w:bookmarkStart w:id="97" w:name="_Toc12317"/>
      <w:bookmarkStart w:id="98" w:name="_Toc1795"/>
      <w:bookmarkStart w:id="99" w:name="_Toc44169674"/>
      <w:bookmarkStart w:id="100" w:name="_Toc9881"/>
      <w:bookmarkStart w:id="101" w:name="_Toc44169372"/>
      <w:bookmarkStart w:id="102" w:name="_Toc24439"/>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三）</w:t>
      </w:r>
      <w:r>
        <w:rPr>
          <w:rFonts w:hint="eastAsia" w:ascii="楷体_GB2312" w:hAnsi="楷体_GB2312" w:eastAsia="楷体_GB2312" w:cs="楷体_GB2312"/>
          <w:b w:val="0"/>
          <w:bCs/>
          <w:highlight w:val="none"/>
        </w:rPr>
        <w:t>预算执行情况分析</w:t>
      </w:r>
      <w:bookmarkEnd w:id="93"/>
      <w:bookmarkEnd w:id="94"/>
      <w:bookmarkEnd w:id="95"/>
      <w:bookmarkEnd w:id="96"/>
      <w:bookmarkEnd w:id="97"/>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该指标反映预算执行过程中管理情况</w:t>
      </w:r>
      <w:r>
        <w:rPr>
          <w:rFonts w:hint="eastAsia" w:ascii="仿宋_GB2312" w:eastAsia="仿宋_GB2312"/>
          <w:sz w:val="32"/>
          <w:szCs w:val="32"/>
          <w:highlight w:val="none"/>
        </w:rPr>
        <w:t>，包括</w:t>
      </w:r>
      <w:r>
        <w:rPr>
          <w:rFonts w:hint="eastAsia" w:ascii="仿宋_GB2312" w:eastAsia="仿宋_GB2312"/>
          <w:sz w:val="32"/>
          <w:szCs w:val="32"/>
          <w:highlight w:val="none"/>
          <w:lang w:val="en-US" w:eastAsia="zh-CN"/>
        </w:rPr>
        <w:t>部门预算支出率、结转结余率、政府采购合规性等10</w:t>
      </w:r>
      <w:r>
        <w:rPr>
          <w:rFonts w:hint="eastAsia" w:ascii="仿宋_GB2312" w:eastAsia="仿宋_GB2312"/>
          <w:sz w:val="32"/>
          <w:szCs w:val="32"/>
          <w:highlight w:val="none"/>
        </w:rPr>
        <w:t>个四级指标，预算执行情况方面指标分值35分，得</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85.71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1.部门预算支出率（</w:t>
      </w:r>
      <w:r>
        <w:rPr>
          <w:rFonts w:hint="eastAsia" w:ascii="仿宋_GB2312" w:eastAsia="仿宋_GB2312"/>
          <w:sz w:val="32"/>
          <w:szCs w:val="32"/>
          <w:highlight w:val="none"/>
          <w:lang w:val="en-US" w:eastAsia="zh-CN"/>
        </w:rPr>
        <w:t>分值3分，得3分，得分率100%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宋体" w:hAnsi="宋体" w:eastAsia="宋体" w:cs="宋体"/>
          <w:b/>
          <w:bCs/>
          <w:sz w:val="28"/>
          <w:szCs w:val="28"/>
          <w:lang w:val="en-US" w:eastAsia="zh-CN"/>
        </w:rPr>
      </w:pPr>
      <w:r>
        <w:rPr>
          <w:rFonts w:hint="eastAsia" w:ascii="仿宋_GB2312" w:eastAsia="仿宋_GB2312"/>
          <w:sz w:val="32"/>
          <w:szCs w:val="32"/>
          <w:highlight w:val="none"/>
          <w:lang w:val="en-US" w:eastAsia="zh-CN"/>
        </w:rPr>
        <w:t>根据《项目指标支付查询情况表》，本年度市发改局项目预算平均支出进度99.87%，具体情况见下表。该指标暂不扣分。</w:t>
      </w:r>
    </w:p>
    <w:p>
      <w:pPr>
        <w:keepNext w:val="0"/>
        <w:keepLines w:val="0"/>
        <w:pageBreakBefore w:val="0"/>
        <w:widowControl w:val="0"/>
        <w:kinsoku/>
        <w:wordWrap/>
        <w:overflowPunct/>
        <w:topLinePunct w:val="0"/>
        <w:autoSpaceDE/>
        <w:autoSpaceDN/>
        <w:bidi w:val="0"/>
        <w:adjustRightInd/>
        <w:snapToGrid/>
        <w:spacing w:line="360" w:lineRule="auto"/>
        <w:ind w:firstLine="1687" w:firstLineChars="600"/>
        <w:contextualSpacing/>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表2-</w:t>
      </w: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 xml:space="preserve"> 2021年市发改局</w:t>
      </w:r>
      <w:r>
        <w:rPr>
          <w:rFonts w:hint="eastAsia" w:ascii="宋体" w:hAnsi="宋体" w:cs="宋体"/>
          <w:b/>
          <w:bCs/>
          <w:sz w:val="28"/>
          <w:szCs w:val="28"/>
          <w:lang w:val="en-US" w:eastAsia="zh-CN"/>
        </w:rPr>
        <w:t>项目</w:t>
      </w:r>
      <w:r>
        <w:rPr>
          <w:rFonts w:hint="eastAsia" w:ascii="宋体" w:hAnsi="宋体" w:eastAsia="宋体" w:cs="宋体"/>
          <w:b/>
          <w:bCs/>
          <w:sz w:val="28"/>
          <w:szCs w:val="28"/>
          <w:lang w:val="en-US" w:eastAsia="zh-CN"/>
        </w:rPr>
        <w:t>预算支出情况表</w:t>
      </w: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864"/>
        <w:gridCol w:w="1583"/>
        <w:gridCol w:w="1567"/>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506" w:type="dxa"/>
            <w:vAlign w:val="center"/>
          </w:tcPr>
          <w:p>
            <w:pPr>
              <w:pStyle w:val="14"/>
              <w:spacing w:line="360" w:lineRule="auto"/>
              <w:ind w:left="0" w:leftChars="0" w:right="0" w:righ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2864" w:type="dxa"/>
            <w:vAlign w:val="center"/>
          </w:tcPr>
          <w:p>
            <w:pPr>
              <w:pStyle w:val="14"/>
              <w:spacing w:line="240" w:lineRule="auto"/>
              <w:ind w:left="0" w:leftChars="0" w:right="0" w:righ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项目名称</w:t>
            </w:r>
          </w:p>
        </w:tc>
        <w:tc>
          <w:tcPr>
            <w:tcW w:w="1583" w:type="dxa"/>
            <w:vAlign w:val="center"/>
          </w:tcPr>
          <w:p>
            <w:pPr>
              <w:pStyle w:val="14"/>
              <w:spacing w:line="240" w:lineRule="auto"/>
              <w:ind w:left="0" w:leftChars="0" w:right="0" w:rightChars="0" w:firstLine="0" w:firstLineChars="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单位指标金额</w:t>
            </w:r>
          </w:p>
          <w:p>
            <w:pPr>
              <w:pStyle w:val="14"/>
              <w:spacing w:line="240" w:lineRule="auto"/>
              <w:ind w:left="0" w:leftChars="0" w:right="0" w:rightChars="0" w:firstLine="0" w:firstLineChars="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（万元）</w:t>
            </w:r>
          </w:p>
        </w:tc>
        <w:tc>
          <w:tcPr>
            <w:tcW w:w="1567" w:type="dxa"/>
            <w:vAlign w:val="center"/>
          </w:tcPr>
          <w:p>
            <w:pPr>
              <w:pStyle w:val="14"/>
              <w:spacing w:line="240" w:lineRule="auto"/>
              <w:ind w:left="0" w:leftChars="0" w:right="0" w:rightChars="0" w:firstLine="0" w:firstLineChars="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实际支出金额</w:t>
            </w:r>
          </w:p>
          <w:p>
            <w:pPr>
              <w:pStyle w:val="14"/>
              <w:spacing w:line="240" w:lineRule="auto"/>
              <w:ind w:left="0" w:leftChars="0" w:right="0" w:rightChars="0" w:firstLine="0" w:firstLineChars="0"/>
              <w:jc w:val="center"/>
              <w:rPr>
                <w:rFonts w:hint="eastAsia"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（万元）</w:t>
            </w:r>
          </w:p>
        </w:tc>
        <w:tc>
          <w:tcPr>
            <w:tcW w:w="2648" w:type="dxa"/>
            <w:vAlign w:val="center"/>
          </w:tcPr>
          <w:p>
            <w:pPr>
              <w:pStyle w:val="14"/>
              <w:spacing w:line="240" w:lineRule="auto"/>
              <w:ind w:left="0" w:leftChars="0" w:right="0" w:rightChars="0" w:firstLine="0" w:firstLineChars="0"/>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2021年能源发展专项工作经费（含市级节能专项工作经费）</w:t>
            </w:r>
          </w:p>
        </w:tc>
        <w:tc>
          <w:tcPr>
            <w:tcW w:w="1583" w:type="dxa"/>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23.5</w:t>
            </w:r>
          </w:p>
        </w:tc>
        <w:tc>
          <w:tcPr>
            <w:tcW w:w="1567" w:type="dxa"/>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23.5</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2021年韶关市农林水利及产业项目社会稳定风险评估第三方服务费用</w:t>
            </w:r>
          </w:p>
        </w:tc>
        <w:tc>
          <w:tcPr>
            <w:tcW w:w="1583"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567"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粮食风险基金</w:t>
            </w:r>
          </w:p>
        </w:tc>
        <w:tc>
          <w:tcPr>
            <w:tcW w:w="1583"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4123</w:t>
            </w:r>
          </w:p>
        </w:tc>
        <w:tc>
          <w:tcPr>
            <w:tcW w:w="1567"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4123</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全国信用信息共享平台（广东韶关）运行维护和等保测评等服务项目经费</w:t>
            </w:r>
          </w:p>
        </w:tc>
        <w:tc>
          <w:tcPr>
            <w:tcW w:w="1583"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54.8</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53.68</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市信息化“三期日贷”还贷（2021）</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567"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5.33</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山水林田湖草生态保护修复技术和工程治理创新研讨会费用</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0.19</w:t>
            </w:r>
          </w:p>
        </w:tc>
        <w:tc>
          <w:tcPr>
            <w:tcW w:w="1567"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0.19</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韶关市产业转型升级示范区宣传费用</w:t>
            </w:r>
          </w:p>
        </w:tc>
        <w:tc>
          <w:tcPr>
            <w:tcW w:w="1583"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韶关市碳达峰碳中和发展路径规划研究工作经费</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韶关市重点建设项目管理办公室重点项目综合协调推进（2021）</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99.84</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市直机关事业单位离退休干部职工党组织书记工作补贴</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2.88</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碳达峰碳中和“丹霞论坛”专项资金</w:t>
            </w:r>
          </w:p>
        </w:tc>
        <w:tc>
          <w:tcPr>
            <w:tcW w:w="1583"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61.42</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61.42</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物业押金</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7.93</w:t>
            </w:r>
          </w:p>
        </w:tc>
        <w:tc>
          <w:tcPr>
            <w:tcW w:w="1567"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5.07</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新能源产业韶关对接大会专项资金</w:t>
            </w:r>
          </w:p>
        </w:tc>
        <w:tc>
          <w:tcPr>
            <w:tcW w:w="1583"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55.68</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55.68</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宣传工作经费</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中金岭南韶关冶炼厂厂区变园区产区变城区改革试点盘活存量土地专项资金奖励</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27404</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27404</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重点项目前期经费（2021年）</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192.3</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170.45</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highlight w:val="yellow"/>
                <w:vertAlign w:val="baseline"/>
                <w:lang w:val="en-US" w:eastAsia="zh-CN"/>
              </w:rPr>
            </w:pPr>
            <w:r>
              <w:rPr>
                <w:rFonts w:hint="eastAsia" w:ascii="宋体" w:hAnsi="宋体" w:eastAsia="宋体" w:cs="宋体"/>
                <w:i w:val="0"/>
                <w:iCs w:val="0"/>
                <w:color w:val="000000"/>
                <w:kern w:val="0"/>
                <w:sz w:val="18"/>
                <w:szCs w:val="18"/>
                <w:u w:val="none"/>
                <w:lang w:val="en-US" w:eastAsia="zh-CN" w:bidi="ar"/>
              </w:rPr>
              <w:t>88.64%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exact"/>
          <w:jc w:val="center"/>
        </w:trPr>
        <w:tc>
          <w:tcPr>
            <w:tcW w:w="506" w:type="dxa"/>
            <w:vAlign w:val="center"/>
          </w:tcPr>
          <w:p>
            <w:pPr>
              <w:keepNext w:val="0"/>
              <w:keepLines w:val="0"/>
              <w:widowControl/>
              <w:suppressLineNumbers w:val="0"/>
              <w:jc w:val="left"/>
              <w:textAlignment w:val="center"/>
              <w:rPr>
                <w:rFonts w:hint="default" w:ascii="宋体" w:hAnsi="宋体" w:eastAsia="宋体" w:cs="宋体"/>
                <w:b w:val="0"/>
                <w:bCs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2864" w:type="dxa"/>
            <w:vAlign w:val="center"/>
          </w:tcPr>
          <w:p>
            <w:pPr>
              <w:keepNext w:val="0"/>
              <w:keepLines w:val="0"/>
              <w:widowControl/>
              <w:suppressLineNumbers w:val="0"/>
              <w:jc w:val="left"/>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重点项目业务工作经费</w:t>
            </w:r>
          </w:p>
        </w:tc>
        <w:tc>
          <w:tcPr>
            <w:tcW w:w="1583"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56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54.3</w:t>
            </w:r>
          </w:p>
        </w:tc>
        <w:tc>
          <w:tcPr>
            <w:tcW w:w="2648" w:type="dxa"/>
            <w:vAlign w:val="center"/>
          </w:tcPr>
          <w:p>
            <w:pPr>
              <w:keepNext w:val="0"/>
              <w:keepLines w:val="0"/>
              <w:widowControl/>
              <w:suppressLineNumbers w:val="0"/>
              <w:jc w:val="center"/>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370" w:type="dxa"/>
            <w:gridSpan w:val="2"/>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583" w:type="dxa"/>
            <w:vAlign w:val="center"/>
          </w:tcPr>
          <w:p>
            <w:pPr>
              <w:keepNext w:val="0"/>
              <w:keepLines w:val="0"/>
              <w:widowControl/>
              <w:suppressLineNumbers w:val="0"/>
              <w:jc w:val="righ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32251.2</w:t>
            </w:r>
          </w:p>
        </w:tc>
        <w:tc>
          <w:tcPr>
            <w:tcW w:w="1567" w:type="dxa"/>
            <w:vAlign w:val="center"/>
          </w:tcPr>
          <w:p>
            <w:pPr>
              <w:keepNext w:val="0"/>
              <w:keepLines w:val="0"/>
              <w:widowControl/>
              <w:suppressLineNumbers w:val="0"/>
              <w:jc w:val="righ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32208.82</w:t>
            </w:r>
          </w:p>
        </w:tc>
        <w:tc>
          <w:tcPr>
            <w:tcW w:w="264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r>
              <w:rPr>
                <w:rFonts w:hint="eastAsia" w:ascii="宋体" w:hAnsi="宋体" w:cs="宋体"/>
                <w:i w:val="0"/>
                <w:iCs w:val="0"/>
                <w:color w:val="000000"/>
                <w:kern w:val="0"/>
                <w:sz w:val="22"/>
                <w:szCs w:val="22"/>
                <w:u w:val="none"/>
                <w:lang w:val="en-US" w:eastAsia="zh-CN" w:bidi="ar"/>
              </w:rPr>
              <w:t>87</w:t>
            </w:r>
            <w:r>
              <w:rPr>
                <w:rFonts w:hint="eastAsia" w:ascii="宋体" w:hAnsi="宋体" w:eastAsia="宋体" w:cs="宋体"/>
                <w:i w:val="0"/>
                <w:iCs w:val="0"/>
                <w:color w:val="000000"/>
                <w:kern w:val="0"/>
                <w:sz w:val="22"/>
                <w:szCs w:val="22"/>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26" w:beforeLines="100"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结转结余率</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分值3分，得3分，得分率100%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2021年度，市发改局</w:t>
      </w:r>
      <w:r>
        <w:rPr>
          <w:rFonts w:hint="eastAsia" w:ascii="仿宋_GB2312" w:hAnsi="仿宋_GB2312" w:eastAsia="仿宋_GB2312" w:cs="仿宋_GB2312"/>
          <w:b w:val="0"/>
          <w:bCs w:val="0"/>
          <w:spacing w:val="20"/>
          <w:sz w:val="32"/>
          <w:szCs w:val="32"/>
          <w:lang w:val="en-US" w:eastAsia="zh-CN"/>
        </w:rPr>
        <w:t>结转结余金额为90.7万元，</w:t>
      </w:r>
      <w:r>
        <w:rPr>
          <w:rFonts w:hint="eastAsia" w:ascii="仿宋_GB2312" w:eastAsia="仿宋_GB2312"/>
          <w:sz w:val="32"/>
          <w:szCs w:val="32"/>
          <w:highlight w:val="none"/>
          <w:lang w:val="en-US" w:eastAsia="zh-CN"/>
        </w:rPr>
        <w:t>结转结余率为0.01%≤10%，该指标不扣分。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政府采购合规性</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分值4分，得4分，得分率100%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部门提供的相关资料，市发改局本年度政府采购过程基本能按相关规范执行，但本年度实际采购总金额为314.50万元，大于计划的93.5万元。根据市发改局提供的佐证材料，政府采购超出年初预算，主要原因是新增2021年第二批重点项目前期工作经费(全国一体化大数据中心体系粤港澳大湾区枢纽节点项目)。综合考虑，该指标暂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财务合规性</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分值5分，得5分，得分率100%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contextualSpacing/>
        <w:jc w:val="left"/>
        <w:textAlignment w:val="auto"/>
      </w:pPr>
      <w:r>
        <w:rPr>
          <w:rFonts w:hint="eastAsia" w:ascii="仿宋_GB2312" w:eastAsia="仿宋_GB2312"/>
          <w:sz w:val="32"/>
          <w:szCs w:val="32"/>
          <w:highlight w:val="none"/>
          <w:lang w:val="en-US" w:eastAsia="zh-CN"/>
        </w:rPr>
        <w:t>市发改局的资金管理、费用支出规范性较好，预算调整报批手续符合相关要求，该指标不扣分。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预决算信息公开</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分值2分，得1.5分，得分率75%</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市发改局的2021年预算信息公开时间为2021年3月1日，决算信息公开时间为2021年8月31日，对照《财政部关于印发〈地方预决算公开操作规程〉的通知》（财预〔2016〕143号）预决算公开时间符合相关要求，公开内容包括部门收支总体情况和财政拨款收支情况，预决算信息公开较规范。但存在预算公开信息不准确的情况，部门决算表中年初预算数为8,209.17万元，政府门户网站公开的预算数为7,808.01万元，相差401.16万元。该指标扣0.5分。</w:t>
      </w:r>
    </w:p>
    <w:p>
      <w:pPr>
        <w:keepNext w:val="0"/>
        <w:keepLines w:val="0"/>
        <w:pageBreakBefore w:val="0"/>
        <w:widowControl w:val="0"/>
        <w:numPr>
          <w:ilvl w:val="0"/>
          <w:numId w:val="0"/>
        </w:numPr>
        <w:kinsoku/>
        <w:wordWrap/>
        <w:overflowPunct/>
        <w:topLinePunct w:val="0"/>
        <w:autoSpaceDE/>
        <w:autoSpaceDN/>
        <w:bidi w:val="0"/>
        <w:adjustRightInd/>
        <w:snapToGrid/>
        <w:spacing w:before="326" w:beforeLines="100"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val="en-US" w:eastAsia="zh-CN"/>
        </w:rPr>
        <w:t>项目实施程序</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分值4分，得4分，得分率100%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本年度项目基本能按照相应的实施方案或管理制度等规定程序实施，重大经济事项实施前经过论证或调研，各项工作报批手续较完整。该指标不扣分。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7.项目监管（</w:t>
      </w:r>
      <w:r>
        <w:rPr>
          <w:rFonts w:hint="eastAsia" w:ascii="仿宋_GB2312" w:eastAsia="仿宋_GB2312"/>
          <w:sz w:val="32"/>
          <w:szCs w:val="32"/>
          <w:highlight w:val="none"/>
          <w:lang w:val="en-US" w:eastAsia="zh-CN"/>
        </w:rPr>
        <w:t>分值4分，得2分，得分率50%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市发改局根据《规章制度政策汇编》的相关要求，对各项目开展检查、监督，并针对检查发现的问题提出整改意见，但也存在检查、监督不到位的情况。如现场评价发现，韶关市杨鹏米业代储点不具备安全储粮的基本条件，该代储点无配备粮情检测的基本工具和测温测湿设备，无通风降温设施，无储粮防治虫、霉、鼠、雀等措施及用具，无专业技术人员。反映出监督落实成效有待加强。该指标扣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8.资产管理安全性（</w:t>
      </w:r>
      <w:r>
        <w:rPr>
          <w:rFonts w:hint="eastAsia" w:ascii="仿宋_GB2312" w:eastAsia="仿宋_GB2312"/>
          <w:sz w:val="32"/>
          <w:szCs w:val="32"/>
          <w:highlight w:val="none"/>
          <w:lang w:val="en-US" w:eastAsia="zh-CN"/>
        </w:rPr>
        <w:t>分值4分，得2分，得分率50%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经查阅资料、现场评价，市发改局在用资产保存基本完整，配置及使用基本符合相关规定，但未及时开展2021年度的固定资产盘点工作，且部分待报废资产存放在芙蓉园6栋103、104室，未及时报废，如下图所示。该指标扣2分。</w:t>
      </w:r>
    </w:p>
    <w:tbl>
      <w:tblPr>
        <w:tblStyle w:val="16"/>
        <w:tblpPr w:leftFromText="180" w:rightFromText="180" w:vertAnchor="text" w:horzAnchor="page" w:tblpX="1562" w:tblpY="14"/>
        <w:tblOverlap w:val="never"/>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2"/>
        <w:gridCol w:w="4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5" w:hRule="atLeast"/>
        </w:trPr>
        <w:tc>
          <w:tcPr>
            <w:tcW w:w="4442" w:type="dxa"/>
          </w:tcPr>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sz w:val="28"/>
                <w:szCs w:val="28"/>
                <w:lang w:val="en-US" w:eastAsia="zh-CN"/>
              </w:rPr>
            </w:pPr>
            <w:r>
              <w:rPr>
                <w:rFonts w:hint="eastAsia"/>
                <w:sz w:val="28"/>
                <w:szCs w:val="28"/>
                <w:lang w:val="en-US" w:eastAsia="zh-CN"/>
              </w:rPr>
              <w:drawing>
                <wp:inline distT="0" distB="0" distL="0" distR="0">
                  <wp:extent cx="2649855" cy="2012315"/>
                  <wp:effectExtent l="0" t="0" r="17145" b="6985"/>
                  <wp:docPr id="1029" name="图片 11" descr="97cb7a26eb993168be888d5f34bf2c0"/>
                  <wp:cNvGraphicFramePr/>
                  <a:graphic xmlns:a="http://schemas.openxmlformats.org/drawingml/2006/main">
                    <a:graphicData uri="http://schemas.openxmlformats.org/drawingml/2006/picture">
                      <pic:pic xmlns:pic="http://schemas.openxmlformats.org/drawingml/2006/picture">
                        <pic:nvPicPr>
                          <pic:cNvPr id="1029" name="图片 11" descr="97cb7a26eb993168be888d5f34bf2c0"/>
                          <pic:cNvPicPr/>
                        </pic:nvPicPr>
                        <pic:blipFill>
                          <a:blip r:embed="rId8" cstate="print"/>
                          <a:srcRect/>
                          <a:stretch>
                            <a:fillRect/>
                          </a:stretch>
                        </pic:blipFill>
                        <pic:spPr>
                          <a:xfrm>
                            <a:off x="0" y="0"/>
                            <a:ext cx="2649855" cy="2012315"/>
                          </a:xfrm>
                          <a:prstGeom prst="rect">
                            <a:avLst/>
                          </a:prstGeom>
                        </pic:spPr>
                      </pic:pic>
                    </a:graphicData>
                  </a:graphic>
                </wp:inline>
              </w:drawing>
            </w:r>
          </w:p>
          <w:p>
            <w:pPr>
              <w:pStyle w:val="14"/>
              <w:jc w:val="center"/>
              <w:rPr>
                <w:rFonts w:hint="default"/>
                <w:sz w:val="28"/>
                <w:szCs w:val="28"/>
                <w:lang w:val="en-US" w:eastAsia="zh-CN"/>
              </w:rPr>
            </w:pPr>
            <w:r>
              <w:rPr>
                <w:rFonts w:hint="eastAsia" w:ascii="黑体" w:hAnsi="黑体" w:eastAsia="黑体" w:cs="黑体"/>
                <w:sz w:val="28"/>
                <w:szCs w:val="28"/>
                <w:lang w:val="en-US" w:eastAsia="zh-CN"/>
              </w:rPr>
              <w:t>图1 103室待报废资产</w:t>
            </w:r>
          </w:p>
        </w:tc>
        <w:tc>
          <w:tcPr>
            <w:tcW w:w="4732" w:type="dxa"/>
          </w:tcPr>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sz w:val="28"/>
                <w:szCs w:val="28"/>
                <w:lang w:val="en-US" w:eastAsia="zh-CN"/>
              </w:rPr>
            </w:pPr>
            <w:r>
              <w:rPr>
                <w:rFonts w:hint="eastAsia"/>
                <w:sz w:val="28"/>
                <w:szCs w:val="28"/>
                <w:lang w:val="en-US" w:eastAsia="zh-CN"/>
              </w:rPr>
              <w:drawing>
                <wp:inline distT="0" distB="0" distL="0" distR="0">
                  <wp:extent cx="2689860" cy="1994535"/>
                  <wp:effectExtent l="0" t="0" r="15240" b="5715"/>
                  <wp:docPr id="1030" name="图片 14" descr="38209abc77d414f86fc9ee6da9521c8"/>
                  <wp:cNvGraphicFramePr/>
                  <a:graphic xmlns:a="http://schemas.openxmlformats.org/drawingml/2006/main">
                    <a:graphicData uri="http://schemas.openxmlformats.org/drawingml/2006/picture">
                      <pic:pic xmlns:pic="http://schemas.openxmlformats.org/drawingml/2006/picture">
                        <pic:nvPicPr>
                          <pic:cNvPr id="1030" name="图片 14" descr="38209abc77d414f86fc9ee6da9521c8"/>
                          <pic:cNvPicPr/>
                        </pic:nvPicPr>
                        <pic:blipFill>
                          <a:blip r:embed="rId9" cstate="print"/>
                          <a:srcRect/>
                          <a:stretch>
                            <a:fillRect/>
                          </a:stretch>
                        </pic:blipFill>
                        <pic:spPr>
                          <a:xfrm>
                            <a:off x="0" y="0"/>
                            <a:ext cx="2689860" cy="1994535"/>
                          </a:xfrm>
                          <a:prstGeom prst="rect">
                            <a:avLst/>
                          </a:prstGeom>
                        </pic:spPr>
                      </pic:pic>
                    </a:graphicData>
                  </a:graphic>
                </wp:inline>
              </w:drawing>
            </w:r>
          </w:p>
          <w:p>
            <w:pPr>
              <w:pStyle w:val="14"/>
              <w:jc w:val="center"/>
              <w:rPr>
                <w:rFonts w:hint="eastAsia"/>
                <w:sz w:val="28"/>
                <w:szCs w:val="28"/>
                <w:lang w:val="en-US" w:eastAsia="zh-CN"/>
              </w:rPr>
            </w:pPr>
            <w:r>
              <w:rPr>
                <w:rFonts w:hint="eastAsia" w:ascii="黑体" w:hAnsi="黑体" w:eastAsia="黑体" w:cs="黑体"/>
                <w:sz w:val="28"/>
                <w:szCs w:val="28"/>
                <w:lang w:val="en-US" w:eastAsia="zh-CN"/>
              </w:rPr>
              <w:t>图2 104室待报废资产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lang w:val="en-US" w:eastAsia="zh-CN"/>
        </w:rPr>
        <w:t>固定资产利用率</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分值2分，得2分，得分率100%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根据市发改局提供的《资产卡片账》，已入账资产900项，其中828项为在用状态，固定资产利用率为92%。根据评分标准，该指标不扣分。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lang w:val="en-US" w:eastAsia="zh-CN"/>
        </w:rPr>
        <w:t>管理制度健全性</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分值4分，得3.5分，得分率87.5%</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highlight w:val="none"/>
          <w:lang w:val="en-US" w:eastAsia="zh-CN"/>
        </w:rPr>
      </w:pPr>
      <w:r>
        <w:rPr>
          <w:rFonts w:hint="eastAsia" w:ascii="仿宋_GB2312" w:eastAsia="仿宋_GB2312"/>
          <w:sz w:val="32"/>
          <w:szCs w:val="32"/>
          <w:highlight w:val="none"/>
          <w:lang w:val="en-US" w:eastAsia="zh-CN"/>
        </w:rPr>
        <w:t>市发改局办公室于2020年组织编制了本级单位的《规章制度政策汇编》，资金、项目管理制度基本健全，但未见预算绩效管理制度，在落实预算绩效管理的要求上有待加强。该指标扣0.5分。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楷体_GB2312" w:hAnsi="楷体_GB2312" w:eastAsia="楷体_GB2312" w:cs="楷体_GB2312"/>
          <w:b w:val="0"/>
          <w:bCs/>
          <w:highlight w:val="none"/>
          <w:lang w:val="en-US" w:eastAsia="zh-CN"/>
        </w:rPr>
      </w:pPr>
      <w:bookmarkStart w:id="103" w:name="_Toc13035"/>
      <w:bookmarkStart w:id="104" w:name="_Toc7691"/>
      <w:bookmarkStart w:id="105" w:name="_Toc9205"/>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四）预算使用效益分析</w:t>
      </w:r>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该指标反映预算使用的效果情况</w:t>
      </w:r>
      <w:r>
        <w:rPr>
          <w:rFonts w:hint="eastAsia" w:ascii="仿宋_GB2312" w:eastAsia="仿宋_GB2312"/>
          <w:sz w:val="32"/>
          <w:szCs w:val="32"/>
          <w:highlight w:val="none"/>
        </w:rPr>
        <w:t>，包括</w:t>
      </w:r>
      <w:r>
        <w:rPr>
          <w:rFonts w:hint="eastAsia" w:ascii="仿宋_GB2312" w:eastAsia="仿宋_GB2312"/>
          <w:sz w:val="32"/>
          <w:szCs w:val="32"/>
          <w:highlight w:val="none"/>
          <w:lang w:val="en-US" w:eastAsia="zh-CN"/>
        </w:rPr>
        <w:t>公用经费控制率、“三公”经费控制率、完成成本合理性、重点工作完成率等14</w:t>
      </w:r>
      <w:r>
        <w:rPr>
          <w:rFonts w:hint="eastAsia" w:ascii="仿宋_GB2312" w:eastAsia="仿宋_GB2312"/>
          <w:sz w:val="32"/>
          <w:szCs w:val="32"/>
          <w:highlight w:val="none"/>
        </w:rPr>
        <w:t>个四级指标，效益方面指标分值</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44.96</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89.92%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1.公用经费控制率（</w:t>
      </w:r>
      <w:r>
        <w:rPr>
          <w:rFonts w:hint="eastAsia" w:ascii="仿宋_GB2312" w:eastAsia="仿宋_GB2312"/>
          <w:sz w:val="32"/>
          <w:szCs w:val="32"/>
          <w:highlight w:val="none"/>
          <w:lang w:val="en-US" w:eastAsia="zh-CN"/>
        </w:rPr>
        <w:t>分值2</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根据《2021年部门决算表》，市发改局本年度公用经费调整预算数和决算数均为</w:t>
      </w:r>
      <w:r>
        <w:rPr>
          <w:rFonts w:hint="default" w:ascii="仿宋_GB2312" w:eastAsia="仿宋_GB2312"/>
          <w:sz w:val="32"/>
          <w:szCs w:val="32"/>
          <w:highlight w:val="none"/>
          <w:lang w:val="en-US" w:eastAsia="zh-CN"/>
        </w:rPr>
        <w:t>177.74</w:t>
      </w:r>
      <w:r>
        <w:rPr>
          <w:rFonts w:hint="eastAsia" w:ascii="仿宋_GB2312" w:eastAsia="仿宋_GB2312"/>
          <w:sz w:val="32"/>
          <w:szCs w:val="32"/>
          <w:highlight w:val="none"/>
          <w:lang w:val="en-US" w:eastAsia="zh-CN"/>
        </w:rPr>
        <w:t>万元，市发改局对公用经费控制较好。根据评分标准，该指标不扣分。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lang w:eastAsia="zh-CN"/>
        </w:rPr>
      </w:pPr>
      <w:r>
        <w:rPr>
          <w:rFonts w:hint="eastAsia" w:ascii="仿宋_GB2312" w:hAnsi="仿宋_GB2312" w:eastAsia="仿宋_GB2312" w:cs="仿宋_GB2312"/>
          <w:sz w:val="32"/>
          <w:szCs w:val="32"/>
          <w:highlight w:val="none"/>
          <w:lang w:val="en-US" w:eastAsia="zh-CN"/>
        </w:rPr>
        <w:t>2.“三公”经费控制率（</w:t>
      </w:r>
      <w:r>
        <w:rPr>
          <w:rFonts w:hint="eastAsia" w:ascii="仿宋_GB2312" w:eastAsia="仿宋_GB2312"/>
          <w:sz w:val="32"/>
          <w:szCs w:val="32"/>
          <w:highlight w:val="none"/>
          <w:lang w:val="en-US" w:eastAsia="zh-CN"/>
        </w:rPr>
        <w:t>分值2</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根据《2021年部门决算表》，“三公”经费预算为29万元，实际“三公”经费支出22.10万元，市发改局对“三公”经费的控制较好。根据评分标准，该指标不扣</w:t>
      </w:r>
      <w:r>
        <w:rPr>
          <w:rFonts w:hint="default" w:ascii="仿宋_GB2312" w:eastAsia="仿宋_GB2312"/>
          <w:sz w:val="32"/>
          <w:szCs w:val="32"/>
          <w:highlight w:val="none"/>
          <w:lang w:val="en-US" w:eastAsia="zh-CN"/>
        </w:rPr>
        <w:t>分</w:t>
      </w:r>
      <w:r>
        <w:rPr>
          <w:rFonts w:hint="eastAsia" w:ascii="仿宋_GB2312" w:eastAsia="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完成成本合理性</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分值6分，得6分，得分率100%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市发改局项目工作成本与市场价格的同类项目相比，较为合理，该指标不扣分。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重点工作完成率</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分值3</w:t>
      </w:r>
      <w:r>
        <w:rPr>
          <w:rFonts w:hint="eastAsia" w:ascii="仿宋_GB2312" w:eastAsia="仿宋_GB2312"/>
          <w:sz w:val="32"/>
          <w:szCs w:val="32"/>
          <w:highlight w:val="none"/>
        </w:rPr>
        <w:t>分，得分</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根据资料审查和现场评价，2021年度市发改局的18项重点工作均已完成，重点项目完成率为100%，详见表1-4。该指标不扣分。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before="326" w:beforeLines="100" w:line="360" w:lineRule="auto"/>
        <w:ind w:firstLine="640" w:firstLineChars="200"/>
        <w:contextualSpacing/>
        <w:textAlignment w:val="auto"/>
        <w:outlineLvl w:val="2"/>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绩效目标完成率</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分值3</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2.57</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85.67</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根据《部门整体支出绩效评价基本情况表》及资料审查，除“服务对象满意度”指标没有开展满意度调查外，其余6项绩效指标均已完成，详见表1-5。根据评分标准，该指标扣0.43分。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val="en-US" w:eastAsia="zh-CN"/>
        </w:rPr>
        <w:t>项目完成及时性</w:t>
      </w:r>
      <w:r>
        <w:rPr>
          <w:rFonts w:hint="eastAsia" w:ascii="仿宋_GB2312" w:hAnsi="仿宋_GB2312" w:eastAsia="仿宋_GB2312" w:cs="仿宋_GB2312"/>
          <w:sz w:val="32"/>
          <w:szCs w:val="32"/>
          <w:highlight w:val="none"/>
          <w:lang w:val="en-US" w:eastAsia="zh-CN"/>
        </w:rPr>
        <w:t>（</w:t>
      </w:r>
      <w:r>
        <w:rPr>
          <w:rFonts w:hint="eastAsia" w:ascii="仿宋_GB2312" w:eastAsia="仿宋_GB2312"/>
          <w:sz w:val="32"/>
          <w:szCs w:val="32"/>
          <w:highlight w:val="none"/>
          <w:lang w:val="en-US" w:eastAsia="zh-CN"/>
        </w:rPr>
        <w:t>分值4</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3.8</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95</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截至2021年12月，18个重点项目中，16个项目基本按时完成，“2021年度编制韶关市‘十四五’规划纲要工作经费”受疫情影响，调研工作开展受阻，导致规划编制进度滞后；“物业押金”因原市粮食局物业租户未按规定时间申请退还押金，部分押金尚未退还。综合考核，该指标扣0.2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7.社会经济环境效益（</w:t>
      </w:r>
      <w:r>
        <w:rPr>
          <w:rFonts w:hint="eastAsia" w:ascii="仿宋_GB2312" w:eastAsia="仿宋_GB2312"/>
          <w:sz w:val="32"/>
          <w:szCs w:val="32"/>
          <w:highlight w:val="none"/>
          <w:lang w:val="en-US" w:eastAsia="zh-CN"/>
        </w:rPr>
        <w:t>指标分值25分，得19.06分，得分率76.24%</w:t>
      </w:r>
      <w:r>
        <w:rPr>
          <w:rFonts w:hint="eastAsia" w:ascii="仿宋_GB2312" w:hAnsi="仿宋_GB2312" w:eastAsia="仿宋_GB2312" w:cs="仿宋_GB2312"/>
          <w:sz w:val="32"/>
          <w:szCs w:val="32"/>
          <w:highlight w:val="none"/>
          <w:lang w:val="en-US" w:eastAsia="zh-CN"/>
        </w:rPr>
        <w:t>）</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baseline"/>
        <w:outlineLvl w:val="3"/>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（1）重点项目推动经济增长情况（分值5分，得2.66分，得分率53.2%）</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baseline"/>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韶关市2021年国民经济和社会发展统计公报》，2021年全市生产总值较上年增长8.6%＞7%；固定资产投资增长率为2.2%＜10%。固定资产投资增长未达预期的主要原因是工作计划目标设置偏高。年初制定计划时，市发改局结合上级部门的经济发展总体方针，设定了较高标准的完成目标，但受疫情等客观因素影响，2021年韶关市固定资产投资增长率未达预期目标。根据评分标准，该指标扣2.34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（2）营商环境改善成效</w:t>
      </w:r>
      <w:r>
        <w:rPr>
          <w:rFonts w:hint="eastAsia" w:ascii="仿宋_GB2312" w:eastAsia="仿宋_GB2312" w:cs="宋体"/>
          <w:kern w:val="2"/>
          <w:sz w:val="32"/>
          <w:szCs w:val="32"/>
          <w:highlight w:val="none"/>
          <w:lang w:val="en-US" w:eastAsia="zh-CN" w:bidi="ar-SA"/>
        </w:rPr>
        <w:t>（分值</w:t>
      </w:r>
      <w:r>
        <w:rPr>
          <w:rFonts w:hint="eastAsia" w:ascii="仿宋_GB2312" w:hAnsi="Calibri" w:eastAsia="仿宋_GB2312" w:cs="宋体"/>
          <w:kern w:val="2"/>
          <w:sz w:val="32"/>
          <w:szCs w:val="32"/>
          <w:highlight w:val="none"/>
          <w:lang w:val="en-US" w:eastAsia="zh-CN" w:bidi="ar-SA"/>
        </w:rPr>
        <w:t>4分，得3.6分，得分率90%</w:t>
      </w:r>
      <w:r>
        <w:rPr>
          <w:rFonts w:hint="eastAsia" w:ascii="仿宋_GB2312" w:eastAsia="仿宋_GB2312" w:cs="宋体"/>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2021年度市发改局通过推动各重点项目，在优化全市营商环境方面取得一定成效</w:t>
      </w:r>
      <w:r>
        <w:rPr>
          <w:rFonts w:hint="eastAsia" w:ascii="仿宋_GB2312" w:eastAsia="仿宋_GB2312" w:cs="宋体"/>
          <w:kern w:val="2"/>
          <w:sz w:val="32"/>
          <w:szCs w:val="32"/>
          <w:highlight w:val="none"/>
          <w:lang w:val="en-US" w:eastAsia="zh-CN" w:bidi="ar-SA"/>
        </w:rPr>
        <w:t>。一是营商硬环境排名上升。根据《2020年中国296个地级及以上城市营商环境报告》、《中国城市竞争力第19次报告》，韶关市营商硬环境排名从2020年的第195名上升至181名，城市营商环境稳中有进。二是市场主体对政务窗口服务满意度较高。评价组随机抽取20个曾在政府网站或政务服务窗口办理市发改局相关业务的市场主体进行电话回访，全部市场主体均对市发改局的整体服务水平表示满意。</w:t>
      </w:r>
      <w:r>
        <w:rPr>
          <w:rFonts w:hint="eastAsia" w:ascii="仿宋_GB2312" w:hAnsi="Calibri" w:eastAsia="仿宋_GB2312" w:cs="宋体"/>
          <w:kern w:val="2"/>
          <w:sz w:val="32"/>
          <w:szCs w:val="32"/>
          <w:highlight w:val="none"/>
          <w:lang w:val="en-US" w:eastAsia="zh-CN" w:bidi="ar-SA"/>
        </w:rPr>
        <w:t>但根据《2021年广东省营商环境评价韶关市分报告》，韶关市与省内先进地区相比，在优化营商环境方面仍有较大提升空间，主要表现为目前韶关市政务服务大厅的服务窗口整合不到位，仍以部门联办窗口为主，导致群众在办事时需要多次“跑窗”；办事指引不够清晰，线上办事指南缺少办事场景，纸质办事指南公开不齐全，更新和补充不及时。综合考虑，该指标扣0.4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（3）规划保障水平</w:t>
      </w:r>
      <w:r>
        <w:rPr>
          <w:rFonts w:hint="eastAsia" w:ascii="仿宋_GB2312" w:eastAsia="仿宋_GB2312" w:cs="宋体"/>
          <w:kern w:val="2"/>
          <w:sz w:val="32"/>
          <w:szCs w:val="32"/>
          <w:highlight w:val="none"/>
          <w:lang w:val="en-US" w:eastAsia="zh-CN" w:bidi="ar-SA"/>
        </w:rPr>
        <w:t>（分值</w:t>
      </w:r>
      <w:r>
        <w:rPr>
          <w:rFonts w:hint="eastAsia" w:ascii="仿宋_GB2312" w:hAnsi="Calibri" w:eastAsia="仿宋_GB2312" w:cs="宋体"/>
          <w:kern w:val="2"/>
          <w:sz w:val="32"/>
          <w:szCs w:val="32"/>
          <w:highlight w:val="none"/>
          <w:lang w:val="en-US" w:eastAsia="zh-CN" w:bidi="ar-SA"/>
        </w:rPr>
        <w:t>4分，得分3.8分，得分率95%</w:t>
      </w:r>
      <w:r>
        <w:rPr>
          <w:rFonts w:hint="eastAsia" w:ascii="仿宋_GB2312" w:eastAsia="仿宋_GB2312" w:cs="宋体"/>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Calibri"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经查阅</w:t>
      </w:r>
      <w:r>
        <w:rPr>
          <w:rFonts w:hint="eastAsia" w:ascii="仿宋_GB2312" w:hAnsi="Calibri" w:eastAsia="仿宋_GB2312" w:cs="宋体"/>
          <w:kern w:val="2"/>
          <w:sz w:val="32"/>
          <w:szCs w:val="32"/>
          <w:highlight w:val="none"/>
          <w:lang w:val="en-US" w:eastAsia="zh-CN" w:bidi="ar-SA"/>
        </w:rPr>
        <w:t>资料</w:t>
      </w:r>
      <w:r>
        <w:rPr>
          <w:rFonts w:hint="eastAsia" w:ascii="仿宋_GB2312" w:eastAsia="仿宋_GB2312" w:cs="宋体"/>
          <w:kern w:val="2"/>
          <w:sz w:val="32"/>
          <w:szCs w:val="32"/>
          <w:highlight w:val="none"/>
          <w:lang w:val="en-US" w:eastAsia="zh-CN" w:bidi="ar-SA"/>
        </w:rPr>
        <w:t>，</w:t>
      </w:r>
      <w:r>
        <w:rPr>
          <w:rFonts w:hint="eastAsia" w:ascii="仿宋_GB2312" w:hAnsi="Calibri" w:eastAsia="仿宋_GB2312" w:cs="宋体"/>
          <w:kern w:val="2"/>
          <w:sz w:val="32"/>
          <w:szCs w:val="32"/>
          <w:highlight w:val="none"/>
          <w:lang w:val="en-US" w:eastAsia="zh-CN" w:bidi="ar-SA"/>
        </w:rPr>
        <w:t>市发改局各项规划编制前瞻性、科学性基本达标，但</w:t>
      </w:r>
      <w:r>
        <w:rPr>
          <w:rFonts w:hint="eastAsia" w:ascii="仿宋_GB2312" w:eastAsia="仿宋_GB2312" w:cs="宋体"/>
          <w:kern w:val="2"/>
          <w:sz w:val="32"/>
          <w:szCs w:val="32"/>
          <w:highlight w:val="none"/>
          <w:lang w:val="en-US" w:eastAsia="zh-CN" w:bidi="ar-SA"/>
        </w:rPr>
        <w:t>个别规划目标与实际情况存在差异</w:t>
      </w:r>
      <w:r>
        <w:rPr>
          <w:rFonts w:hint="eastAsia" w:ascii="仿宋_GB2312" w:hAnsi="Calibri" w:eastAsia="仿宋_GB2312" w:cs="宋体"/>
          <w:kern w:val="2"/>
          <w:sz w:val="32"/>
          <w:szCs w:val="32"/>
          <w:highlight w:val="none"/>
          <w:lang w:val="en-US" w:eastAsia="zh-CN" w:bidi="ar-SA"/>
        </w:rPr>
        <w:t>，如2020</w:t>
      </w:r>
      <w:r>
        <w:rPr>
          <w:rFonts w:hint="eastAsia" w:ascii="仿宋_GB2312" w:eastAsia="仿宋_GB2312" w:cs="宋体"/>
          <w:kern w:val="2"/>
          <w:sz w:val="32"/>
          <w:szCs w:val="32"/>
          <w:highlight w:val="none"/>
          <w:lang w:val="en-US" w:eastAsia="zh-CN" w:bidi="ar-SA"/>
        </w:rPr>
        <w:t>、2021</w:t>
      </w:r>
      <w:r>
        <w:rPr>
          <w:rFonts w:hint="eastAsia" w:ascii="仿宋_GB2312" w:hAnsi="Calibri" w:eastAsia="仿宋_GB2312" w:cs="宋体"/>
          <w:kern w:val="2"/>
          <w:sz w:val="32"/>
          <w:szCs w:val="32"/>
          <w:highlight w:val="none"/>
          <w:lang w:val="en-US" w:eastAsia="zh-CN" w:bidi="ar-SA"/>
        </w:rPr>
        <w:t>年固定资产投资增长率</w:t>
      </w:r>
      <w:r>
        <w:rPr>
          <w:rFonts w:hint="eastAsia" w:ascii="仿宋_GB2312" w:eastAsia="仿宋_GB2312" w:cs="宋体"/>
          <w:kern w:val="2"/>
          <w:sz w:val="32"/>
          <w:szCs w:val="32"/>
          <w:highlight w:val="none"/>
          <w:lang w:val="en-US" w:eastAsia="zh-CN" w:bidi="ar-SA"/>
        </w:rPr>
        <w:t>分别</w:t>
      </w:r>
      <w:r>
        <w:rPr>
          <w:rFonts w:hint="eastAsia" w:ascii="仿宋_GB2312" w:hAnsi="Calibri" w:eastAsia="仿宋_GB2312" w:cs="宋体"/>
          <w:kern w:val="2"/>
          <w:sz w:val="32"/>
          <w:szCs w:val="32"/>
          <w:highlight w:val="none"/>
          <w:lang w:val="en-US" w:eastAsia="zh-CN" w:bidi="ar-SA"/>
        </w:rPr>
        <w:t>为2.8%</w:t>
      </w:r>
      <w:r>
        <w:rPr>
          <w:rFonts w:hint="eastAsia" w:ascii="仿宋_GB2312" w:eastAsia="仿宋_GB2312" w:cs="宋体"/>
          <w:kern w:val="2"/>
          <w:sz w:val="32"/>
          <w:szCs w:val="32"/>
          <w:highlight w:val="none"/>
          <w:lang w:val="en-US" w:eastAsia="zh-CN" w:bidi="ar-SA"/>
        </w:rPr>
        <w:t>和2.2%，但年度工作计划中，</w:t>
      </w:r>
      <w:r>
        <w:rPr>
          <w:rFonts w:hint="eastAsia" w:ascii="仿宋_GB2312" w:hAnsi="Calibri" w:eastAsia="仿宋_GB2312" w:cs="宋体"/>
          <w:kern w:val="2"/>
          <w:sz w:val="32"/>
          <w:szCs w:val="32"/>
          <w:highlight w:val="none"/>
          <w:lang w:val="en-US" w:eastAsia="zh-CN" w:bidi="ar-SA"/>
        </w:rPr>
        <w:t>固定资产投资增长率</w:t>
      </w:r>
      <w:r>
        <w:rPr>
          <w:rFonts w:hint="eastAsia" w:ascii="仿宋_GB2312" w:eastAsia="仿宋_GB2312" w:cs="宋体"/>
          <w:kern w:val="2"/>
          <w:sz w:val="32"/>
          <w:szCs w:val="32"/>
          <w:highlight w:val="none"/>
          <w:lang w:val="en-US" w:eastAsia="zh-CN" w:bidi="ar-SA"/>
        </w:rPr>
        <w:t>设置为</w:t>
      </w:r>
      <w:r>
        <w:rPr>
          <w:rFonts w:hint="eastAsia" w:ascii="仿宋_GB2312" w:hAnsi="Calibri" w:eastAsia="仿宋_GB2312" w:cs="宋体"/>
          <w:kern w:val="2"/>
          <w:sz w:val="32"/>
          <w:szCs w:val="32"/>
          <w:highlight w:val="none"/>
          <w:lang w:val="en-US" w:eastAsia="zh-CN" w:bidi="ar-SA"/>
        </w:rPr>
        <w:t>10%，</w:t>
      </w:r>
      <w:r>
        <w:rPr>
          <w:rFonts w:hint="eastAsia" w:ascii="仿宋_GB2312" w:eastAsia="仿宋_GB2312" w:cs="宋体"/>
          <w:kern w:val="2"/>
          <w:sz w:val="32"/>
          <w:szCs w:val="32"/>
          <w:highlight w:val="none"/>
          <w:lang w:val="en-US" w:eastAsia="zh-CN" w:bidi="ar-SA"/>
        </w:rPr>
        <w:t>与</w:t>
      </w:r>
      <w:r>
        <w:rPr>
          <w:rFonts w:hint="eastAsia" w:ascii="仿宋_GB2312" w:hAnsi="Calibri" w:eastAsia="仿宋_GB2312" w:cs="宋体"/>
          <w:kern w:val="2"/>
          <w:sz w:val="32"/>
          <w:szCs w:val="32"/>
          <w:highlight w:val="none"/>
          <w:lang w:val="en-US" w:eastAsia="zh-CN" w:bidi="ar-SA"/>
        </w:rPr>
        <w:t>韶关市实际情况差距较大。</w:t>
      </w:r>
      <w:r>
        <w:rPr>
          <w:rFonts w:hint="eastAsia" w:ascii="仿宋_GB2312" w:eastAsia="仿宋_GB2312" w:cs="宋体"/>
          <w:kern w:val="2"/>
          <w:sz w:val="32"/>
          <w:szCs w:val="32"/>
          <w:highlight w:val="none"/>
          <w:lang w:val="en-US" w:eastAsia="zh-CN" w:bidi="ar-SA"/>
        </w:rPr>
        <w:t>综合考虑，</w:t>
      </w:r>
      <w:r>
        <w:rPr>
          <w:rFonts w:hint="eastAsia" w:ascii="仿宋_GB2312" w:hAnsi="Calibri" w:eastAsia="仿宋_GB2312" w:cs="宋体"/>
          <w:kern w:val="2"/>
          <w:sz w:val="32"/>
          <w:szCs w:val="32"/>
          <w:highlight w:val="none"/>
          <w:lang w:val="en-US" w:eastAsia="zh-CN" w:bidi="ar-SA"/>
        </w:rPr>
        <w:t>该指标扣0.2分。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（4）粮油、冻猪肉等物资储备完成质量</w:t>
      </w:r>
      <w:r>
        <w:rPr>
          <w:rFonts w:hint="eastAsia" w:ascii="仿宋_GB2312" w:eastAsia="仿宋_GB2312" w:cs="宋体"/>
          <w:kern w:val="2"/>
          <w:sz w:val="32"/>
          <w:szCs w:val="32"/>
          <w:highlight w:val="none"/>
          <w:lang w:val="en-US" w:eastAsia="zh-CN" w:bidi="ar-SA"/>
        </w:rPr>
        <w:t>（分值</w:t>
      </w:r>
      <w:r>
        <w:rPr>
          <w:rFonts w:hint="eastAsia" w:ascii="仿宋_GB2312" w:hAnsi="Calibri" w:eastAsia="仿宋_GB2312" w:cs="宋体"/>
          <w:kern w:val="2"/>
          <w:sz w:val="32"/>
          <w:szCs w:val="32"/>
          <w:highlight w:val="none"/>
          <w:lang w:val="en-US" w:eastAsia="zh-CN" w:bidi="ar-SA"/>
        </w:rPr>
        <w:t>5分，得分2分，得分率40%</w:t>
      </w:r>
      <w:r>
        <w:rPr>
          <w:rFonts w:hint="eastAsia" w:ascii="仿宋_GB2312" w:eastAsia="仿宋_GB2312" w:cs="宋体"/>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Calibri"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2021年，韶关市市级粮油、冻猪肉等物资储备任务完成质量较好。粮仓储备粮轮换工作基本按年初计划完成，且粮食质量和卫生指标达到国家标准和省规定的要求；代储点粮食轮换目前粮食流通较快，存放的粮食不超过10天，未见粮食存放时间过长导致变质的情况；冻猪肉储备情况良好，韶关市发展和改革局粮食和物资储备科每季度按要求对冻猪肉储备企业开展监督检查，发现问题及时提出整改建议并督促储备企业及时完成整改。但</w:t>
      </w:r>
      <w:r>
        <w:rPr>
          <w:rFonts w:hint="default" w:ascii="仿宋_GB2312" w:hAnsi="Calibri" w:eastAsia="仿宋_GB2312" w:cs="宋体"/>
          <w:kern w:val="2"/>
          <w:sz w:val="32"/>
          <w:szCs w:val="32"/>
          <w:highlight w:val="none"/>
          <w:lang w:val="en-US" w:eastAsia="zh-CN" w:bidi="ar-SA"/>
        </w:rPr>
        <w:t>现场评价发现，</w:t>
      </w:r>
      <w:r>
        <w:rPr>
          <w:rFonts w:hint="eastAsia" w:ascii="仿宋_GB2312" w:hAnsi="Calibri" w:eastAsia="仿宋_GB2312" w:cs="宋体"/>
          <w:kern w:val="2"/>
          <w:sz w:val="32"/>
          <w:szCs w:val="32"/>
          <w:highlight w:val="none"/>
          <w:lang w:val="en-US" w:eastAsia="zh-CN" w:bidi="ar-SA"/>
        </w:rPr>
        <w:t>粮食储备工作存在以下问题：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一是韶关市</w:t>
      </w:r>
      <w:r>
        <w:rPr>
          <w:rFonts w:hint="default" w:ascii="仿宋_GB2312" w:hAnsi="Calibri" w:eastAsia="仿宋_GB2312" w:cs="宋体"/>
          <w:kern w:val="2"/>
          <w:sz w:val="32"/>
          <w:szCs w:val="32"/>
          <w:highlight w:val="none"/>
          <w:lang w:val="en-US" w:eastAsia="zh-CN" w:bidi="ar-SA"/>
        </w:rPr>
        <w:t>杨鹏米业代储点不具备安全储粮的基本条件，</w:t>
      </w:r>
      <w:r>
        <w:rPr>
          <w:rFonts w:hint="eastAsia" w:ascii="仿宋_GB2312" w:hAnsi="Calibri" w:eastAsia="仿宋_GB2312" w:cs="宋体"/>
          <w:kern w:val="2"/>
          <w:sz w:val="32"/>
          <w:szCs w:val="32"/>
          <w:highlight w:val="none"/>
          <w:lang w:val="en-US" w:eastAsia="zh-CN" w:bidi="ar-SA"/>
        </w:rPr>
        <w:t>日常巡查未及时提出发现并督促整改。该代储点未配备</w:t>
      </w:r>
      <w:r>
        <w:rPr>
          <w:rFonts w:hint="default" w:ascii="仿宋_GB2312" w:hAnsi="Calibri" w:eastAsia="仿宋_GB2312" w:cs="宋体"/>
          <w:kern w:val="2"/>
          <w:sz w:val="32"/>
          <w:szCs w:val="32"/>
          <w:highlight w:val="none"/>
          <w:lang w:val="en-US" w:eastAsia="zh-CN" w:bidi="ar-SA"/>
        </w:rPr>
        <w:t>粮情检测的基本工具和测温测湿设备，无通风降温设施，无储粮防治虫、霉、鼠、雀等措施及用具，无专业技术人员</w:t>
      </w:r>
      <w:r>
        <w:rPr>
          <w:rFonts w:hint="eastAsia" w:ascii="仿宋_GB2312" w:hAnsi="Calibri" w:eastAsia="仿宋_GB2312" w:cs="宋体"/>
          <w:kern w:val="2"/>
          <w:sz w:val="32"/>
          <w:szCs w:val="32"/>
          <w:highlight w:val="none"/>
          <w:lang w:val="en-US" w:eastAsia="zh-CN" w:bidi="ar-SA"/>
        </w:rPr>
        <w:t>。同时，代储点存放成品粮的仓库同为商业门市部，为两层简易混凝土框架结构的砖房，粮堆严重超高，且紧靠墙壁，存在较大的安全隐患，如图</w:t>
      </w:r>
      <w:r>
        <w:rPr>
          <w:rFonts w:hint="eastAsia" w:ascii="仿宋_GB2312" w:eastAsia="仿宋_GB2312" w:cs="宋体"/>
          <w:kern w:val="2"/>
          <w:sz w:val="32"/>
          <w:szCs w:val="32"/>
          <w:highlight w:val="none"/>
          <w:lang w:val="en-US" w:eastAsia="zh-CN" w:bidi="ar-SA"/>
        </w:rPr>
        <w:t>3</w:t>
      </w:r>
      <w:r>
        <w:rPr>
          <w:rFonts w:hint="eastAsia" w:ascii="仿宋_GB2312" w:hAnsi="Calibri" w:eastAsia="仿宋_GB2312" w:cs="宋体"/>
          <w:kern w:val="2"/>
          <w:sz w:val="32"/>
          <w:szCs w:val="32"/>
          <w:highlight w:val="none"/>
          <w:lang w:val="en-US" w:eastAsia="zh-CN" w:bidi="ar-SA"/>
        </w:rPr>
        <w:t>、</w:t>
      </w:r>
      <w:r>
        <w:rPr>
          <w:rFonts w:hint="eastAsia" w:ascii="仿宋_GB2312" w:eastAsia="仿宋_GB2312" w:cs="宋体"/>
          <w:kern w:val="2"/>
          <w:sz w:val="32"/>
          <w:szCs w:val="32"/>
          <w:highlight w:val="none"/>
          <w:lang w:val="en-US" w:eastAsia="zh-CN" w:bidi="ar-SA"/>
        </w:rPr>
        <w:t>4</w:t>
      </w:r>
      <w:r>
        <w:rPr>
          <w:rFonts w:hint="eastAsia" w:ascii="仿宋_GB2312" w:hAnsi="Calibri" w:eastAsia="仿宋_GB2312" w:cs="宋体"/>
          <w:kern w:val="2"/>
          <w:sz w:val="32"/>
          <w:szCs w:val="32"/>
          <w:highlight w:val="none"/>
          <w:lang w:val="en-US" w:eastAsia="zh-CN" w:bidi="ar-SA"/>
        </w:rPr>
        <w:t>所示</w:t>
      </w:r>
      <w:r>
        <w:rPr>
          <w:rFonts w:hint="default" w:ascii="仿宋_GB2312" w:hAnsi="Calibri" w:eastAsia="仿宋_GB2312" w:cs="宋体"/>
          <w:kern w:val="2"/>
          <w:sz w:val="32"/>
          <w:szCs w:val="32"/>
          <w:highlight w:val="none"/>
          <w:lang w:val="en-US" w:eastAsia="zh-CN" w:bidi="ar-SA"/>
        </w:rPr>
        <w:t>。</w:t>
      </w:r>
    </w:p>
    <w:tbl>
      <w:tblPr>
        <w:tblStyle w:val="16"/>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12"/>
        <w:gridCol w:w="4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12" w:type="dxa"/>
          </w:tcPr>
          <w:p>
            <w:pPr>
              <w:pStyle w:val="14"/>
              <w:rPr>
                <w:rFonts w:hint="default"/>
                <w:lang w:val="en-US" w:eastAsia="zh-CN"/>
              </w:rPr>
            </w:pPr>
            <w:r>
              <w:rPr>
                <w:rFonts w:hint="default"/>
                <w:lang w:val="en-US" w:eastAsia="zh-CN"/>
              </w:rPr>
              <w:drawing>
                <wp:inline distT="0" distB="0" distL="0" distR="0">
                  <wp:extent cx="3392170" cy="2544445"/>
                  <wp:effectExtent l="0" t="0" r="11430" b="8255"/>
                  <wp:docPr id="1031" name="图片 15" descr="9a67f8d394a6895b54cc391901e2bf53_"/>
                  <wp:cNvGraphicFramePr/>
                  <a:graphic xmlns:a="http://schemas.openxmlformats.org/drawingml/2006/main">
                    <a:graphicData uri="http://schemas.openxmlformats.org/drawingml/2006/picture">
                      <pic:pic xmlns:pic="http://schemas.openxmlformats.org/drawingml/2006/picture">
                        <pic:nvPicPr>
                          <pic:cNvPr id="1031" name="图片 15" descr="9a67f8d394a6895b54cc391901e2bf53_"/>
                          <pic:cNvPicPr/>
                        </pic:nvPicPr>
                        <pic:blipFill>
                          <a:blip r:embed="rId10" cstate="print"/>
                          <a:srcRect/>
                          <a:stretch>
                            <a:fillRect/>
                          </a:stretch>
                        </pic:blipFill>
                        <pic:spPr>
                          <a:xfrm>
                            <a:off x="0" y="0"/>
                            <a:ext cx="3392170" cy="2544445"/>
                          </a:xfrm>
                          <a:prstGeom prst="rect">
                            <a:avLst/>
                          </a:prstGeom>
                        </pic:spPr>
                      </pic:pic>
                    </a:graphicData>
                  </a:graphic>
                </wp:inline>
              </w:drawing>
            </w:r>
          </w:p>
        </w:tc>
        <w:tc>
          <w:tcPr>
            <w:tcW w:w="4562" w:type="dxa"/>
          </w:tcPr>
          <w:p>
            <w:pPr>
              <w:pStyle w:val="14"/>
              <w:rPr>
                <w:rFonts w:hint="default"/>
                <w:vertAlign w:val="baseline"/>
                <w:lang w:val="en-US" w:eastAsia="zh-CN"/>
              </w:rPr>
            </w:pPr>
            <w:r>
              <w:rPr>
                <w:rFonts w:hint="default"/>
                <w:lang w:val="en-US" w:eastAsia="zh-CN"/>
              </w:rPr>
              <w:drawing>
                <wp:inline distT="0" distB="0" distL="0" distR="0">
                  <wp:extent cx="3359785" cy="2520315"/>
                  <wp:effectExtent l="0" t="0" r="5715" b="6985"/>
                  <wp:docPr id="1032" name="图片 16" descr="f9b7a9193534fca655667eb59d5be1c3_"/>
                  <wp:cNvGraphicFramePr/>
                  <a:graphic xmlns:a="http://schemas.openxmlformats.org/drawingml/2006/main">
                    <a:graphicData uri="http://schemas.openxmlformats.org/drawingml/2006/picture">
                      <pic:pic xmlns:pic="http://schemas.openxmlformats.org/drawingml/2006/picture">
                        <pic:nvPicPr>
                          <pic:cNvPr id="1032" name="图片 16" descr="f9b7a9193534fca655667eb59d5be1c3_"/>
                          <pic:cNvPicPr/>
                        </pic:nvPicPr>
                        <pic:blipFill>
                          <a:blip r:embed="rId11" cstate="print"/>
                          <a:srcRect/>
                          <a:stretch>
                            <a:fillRect/>
                          </a:stretch>
                        </pic:blipFill>
                        <pic:spPr>
                          <a:xfrm>
                            <a:off x="0" y="0"/>
                            <a:ext cx="3359785" cy="252031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Pr>
          <w:p>
            <w:pPr>
              <w:pStyle w:val="14"/>
              <w:jc w:val="center"/>
              <w:rPr>
                <w:rFonts w:hint="default"/>
                <w:lang w:val="en-US" w:eastAsia="zh-CN"/>
              </w:rPr>
            </w:pPr>
            <w:r>
              <w:rPr>
                <w:rFonts w:hint="eastAsia" w:asciiTheme="minorEastAsia" w:hAnsiTheme="minorEastAsia" w:eastAsiaTheme="minorEastAsia" w:cstheme="minorEastAsia"/>
                <w:b/>
                <w:bCs/>
                <w:sz w:val="28"/>
                <w:szCs w:val="28"/>
                <w:highlight w:val="none"/>
                <w:lang w:val="en-US" w:eastAsia="zh-CN"/>
              </w:rPr>
              <w:t>图3、4 韶关市杨鹏米业粮食仓库图</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二是粮权归属不清晰</w:t>
      </w:r>
      <w:r>
        <w:rPr>
          <w:rFonts w:hint="eastAsia" w:ascii="仿宋_GB2312" w:eastAsia="仿宋_GB2312" w:cs="宋体"/>
          <w:kern w:val="2"/>
          <w:sz w:val="32"/>
          <w:szCs w:val="32"/>
          <w:highlight w:val="none"/>
          <w:lang w:val="en-US" w:eastAsia="zh-CN" w:bidi="ar-SA"/>
        </w:rPr>
        <w:t>。</w:t>
      </w:r>
      <w:r>
        <w:rPr>
          <w:rFonts w:hint="eastAsia" w:ascii="仿宋_GB2312" w:hAnsi="Calibri" w:eastAsia="仿宋_GB2312" w:cs="宋体"/>
          <w:kern w:val="2"/>
          <w:sz w:val="32"/>
          <w:szCs w:val="32"/>
          <w:highlight w:val="none"/>
          <w:lang w:val="en-US" w:eastAsia="zh-CN" w:bidi="ar-SA"/>
        </w:rPr>
        <w:t>据杨鹏米业业主介绍，600吨成品粮（大米）政府仅有优先购买权，市级储备粮总量存在较大不确定性风险。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三</w:t>
      </w:r>
      <w:r>
        <w:rPr>
          <w:rFonts w:hint="eastAsia" w:ascii="仿宋_GB2312" w:hAnsi="Calibri" w:eastAsia="仿宋_GB2312" w:cs="宋体"/>
          <w:kern w:val="2"/>
          <w:sz w:val="32"/>
          <w:szCs w:val="32"/>
          <w:highlight w:val="none"/>
          <w:lang w:val="en-US" w:eastAsia="zh-CN" w:bidi="ar-SA"/>
        </w:rPr>
        <w:t>是韶关市粮食和物资储备中心粮储工作规范性不高，主要表现为：熏蒸作业方案备案登记表填写不规范，部分必填内容空缺，仅有负责人签名，无填表人；熏蒸作业资料缺少原始记录，如每次熏蒸的基本情况，包括：粮情、温湿度、虫害、全部参与人员（签名）、起止时间、施药后磷化氢浓度检测等；在</w:t>
      </w:r>
      <w:r>
        <w:rPr>
          <w:rFonts w:hint="eastAsia" w:ascii="仿宋_GB2312" w:eastAsia="仿宋_GB2312" w:cs="宋体"/>
          <w:kern w:val="2"/>
          <w:sz w:val="32"/>
          <w:szCs w:val="32"/>
          <w:highlight w:val="none"/>
          <w:lang w:val="en-US" w:eastAsia="zh-CN" w:bidi="ar-SA"/>
        </w:rPr>
        <w:t>原粮</w:t>
      </w:r>
      <w:r>
        <w:rPr>
          <w:rFonts w:hint="eastAsia" w:ascii="仿宋_GB2312" w:hAnsi="Calibri" w:eastAsia="仿宋_GB2312" w:cs="宋体"/>
          <w:kern w:val="2"/>
          <w:sz w:val="32"/>
          <w:szCs w:val="32"/>
          <w:highlight w:val="none"/>
          <w:lang w:val="en-US" w:eastAsia="zh-CN" w:bidi="ar-SA"/>
        </w:rPr>
        <w:t>仓库内仅悬挂入库粮情资料牌，未挂</w:t>
      </w:r>
      <w:r>
        <w:rPr>
          <w:rFonts w:hint="eastAsia" w:ascii="仿宋_GB2312" w:eastAsia="仿宋_GB2312" w:cs="宋体"/>
          <w:kern w:val="2"/>
          <w:sz w:val="32"/>
          <w:szCs w:val="32"/>
          <w:highlight w:val="none"/>
          <w:lang w:val="en-US" w:eastAsia="zh-CN" w:bidi="ar-SA"/>
        </w:rPr>
        <w:t>粮</w:t>
      </w:r>
      <w:r>
        <w:rPr>
          <w:rFonts w:hint="eastAsia" w:ascii="仿宋_GB2312" w:hAnsi="Calibri" w:eastAsia="仿宋_GB2312" w:cs="宋体"/>
          <w:kern w:val="2"/>
          <w:sz w:val="32"/>
          <w:szCs w:val="32"/>
          <w:highlight w:val="none"/>
          <w:lang w:val="en-US" w:eastAsia="zh-CN" w:bidi="ar-SA"/>
        </w:rPr>
        <w:t>仓管理员标志、</w:t>
      </w:r>
      <w:r>
        <w:rPr>
          <w:rFonts w:hint="eastAsia" w:ascii="仿宋_GB2312" w:eastAsia="仿宋_GB2312" w:cs="宋体"/>
          <w:kern w:val="2"/>
          <w:sz w:val="32"/>
          <w:szCs w:val="32"/>
          <w:highlight w:val="none"/>
          <w:lang w:val="en-US" w:eastAsia="zh-CN" w:bidi="ar-SA"/>
        </w:rPr>
        <w:t>未见</w:t>
      </w:r>
      <w:r>
        <w:rPr>
          <w:rFonts w:hint="eastAsia" w:ascii="仿宋_GB2312" w:hAnsi="Calibri" w:eastAsia="仿宋_GB2312" w:cs="宋体"/>
          <w:kern w:val="2"/>
          <w:sz w:val="32"/>
          <w:szCs w:val="32"/>
          <w:highlight w:val="none"/>
          <w:lang w:val="en-US" w:eastAsia="zh-CN" w:bidi="ar-SA"/>
        </w:rPr>
        <w:t>保管期间（过程）粮情检查（包括水分、粮温、虫情等）、通风、熏蒸作业等资料；B2粮仓设施破损未及时维修，粮堆右侧位置存在仓房顶部往粮堆滴水现象；左侧墙壁前段上部有明显的渗水痕迹，如图所示。综合考虑，</w:t>
      </w:r>
      <w:r>
        <w:rPr>
          <w:rFonts w:hint="default" w:ascii="仿宋_GB2312" w:hAnsi="Calibri" w:eastAsia="仿宋_GB2312" w:cs="宋体"/>
          <w:kern w:val="2"/>
          <w:sz w:val="32"/>
          <w:szCs w:val="32"/>
          <w:highlight w:val="none"/>
          <w:lang w:val="en-US" w:eastAsia="zh-CN" w:bidi="ar-SA"/>
        </w:rPr>
        <w:t>该指标扣</w:t>
      </w:r>
      <w:r>
        <w:rPr>
          <w:rFonts w:hint="eastAsia" w:ascii="仿宋_GB2312" w:eastAsia="仿宋_GB2312" w:cs="宋体"/>
          <w:kern w:val="2"/>
          <w:sz w:val="32"/>
          <w:szCs w:val="32"/>
          <w:highlight w:val="none"/>
          <w:lang w:val="en-US" w:eastAsia="zh-CN" w:bidi="ar-SA"/>
        </w:rPr>
        <w:t>3</w:t>
      </w:r>
      <w:r>
        <w:rPr>
          <w:rFonts w:hint="default" w:ascii="仿宋_GB2312" w:hAnsi="Calibri" w:eastAsia="仿宋_GB2312" w:cs="宋体"/>
          <w:kern w:val="2"/>
          <w:sz w:val="32"/>
          <w:szCs w:val="32"/>
          <w:highlight w:val="none"/>
          <w:lang w:val="en-US" w:eastAsia="zh-CN" w:bidi="ar-SA"/>
        </w:rPr>
        <w:t>分。</w:t>
      </w:r>
    </w:p>
    <w:p>
      <w:pPr>
        <w:pStyle w:val="14"/>
        <w:jc w:val="center"/>
        <w:rPr>
          <w:rFonts w:hint="default"/>
          <w:lang w:val="en-US" w:eastAsia="zh-CN"/>
        </w:rPr>
      </w:pPr>
      <w:r>
        <w:rPr>
          <w:rFonts w:hint="default"/>
          <w:lang w:val="en-US" w:eastAsia="zh-CN"/>
        </w:rPr>
        <w:drawing>
          <wp:inline distT="0" distB="0" distL="0" distR="0">
            <wp:extent cx="3360420" cy="2520315"/>
            <wp:effectExtent l="0" t="0" r="5080" b="6985"/>
            <wp:docPr id="1033" name="图片 17" descr="d472646008a3828ed1b17af8fae2b695_"/>
            <wp:cNvGraphicFramePr/>
            <a:graphic xmlns:a="http://schemas.openxmlformats.org/drawingml/2006/main">
              <a:graphicData uri="http://schemas.openxmlformats.org/drawingml/2006/picture">
                <pic:pic xmlns:pic="http://schemas.openxmlformats.org/drawingml/2006/picture">
                  <pic:nvPicPr>
                    <pic:cNvPr id="1033" name="图片 17" descr="d472646008a3828ed1b17af8fae2b695_"/>
                    <pic:cNvPicPr/>
                  </pic:nvPicPr>
                  <pic:blipFill>
                    <a:blip r:embed="rId12" cstate="print"/>
                    <a:srcRect/>
                    <a:stretch>
                      <a:fillRect/>
                    </a:stretch>
                  </pic:blipFill>
                  <pic:spPr>
                    <a:xfrm>
                      <a:off x="0" y="0"/>
                      <a:ext cx="3360420" cy="2520315"/>
                    </a:xfrm>
                    <a:prstGeom prst="rect">
                      <a:avLst/>
                    </a:prstGeom>
                  </pic:spPr>
                </pic:pic>
              </a:graphicData>
            </a:graphic>
          </wp:inline>
        </w:drawing>
      </w:r>
    </w:p>
    <w:p>
      <w:pPr>
        <w:pStyle w:val="14"/>
        <w:jc w:val="center"/>
        <w:rPr>
          <w:rFonts w:hint="eastAsia" w:asciiTheme="minorEastAsia" w:hAnsiTheme="minorEastAsia" w:eastAsiaTheme="minorEastAsia" w:cstheme="minorEastAsia"/>
          <w:b/>
          <w:bCs/>
          <w:kern w:val="2"/>
          <w:sz w:val="28"/>
          <w:szCs w:val="28"/>
          <w:highlight w:val="none"/>
          <w:lang w:val="en-US" w:eastAsia="zh-CN" w:bidi="ar-SA"/>
        </w:rPr>
      </w:pPr>
      <w:r>
        <w:rPr>
          <w:rFonts w:hint="eastAsia" w:asciiTheme="minorEastAsia" w:hAnsiTheme="minorEastAsia" w:eastAsiaTheme="minorEastAsia" w:cstheme="minorEastAsia"/>
          <w:b/>
          <w:bCs/>
          <w:kern w:val="2"/>
          <w:sz w:val="28"/>
          <w:szCs w:val="28"/>
          <w:highlight w:val="none"/>
          <w:lang w:val="en-US" w:eastAsia="zh-CN" w:bidi="ar-SA"/>
        </w:rPr>
        <w:t>图5 韶关市粮食和物资储备中心B2粮仓渗水墙壁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（5）社会信用体系完善度</w:t>
      </w:r>
      <w:r>
        <w:rPr>
          <w:rFonts w:hint="eastAsia" w:ascii="仿宋_GB2312" w:eastAsia="仿宋_GB2312" w:cs="宋体"/>
          <w:kern w:val="2"/>
          <w:sz w:val="32"/>
          <w:szCs w:val="32"/>
          <w:highlight w:val="none"/>
          <w:lang w:val="en-US" w:eastAsia="zh-CN" w:bidi="ar-SA"/>
        </w:rPr>
        <w:t>（分值</w:t>
      </w:r>
      <w:r>
        <w:rPr>
          <w:rFonts w:hint="eastAsia" w:ascii="仿宋_GB2312" w:hAnsi="Calibri" w:eastAsia="仿宋_GB2312" w:cs="宋体"/>
          <w:kern w:val="2"/>
          <w:sz w:val="32"/>
          <w:szCs w:val="32"/>
          <w:highlight w:val="none"/>
          <w:lang w:val="en-US" w:eastAsia="zh-CN" w:bidi="ar-SA"/>
        </w:rPr>
        <w:t>4分，得分4分，得分率100%</w:t>
      </w:r>
      <w:r>
        <w:rPr>
          <w:rFonts w:hint="eastAsia" w:ascii="仿宋_GB2312" w:eastAsia="仿宋_GB2312" w:cs="宋体"/>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全国信用信息共享平台（广东韶关）建设情况方面，平台运行稳定、功能基本完善，平台“双公示”数据归集功能完好，有效地支撑职能部门开展信用监管工作，为推动韶关市社会信用体系建设提供了有力保障。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Calibri"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经查阅资料</w:t>
      </w:r>
      <w:r>
        <w:rPr>
          <w:rFonts w:hint="eastAsia" w:ascii="仿宋_GB2312" w:hAnsi="Calibri" w:eastAsia="仿宋_GB2312" w:cs="宋体"/>
          <w:kern w:val="2"/>
          <w:sz w:val="32"/>
          <w:szCs w:val="32"/>
          <w:highlight w:val="none"/>
          <w:lang w:val="en-US" w:eastAsia="zh-CN" w:bidi="ar-SA"/>
        </w:rPr>
        <w:t>及现场评价，2021年韶关市综合信用指数在全国261个地级市中排名较2020年有所上升，其中，2021年2月-2022年2月期间，信用状况监测排名平均值为176名，较2020年的第223名上升47名，排名</w:t>
      </w:r>
      <w:r>
        <w:rPr>
          <w:rFonts w:hint="eastAsia" w:ascii="仿宋_GB2312" w:eastAsia="仿宋_GB2312" w:cs="宋体"/>
          <w:kern w:val="2"/>
          <w:sz w:val="32"/>
          <w:szCs w:val="32"/>
          <w:highlight w:val="none"/>
          <w:lang w:val="en-US" w:eastAsia="zh-CN" w:bidi="ar-SA"/>
        </w:rPr>
        <w:t>变化</w:t>
      </w:r>
      <w:r>
        <w:rPr>
          <w:rFonts w:hint="eastAsia" w:ascii="仿宋_GB2312" w:hAnsi="Calibri" w:eastAsia="仿宋_GB2312" w:cs="宋体"/>
          <w:kern w:val="2"/>
          <w:sz w:val="32"/>
          <w:szCs w:val="32"/>
          <w:highlight w:val="none"/>
          <w:lang w:val="en-US" w:eastAsia="zh-CN" w:bidi="ar-SA"/>
        </w:rPr>
        <w:t>情况如下图所示。</w:t>
      </w:r>
    </w:p>
    <w:p>
      <w:pPr>
        <w:pStyle w:val="14"/>
        <w:ind w:left="0" w:leftChars="0" w:right="0" w:rightChars="0" w:firstLine="0" w:firstLineChars="0"/>
        <w:jc w:val="center"/>
        <w:rPr>
          <w:rFonts w:hint="default"/>
          <w:lang w:val="en-US" w:eastAsia="zh-CN"/>
        </w:rPr>
      </w:pPr>
      <w:r>
        <w:rPr>
          <w:rFonts w:hint="default"/>
          <w:lang w:val="en-US" w:eastAsia="zh-CN"/>
        </w:rPr>
        <w:drawing>
          <wp:inline distT="0" distB="0" distL="114300" distR="114300">
            <wp:extent cx="4551045" cy="3020695"/>
            <wp:effectExtent l="4445" t="4445" r="16510" b="101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4"/>
        <w:jc w:val="center"/>
        <w:rPr>
          <w:rFonts w:hint="default" w:asciiTheme="minorEastAsia" w:hAnsiTheme="minorEastAsia" w:eastAsiaTheme="minorEastAsia" w:cstheme="minorEastAsia"/>
          <w:b/>
          <w:bCs/>
          <w:kern w:val="2"/>
          <w:sz w:val="28"/>
          <w:szCs w:val="28"/>
          <w:highlight w:val="none"/>
          <w:lang w:val="en-US" w:eastAsia="zh-CN" w:bidi="ar-SA"/>
        </w:rPr>
      </w:pPr>
      <w:r>
        <w:rPr>
          <w:rFonts w:hint="eastAsia" w:asciiTheme="minorEastAsia" w:hAnsiTheme="minorEastAsia" w:eastAsiaTheme="minorEastAsia" w:cstheme="minorEastAsia"/>
          <w:b/>
          <w:bCs/>
          <w:kern w:val="2"/>
          <w:sz w:val="28"/>
          <w:szCs w:val="28"/>
          <w:highlight w:val="none"/>
          <w:lang w:val="en-US" w:eastAsia="zh-CN" w:bidi="ar-SA"/>
        </w:rPr>
        <w:t>图6 2021年韶关市综合信用指数排名变化情况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综合考虑，该指标不扣分。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3"/>
        <w:rPr>
          <w:rFonts w:hint="eastAsia"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（6）价格监测和成本监审水平</w:t>
      </w:r>
      <w:r>
        <w:rPr>
          <w:rFonts w:hint="eastAsia" w:ascii="仿宋_GB2312" w:eastAsia="仿宋_GB2312" w:cs="宋体"/>
          <w:kern w:val="2"/>
          <w:sz w:val="32"/>
          <w:szCs w:val="32"/>
          <w:highlight w:val="none"/>
          <w:lang w:val="en-US" w:eastAsia="zh-CN" w:bidi="ar-SA"/>
        </w:rPr>
        <w:t>（分值</w:t>
      </w:r>
      <w:r>
        <w:rPr>
          <w:rFonts w:hint="eastAsia" w:ascii="仿宋_GB2312" w:hAnsi="Calibri" w:eastAsia="仿宋_GB2312" w:cs="宋体"/>
          <w:kern w:val="2"/>
          <w:sz w:val="32"/>
          <w:szCs w:val="32"/>
          <w:highlight w:val="none"/>
          <w:lang w:val="en-US" w:eastAsia="zh-CN" w:bidi="ar-SA"/>
        </w:rPr>
        <w:t>3分，得分3分，得分率100%</w:t>
      </w:r>
      <w:r>
        <w:rPr>
          <w:rFonts w:hint="eastAsia" w:ascii="仿宋_GB2312" w:eastAsia="仿宋_GB2312" w:cs="宋体"/>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Calibri" w:eastAsia="仿宋_GB2312" w:cs="宋体"/>
          <w:kern w:val="2"/>
          <w:sz w:val="32"/>
          <w:szCs w:val="32"/>
          <w:highlight w:val="none"/>
          <w:lang w:val="en-US" w:eastAsia="zh-CN" w:bidi="ar-SA"/>
        </w:rPr>
      </w:pPr>
      <w:r>
        <w:rPr>
          <w:rFonts w:hint="default" w:ascii="仿宋_GB2312" w:hAnsi="Calibri" w:eastAsia="仿宋_GB2312" w:cs="宋体"/>
          <w:kern w:val="2"/>
          <w:sz w:val="32"/>
          <w:szCs w:val="32"/>
          <w:highlight w:val="none"/>
          <w:lang w:val="en-US" w:eastAsia="zh-CN" w:bidi="ar-SA"/>
        </w:rPr>
        <w:t>根据《韶关市2021年国民经济和社会发展统计公报》</w:t>
      </w:r>
      <w:r>
        <w:rPr>
          <w:rFonts w:hint="eastAsia" w:ascii="仿宋_GB2312" w:hAnsi="Calibri" w:eastAsia="仿宋_GB2312" w:cs="宋体"/>
          <w:kern w:val="2"/>
          <w:sz w:val="32"/>
          <w:szCs w:val="32"/>
          <w:highlight w:val="none"/>
          <w:lang w:val="en-US" w:eastAsia="zh-CN" w:bidi="ar-SA"/>
        </w:rPr>
        <w:t>，全年韶关居民消费价格比上年上涨0.2%，低于目标值的3%。另一方面，根据2021年政府网站发布的《双周粮油市场价格监测报告》，价格监测数据发布及时、发布内容全面。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综合考虑，该指标不扣分。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eastAsia="仿宋_GB2312"/>
          <w:sz w:val="32"/>
          <w:szCs w:val="32"/>
          <w:highlight w:val="none"/>
        </w:rPr>
      </w:pPr>
      <w:r>
        <w:rPr>
          <w:rFonts w:hint="eastAsia" w:ascii="仿宋_GB2312" w:hAnsi="Calibri" w:eastAsia="仿宋_GB2312" w:cs="宋体"/>
          <w:kern w:val="2"/>
          <w:sz w:val="32"/>
          <w:szCs w:val="32"/>
          <w:highlight w:val="none"/>
          <w:lang w:val="en-US" w:eastAsia="zh-CN" w:bidi="ar-SA"/>
        </w:rPr>
        <w:t>8.</w:t>
      </w:r>
      <w:r>
        <w:rPr>
          <w:rFonts w:hint="default" w:ascii="仿宋_GB2312" w:hAnsi="Calibri" w:eastAsia="仿宋_GB2312" w:cs="宋体"/>
          <w:kern w:val="2"/>
          <w:sz w:val="32"/>
          <w:szCs w:val="32"/>
          <w:highlight w:val="none"/>
          <w:lang w:val="en-US" w:eastAsia="zh-CN" w:bidi="ar-SA"/>
        </w:rPr>
        <w:t>公众或服务对象满意度</w:t>
      </w:r>
      <w:r>
        <w:rPr>
          <w:rFonts w:hint="eastAsia" w:ascii="仿宋_GB2312" w:eastAsia="仿宋_GB2312" w:cs="宋体"/>
          <w:kern w:val="2"/>
          <w:sz w:val="32"/>
          <w:szCs w:val="32"/>
          <w:highlight w:val="none"/>
          <w:lang w:val="en-US" w:eastAsia="zh-CN" w:bidi="ar-SA"/>
        </w:rPr>
        <w:t>（分值</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3.53</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70.60</w:t>
      </w:r>
      <w:r>
        <w:rPr>
          <w:rFonts w:hint="eastAsia" w:ascii="仿宋_GB2312" w:eastAsia="仿宋_GB2312"/>
          <w:sz w:val="32"/>
          <w:szCs w:val="32"/>
          <w:highlight w:val="none"/>
        </w:rPr>
        <w:t>%</w:t>
      </w:r>
      <w:r>
        <w:rPr>
          <w:rFonts w:hint="eastAsia" w:ascii="仿宋_GB2312" w:eastAsia="仿宋_GB2312" w:cs="宋体"/>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color w:val="auto"/>
          <w:kern w:val="2"/>
          <w:sz w:val="32"/>
          <w:highlight w:val="none"/>
          <w:lang w:val="en-US" w:eastAsia="zh-CN"/>
        </w:rPr>
      </w:pPr>
      <w:r>
        <w:rPr>
          <w:rFonts w:hint="eastAsia" w:ascii="仿宋_GB2312" w:hAnsi="仿宋_GB2312" w:eastAsia="仿宋_GB2312" w:cs="仿宋_GB2312"/>
          <w:color w:val="auto"/>
          <w:kern w:val="2"/>
          <w:sz w:val="32"/>
          <w:highlight w:val="none"/>
          <w:lang w:val="en-US" w:eastAsia="zh-CN"/>
        </w:rPr>
        <w:t>通过电子问卷方式共回收114份群众有效问卷。针对“Q9.您对韶关市发展和改革局的整体满意情况是”一题，33名群众表示满意，占比为28.95%；48名群众表示比较满意，占比为42.11%，具体见下图。按照满意100%、比较满意80%、不太满意60%、不满意和不了解0%权重计算综合满意度，该指标得分3.53分。</w:t>
      </w:r>
    </w:p>
    <w:p>
      <w:pPr>
        <w:bidi w:val="0"/>
        <w:jc w:val="center"/>
        <w:rPr>
          <w:rFonts w:hint="eastAsia" w:eastAsia="宋体"/>
          <w:highlight w:val="none"/>
          <w:lang w:eastAsia="zh-CN"/>
        </w:rPr>
      </w:pPr>
      <w:r>
        <w:rPr>
          <w:rFonts w:hint="eastAsia" w:eastAsia="宋体"/>
          <w:highlight w:val="none"/>
          <w:lang w:eastAsia="zh-CN"/>
        </w:rPr>
        <w:drawing>
          <wp:inline distT="0" distB="0" distL="114300" distR="114300">
            <wp:extent cx="4451350" cy="2580640"/>
            <wp:effectExtent l="4445" t="4445" r="14605" b="5715"/>
            <wp:docPr id="103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图</w:t>
      </w:r>
      <w:r>
        <w:rPr>
          <w:rFonts w:hint="eastAsia" w:ascii="宋体" w:hAnsi="宋体" w:cs="宋体"/>
          <w:b/>
          <w:bCs/>
          <w:sz w:val="28"/>
          <w:szCs w:val="28"/>
          <w:highlight w:val="none"/>
          <w:lang w:val="en-US" w:eastAsia="zh-CN"/>
        </w:rPr>
        <w:t xml:space="preserve">7 </w:t>
      </w:r>
      <w:r>
        <w:rPr>
          <w:rFonts w:hint="eastAsia" w:ascii="宋体" w:hAnsi="宋体" w:eastAsia="宋体" w:cs="宋体"/>
          <w:b/>
          <w:bCs/>
          <w:sz w:val="28"/>
          <w:szCs w:val="28"/>
          <w:highlight w:val="none"/>
          <w:lang w:val="en-US" w:eastAsia="zh-CN"/>
        </w:rPr>
        <w:t>公众对市发改局整体的满意度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default" w:ascii="仿宋_GB2312" w:hAnsi="Calibri" w:eastAsia="仿宋_GB2312" w:cs="宋体"/>
          <w:kern w:val="2"/>
          <w:sz w:val="32"/>
          <w:szCs w:val="32"/>
          <w:highlight w:val="none"/>
          <w:lang w:val="en-US" w:eastAsia="zh-CN" w:bidi="ar-SA"/>
        </w:rPr>
      </w:pPr>
      <w:r>
        <w:rPr>
          <w:rFonts w:hint="eastAsia" w:ascii="仿宋_GB2312" w:hAnsi="Calibri" w:eastAsia="仿宋_GB2312" w:cs="宋体"/>
          <w:kern w:val="2"/>
          <w:sz w:val="32"/>
          <w:szCs w:val="32"/>
          <w:highlight w:val="none"/>
          <w:lang w:val="en-US" w:eastAsia="zh-CN" w:bidi="ar-SA"/>
        </w:rPr>
        <w:t>9.</w:t>
      </w:r>
      <w:r>
        <w:rPr>
          <w:rFonts w:hint="default" w:ascii="仿宋_GB2312" w:hAnsi="Calibri" w:eastAsia="仿宋_GB2312" w:cs="宋体"/>
          <w:kern w:val="2"/>
          <w:sz w:val="32"/>
          <w:szCs w:val="32"/>
          <w:highlight w:val="none"/>
          <w:lang w:val="en-US" w:eastAsia="zh-CN" w:bidi="ar-SA"/>
        </w:rPr>
        <w:t>工作表现加减分指标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color w:val="auto"/>
          <w:kern w:val="2"/>
          <w:sz w:val="32"/>
          <w:highlight w:val="none"/>
          <w:lang w:val="en-US" w:eastAsia="zh-CN"/>
        </w:rPr>
      </w:pPr>
      <w:r>
        <w:rPr>
          <w:rFonts w:hint="eastAsia" w:ascii="仿宋_GB2312" w:hAnsi="仿宋_GB2312" w:eastAsia="仿宋_GB2312" w:cs="仿宋_GB2312"/>
          <w:color w:val="auto"/>
          <w:kern w:val="2"/>
          <w:sz w:val="32"/>
          <w:highlight w:val="none"/>
          <w:lang w:val="en-US" w:eastAsia="zh-CN"/>
        </w:rPr>
        <w:t>该指标反映部门工作受到表彰或批评问责的情况。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hAnsi="仿宋_GB2312" w:eastAsia="仿宋_GB2312" w:cs="仿宋_GB2312"/>
          <w:color w:val="auto"/>
          <w:kern w:val="2"/>
          <w:sz w:val="32"/>
          <w:highlight w:val="none"/>
          <w:lang w:val="en-US" w:eastAsia="zh-CN"/>
        </w:rPr>
      </w:pPr>
      <w:r>
        <w:rPr>
          <w:rFonts w:hint="eastAsia" w:ascii="仿宋_GB2312" w:hAnsi="仿宋_GB2312" w:eastAsia="仿宋_GB2312" w:cs="仿宋_GB2312"/>
          <w:color w:val="auto"/>
          <w:kern w:val="2"/>
          <w:sz w:val="32"/>
          <w:highlight w:val="none"/>
          <w:lang w:val="en-US" w:eastAsia="zh-CN"/>
        </w:rPr>
        <w:t>根据市发改局提供的相关材料，2021年，市发改局的工作得到上级部门肯定，多次获得省、市级表彰。按表彰一次加1分计算，满分为3分。该指标得3分。</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sz w:val="32"/>
          <w:szCs w:val="32"/>
          <w:highlight w:val="none"/>
          <w:lang w:eastAsia="zh-CN"/>
        </w:rPr>
      </w:pPr>
      <w:bookmarkStart w:id="106" w:name="_Toc27466"/>
      <w:bookmarkStart w:id="107" w:name="_Toc10602"/>
      <w:bookmarkStart w:id="108" w:name="_Toc5483"/>
      <w:r>
        <w:rPr>
          <w:rFonts w:hint="eastAsia" w:ascii="黑体" w:hAnsi="黑体" w:eastAsia="黑体" w:cs="黑体"/>
          <w:b w:val="0"/>
          <w:bCs/>
          <w:sz w:val="32"/>
          <w:szCs w:val="32"/>
          <w:highlight w:val="none"/>
          <w:lang w:val="en-US" w:eastAsia="zh-CN"/>
        </w:rPr>
        <w:t>三、评价结论</w:t>
      </w:r>
      <w:bookmarkEnd w:id="92"/>
      <w:bookmarkEnd w:id="106"/>
      <w:bookmarkEnd w:id="107"/>
      <w:bookmarkEnd w:id="108"/>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经自评材料审核和现场评价，结合预算编制、执行、使用效益三方面综合对部门整体支出资金绩效进行比较分析，评价组认为：总体上，</w:t>
      </w:r>
      <w:r>
        <w:rPr>
          <w:rFonts w:hint="eastAsia" w:ascii="仿宋_GB2312" w:hAnsi="仿宋_GB2312" w:eastAsia="仿宋_GB2312" w:cs="仿宋_GB2312"/>
          <w:sz w:val="32"/>
          <w:szCs w:val="32"/>
          <w:highlight w:val="none"/>
          <w:lang w:val="en-US" w:eastAsia="zh-CN"/>
        </w:rPr>
        <w:t>预算编制与部门职责相关，项目实施程序较规范</w:t>
      </w:r>
      <w:r>
        <w:rPr>
          <w:rFonts w:hint="eastAsia" w:ascii="仿宋_GB2312" w:hAnsi="仿宋_GB2312" w:eastAsia="仿宋_GB2312" w:cs="仿宋_GB2312"/>
          <w:sz w:val="32"/>
          <w:szCs w:val="32"/>
          <w:highlight w:val="none"/>
        </w:rPr>
        <w:t>，</w:t>
      </w:r>
      <w:r>
        <w:rPr>
          <w:rFonts w:hint="eastAsia" w:ascii="仿宋_GB2312" w:hAnsi="Calibri" w:eastAsia="仿宋_GB2312" w:cs="宋体"/>
          <w:kern w:val="2"/>
          <w:sz w:val="32"/>
          <w:szCs w:val="32"/>
          <w:highlight w:val="none"/>
          <w:lang w:val="en-US" w:eastAsia="zh-CN" w:bidi="ar-SA"/>
        </w:rPr>
        <w:t>社会信用体系建设较好，价格监测和成本监审水平较高</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但也存在</w:t>
      </w:r>
      <w:r>
        <w:rPr>
          <w:rFonts w:hint="eastAsia" w:ascii="仿宋_GB2312" w:hAnsi="仿宋_GB2312" w:eastAsia="仿宋_GB2312" w:cs="仿宋_GB2312"/>
          <w:sz w:val="32"/>
          <w:szCs w:val="32"/>
          <w:highlight w:val="none"/>
          <w:lang w:val="en-US" w:eastAsia="zh-CN"/>
        </w:rPr>
        <w:t>以下问题：一是预算编制合理性不足；二是储备粮管理机制有待完善；三是预算绩效管理水平有待提高。</w:t>
      </w:r>
      <w:r>
        <w:rPr>
          <w:rFonts w:hint="eastAsia" w:ascii="仿宋_GB2312" w:hAnsi="仿宋_GB2312" w:eastAsia="仿宋_GB2312" w:cs="仿宋_GB2312"/>
          <w:sz w:val="32"/>
          <w:szCs w:val="32"/>
          <w:highlight w:val="none"/>
        </w:rPr>
        <w:t>经综合评定：202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韶关市发展和改革局</w:t>
      </w:r>
      <w:r>
        <w:rPr>
          <w:rFonts w:hint="eastAsia" w:ascii="仿宋_GB2312" w:hAnsi="仿宋_GB2312" w:eastAsia="仿宋_GB2312" w:cs="仿宋_GB2312"/>
          <w:sz w:val="32"/>
          <w:szCs w:val="32"/>
          <w:highlight w:val="none"/>
        </w:rPr>
        <w:t>部门整体支出绩效评价得分为</w:t>
      </w:r>
      <w:r>
        <w:rPr>
          <w:rFonts w:hint="eastAsia" w:ascii="仿宋_GB2312" w:hAnsi="仿宋_GB2312" w:eastAsia="仿宋_GB2312" w:cs="仿宋_GB2312"/>
          <w:b/>
          <w:bCs/>
          <w:sz w:val="32"/>
          <w:szCs w:val="32"/>
          <w:highlight w:val="none"/>
          <w:lang w:val="en-US" w:eastAsia="zh-CN"/>
        </w:rPr>
        <w:t>85.96</w:t>
      </w:r>
      <w:r>
        <w:rPr>
          <w:rFonts w:hint="eastAsia" w:ascii="仿宋_GB2312" w:hAnsi="仿宋_GB2312" w:eastAsia="仿宋_GB2312" w:cs="仿宋_GB2312"/>
          <w:sz w:val="32"/>
          <w:szCs w:val="32"/>
          <w:highlight w:val="none"/>
        </w:rPr>
        <w:t>分，绩效等级为“</w:t>
      </w:r>
      <w:r>
        <w:rPr>
          <w:rFonts w:hint="eastAsia" w:ascii="仿宋_GB2312" w:hAnsi="仿宋_GB2312" w:eastAsia="仿宋_GB2312" w:cs="仿宋_GB2312"/>
          <w:b/>
          <w:bCs/>
          <w:sz w:val="32"/>
          <w:szCs w:val="32"/>
          <w:highlight w:val="none"/>
          <w:lang w:val="en-US" w:eastAsia="zh-CN"/>
        </w:rPr>
        <w:t>良</w:t>
      </w:r>
      <w:r>
        <w:rPr>
          <w:rFonts w:hint="eastAsia" w:ascii="仿宋_GB2312" w:hAnsi="仿宋_GB2312" w:eastAsia="仿宋_GB2312" w:cs="仿宋_GB2312"/>
          <w:sz w:val="32"/>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表</w:t>
      </w:r>
      <w:r>
        <w:rPr>
          <w:rFonts w:hint="eastAsia" w:ascii="黑体" w:hAnsi="黑体" w:eastAsia="黑体" w:cs="黑体"/>
          <w:b/>
          <w:bCs/>
          <w:sz w:val="28"/>
          <w:szCs w:val="28"/>
          <w:highlight w:val="none"/>
          <w:lang w:val="en-US" w:eastAsia="zh-CN"/>
        </w:rPr>
        <w:t>3</w:t>
      </w:r>
      <w:r>
        <w:rPr>
          <w:rFonts w:hint="eastAsia" w:ascii="黑体" w:hAnsi="黑体" w:eastAsia="黑体" w:cs="黑体"/>
          <w:b/>
          <w:bCs/>
          <w:sz w:val="28"/>
          <w:szCs w:val="28"/>
          <w:highlight w:val="none"/>
        </w:rPr>
        <w:t>-1评价情况总表</w:t>
      </w:r>
    </w:p>
    <w:tbl>
      <w:tblPr>
        <w:tblStyle w:val="1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1794"/>
        <w:gridCol w:w="179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rPr>
              <w:t>评价因素</w:t>
            </w:r>
          </w:p>
        </w:tc>
        <w:tc>
          <w:tcPr>
            <w:tcW w:w="179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rPr>
              <w:t>分值</w:t>
            </w:r>
          </w:p>
        </w:tc>
        <w:tc>
          <w:tcPr>
            <w:tcW w:w="179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rPr>
              <w:t>评价得分</w:t>
            </w:r>
          </w:p>
        </w:tc>
        <w:tc>
          <w:tcPr>
            <w:tcW w:w="179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575" w:type="dxa"/>
            <w:vAlign w:val="center"/>
          </w:tcPr>
          <w:p>
            <w:pPr>
              <w:keepNext w:val="0"/>
              <w:keepLines w:val="0"/>
              <w:widowControl/>
              <w:suppressLineNumbers w:val="0"/>
              <w:jc w:val="center"/>
              <w:textAlignment w:val="center"/>
              <w:rPr>
                <w:rFonts w:hint="eastAsia" w:ascii="宋体" w:hAnsi="宋体" w:eastAsia="宋体" w:cs="宋体"/>
                <w:b w:val="0"/>
                <w:bCs/>
                <w:sz w:val="21"/>
                <w:szCs w:val="21"/>
                <w:highlight w:val="none"/>
              </w:rPr>
            </w:pPr>
            <w:r>
              <w:rPr>
                <w:rFonts w:hint="eastAsia" w:ascii="宋体" w:hAnsi="宋体" w:eastAsia="宋体" w:cs="宋体"/>
                <w:i w:val="0"/>
                <w:iCs w:val="0"/>
                <w:color w:val="000000"/>
                <w:kern w:val="0"/>
                <w:sz w:val="21"/>
                <w:szCs w:val="21"/>
                <w:highlight w:val="none"/>
                <w:u w:val="none"/>
                <w:lang w:val="en-US" w:eastAsia="zh-CN"/>
              </w:rPr>
              <w:t>评价总得分</w:t>
            </w:r>
          </w:p>
        </w:tc>
        <w:tc>
          <w:tcPr>
            <w:tcW w:w="1794" w:type="dxa"/>
            <w:vAlign w:val="center"/>
          </w:tcPr>
          <w:p>
            <w:pPr>
              <w:keepNext w:val="0"/>
              <w:keepLines w:val="0"/>
              <w:widowControl/>
              <w:suppressLineNumbers w:val="0"/>
              <w:jc w:val="center"/>
              <w:textAlignment w:val="center"/>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100.00</w:t>
            </w:r>
          </w:p>
        </w:tc>
        <w:tc>
          <w:tcPr>
            <w:tcW w:w="1794" w:type="dxa"/>
            <w:vAlign w:val="center"/>
          </w:tcPr>
          <w:p>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rPr>
              <w:t>85.96</w:t>
            </w:r>
          </w:p>
        </w:tc>
        <w:tc>
          <w:tcPr>
            <w:tcW w:w="1794" w:type="dxa"/>
            <w:vAlign w:val="center"/>
          </w:tcPr>
          <w:p>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rPr>
              <w:t>85.96%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5" w:type="dxa"/>
            <w:vAlign w:val="center"/>
          </w:tcPr>
          <w:p>
            <w:pPr>
              <w:keepNext w:val="0"/>
              <w:keepLines w:val="0"/>
              <w:widowControl/>
              <w:suppressLineNumbers w:val="0"/>
              <w:jc w:val="center"/>
              <w:textAlignment w:val="center"/>
              <w:rPr>
                <w:rFonts w:hint="eastAsia" w:ascii="宋体" w:hAnsi="宋体" w:eastAsia="宋体" w:cs="宋体"/>
                <w:b w:val="0"/>
                <w:bCs/>
                <w:sz w:val="21"/>
                <w:szCs w:val="21"/>
                <w:highlight w:val="none"/>
              </w:rPr>
            </w:pPr>
            <w:r>
              <w:rPr>
                <w:rFonts w:hint="eastAsia" w:ascii="宋体" w:hAnsi="宋体" w:eastAsia="宋体" w:cs="宋体"/>
                <w:i w:val="0"/>
                <w:iCs w:val="0"/>
                <w:color w:val="000000"/>
                <w:kern w:val="0"/>
                <w:sz w:val="21"/>
                <w:szCs w:val="21"/>
                <w:highlight w:val="none"/>
                <w:u w:val="none"/>
                <w:lang w:val="en-US" w:eastAsia="zh-CN"/>
              </w:rPr>
              <w:t>一、预算编制情况</w:t>
            </w:r>
          </w:p>
        </w:tc>
        <w:tc>
          <w:tcPr>
            <w:tcW w:w="1794"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15.00</w:t>
            </w:r>
          </w:p>
        </w:tc>
        <w:tc>
          <w:tcPr>
            <w:tcW w:w="1794" w:type="dxa"/>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rPr>
              <w:t>11.00</w:t>
            </w:r>
          </w:p>
        </w:tc>
        <w:tc>
          <w:tcPr>
            <w:tcW w:w="1794" w:type="dxa"/>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rPr>
              <w:t>73.33</w:t>
            </w:r>
            <w:r>
              <w:rPr>
                <w:rFonts w:hint="eastAsia" w:ascii="宋体" w:hAnsi="宋体" w:eastAsia="宋体" w:cs="宋体"/>
                <w:i w:val="0"/>
                <w:iCs w:val="0"/>
                <w:color w:val="000000"/>
                <w:kern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575" w:type="dxa"/>
            <w:vAlign w:val="center"/>
          </w:tcPr>
          <w:p>
            <w:pPr>
              <w:keepNext w:val="0"/>
              <w:keepLines w:val="0"/>
              <w:widowControl/>
              <w:suppressLineNumbers w:val="0"/>
              <w:jc w:val="center"/>
              <w:textAlignment w:val="center"/>
              <w:rPr>
                <w:rFonts w:hint="eastAsia" w:ascii="宋体" w:hAnsi="宋体" w:eastAsia="宋体" w:cs="宋体"/>
                <w:b w:val="0"/>
                <w:bCs/>
                <w:sz w:val="21"/>
                <w:szCs w:val="21"/>
                <w:highlight w:val="none"/>
              </w:rPr>
            </w:pPr>
            <w:r>
              <w:rPr>
                <w:rFonts w:hint="eastAsia" w:ascii="宋体" w:hAnsi="宋体" w:eastAsia="宋体" w:cs="宋体"/>
                <w:i w:val="0"/>
                <w:iCs w:val="0"/>
                <w:color w:val="000000"/>
                <w:kern w:val="0"/>
                <w:sz w:val="21"/>
                <w:szCs w:val="21"/>
                <w:highlight w:val="none"/>
                <w:u w:val="none"/>
                <w:lang w:val="en-US" w:eastAsia="zh-CN"/>
              </w:rPr>
              <w:t>二、预算执行情况</w:t>
            </w:r>
          </w:p>
        </w:tc>
        <w:tc>
          <w:tcPr>
            <w:tcW w:w="1794"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35.00</w:t>
            </w:r>
          </w:p>
        </w:tc>
        <w:tc>
          <w:tcPr>
            <w:tcW w:w="1794" w:type="dxa"/>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rPr>
              <w:t>30.00</w:t>
            </w:r>
          </w:p>
        </w:tc>
        <w:tc>
          <w:tcPr>
            <w:tcW w:w="1794" w:type="dxa"/>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rPr>
              <w:t>85.71</w:t>
            </w:r>
            <w:r>
              <w:rPr>
                <w:rFonts w:hint="eastAsia" w:ascii="宋体" w:hAnsi="宋体" w:eastAsia="宋体" w:cs="宋体"/>
                <w:i w:val="0"/>
                <w:iCs w:val="0"/>
                <w:color w:val="000000"/>
                <w:kern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5" w:type="dxa"/>
            <w:vAlign w:val="center"/>
          </w:tcPr>
          <w:p>
            <w:pPr>
              <w:keepNext w:val="0"/>
              <w:keepLines w:val="0"/>
              <w:widowControl/>
              <w:suppressLineNumbers w:val="0"/>
              <w:jc w:val="center"/>
              <w:textAlignment w:val="center"/>
              <w:rPr>
                <w:rFonts w:hint="eastAsia" w:ascii="宋体" w:hAnsi="宋体" w:eastAsia="宋体" w:cs="宋体"/>
                <w:b w:val="0"/>
                <w:bCs/>
                <w:sz w:val="21"/>
                <w:szCs w:val="21"/>
                <w:highlight w:val="none"/>
              </w:rPr>
            </w:pPr>
            <w:r>
              <w:rPr>
                <w:rFonts w:hint="eastAsia" w:ascii="宋体" w:hAnsi="宋体" w:eastAsia="宋体" w:cs="宋体"/>
                <w:i w:val="0"/>
                <w:iCs w:val="0"/>
                <w:color w:val="000000"/>
                <w:kern w:val="0"/>
                <w:sz w:val="21"/>
                <w:szCs w:val="21"/>
                <w:highlight w:val="none"/>
                <w:u w:val="none"/>
                <w:lang w:val="en-US" w:eastAsia="zh-CN"/>
              </w:rPr>
              <w:t>三、资金使用效益</w:t>
            </w:r>
          </w:p>
        </w:tc>
        <w:tc>
          <w:tcPr>
            <w:tcW w:w="1794" w:type="dxa"/>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50.00</w:t>
            </w:r>
          </w:p>
        </w:tc>
        <w:tc>
          <w:tcPr>
            <w:tcW w:w="1794" w:type="dxa"/>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rPr>
              <w:t>44.96</w:t>
            </w:r>
          </w:p>
        </w:tc>
        <w:tc>
          <w:tcPr>
            <w:tcW w:w="1794" w:type="dxa"/>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rPr>
              <w:t>89.92</w:t>
            </w:r>
            <w:r>
              <w:rPr>
                <w:rFonts w:hint="eastAsia" w:ascii="宋体" w:hAnsi="宋体" w:eastAsia="宋体" w:cs="宋体"/>
                <w:i w:val="0"/>
                <w:iCs w:val="0"/>
                <w:color w:val="000000"/>
                <w:kern w:val="0"/>
                <w:sz w:val="21"/>
                <w:szCs w:val="21"/>
                <w:highlight w:val="none"/>
                <w:u w:val="none"/>
                <w:lang w:val="en-US" w:eastAsia="zh-CN"/>
              </w:rPr>
              <w:t>%</w:t>
            </w:r>
          </w:p>
        </w:tc>
      </w:tr>
    </w:tbl>
    <w:p>
      <w:pPr>
        <w:pStyle w:val="3"/>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sz w:val="32"/>
          <w:szCs w:val="32"/>
          <w:highlight w:val="none"/>
        </w:rPr>
      </w:pPr>
      <w:bookmarkStart w:id="109" w:name="_Toc15638"/>
      <w:bookmarkStart w:id="110" w:name="_Toc7364_WPSOffice_Level2"/>
      <w:bookmarkStart w:id="111" w:name="_Toc6713"/>
      <w:bookmarkStart w:id="112" w:name="_Toc22836"/>
      <w:bookmarkStart w:id="113" w:name="_Toc28324"/>
      <w:bookmarkStart w:id="114" w:name="_Toc24456_WPSOffice_Level2"/>
      <w:bookmarkStart w:id="115" w:name="_Toc2151"/>
      <w:bookmarkStart w:id="116" w:name="_Toc44169677"/>
      <w:bookmarkStart w:id="117" w:name="_Toc9190"/>
      <w:bookmarkStart w:id="118" w:name="_Toc21314"/>
      <w:bookmarkStart w:id="119" w:name="_Toc25951"/>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、主要绩效</w:t>
      </w:r>
      <w:bookmarkEnd w:id="109"/>
      <w:bookmarkEnd w:id="110"/>
      <w:bookmarkEnd w:id="111"/>
      <w:bookmarkEnd w:id="112"/>
      <w:bookmarkEnd w:id="113"/>
      <w:bookmarkEnd w:id="114"/>
      <w:bookmarkEnd w:id="115"/>
      <w:bookmarkEnd w:id="116"/>
      <w:bookmarkEnd w:id="117"/>
      <w:bookmarkEnd w:id="118"/>
      <w:bookmarkEnd w:id="119"/>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楷体_GB2312" w:hAnsi="楷体_GB2312" w:eastAsia="楷体_GB2312" w:cs="楷体_GB2312"/>
          <w:b w:val="0"/>
          <w:bCs/>
          <w:highlight w:val="none"/>
          <w:lang w:val="en-US" w:eastAsia="zh-CN"/>
        </w:rPr>
      </w:pPr>
      <w:bookmarkStart w:id="120" w:name="_Toc4900"/>
      <w:bookmarkStart w:id="121" w:name="_Toc27407"/>
      <w:bookmarkStart w:id="122" w:name="_Toc4401"/>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一）</w:t>
      </w:r>
      <w:bookmarkEnd w:id="120"/>
      <w:r>
        <w:rPr>
          <w:rFonts w:hint="eastAsia" w:ascii="楷体_GB2312" w:hAnsi="楷体_GB2312" w:eastAsia="楷体_GB2312" w:cs="楷体_GB2312"/>
          <w:b w:val="0"/>
          <w:bCs/>
          <w:highlight w:val="none"/>
          <w:lang w:val="en-US" w:eastAsia="zh-CN"/>
        </w:rPr>
        <w:t>落实</w:t>
      </w:r>
      <w:r>
        <w:rPr>
          <w:rFonts w:hint="eastAsia" w:ascii="楷体_GB2312" w:hAnsi="楷体_GB2312" w:eastAsia="楷体_GB2312" w:cs="楷体_GB2312"/>
          <w:b w:val="0"/>
          <w:bCs/>
          <w:highlight w:val="none"/>
        </w:rPr>
        <w:t>“双变”改革</w:t>
      </w:r>
      <w:bookmarkEnd w:id="121"/>
      <w:bookmarkEnd w:id="122"/>
      <w:r>
        <w:rPr>
          <w:rFonts w:hint="eastAsia" w:ascii="楷体_GB2312" w:hAnsi="楷体_GB2312" w:eastAsia="楷体_GB2312" w:cs="楷体_GB2312"/>
          <w:b w:val="0"/>
          <w:bCs/>
          <w:highlight w:val="none"/>
          <w:lang w:eastAsia="zh-CN"/>
        </w:rPr>
        <w:t>，促进产城融合发展</w:t>
      </w:r>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bookmarkStart w:id="123" w:name="_Toc1660"/>
      <w:r>
        <w:rPr>
          <w:rFonts w:hint="eastAsia" w:ascii="仿宋_GB2312" w:hAnsi="仿宋_GB2312" w:eastAsia="仿宋_GB2312" w:cs="仿宋_GB2312"/>
          <w:sz w:val="32"/>
          <w:szCs w:val="32"/>
          <w:highlight w:val="none"/>
          <w:lang w:val="en-US" w:eastAsia="zh-CN"/>
        </w:rPr>
        <w:t>积极谋划实施“厂区变园区、产区变城区”改革，加快推动韶钢、韶冶从传统的生产型厂区向现代化园区转型，一体推进新型工业化、新型城镇化，促进产城融合发展，提高资源利用效率。韶钢、韶冶、东阳光、凡口矿、丹冶等前两批“双变”试点企业共谋划项目84个，总投资165.8亿元，可盘活利用低效土地约1.2万亩，已盘活利用2564亩。</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楷体_GB2312" w:hAnsi="楷体_GB2312" w:eastAsia="楷体_GB2312" w:cs="楷体_GB2312"/>
          <w:b w:val="0"/>
          <w:bCs/>
          <w:highlight w:val="none"/>
          <w:lang w:val="en-US" w:eastAsia="zh-CN"/>
        </w:rPr>
      </w:pPr>
      <w:bookmarkStart w:id="124" w:name="_Toc10573"/>
      <w:bookmarkStart w:id="125" w:name="_Toc12046"/>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二）</w:t>
      </w:r>
      <w:bookmarkEnd w:id="123"/>
      <w:r>
        <w:rPr>
          <w:rFonts w:hint="eastAsia" w:ascii="楷体_GB2312" w:hAnsi="楷体_GB2312" w:eastAsia="楷体_GB2312" w:cs="楷体_GB2312"/>
          <w:b w:val="0"/>
          <w:bCs/>
          <w:highlight w:val="none"/>
          <w:lang w:val="en-US" w:eastAsia="zh-CN"/>
        </w:rPr>
        <w:t>加大重点项目投资，助推全市经济增长</w:t>
      </w:r>
      <w:bookmarkEnd w:id="124"/>
      <w:bookmarkEnd w:id="125"/>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bookmarkStart w:id="126" w:name="_Toc30173"/>
      <w:r>
        <w:rPr>
          <w:rFonts w:hint="default"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lang w:val="en-US" w:eastAsia="zh-CN"/>
        </w:rPr>
        <w:t>，市发改局完成</w:t>
      </w:r>
      <w:r>
        <w:rPr>
          <w:rFonts w:hint="default" w:ascii="仿宋_GB2312" w:hAnsi="仿宋_GB2312" w:eastAsia="仿宋_GB2312" w:cs="仿宋_GB2312"/>
          <w:sz w:val="32"/>
          <w:szCs w:val="32"/>
          <w:highlight w:val="none"/>
          <w:lang w:val="en-US" w:eastAsia="zh-CN"/>
        </w:rPr>
        <w:t>重点项目投资366.49亿元，为年度计划的111.34%</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固定资产投资增长2.2%</w:t>
      </w:r>
      <w:r>
        <w:rPr>
          <w:rFonts w:hint="eastAsia" w:ascii="仿宋_GB2312" w:hAnsi="仿宋_GB2312" w:eastAsia="仿宋_GB2312" w:cs="仿宋_GB2312"/>
          <w:sz w:val="32"/>
          <w:szCs w:val="32"/>
          <w:highlight w:val="none"/>
          <w:lang w:val="en-US" w:eastAsia="zh-CN"/>
        </w:rPr>
        <w:t>，并</w:t>
      </w:r>
      <w:r>
        <w:rPr>
          <w:rFonts w:hint="default" w:ascii="仿宋_GB2312" w:hAnsi="仿宋_GB2312" w:eastAsia="仿宋_GB2312" w:cs="仿宋_GB2312"/>
          <w:sz w:val="32"/>
          <w:szCs w:val="32"/>
          <w:highlight w:val="none"/>
          <w:lang w:val="en-US" w:eastAsia="zh-CN"/>
        </w:rPr>
        <w:t>在市委财经委的统一领导下，开展经济运行分析研判</w:t>
      </w:r>
      <w:r>
        <w:rPr>
          <w:rFonts w:hint="eastAsia" w:ascii="仿宋_GB2312" w:hAnsi="仿宋_GB2312" w:eastAsia="仿宋_GB2312" w:cs="仿宋_GB2312"/>
          <w:sz w:val="32"/>
          <w:szCs w:val="32"/>
          <w:highlight w:val="none"/>
          <w:lang w:val="en-US" w:eastAsia="zh-CN"/>
        </w:rPr>
        <w:t>，通过举办新能源产业对接大会、碳达峰碳中和丹霞论坛，成功签署创建科技支撑碳达峰碳中和先行示范区等9项协议，推动8个新能源产业项目落地建设，总投资额达600亿元。</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楷体_GB2312" w:hAnsi="楷体_GB2312" w:eastAsia="楷体_GB2312" w:cs="楷体_GB2312"/>
          <w:b w:val="0"/>
          <w:bCs/>
          <w:highlight w:val="none"/>
          <w:lang w:val="en-US" w:eastAsia="zh-CN"/>
        </w:rPr>
      </w:pPr>
      <w:bookmarkStart w:id="127" w:name="_Toc7777"/>
      <w:bookmarkStart w:id="128" w:name="_Toc4446"/>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三）加强节能预警调控，加快城市转型发展</w:t>
      </w:r>
      <w:bookmarkEnd w:id="126"/>
      <w:bookmarkEnd w:id="127"/>
      <w:bookmarkEnd w:id="128"/>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落实中央、省关于能耗双控的工作部署，组织制定了《2021年韶关市节能预警调控方案》《韶关市2021年有序用电实施方案》等实施方案，积极应对电力供应短缺问题，遵循“有保有压”原则开展有序用电，全力确保居民、农业、重要公用事业和公益性服务用电，顺利完成省下达的全年能耗强度下降3.2%的任务。另一方面，通过争取2021年度生态补偿资金、资源枯竭城市一般转移支付资金及资源型地区转型发展中央预算内投资，共计21.15亿元，为全面推进韶关市资源枯竭城市转型发展工作提供了坚实的资金保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640" w:firstLineChars="200"/>
        <w:textAlignment w:val="auto"/>
        <w:rPr>
          <w:rFonts w:hint="eastAsia" w:ascii="黑体" w:hAnsi="黑体" w:eastAsia="黑体" w:cs="黑体"/>
          <w:b w:val="0"/>
          <w:bCs/>
          <w:sz w:val="32"/>
          <w:szCs w:val="32"/>
          <w:highlight w:val="none"/>
        </w:rPr>
      </w:pPr>
      <w:bookmarkStart w:id="129" w:name="_Toc6392_WPSOffice_Level2"/>
      <w:bookmarkStart w:id="130" w:name="_Toc14138"/>
      <w:bookmarkStart w:id="131" w:name="_Toc3500"/>
      <w:bookmarkStart w:id="132" w:name="_Toc10652"/>
      <w:bookmarkStart w:id="133" w:name="_Toc5695_WPSOffice_Level2"/>
      <w:bookmarkStart w:id="134" w:name="_Toc18683"/>
      <w:bookmarkStart w:id="135" w:name="_Toc17688"/>
      <w:bookmarkStart w:id="136" w:name="_Toc44169681"/>
      <w:bookmarkStart w:id="137" w:name="_Toc4495"/>
      <w:bookmarkStart w:id="138" w:name="_Toc22094"/>
      <w:bookmarkStart w:id="139" w:name="_Toc9702"/>
      <w:r>
        <w:rPr>
          <w:rFonts w:hint="eastAsia" w:ascii="黑体" w:hAnsi="黑体" w:eastAsia="黑体" w:cs="黑体"/>
          <w:b w:val="0"/>
          <w:bCs/>
          <w:sz w:val="32"/>
          <w:szCs w:val="32"/>
          <w:highlight w:val="none"/>
          <w:lang w:val="en-US" w:eastAsia="zh-CN"/>
        </w:rPr>
        <w:t>五、</w:t>
      </w:r>
      <w:r>
        <w:rPr>
          <w:rFonts w:hint="eastAsia" w:ascii="黑体" w:hAnsi="黑体" w:eastAsia="黑体" w:cs="黑体"/>
          <w:b w:val="0"/>
          <w:bCs/>
          <w:sz w:val="32"/>
          <w:szCs w:val="32"/>
          <w:highlight w:val="none"/>
        </w:rPr>
        <w:t>存在问题</w:t>
      </w:r>
      <w:bookmarkEnd w:id="129"/>
      <w:bookmarkEnd w:id="130"/>
      <w:bookmarkEnd w:id="131"/>
      <w:bookmarkEnd w:id="132"/>
      <w:bookmarkEnd w:id="133"/>
      <w:bookmarkEnd w:id="134"/>
      <w:bookmarkEnd w:id="135"/>
      <w:bookmarkEnd w:id="136"/>
      <w:bookmarkEnd w:id="137"/>
      <w:bookmarkEnd w:id="138"/>
      <w:bookmarkEnd w:id="139"/>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default" w:ascii="楷体_GB2312" w:hAnsi="楷体_GB2312" w:eastAsia="楷体_GB2312" w:cs="楷体_GB2312"/>
          <w:b w:val="0"/>
          <w:bCs/>
          <w:highlight w:val="none"/>
          <w:lang w:val="en-US" w:eastAsia="zh-CN"/>
        </w:rPr>
      </w:pPr>
      <w:bookmarkStart w:id="140" w:name="_Toc2577"/>
      <w:bookmarkStart w:id="141" w:name="_Toc8314"/>
      <w:bookmarkStart w:id="142" w:name="_Toc2604"/>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一</w:t>
      </w:r>
      <w:r>
        <w:rPr>
          <w:rFonts w:hint="eastAsia" w:ascii="楷体_GB2312" w:hAnsi="楷体_GB2312" w:eastAsia="楷体_GB2312" w:cs="楷体_GB2312"/>
          <w:b w:val="0"/>
          <w:bCs/>
          <w:highlight w:val="none"/>
          <w:lang w:eastAsia="zh-CN"/>
        </w:rPr>
        <w:t>）政府采购计划前瞻性不足，</w:t>
      </w:r>
      <w:r>
        <w:rPr>
          <w:rFonts w:hint="eastAsia" w:ascii="楷体_GB2312" w:hAnsi="楷体_GB2312" w:eastAsia="楷体_GB2312" w:cs="楷体_GB2312"/>
          <w:b w:val="0"/>
          <w:bCs/>
          <w:highlight w:val="none"/>
          <w:lang w:val="en-US" w:eastAsia="zh-CN"/>
        </w:rPr>
        <w:t>预算编制</w:t>
      </w:r>
      <w:bookmarkEnd w:id="140"/>
      <w:bookmarkEnd w:id="141"/>
      <w:bookmarkEnd w:id="142"/>
      <w:r>
        <w:rPr>
          <w:rFonts w:hint="eastAsia" w:ascii="楷体_GB2312" w:hAnsi="楷体_GB2312" w:eastAsia="楷体_GB2312" w:cs="楷体_GB2312"/>
          <w:b w:val="0"/>
          <w:bCs/>
          <w:highlight w:val="none"/>
          <w:lang w:val="en-US" w:eastAsia="zh-CN"/>
        </w:rPr>
        <w:t>合理性有待提高。</w:t>
      </w:r>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预算调整率较高，2021年市发改局年初预算数为8,209.17万元，调整预算数为9,679.82万元，预算调整1,470.65万元，预算调整率为17.91%。二是政府采购计划前瞻性不足，年初政府采购计划关于审计、法律等服务的采购计划金额合计79.5万元，年末实际支出为303.64万元，超出计划金额224.14万元。</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楷体_GB2312" w:hAnsi="楷体_GB2312" w:eastAsia="楷体_GB2312" w:cs="楷体_GB2312"/>
          <w:b w:val="0"/>
          <w:bCs/>
          <w:highlight w:val="none"/>
          <w:lang w:val="en-US" w:eastAsia="zh-CN"/>
        </w:rPr>
      </w:pPr>
      <w:bookmarkStart w:id="143" w:name="_Toc17263"/>
      <w:bookmarkStart w:id="144" w:name="_Toc10847"/>
      <w:r>
        <w:rPr>
          <w:rFonts w:hint="eastAsia" w:ascii="楷体_GB2312" w:hAnsi="楷体_GB2312" w:eastAsia="楷体_GB2312" w:cs="楷体_GB2312"/>
          <w:b w:val="0"/>
          <w:bCs/>
          <w:highlight w:val="none"/>
          <w:lang w:val="en-US" w:eastAsia="zh-CN"/>
        </w:rPr>
        <w:t>（二）代储点粮权归属不清，储备粮管理机制有待完善</w:t>
      </w:r>
      <w:bookmarkEnd w:id="143"/>
      <w:bookmarkEnd w:id="144"/>
      <w:r>
        <w:rPr>
          <w:rFonts w:hint="eastAsia" w:ascii="楷体_GB2312" w:hAnsi="楷体_GB2312" w:eastAsia="楷体_GB2312" w:cs="楷体_GB2312"/>
          <w:b w:val="0"/>
          <w:bCs/>
          <w:highlight w:val="none"/>
          <w:lang w:val="en-US" w:eastAsia="zh-CN"/>
        </w:rPr>
        <w:t>。</w:t>
      </w:r>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代储点粮权归属不清晰，根据现场评价了解及对照服务合同相关条款，在应急状态下，韶关市政府对杨鹏米业代储的600吨成品粮（大米）有绝对优先购买权，但没有明确粮权的归属，若将此指标如纳入市级储备粮总量，则存在较大不确定性风险。二是粮食储存规范性不足。代储点杨鹏米业不具备安全储粮的基本条件，无粮情检测的基本工具和测温测湿设备，无通风降温设施，无储粮防治虫、霉、鼠、雀等措施及用具，无专业技术人员，同时，存放成品粮的仓库同时是商业门市部，为两层简易混凝土框架结构的砖房，粮堆严重超高且紧靠墙壁，存在较大的安全隐患；市级粮仓方面，熏蒸作业管理不规范，资料缺少原始记录，如每次熏蒸的基本情况，包括：粮情、温湿度、虫害、全部参与人员（签名）、起止时间、施药后磷化氢浓度检测等内容，在巡查仓库时发现，B2仓库土木结构受损，发生漏水和墙壁渗水，均未及时维修。</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default" w:ascii="楷体_GB2312" w:hAnsi="楷体_GB2312" w:eastAsia="楷体_GB2312" w:cs="楷体_GB2312"/>
          <w:b w:val="0"/>
          <w:bCs/>
          <w:highlight w:val="none"/>
          <w:lang w:val="en-US" w:eastAsia="zh-CN"/>
        </w:rPr>
      </w:pPr>
      <w:bookmarkStart w:id="145" w:name="_Toc22690"/>
      <w:bookmarkStart w:id="146" w:name="_Toc16979"/>
      <w:r>
        <w:rPr>
          <w:rFonts w:hint="eastAsia" w:ascii="楷体_GB2312" w:hAnsi="楷体_GB2312" w:eastAsia="楷体_GB2312" w:cs="楷体_GB2312"/>
          <w:b w:val="0"/>
          <w:bCs/>
          <w:highlight w:val="none"/>
          <w:lang w:val="en-US" w:eastAsia="zh-CN"/>
        </w:rPr>
        <w:t>（三）</w:t>
      </w:r>
      <w:bookmarkEnd w:id="145"/>
      <w:bookmarkEnd w:id="146"/>
      <w:r>
        <w:rPr>
          <w:rFonts w:hint="eastAsia" w:ascii="楷体_GB2312" w:hAnsi="楷体_GB2312" w:eastAsia="楷体_GB2312" w:cs="楷体_GB2312"/>
          <w:b w:val="0"/>
          <w:bCs/>
          <w:highlight w:val="none"/>
          <w:lang w:val="en-US" w:eastAsia="zh-CN"/>
        </w:rPr>
        <w:t>预算绩效管理体系有待完善，项目绩效管理能力有待提高。</w:t>
      </w:r>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被评价单位预算绩效管理意识不足，有待加强，主要体现在：一是绩效</w:t>
      </w:r>
      <w:r>
        <w:rPr>
          <w:rFonts w:hint="eastAsia" w:ascii="仿宋_GB2312" w:hAnsi="仿宋_GB2312" w:eastAsia="仿宋_GB2312" w:cs="仿宋_GB2312"/>
          <w:sz w:val="32"/>
          <w:szCs w:val="32"/>
          <w:highlight w:val="none"/>
          <w:lang w:val="en-US" w:eastAsia="zh-CN"/>
        </w:rPr>
        <w:t>目标</w:t>
      </w:r>
      <w:r>
        <w:rPr>
          <w:rFonts w:hint="default" w:ascii="仿宋_GB2312" w:hAnsi="仿宋_GB2312" w:eastAsia="仿宋_GB2312" w:cs="仿宋_GB2312"/>
          <w:sz w:val="32"/>
          <w:szCs w:val="32"/>
          <w:highlight w:val="none"/>
          <w:lang w:val="en-US" w:eastAsia="zh-CN"/>
        </w:rPr>
        <w:t>设置完整性、合理性有待提高</w:t>
      </w:r>
      <w:r>
        <w:rPr>
          <w:rFonts w:hint="eastAsia" w:ascii="仿宋_GB2312" w:hAnsi="仿宋_GB2312" w:eastAsia="仿宋_GB2312" w:cs="仿宋_GB2312"/>
          <w:sz w:val="32"/>
          <w:szCs w:val="32"/>
          <w:highlight w:val="none"/>
          <w:lang w:val="en-US" w:eastAsia="zh-CN"/>
        </w:rPr>
        <w:t>，部门整体支出绩效目标中，仅对固定资产投资设置年度目标，其余重点工作如编制实施“十四五”规划体系、推进“厂区变园区、产区变城区”改革试点、推进全市营商环境改革等均未体现</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二是未建立预算绩效管理制度，在落实预算绩效管理的要求上有待加强。</w:t>
      </w:r>
    </w:p>
    <w:p>
      <w:pPr>
        <w:pStyle w:val="3"/>
        <w:keepNext/>
        <w:keepLines/>
        <w:numPr>
          <w:ilvl w:val="0"/>
          <w:numId w:val="0"/>
        </w:numPr>
        <w:spacing w:before="0" w:after="0" w:line="360" w:lineRule="auto"/>
        <w:ind w:firstLine="640" w:firstLineChars="200"/>
        <w:rPr>
          <w:rFonts w:hint="eastAsia" w:ascii="黑体" w:hAnsi="黑体" w:eastAsia="黑体" w:cs="黑体"/>
          <w:b w:val="0"/>
          <w:bCs/>
          <w:sz w:val="32"/>
          <w:szCs w:val="32"/>
          <w:highlight w:val="none"/>
        </w:rPr>
      </w:pPr>
      <w:bookmarkStart w:id="147" w:name="_Toc2002"/>
      <w:bookmarkStart w:id="148" w:name="_Toc9793_WPSOffice_Level2"/>
      <w:bookmarkStart w:id="149" w:name="_Toc7209"/>
      <w:bookmarkStart w:id="150" w:name="_Toc10031"/>
      <w:bookmarkStart w:id="151" w:name="_Toc44169685"/>
      <w:bookmarkStart w:id="152" w:name="_Toc23016"/>
      <w:bookmarkStart w:id="153" w:name="_Toc10689"/>
      <w:bookmarkStart w:id="154" w:name="_Toc25521"/>
      <w:bookmarkStart w:id="155" w:name="_Toc13523"/>
      <w:bookmarkStart w:id="156" w:name="_Toc24216_WPSOffice_Level2"/>
      <w:bookmarkStart w:id="157" w:name="_Toc20383"/>
      <w:bookmarkStart w:id="158" w:name="_Toc11264"/>
      <w:bookmarkStart w:id="159" w:name="_Toc6815"/>
      <w:bookmarkStart w:id="160" w:name="_Toc13238"/>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rPr>
        <w:t>相关建议</w:t>
      </w:r>
      <w:bookmarkEnd w:id="147"/>
      <w:bookmarkEnd w:id="148"/>
      <w:bookmarkEnd w:id="149"/>
      <w:bookmarkEnd w:id="150"/>
      <w:bookmarkEnd w:id="151"/>
      <w:bookmarkEnd w:id="152"/>
      <w:bookmarkEnd w:id="153"/>
      <w:bookmarkEnd w:id="154"/>
      <w:bookmarkEnd w:id="155"/>
      <w:bookmarkEnd w:id="156"/>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楷体_GB2312" w:hAnsi="楷体_GB2312" w:eastAsia="楷体_GB2312" w:cs="楷体_GB2312"/>
          <w:b w:val="0"/>
          <w:bCs/>
          <w:highlight w:val="none"/>
          <w:lang w:eastAsia="zh-CN"/>
        </w:rPr>
      </w:pPr>
      <w:bookmarkStart w:id="161" w:name="_Toc21486"/>
      <w:bookmarkStart w:id="162" w:name="_Toc8721"/>
      <w:bookmarkStart w:id="163" w:name="_Toc22234"/>
      <w:bookmarkStart w:id="164" w:name="_Toc22008"/>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一</w:t>
      </w:r>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加强</w:t>
      </w:r>
      <w:r>
        <w:rPr>
          <w:rFonts w:hint="eastAsia" w:ascii="楷体_GB2312" w:hAnsi="楷体_GB2312" w:eastAsia="楷体_GB2312" w:cs="楷体_GB2312"/>
          <w:b w:val="0"/>
          <w:bCs/>
          <w:highlight w:val="none"/>
          <w:lang w:eastAsia="zh-CN"/>
        </w:rPr>
        <w:t>项目预算管理，提高预算编制准确性</w:t>
      </w:r>
      <w:bookmarkEnd w:id="161"/>
      <w:bookmarkEnd w:id="162"/>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一是降低预算调整率，将一些常态化的项目支出，根据往年项目实施情况并结合下一年度的工作计划，合理确定工作量和相应的资金量，争取纳入年初预算。二是加强项目预算管理，在预算编制阶段，充分考虑次年工作开展过程中的特殊情况及可能遇到的变动因素，对于不必要实施的项目或者是上年度执行率较低的项目及时做出调整，合理安排年初预算。三是严格控制公用经费支出，在年初编制预算时，从严从紧编制预算，严格控制出国费、接待费、公务用车购置和维护费等“三公”经费支出，坚决取消低效无效支出，降低行政运行成本。</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default" w:ascii="楷体_GB2312" w:hAnsi="楷体_GB2312" w:eastAsia="楷体_GB2312" w:cs="楷体_GB2312"/>
          <w:b w:val="0"/>
          <w:bCs/>
          <w:highlight w:val="none"/>
          <w:lang w:val="en-US" w:eastAsia="zh-CN"/>
        </w:rPr>
      </w:pPr>
      <w:bookmarkStart w:id="165" w:name="_Toc5678"/>
      <w:bookmarkStart w:id="166" w:name="_Toc6215"/>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二</w:t>
      </w:r>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完善储备粮管理体系，提高储粮管理水平</w:t>
      </w:r>
      <w:bookmarkEnd w:id="165"/>
      <w:bookmarkEnd w:id="166"/>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一是探索新型粮食储备合作机制，提高轮换补助金额，同时允许代储企业采取其他多种方式经营，根据市场需求调整储备粮食不同品种的占比。二是积极打造储粮信息化管理平台，加强储备粮轮换数据统计准确度，进一步提升储粮监管效能。三是加强储粮点巡查力度，建立科学的奖惩机制，将不合格的储粮情况及时反馈责任单位，并督促其及时整改，确保粮食储存安全。</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楷体_GB2312" w:hAnsi="楷体_GB2312" w:eastAsia="楷体_GB2312" w:cs="楷体_GB2312"/>
          <w:b w:val="0"/>
          <w:bCs/>
          <w:highlight w:val="none"/>
          <w:lang w:eastAsia="zh-CN"/>
        </w:rPr>
      </w:pPr>
      <w:bookmarkStart w:id="167" w:name="_Toc13639"/>
      <w:bookmarkStart w:id="168" w:name="_Toc246"/>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三</w:t>
      </w:r>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建立</w:t>
      </w:r>
      <w:r>
        <w:rPr>
          <w:rFonts w:hint="eastAsia" w:ascii="楷体_GB2312" w:hAnsi="楷体_GB2312" w:eastAsia="楷体_GB2312" w:cs="楷体_GB2312"/>
          <w:b w:val="0"/>
          <w:bCs/>
          <w:highlight w:val="none"/>
          <w:lang w:eastAsia="zh-CN"/>
        </w:rPr>
        <w:t>预算绩效管理制度，提高项目绩效管理能力</w:t>
      </w:r>
      <w:bookmarkEnd w:id="167"/>
      <w:bookmarkEnd w:id="168"/>
    </w:p>
    <w:p>
      <w:pPr>
        <w:kinsoku w:val="0"/>
        <w:overflowPunct w:val="0"/>
        <w:autoSpaceDE w:val="0"/>
        <w:autoSpaceDN w:val="0"/>
        <w:spacing w:line="360" w:lineRule="auto"/>
        <w:ind w:firstLine="640" w:firstLineChars="200"/>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rPr>
        <w:t>一是结合</w:t>
      </w:r>
      <w:r>
        <w:rPr>
          <w:rFonts w:hint="eastAsia" w:ascii="仿宋_GB2312" w:hAnsi="仿宋_GB2312" w:eastAsia="仿宋_GB2312" w:cs="仿宋_GB2312"/>
          <w:bCs w:val="0"/>
          <w:sz w:val="32"/>
          <w:szCs w:val="32"/>
          <w:highlight w:val="none"/>
          <w:lang w:val="en-US" w:eastAsia="zh-CN"/>
        </w:rPr>
        <w:t>部门</w:t>
      </w:r>
      <w:r>
        <w:rPr>
          <w:rFonts w:hint="eastAsia" w:ascii="仿宋_GB2312" w:hAnsi="仿宋_GB2312" w:eastAsia="仿宋_GB2312" w:cs="仿宋_GB2312"/>
          <w:bCs w:val="0"/>
          <w:sz w:val="32"/>
          <w:szCs w:val="32"/>
          <w:highlight w:val="none"/>
        </w:rPr>
        <w:t>自身实际，建立完善预算绩效管理制度，明确预算绩效管理指标和标准，细化、量化预算绩效管理指标</w:t>
      </w:r>
      <w:r>
        <w:rPr>
          <w:rFonts w:hint="eastAsia" w:ascii="仿宋_GB2312" w:hAnsi="仿宋_GB2312" w:eastAsia="仿宋_GB2312" w:cs="仿宋_GB2312"/>
          <w:bCs w:val="0"/>
          <w:sz w:val="32"/>
          <w:szCs w:val="32"/>
          <w:highlight w:val="none"/>
          <w:lang w:eastAsia="zh-CN"/>
        </w:rPr>
        <w:t>，合理设定项目绩效目标，进一步提高绩效指标编制的完整性、合理性和可衡量性。建议在编报项目预算前，形成项目预算绩效目标编审指南，明确绩效目标、绩效指标的编制要点、目标值如何确定。</w:t>
      </w:r>
      <w:r>
        <w:rPr>
          <w:rFonts w:hint="eastAsia" w:ascii="仿宋_GB2312" w:hAnsi="仿宋_GB2312" w:eastAsia="仿宋_GB2312" w:cs="仿宋_GB2312"/>
          <w:bCs w:val="0"/>
          <w:sz w:val="32"/>
          <w:szCs w:val="32"/>
          <w:highlight w:val="none"/>
        </w:rPr>
        <w:t>二是加强绩效管理培训，强化绩效管理意识。通过预算编制布置培训会、组建工作交流群、第三方中介一对一现场辅导培训等多种形式，加强对各</w:t>
      </w:r>
      <w:r>
        <w:rPr>
          <w:rFonts w:hint="eastAsia" w:ascii="仿宋_GB2312" w:hAnsi="仿宋_GB2312" w:eastAsia="仿宋_GB2312" w:cs="仿宋_GB2312"/>
          <w:bCs w:val="0"/>
          <w:sz w:val="32"/>
          <w:szCs w:val="32"/>
          <w:highlight w:val="none"/>
          <w:lang w:val="en-US" w:eastAsia="zh-CN"/>
        </w:rPr>
        <w:t>项目</w:t>
      </w:r>
      <w:r>
        <w:rPr>
          <w:rFonts w:hint="eastAsia" w:ascii="仿宋_GB2312" w:hAnsi="仿宋_GB2312" w:eastAsia="仿宋_GB2312" w:cs="仿宋_GB2312"/>
          <w:bCs w:val="0"/>
          <w:sz w:val="32"/>
          <w:szCs w:val="32"/>
          <w:highlight w:val="none"/>
        </w:rPr>
        <w:t>经办人的培训，提升各</w:t>
      </w:r>
      <w:r>
        <w:rPr>
          <w:rFonts w:hint="eastAsia" w:ascii="仿宋_GB2312" w:hAnsi="仿宋_GB2312" w:eastAsia="仿宋_GB2312" w:cs="仿宋_GB2312"/>
          <w:bCs w:val="0"/>
          <w:sz w:val="32"/>
          <w:szCs w:val="32"/>
          <w:highlight w:val="none"/>
          <w:lang w:val="en-US" w:eastAsia="zh-CN"/>
        </w:rPr>
        <w:t>项目</w:t>
      </w:r>
      <w:r>
        <w:rPr>
          <w:rFonts w:hint="eastAsia" w:ascii="仿宋_GB2312" w:hAnsi="仿宋_GB2312" w:eastAsia="仿宋_GB2312" w:cs="仿宋_GB2312"/>
          <w:bCs w:val="0"/>
          <w:sz w:val="32"/>
          <w:szCs w:val="32"/>
          <w:highlight w:val="none"/>
        </w:rPr>
        <w:t>经办人绩效意识</w:t>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lang w:val="en-US" w:eastAsia="zh-CN"/>
        </w:rPr>
        <w:t>提高项目绩效自评质量</w:t>
      </w:r>
      <w:r>
        <w:rPr>
          <w:rFonts w:hint="eastAsia" w:ascii="仿宋_GB2312" w:hAnsi="仿宋_GB2312" w:eastAsia="仿宋_GB2312" w:cs="仿宋_GB2312"/>
          <w:bCs w:val="0"/>
          <w:sz w:val="32"/>
          <w:szCs w:val="32"/>
          <w:highlight w:val="none"/>
        </w:rPr>
        <w:t>。三是</w:t>
      </w:r>
      <w:r>
        <w:rPr>
          <w:rFonts w:hint="eastAsia" w:ascii="仿宋_GB2312" w:hAnsi="仿宋_GB2312" w:eastAsia="仿宋_GB2312" w:cs="仿宋_GB2312"/>
          <w:bCs w:val="0"/>
          <w:sz w:val="32"/>
          <w:szCs w:val="32"/>
          <w:highlight w:val="none"/>
          <w:lang w:val="en-US" w:eastAsia="zh-CN"/>
        </w:rPr>
        <w:t>强化预算绩效评价结果应用，建立规范、高效的评价结果反馈机制，将绩效目标设置作为预算安排及工作计划编制的前置条件，将评价结果与项目预算资金安排挂钩，使预算绩效管理实现全过程的有效循环。</w:t>
      </w:r>
    </w:p>
    <w:p>
      <w:pPr>
        <w:rPr>
          <w:rFonts w:hint="eastAsia"/>
          <w:lang w:eastAsia="zh-CN"/>
        </w:rPr>
      </w:pPr>
    </w:p>
    <w:p>
      <w:pPr>
        <w:pStyle w:val="7"/>
        <w:rPr>
          <w:rFonts w:hint="eastAsia"/>
          <w:lang w:eastAsia="zh-CN"/>
        </w:rPr>
      </w:pPr>
    </w:p>
    <w:bookmarkEnd w:id="157"/>
    <w:bookmarkEnd w:id="158"/>
    <w:bookmarkEnd w:id="159"/>
    <w:bookmarkEnd w:id="160"/>
    <w:bookmarkEnd w:id="163"/>
    <w:bookmarkEnd w:id="164"/>
    <w:p>
      <w:pPr>
        <w:keepNext/>
        <w:keepLines/>
        <w:pageBreakBefore w:val="0"/>
        <w:widowControl w:val="0"/>
        <w:numPr>
          <w:ilvl w:val="0"/>
          <w:numId w:val="0"/>
        </w:numPr>
        <w:kinsoku/>
        <w:wordWrap/>
        <w:overflowPunct/>
        <w:topLinePunct w:val="0"/>
        <w:autoSpaceDE/>
        <w:autoSpaceDN/>
        <w:bidi w:val="0"/>
        <w:adjustRightInd/>
        <w:snapToGrid/>
        <w:spacing w:before="326" w:beforeLines="100" w:after="0" w:line="360" w:lineRule="auto"/>
        <w:ind w:left="1598" w:leftChars="304" w:hanging="960" w:hangingChars="3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.韶关市发展和改革局2021年部门整体支出绩效评价指标评分表</w:t>
      </w:r>
    </w:p>
    <w:p>
      <w:pPr>
        <w:pStyle w:val="22"/>
        <w:ind w:left="1596" w:leftChars="760" w:firstLine="0" w:firstLineChars="0"/>
        <w:rPr>
          <w:rFonts w:hint="eastAsia" w:ascii="仿宋_GB2312" w:hAnsi="仿宋_GB2312" w:eastAsia="仿宋_GB2312" w:cs="仿宋_GB2312"/>
          <w:sz w:val="32"/>
          <w:szCs w:val="32"/>
          <w:lang w:val="en-US" w:eastAsia="zh-CN"/>
        </w:rPr>
        <w:sectPr>
          <w:footerReference r:id="rId5" w:type="default"/>
          <w:pgSz w:w="11906" w:h="16838"/>
          <w:pgMar w:top="1440" w:right="1417" w:bottom="1440" w:left="1531" w:header="851" w:footer="454" w:gutter="0"/>
          <w:pgBorders>
            <w:top w:val="none" w:sz="0" w:space="0"/>
            <w:left w:val="none" w:sz="0" w:space="0"/>
            <w:bottom w:val="none" w:sz="0" w:space="0"/>
            <w:right w:val="none" w:sz="0" w:space="0"/>
          </w:pgBorders>
          <w:pgNumType w:fmt="numberInDash" w:start="1"/>
          <w:cols w:space="0" w:num="1"/>
          <w:rtlGutter w:val="0"/>
          <w:docGrid w:type="lines" w:linePitch="325" w:charSpace="0"/>
        </w:sectPr>
      </w:pPr>
      <w:r>
        <w:rPr>
          <w:rFonts w:hint="eastAsia" w:ascii="仿宋_GB2312" w:hAnsi="仿宋_GB2312" w:eastAsia="仿宋_GB2312" w:cs="仿宋_GB2312"/>
          <w:sz w:val="32"/>
          <w:szCs w:val="32"/>
          <w:highlight w:val="none"/>
          <w:lang w:val="en-US" w:eastAsia="zh-CN"/>
        </w:rPr>
        <w:t>2.</w:t>
      </w:r>
      <w:r>
        <w:rPr>
          <w:rFonts w:hint="eastAsia" w:ascii="仿宋_GB2312" w:hAnsi="宋体" w:eastAsia="仿宋_GB2312" w:cs="宋体"/>
          <w:sz w:val="32"/>
          <w:szCs w:val="32"/>
          <w:lang w:val="en-US" w:eastAsia="zh-CN"/>
        </w:rPr>
        <w:t>评价小组成员名单</w:t>
      </w:r>
      <w:bookmarkEnd w:id="78"/>
    </w:p>
    <w:p>
      <w:pPr>
        <w:spacing w:line="360" w:lineRule="auto"/>
        <w:jc w:val="both"/>
        <w:outlineLvl w:val="0"/>
        <w:rPr>
          <w:rFonts w:hint="default" w:ascii="黑体" w:hAnsi="黑体" w:eastAsia="黑体" w:cs="黑体"/>
          <w:b w:val="0"/>
          <w:bCs w:val="0"/>
          <w:sz w:val="32"/>
          <w:szCs w:val="32"/>
          <w:highlight w:val="none"/>
          <w:lang w:val="en-US" w:eastAsia="zh-CN"/>
        </w:rPr>
      </w:pPr>
      <w:bookmarkStart w:id="169" w:name="_Toc28470"/>
      <w:bookmarkStart w:id="170" w:name="_Toc1493"/>
      <w:bookmarkStart w:id="171" w:name="_Toc8998"/>
      <w:bookmarkStart w:id="172" w:name="_Toc7242"/>
      <w:r>
        <w:rPr>
          <w:rFonts w:hint="eastAsia" w:ascii="黑体" w:hAnsi="黑体" w:eastAsia="黑体" w:cs="黑体"/>
          <w:b w:val="0"/>
          <w:bCs w:val="0"/>
          <w:sz w:val="32"/>
          <w:szCs w:val="32"/>
          <w:highlight w:val="none"/>
          <w:lang w:val="en-US" w:eastAsia="zh-CN"/>
        </w:rPr>
        <w:t>附</w:t>
      </w:r>
      <w:bookmarkEnd w:id="169"/>
      <w:bookmarkEnd w:id="170"/>
      <w:r>
        <w:rPr>
          <w:rFonts w:hint="eastAsia" w:ascii="黑体" w:hAnsi="黑体" w:eastAsia="黑体" w:cs="黑体"/>
          <w:b w:val="0"/>
          <w:bCs w:val="0"/>
          <w:sz w:val="32"/>
          <w:szCs w:val="32"/>
          <w:highlight w:val="none"/>
          <w:lang w:val="en-US" w:eastAsia="zh-CN"/>
        </w:rPr>
        <w:t>件</w:t>
      </w:r>
      <w:bookmarkEnd w:id="171"/>
      <w:bookmarkEnd w:id="172"/>
      <w:r>
        <w:rPr>
          <w:rFonts w:hint="eastAsia" w:ascii="黑体" w:hAnsi="黑体" w:eastAsia="黑体" w:cs="黑体"/>
          <w:b w:val="0"/>
          <w:bCs w:val="0"/>
          <w:sz w:val="32"/>
          <w:szCs w:val="32"/>
          <w:highlight w:val="none"/>
          <w:lang w:val="en-US" w:eastAsia="zh-CN"/>
        </w:rPr>
        <w:t>1</w:t>
      </w:r>
    </w:p>
    <w:p>
      <w:pPr>
        <w:spacing w:line="360" w:lineRule="auto"/>
        <w:jc w:val="center"/>
        <w:rPr>
          <w:rFonts w:hint="eastAsia"/>
          <w:highlight w:val="none"/>
        </w:rPr>
      </w:pPr>
      <w:r>
        <w:rPr>
          <w:rFonts w:hint="eastAsia" w:ascii="宋体" w:hAnsi="宋体" w:eastAsia="宋体" w:cs="宋体"/>
          <w:b/>
          <w:bCs/>
          <w:sz w:val="32"/>
          <w:szCs w:val="32"/>
          <w:highlight w:val="none"/>
          <w:lang w:val="en-US" w:eastAsia="zh-CN"/>
        </w:rPr>
        <w:t>韶关市发展和改革局</w:t>
      </w:r>
      <w:r>
        <w:rPr>
          <w:rFonts w:hint="eastAsia" w:ascii="宋体" w:hAnsi="宋体" w:eastAsia="宋体" w:cs="宋体"/>
          <w:b/>
          <w:bCs/>
          <w:sz w:val="32"/>
          <w:szCs w:val="32"/>
          <w:highlight w:val="none"/>
        </w:rPr>
        <w:t>202</w:t>
      </w:r>
      <w:r>
        <w:rPr>
          <w:rFonts w:hint="eastAsia" w:ascii="宋体" w:hAnsi="宋体" w:eastAsia="宋体" w:cs="宋体"/>
          <w:b/>
          <w:bCs/>
          <w:sz w:val="32"/>
          <w:szCs w:val="32"/>
          <w:highlight w:val="none"/>
          <w:lang w:val="en-US" w:eastAsia="zh-CN"/>
        </w:rPr>
        <w:t>1</w:t>
      </w:r>
      <w:r>
        <w:rPr>
          <w:rFonts w:hint="eastAsia" w:ascii="宋体" w:hAnsi="宋体" w:eastAsia="宋体" w:cs="宋体"/>
          <w:b/>
          <w:bCs/>
          <w:sz w:val="32"/>
          <w:szCs w:val="32"/>
          <w:highlight w:val="none"/>
        </w:rPr>
        <w:t>年部门整体支出绩效评价指标</w:t>
      </w:r>
      <w:r>
        <w:rPr>
          <w:rFonts w:hint="eastAsia" w:ascii="宋体" w:hAnsi="宋体" w:cs="宋体"/>
          <w:b/>
          <w:bCs/>
          <w:sz w:val="32"/>
          <w:szCs w:val="32"/>
          <w:highlight w:val="none"/>
          <w:lang w:eastAsia="zh-CN"/>
        </w:rPr>
        <w:t>评分</w:t>
      </w:r>
      <w:r>
        <w:rPr>
          <w:rFonts w:hint="eastAsia" w:ascii="宋体" w:hAnsi="宋体" w:eastAsia="宋体" w:cs="宋体"/>
          <w:b/>
          <w:bCs/>
          <w:sz w:val="32"/>
          <w:szCs w:val="32"/>
          <w:highlight w:val="none"/>
        </w:rPr>
        <w:t>表</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498"/>
        <w:gridCol w:w="469"/>
        <w:gridCol w:w="498"/>
        <w:gridCol w:w="768"/>
        <w:gridCol w:w="421"/>
        <w:gridCol w:w="887"/>
        <w:gridCol w:w="498"/>
        <w:gridCol w:w="4425"/>
        <w:gridCol w:w="880"/>
        <w:gridCol w:w="5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blHeader/>
        </w:trPr>
        <w:tc>
          <w:tcPr>
            <w:tcW w:w="0" w:type="auto"/>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评价指标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评分标准</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专家评分（第三方机构评分）</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blHeader/>
        </w:trPr>
        <w:tc>
          <w:tcPr>
            <w:tcW w:w="0" w:type="auto"/>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一级指标</w:t>
            </w:r>
          </w:p>
        </w:tc>
        <w:tc>
          <w:tcPr>
            <w:tcW w:w="0" w:type="auto"/>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二级指标</w:t>
            </w:r>
          </w:p>
        </w:tc>
        <w:tc>
          <w:tcPr>
            <w:tcW w:w="0" w:type="auto"/>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三级指标</w:t>
            </w:r>
          </w:p>
        </w:tc>
        <w:tc>
          <w:tcPr>
            <w:tcW w:w="0" w:type="auto"/>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四级指标</w:t>
            </w: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blHeader/>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名称</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权重</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名称</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权重</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名称</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权重</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名称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权重</w:t>
            </w: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预算编制情况</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预算编制</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预算编制规范性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预算编制规范性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1.部门预算编制、分配符合本部门职责、符合市委市政府方针政策和工作要求的，得0.5分；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2.部门预算资金能根据年度工作重点，在不同项目、不同用途之间分配合理的，得0.5分；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3.专项资金编制细化程度合理，未出现因年中调剂导致部门预决算差异过大的问题，得0.5分；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4.符合市财政当年度有关预算编制的原则和要求，功能分类和经济分类编制正确的，得0.5分；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5.预算编制较为准确，年度中间无大量调剂，项目之间未频繁调剂的，得0.5分；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6.部门预算分配不固化，能根据实际情况合理调整（如不存在项目支出完成不理想但连年持续安排预算的情况等），得0.5分。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部门预算编制规范性较强，预算分配基本与市委、市政府的方针政策和工作要求相符，确保了市发改局本年度各项目的顺利开展。该指标不扣分。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预算调整率</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预算调整率</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预算调整=（预算调整数/预算数）×100%。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预算调整率=0，本项指标得满分；每增加5%（含）扣减0.5分，直至扣完为止。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以上统计范围不包含增资、增人、上级转移支付资金等预算编制支出因素。</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w:t>
            </w:r>
            <w:r>
              <w:rPr>
                <w:rStyle w:val="28"/>
                <w:rFonts w:hint="eastAsia" w:asciiTheme="minorEastAsia" w:hAnsiTheme="minorEastAsia" w:eastAsiaTheme="minorEastAsia" w:cstheme="minorEastAsia"/>
                <w:sz w:val="18"/>
                <w:szCs w:val="18"/>
                <w:lang w:val="en-US" w:eastAsia="zh-CN" w:bidi="ar"/>
              </w:rPr>
              <w:t>2021</w:t>
            </w:r>
            <w:r>
              <w:rPr>
                <w:rStyle w:val="29"/>
                <w:rFonts w:hint="eastAsia" w:asciiTheme="minorEastAsia" w:hAnsiTheme="minorEastAsia" w:eastAsiaTheme="minorEastAsia" w:cstheme="minorEastAsia"/>
                <w:sz w:val="18"/>
                <w:szCs w:val="18"/>
                <w:lang w:val="en-US" w:eastAsia="zh-CN" w:bidi="ar"/>
              </w:rPr>
              <w:t>年部门决算报表</w:t>
            </w:r>
            <w:r>
              <w:rPr>
                <w:rStyle w:val="28"/>
                <w:rFonts w:hint="eastAsia" w:asciiTheme="minorEastAsia" w:hAnsiTheme="minorEastAsia" w:eastAsiaTheme="minorEastAsia" w:cstheme="minorEastAsia"/>
                <w:sz w:val="18"/>
                <w:szCs w:val="18"/>
                <w:lang w:val="en-US" w:eastAsia="zh-CN" w:bidi="ar"/>
              </w:rPr>
              <w:t>Z01</w:t>
            </w:r>
            <w:r>
              <w:rPr>
                <w:rStyle w:val="29"/>
                <w:rFonts w:hint="eastAsia" w:asciiTheme="minorEastAsia" w:hAnsiTheme="minorEastAsia" w:eastAsiaTheme="minorEastAsia" w:cstheme="minorEastAsia"/>
                <w:sz w:val="18"/>
                <w:szCs w:val="18"/>
                <w:lang w:val="en-US" w:eastAsia="zh-CN" w:bidi="ar"/>
              </w:rPr>
              <w:t>收入支出决算总表（财决</w:t>
            </w:r>
            <w:r>
              <w:rPr>
                <w:rStyle w:val="28"/>
                <w:rFonts w:hint="eastAsia" w:asciiTheme="minorEastAsia" w:hAnsiTheme="minorEastAsia" w:eastAsiaTheme="minorEastAsia" w:cstheme="minorEastAsia"/>
                <w:sz w:val="18"/>
                <w:szCs w:val="18"/>
                <w:lang w:val="en-US" w:eastAsia="zh-CN" w:bidi="ar"/>
              </w:rPr>
              <w:t>01</w:t>
            </w:r>
            <w:r>
              <w:rPr>
                <w:rStyle w:val="29"/>
                <w:rFonts w:hint="eastAsia" w:asciiTheme="minorEastAsia" w:hAnsiTheme="minorEastAsia" w:eastAsiaTheme="minorEastAsia" w:cstheme="minorEastAsia"/>
                <w:sz w:val="18"/>
                <w:szCs w:val="18"/>
                <w:lang w:val="en-US" w:eastAsia="zh-CN" w:bidi="ar"/>
              </w:rPr>
              <w:t>表）》，年初预算数为</w:t>
            </w:r>
            <w:r>
              <w:rPr>
                <w:rStyle w:val="28"/>
                <w:rFonts w:hint="eastAsia" w:asciiTheme="minorEastAsia" w:hAnsiTheme="minorEastAsia" w:eastAsiaTheme="minorEastAsia" w:cstheme="minorEastAsia"/>
                <w:sz w:val="18"/>
                <w:szCs w:val="18"/>
                <w:lang w:val="en-US" w:eastAsia="zh-CN" w:bidi="ar"/>
              </w:rPr>
              <w:t>8,209.17</w:t>
            </w:r>
            <w:r>
              <w:rPr>
                <w:rStyle w:val="29"/>
                <w:rFonts w:hint="eastAsia" w:asciiTheme="minorEastAsia" w:hAnsiTheme="minorEastAsia" w:eastAsiaTheme="minorEastAsia" w:cstheme="minorEastAsia"/>
                <w:sz w:val="18"/>
                <w:szCs w:val="18"/>
                <w:lang w:val="en-US" w:eastAsia="zh-CN" w:bidi="ar"/>
              </w:rPr>
              <w:t>万元，调整预算数为</w:t>
            </w:r>
            <w:r>
              <w:rPr>
                <w:rStyle w:val="28"/>
                <w:rFonts w:hint="eastAsia" w:asciiTheme="minorEastAsia" w:hAnsiTheme="minorEastAsia" w:eastAsiaTheme="minorEastAsia" w:cstheme="minorEastAsia"/>
                <w:sz w:val="18"/>
                <w:szCs w:val="18"/>
                <w:lang w:val="en-US" w:eastAsia="zh-CN" w:bidi="ar"/>
              </w:rPr>
              <w:t>9,679.82</w:t>
            </w:r>
            <w:r>
              <w:rPr>
                <w:rStyle w:val="29"/>
                <w:rFonts w:hint="eastAsia" w:asciiTheme="minorEastAsia" w:hAnsiTheme="minorEastAsia" w:eastAsiaTheme="minorEastAsia" w:cstheme="minorEastAsia"/>
                <w:sz w:val="18"/>
                <w:szCs w:val="18"/>
                <w:lang w:val="en-US" w:eastAsia="zh-CN" w:bidi="ar"/>
              </w:rPr>
              <w:t>万元，预算调整</w:t>
            </w:r>
            <w:r>
              <w:rPr>
                <w:rStyle w:val="28"/>
                <w:rFonts w:hint="eastAsia" w:asciiTheme="minorEastAsia" w:hAnsiTheme="minorEastAsia" w:eastAsiaTheme="minorEastAsia" w:cstheme="minorEastAsia"/>
                <w:sz w:val="18"/>
                <w:szCs w:val="18"/>
                <w:lang w:val="en-US" w:eastAsia="zh-CN" w:bidi="ar"/>
              </w:rPr>
              <w:t>1,470.65</w:t>
            </w:r>
            <w:r>
              <w:rPr>
                <w:rStyle w:val="29"/>
                <w:rFonts w:hint="eastAsia" w:asciiTheme="minorEastAsia" w:hAnsiTheme="minorEastAsia" w:eastAsiaTheme="minorEastAsia" w:cstheme="minorEastAsia"/>
                <w:sz w:val="18"/>
                <w:szCs w:val="18"/>
                <w:lang w:val="en-US" w:eastAsia="zh-CN" w:bidi="ar"/>
              </w:rPr>
              <w:t>万元，预算调整率为</w:t>
            </w:r>
            <w:r>
              <w:rPr>
                <w:rStyle w:val="28"/>
                <w:rFonts w:hint="eastAsia" w:asciiTheme="minorEastAsia" w:hAnsiTheme="minorEastAsia" w:eastAsiaTheme="minorEastAsia" w:cstheme="minorEastAsia"/>
                <w:sz w:val="18"/>
                <w:szCs w:val="18"/>
                <w:lang w:val="en-US" w:eastAsia="zh-CN" w:bidi="ar"/>
              </w:rPr>
              <w:t>17.91%</w:t>
            </w:r>
            <w:r>
              <w:rPr>
                <w:rStyle w:val="29"/>
                <w:rFonts w:hint="eastAsia" w:asciiTheme="minorEastAsia" w:hAnsiTheme="minorEastAsia" w:eastAsiaTheme="minorEastAsia" w:cstheme="minorEastAsia"/>
                <w:sz w:val="18"/>
                <w:szCs w:val="18"/>
                <w:lang w:val="en-US" w:eastAsia="zh-CN" w:bidi="ar"/>
              </w:rPr>
              <w:t>。由于预算调整项目均为2021年临时安排增加的项目，年初并无预算安排，该指标暂不扣分。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目标设置</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绩效目标覆盖率</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绩效目标覆盖率</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1.比率=100%的，得2分；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2.100%＞比率≥80%的，得1.5分；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3.80%＞比率≥60%的，得1分；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4.比率＜60%的，得0分。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根据各项目的《市级财政支出项目绩效自评基础信息表》，市发改局本年度共24个项目，均设置对应的绩效目标，项目绩效目标覆盖率达100。该指标不扣分。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5"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绩效目标合理性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绩效目标合理性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1.绩效目标能体现部门（单位）“三定”方案规定的部门职能的和中长期规划和年度工作计划的，得1分；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2.绩效目标能分解成具体工作任务的，得1分；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3.绩效目标与本年度部门预算资金相匹配的，得1分；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4.部门申报的项目有进行可行性研究和充分论证的，得1分；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对上述4项标准，没有完全符合的，可酌情扣分。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部门整体绩效目标设置合理性不足，主要体现在：一是部分绩效目标设置不符合实际，如绩效目标中固定资产投资增长率设置为</w:t>
            </w:r>
            <w:r>
              <w:rPr>
                <w:rStyle w:val="28"/>
                <w:rFonts w:hint="eastAsia" w:asciiTheme="minorEastAsia" w:hAnsiTheme="minorEastAsia" w:eastAsiaTheme="minorEastAsia" w:cstheme="minorEastAsia"/>
                <w:sz w:val="18"/>
                <w:szCs w:val="18"/>
                <w:lang w:val="en-US" w:eastAsia="zh-CN" w:bidi="ar"/>
              </w:rPr>
              <w:t>10%</w:t>
            </w:r>
            <w:r>
              <w:rPr>
                <w:rStyle w:val="29"/>
                <w:rFonts w:hint="eastAsia" w:asciiTheme="minorEastAsia" w:hAnsiTheme="minorEastAsia" w:eastAsiaTheme="minorEastAsia" w:cstheme="minorEastAsia"/>
                <w:sz w:val="18"/>
                <w:szCs w:val="18"/>
                <w:lang w:val="en-US" w:eastAsia="zh-CN" w:bidi="ar"/>
              </w:rPr>
              <w:t>，但</w:t>
            </w:r>
            <w:r>
              <w:rPr>
                <w:rStyle w:val="28"/>
                <w:rFonts w:hint="eastAsia" w:asciiTheme="minorEastAsia" w:hAnsiTheme="minorEastAsia" w:eastAsiaTheme="minorEastAsia" w:cstheme="minorEastAsia"/>
                <w:sz w:val="18"/>
                <w:szCs w:val="18"/>
                <w:lang w:val="en-US" w:eastAsia="zh-CN" w:bidi="ar"/>
              </w:rPr>
              <w:t>2020</w:t>
            </w:r>
            <w:r>
              <w:rPr>
                <w:rStyle w:val="29"/>
                <w:rFonts w:hint="eastAsia" w:asciiTheme="minorEastAsia" w:hAnsiTheme="minorEastAsia" w:eastAsiaTheme="minorEastAsia" w:cstheme="minorEastAsia"/>
                <w:sz w:val="18"/>
                <w:szCs w:val="18"/>
                <w:lang w:val="en-US" w:eastAsia="zh-CN" w:bidi="ar"/>
              </w:rPr>
              <w:t>年韶关市固定资产投资增长仅为</w:t>
            </w:r>
            <w:r>
              <w:rPr>
                <w:rStyle w:val="28"/>
                <w:rFonts w:hint="eastAsia" w:asciiTheme="minorEastAsia" w:hAnsiTheme="minorEastAsia" w:eastAsiaTheme="minorEastAsia" w:cstheme="minorEastAsia"/>
                <w:sz w:val="18"/>
                <w:szCs w:val="18"/>
                <w:lang w:val="en-US" w:eastAsia="zh-CN" w:bidi="ar"/>
              </w:rPr>
              <w:t>2.8%</w:t>
            </w:r>
            <w:r>
              <w:rPr>
                <w:rStyle w:val="29"/>
                <w:rFonts w:hint="eastAsia" w:asciiTheme="minorEastAsia" w:hAnsiTheme="minorEastAsia" w:eastAsiaTheme="minorEastAsia" w:cstheme="minorEastAsia"/>
                <w:sz w:val="18"/>
                <w:szCs w:val="18"/>
                <w:lang w:val="en-US" w:eastAsia="zh-CN" w:bidi="ar"/>
              </w:rPr>
              <w:t>。二是未根据年度工作计划细化绩效目标，如绩效目标中未体现</w:t>
            </w:r>
            <w:r>
              <w:rPr>
                <w:rStyle w:val="28"/>
                <w:rFonts w:hint="eastAsia" w:asciiTheme="minorEastAsia" w:hAnsiTheme="minorEastAsia" w:eastAsiaTheme="minorEastAsia" w:cstheme="minorEastAsia"/>
                <w:sz w:val="18"/>
                <w:szCs w:val="18"/>
                <w:lang w:val="en-US" w:eastAsia="zh-CN" w:bidi="ar"/>
              </w:rPr>
              <w:t>2021</w:t>
            </w:r>
            <w:r>
              <w:rPr>
                <w:rStyle w:val="29"/>
                <w:rFonts w:hint="eastAsia" w:asciiTheme="minorEastAsia" w:hAnsiTheme="minorEastAsia" w:eastAsiaTheme="minorEastAsia" w:cstheme="minorEastAsia"/>
                <w:sz w:val="18"/>
                <w:szCs w:val="18"/>
                <w:lang w:val="en-US" w:eastAsia="zh-CN" w:bidi="ar"/>
              </w:rPr>
              <w:t>年国民经济和社会发展计划中提及的编制实施“十四五”规划体系、推进“厂区变园区、产区变城区”改革试点、推进全市营商环境改革等内容。该指标扣</w:t>
            </w:r>
            <w:r>
              <w:rPr>
                <w:rStyle w:val="28"/>
                <w:rFonts w:hint="eastAsia" w:asciiTheme="minorEastAsia" w:hAnsiTheme="minorEastAsia" w:eastAsiaTheme="minorEastAsia" w:cstheme="minorEastAsia"/>
                <w:sz w:val="18"/>
                <w:szCs w:val="18"/>
                <w:lang w:val="en-US" w:eastAsia="zh-CN" w:bidi="ar"/>
              </w:rPr>
              <w:t>2</w:t>
            </w:r>
            <w:r>
              <w:rPr>
                <w:rStyle w:val="29"/>
                <w:rFonts w:hint="eastAsia" w:asciiTheme="minorEastAsia" w:hAnsiTheme="minorEastAsia" w:eastAsiaTheme="minorEastAsia" w:cstheme="minorEastAsia"/>
                <w:sz w:val="18"/>
                <w:szCs w:val="18"/>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绩效指标明确性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绩效指标明确性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1.绩效指标中包含能够明确体现部门（单位）履职效果的社会经济效益指标的，得1分；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2.绩效指标具有清晰、可衡量的指标值的，无法量化的指标评分标准较为明确的，得1分；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3.绩效目标的目标值测算能提供相关依据或符合客观实际情况的，得1分，指标完成率高于150%的，扣1分；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对上述3项标准，没有完全符合的，可酌情扣分。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是所设置效益指标无法体现部门履职效果。效益指标仅设置为经济效益、社会效益、可持续效益指标，未对照年度工作计划细化个性化指标，如年度工作计划中提及：社会消费品零售总额增长7%、出口总额增长10%以上、地方一般公共预算收入增长6%等内容未在效益指标中体现。二是效益指标计算方式不明确。效益指标目标值均设置为100%，但并未明确计算方式。三是项目绩效目标可衡量性不足。部分项目绩效目标局限于描述项目实施情况。该指标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资金管理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部门预算支出率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部门预算支出率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本指标得分=本指标满分分值×全年平均支出进度。全年平均支出进度以2021年度机关绩效考核中支出进度为准。</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根据《项目指标支付查询情况表》，本年度市发改局项目预算平均支出进度99.87%。该指标暂不扣分。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结转结余率</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结转结余率</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结余结转率=1-全年支出进度。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1.结余结转率≤10%的，得3分；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2.10%＜结余结转率≤20%的，得2分；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3.20%＜结余结转率≤30%的，得1分；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4.结余结转率＞30%的，得0分。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333333"/>
                <w:sz w:val="18"/>
                <w:szCs w:val="18"/>
                <w:u w:val="none"/>
              </w:rPr>
            </w:pPr>
            <w:r>
              <w:rPr>
                <w:rFonts w:hint="eastAsia" w:asciiTheme="minorEastAsia" w:hAnsiTheme="minorEastAsia" w:eastAsiaTheme="minorEastAsia" w:cstheme="minorEastAsia"/>
                <w:i w:val="0"/>
                <w:iCs w:val="0"/>
                <w:color w:val="333333"/>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2021年市发改局部门支出合计9,679.82万元，均为财政拨款支出，与单位指标金额9,770.52万元相比，财政拨款资金支出率为99.06%。结转结余率为0.01%≤10%，该指标不扣分。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333333"/>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333333"/>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333333"/>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333333"/>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政府采购合规性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政府采购合规性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1.政府采购执行率小于等于100%的，得2分；实际采购金额大于采购计划金额的，本项不得分。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（1）政府采购执行率=（实际采购金额合计数/采购计划金额合计数）×100%；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（2）政府采购预算是指采购机关根据事业发展计划和行政任务编制的、并经过规定程序批准的年度政府采购计划。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333333"/>
                <w:sz w:val="18"/>
                <w:szCs w:val="18"/>
                <w:u w:val="none"/>
              </w:rPr>
            </w:pPr>
            <w:r>
              <w:rPr>
                <w:rFonts w:hint="eastAsia" w:asciiTheme="minorEastAsia" w:hAnsiTheme="minorEastAsia" w:eastAsiaTheme="minorEastAsia" w:cstheme="minorEastAsia"/>
                <w:i w:val="0"/>
                <w:iCs w:val="0"/>
                <w:color w:val="333333"/>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部门提供的相关资料，市发改局本年度政府采购过程基本能按相关规范执行，但实际采购金额为314.50万元，大于计划的93.5万元。根据市发改局提供的佐证材料，政府采购超出年初预算，主要原因是新增2021年第二批重点项目前期工作经费(全国一体化大数据中心体系粤港澳大湾区枢纽节点项目)。综合考虑，该指标暂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333333"/>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333333"/>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333333"/>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财务合规性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财务合规性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1.预算执行规范性1分，按规定履行调整报批手续或未发生调整的，且按事项完成进度支付资金的得满分，否则酌情扣分；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3.会计核算规范性1分，规范执行会计核算制度得满分，未按规定设专账核算，或支出凭证不符合规定，或其他核算不规范的，视具体情况扣分；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4.重大项目支出经过评估论证和必要决策程序的得1分，否则酌情扣分；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5.连续两年对因业务主管部门责任印发的同一问题提出意见，或主管部门未落实相关审计和财会监督整改意见的，扣1分。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市发改局资金管理、费用支出规范性较好，预算调整报批手续符合相关要求。该指标不扣分。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预决算信息公开</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预决算信息公开</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1.部门预算公开得分：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（1）按规定内容、在规定时限和范围内公开的，得1分；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（2）进行了公开，但未达到时限、内容或范围要求的，得0.5分；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（3）没有进行公开的，得0分；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（4）涉密部门经批准不需要公开相关信息的，计1分。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2.部门决算公开得分：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（1）按规定内容、在规定时限和范围内公开的，得1分；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（2）进行了公开，但未达到时限、内容或范围要求的，得0.5分；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（3）没有进行公开的，得0分；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（4）涉密部门经批准不需要公开相关信息的，计1分。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本指标得分=部门预算公开得分+部门决算公开得分。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市发改局在2021年3月1日公开2021年预算，能按照《财政部关于印发〈地方预决算公开操作规程〉的通知》（财预〔2016〕143号）部门预决算公开时间及内容的要求，在市财政批复20日内公开部门预决算及报表，公开内容包括部门收支总体情况和财政拨款收支情况。但存在预算公开信息不准确的情况，部门决算表中年初预算数为8,209.17万元，政府门户网站公开的预算数为7,808.01万元，相差401.16万元，该指标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项目管理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项目实施程序</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项目实施程序</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1.重点或新增项目前期开展了可行性研究或调研，论证较为充分的，项目的设立及调整按规定履行报批程序，得2分；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2.项目招投标、建设、验收等或方案实施严格执行相关制度规定的，得2分。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本年度项目基本能按照相应的实施方案或管理制度等规定程序实施，重大经济事项实施前经过论证或调研，各项工作报批手续较完整。该指标不扣分。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项目监管</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项目监管</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部门（单位）或基层资金管理单位建立有效管理机制，且执行情况良好的，得2分；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评价时发现有项目不符合上述条件的，酌情扣分。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对储备粮代储点存在监管不到位的情况，现场评价发现，韶关市杨鹏米业安全储粮的基本条件不达标。该指标扣2分。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资产管理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资产管理安全性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资产管理安全性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1.资产保存完整，并定期对固定资产进行清查，未有因管理不当发生严重资产损失和丢失情况的，得1分；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2.资产配置合理、保管完整，账实相符的，得1分；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3.及时处置报废固定资产，资产处置规范，不存在不按要求进行报批或资产不公开处置行为的，得1分；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4.资产有偿使用及处置收入及时足额上缴，得1分。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现场评价发现，市发改局未及时对固定资产进行盘点，部分待报废资产存放在芙蓉园6栋103、104室。该指标扣2分。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固定资产利用率</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固定资产利用率</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1.比率≥90%的，得2分；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2.90%＞比率≥75%的，得1分；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3.75%＞比率≥60%的，得0.5分；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4.比率＜60%的，得0分。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根据市发改局提供的《资产卡片账》，已入账资产900项，其中828项为在用状态，固定资产利用率为92%。根据评分标准，该指标不扣分。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制度管理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管理制度健全性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管理制度健全性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1.部门制订了财政资金管理、内部财务、内部控制、预算绩效管理制度等制度的，得1分；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2.部门对于重点项目、经常性项目制定了相关管理办法、实施方案等制度的，得1分；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3.上述资金、财务和内控制度、预算绩效管理制度得到有效执行的，得1分；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4.所制定的制度或方案得到切实执行的（需有相应佐证材料，如日常检查、稽核的底稿等），得1分。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市发改局办公室于2020年出台本级《规章制度政策汇编》，资金、项目管理制度基本健全，但未见预算绩效管理制度。该指标扣0.5分。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预算使用效益</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公用经费控制率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公用经费控制率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日常公用经费决算数≤日常公用经费调整预算数，得2分，否则不得分。</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根据《2021年部门决算表》，市发改局本年度公用经费调整预算数和决算数均为177.74万元，市发改局对公用经费控制较好。根据评分标准，该指标不扣分。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“三公”经费控制率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“三公”经费控制率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“三公”经费实际支出数≤预算安排的“三公”经费数，得2分，否则不得分。</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根据《2021年部门决算表》，“三公”经费预算为29万元，实际“三公”经费支出22.10万元，市发改局对“三公”经费的控制较好。根据评分标准，该指标不扣分。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完成成本合理性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完成成本合理性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1.相关工作预算编制依据较为明确的，如经过了三方询价或依据相关行业标准进行编制的，得3分；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2.相关工作成本与市场价格、行业标准、其他地市的同类项目相比较为合理的得3分。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市发改局项目工作成本与市场价格的同类项目相比，较为合理，该指标不扣分。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效率性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重点工作完成率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重点工作完成率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本项得分由单位自行评估实际得分，按照完成实际效果自评打分。重点工作是指党委、政府、人大、中央相关部门交办或下达的工作任务。</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根据资料审查和现场评价，2021年度市发改局的18项重点工作均已完成，重点项目完成率为100%。该指标不扣分。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绩效目标完成率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绩效目标完成率</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绩效目标完成率=部门整体支出绩效目标申报表中已实现目标数/申报目标数×100%；本指标得分=绩效目标完成率×3。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根据《部门整体支出绩效评价基本情况表》及资料审查，除“服务对象满意度”指标没有开展满意度调查外，其余6项绩效指标均已完成。根据评分标准，该指标扣0.43分。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项目完成及时性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项目完成及时性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所有项目均按计划时间完成的，得4分；部分项目未按计划时间完成的，本项得分=已完成项目数/未完成项目数×4。</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项目完成时间将参考年初部门预算项目的支出率进行评价。</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截至2021年12月，18个重点项目中，16个项目基本按时完成，“2021年度编制韶关市‘十四五’规划纲要工作经费”受疫情影响，调研工作开展受阻，导致规划编制进度滞后；“物业押金”因原市粮食局租户未及时来申请退押金，退还押金工作未完成。综合考核，该指标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效果性</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社会经济环境效益</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重点项目推动经济增长情况</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从以下两个维度衡量全市重点项目推动经济增长的情况：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1.2021年全市生产总值较上年增长≥7%，得2分；不足7%的，本项得分=实际增长率/7*2分；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2.固定资产投资增长率≥10%，得分3分；不足10%的，本项得分=实际增长率/10*3分。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根据《韶关市2021年国民经济和社会发展统计公报》，2021年全市生产总值较上年增长8.6%，固定资产投资增长率为2.2%。根据评分标准，该指标扣2.34分。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营商环境改善成效</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从以下三个维度衡量全市营商环境优化情况：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1.营商环境在全省排名提升，得1分；全省排名保持不变，得0.5分；下降不得分。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2.营商管理机制创新，具有对标先进地区、对标兄弟单位、对标超越自身的管理机制，得1分；否则根据实际情况得分。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3.市场主体对营商环境满意度。根据问卷调查，得分=满意度占比*2分。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根据《2021年广东省营商环境评价韶关市分报告》，与省内先进地区相比，韶关市在优化营商环境方面仍有较大提升空间。该指标扣0.4分。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规划保障水平</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从以下三个维度衡量规划编制管理能力：</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1.规划编制具有前瞻性、科学性和合理性，得1.5分；否则根据实际情况得分。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2.规划落实到位，符合实际，在促进高质量发展上充分发挥了规划引领作用，得1.5分；否则根据实际情况得分。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3.相关规划设计编制完成及时，得1分；否则根据实际情况得分。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市发改局各项规划编制前瞻性、科学性基本达标，但合理性上存在不足，如年度重点工作计划中，设定目标固定资产投资增长率≥10%与实际情况差距较大，参考2020年固定资产投资增长率为2.8%。该指标扣0.2分。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粮油、冻猪肉等物资储备完成质量</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从以下四个维度衡量是否高质量完成粮油、冻猪肉等物资储备任务：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1.储备粮油、冻猪肉质量达标，得1.5分；否则根据实际情况得分。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2.仓储管理符合规范，得1.5分；否则根据实际情况得分。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3.轮换管理符合规定，得1分；否则根据实际情况得分。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4.粮油储备、轮换管理机制有创新，得1分；否则根据实际情况得分。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现场评价发现，杨鹏米业代储点不具备安全储粮的基本条件，无粮情检测的基本工具和测温测湿设备，无通风降温设施，无储粮防治虫、霉、鼠、雀等措施及用具，无专业技术人员。据业主介绍，目前粮食流通较快，存放的粮食不超过10天。但若出现特殊情况，如价格、疫情或其他原因造成粮食滞留时间较长，将直接影响粮食的质量变化，存在较大的安全隐患。该指标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社会信用体系完善度</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从以下四个维度衡量全市信用体系完善程度：</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1.信用信息归集共享程度高，得1分；否则根据实际情况得分。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2.运用信用信息推动营商环境大幅优化，得1分；否则根据实际情况得分。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3.信用建设服务实体经济落实到位，得1分；否则根据实际情况得分。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4.城市信用综合排名明显提升，得1分；否则根据实际情况得分。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资料审查及现据资料审查及现场评价，2021年韶关市综合信用指数在全国261个地级市中排名较2020年有所上升，其中，2021年2月-2022年2月期间，信用状况监测排名平均值为176名，较2020年的第223名上升47名。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价格监测和成本监审水平</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从以下两个维度衡量价格监测和成本监审水平：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1.居民消费价格涨幅控制在目标值3%以内，完成目标得2分；否则每超出0.1个百分点，扣0.1分，扣完为止。</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2.价格监测数据发布及时、发布内容全面，得1分；否则根据实际情况得分。</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韶关市2021年国民经济和社会发展统计公报》，全年韶关居民消费价格比上年上涨0.2%，低于目标值的3%。另一方面，根据2021年政府网站发布的《双周粮油市场价格监测报告》，价格监测数据发布及时、发布内容全面。综合考虑，该指标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公平性</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公众或服务对象满意度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公众或服务对象满意度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过电子问卷方式共回收114份群众有效问卷。根据“Q9.您对韶关市发展和改革局的整体满意情况是”一题，33名群众表示满意，占比为28.95%；48名群众表示比较满意，占比为42.11%，具体见下图。按照满意100%、比较满意80%、不太满意60%、不满意和不了解0%权重计算。该指标得分3.53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加减分项</w:t>
            </w:r>
          </w:p>
        </w:tc>
        <w:tc>
          <w:tcPr>
            <w:tcW w:w="0" w:type="auto"/>
            <w:vMerge w:val="restart"/>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工作表现加减分指标</w:t>
            </w:r>
          </w:p>
        </w:tc>
        <w:tc>
          <w:tcPr>
            <w:tcW w:w="0" w:type="auto"/>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工作表现加减分指标</w:t>
            </w:r>
          </w:p>
        </w:tc>
        <w:tc>
          <w:tcPr>
            <w:tcW w:w="0" w:type="auto"/>
            <w:vMerge w:val="restart"/>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1.加分项：工作获得中央或省委省政府表彰的，表彰一次加1分，同一项工作获得多次表彰的，按一次计算，累计加分最多3分，加分后总分不能超过100分；</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2021年，市发改局的工作得到上级部门肯定，多次获得省、市级表彰。按表彰一次加1分计算，满分为3分。该指标得3分。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2.减分项：在国务院大督察或人大审计、监察等监督检查时发现问题并被问责的，问责一次扣2分，同一个问题被问责多次的，按一次计算，累计减分最多6分，减分后总分不能低于0分。</w:t>
            </w:r>
          </w:p>
        </w:tc>
        <w:tc>
          <w:tcPr>
            <w:tcW w:w="0" w:type="auto"/>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jc w:val="left"/>
              <w:rPr>
                <w:rFonts w:hint="eastAsia" w:asciiTheme="minorEastAsia" w:hAnsiTheme="minorEastAsia" w:eastAsiaTheme="minorEastAsia" w:cs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0" w:type="auto"/>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85.96</w:t>
            </w:r>
          </w:p>
        </w:tc>
        <w:tc>
          <w:tcPr>
            <w:tcW w:w="0" w:type="auto"/>
            <w:tcBorders>
              <w:top w:val="nil"/>
              <w:left w:val="nil"/>
              <w:bottom w:val="single" w:color="000000" w:sz="8" w:space="0"/>
              <w:right w:val="single" w:color="000000" w:sz="8" w:space="0"/>
            </w:tcBorders>
            <w:shd w:val="clear" w:color="auto" w:fill="auto"/>
            <w:noWrap/>
            <w:vAlign w:val="center"/>
          </w:tcPr>
          <w:p>
            <w:pPr>
              <w:rPr>
                <w:rFonts w:hint="eastAsia" w:asciiTheme="minorEastAsia" w:hAnsiTheme="minorEastAsia" w:eastAsiaTheme="minorEastAsia" w:cstheme="minorEastAsia"/>
                <w:i w:val="0"/>
                <w:iCs w:val="0"/>
                <w:color w:val="000000"/>
                <w:sz w:val="18"/>
                <w:szCs w:val="18"/>
                <w:u w:val="none"/>
              </w:rPr>
            </w:pPr>
          </w:p>
        </w:tc>
      </w:tr>
    </w:tbl>
    <w:p>
      <w:pPr>
        <w:rPr>
          <w:rFonts w:hint="default"/>
          <w:lang w:val="en-US" w:eastAsia="zh-CN"/>
        </w:rPr>
        <w:sectPr>
          <w:footerReference r:id="rId6" w:type="default"/>
          <w:pgSz w:w="16838" w:h="11906" w:orient="landscape"/>
          <w:pgMar w:top="850" w:right="1020" w:bottom="850" w:left="1134" w:header="851" w:footer="454" w:gutter="0"/>
          <w:pgBorders>
            <w:top w:val="none" w:sz="0" w:space="0"/>
            <w:left w:val="none" w:sz="0" w:space="0"/>
            <w:bottom w:val="none" w:sz="0" w:space="0"/>
            <w:right w:val="none" w:sz="0" w:space="0"/>
          </w:pgBorders>
          <w:pgNumType w:fmt="numberInDash"/>
          <w:cols w:space="0" w:num="1"/>
          <w:rtlGutter w:val="0"/>
          <w:docGrid w:type="lines" w:linePitch="325" w:charSpace="0"/>
        </w:sectPr>
      </w:pPr>
    </w:p>
    <w:p>
      <w:pPr>
        <w:spacing w:line="360" w:lineRule="auto"/>
        <w:jc w:val="both"/>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pPr>
        <w:pStyle w:val="2"/>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b/>
          <w:bCs/>
          <w:sz w:val="32"/>
          <w:szCs w:val="32"/>
          <w:lang w:val="en-US" w:eastAsia="zh-CN"/>
        </w:rPr>
      </w:pPr>
      <w:r>
        <w:rPr>
          <w:rFonts w:hint="default"/>
          <w:b/>
          <w:bCs/>
          <w:sz w:val="32"/>
          <w:szCs w:val="32"/>
          <w:lang w:val="en-US" w:eastAsia="zh-CN"/>
        </w:rPr>
        <w:t>评价小组成员名单</w:t>
      </w:r>
    </w:p>
    <w:tbl>
      <w:tblPr>
        <w:tblStyle w:val="15"/>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042"/>
        <w:gridCol w:w="4104"/>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1514" w:type="dxa"/>
            <w:shd w:val="clear" w:color="auto" w:fill="D7D7D7"/>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专家类别</w:t>
            </w:r>
          </w:p>
        </w:tc>
        <w:tc>
          <w:tcPr>
            <w:tcW w:w="1042" w:type="dxa"/>
            <w:shd w:val="clear" w:color="auto" w:fill="D7D7D7"/>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姓名</w:t>
            </w:r>
          </w:p>
        </w:tc>
        <w:tc>
          <w:tcPr>
            <w:tcW w:w="4104" w:type="dxa"/>
            <w:shd w:val="clear" w:color="auto" w:fill="D7D7D7"/>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职务/职称</w:t>
            </w:r>
          </w:p>
        </w:tc>
        <w:tc>
          <w:tcPr>
            <w:tcW w:w="2785" w:type="dxa"/>
            <w:shd w:val="clear" w:color="auto" w:fill="D7D7D7"/>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本次评价中负责工作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jc w:val="center"/>
        </w:trPr>
        <w:tc>
          <w:tcPr>
            <w:tcW w:w="1514"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项目总负责人</w:t>
            </w:r>
          </w:p>
        </w:tc>
        <w:tc>
          <w:tcPr>
            <w:tcW w:w="1042" w:type="dxa"/>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李炜</w:t>
            </w:r>
          </w:p>
        </w:tc>
        <w:tc>
          <w:tcPr>
            <w:tcW w:w="4104"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绩效评价师/会计（财务）管理师/高级国际财务管理师/房地产经济师/房地产估价师/土地估价师</w:t>
            </w:r>
          </w:p>
        </w:tc>
        <w:tc>
          <w:tcPr>
            <w:tcW w:w="2785"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总体统筹、监督评价工作/审核工作方案/审核报告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514"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项目负责人</w:t>
            </w:r>
          </w:p>
        </w:tc>
        <w:tc>
          <w:tcPr>
            <w:tcW w:w="1042"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陈智峰</w:t>
            </w:r>
          </w:p>
        </w:tc>
        <w:tc>
          <w:tcPr>
            <w:tcW w:w="4104" w:type="dxa"/>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项目经理/管理学硕士</w:t>
            </w:r>
          </w:p>
        </w:tc>
        <w:tc>
          <w:tcPr>
            <w:tcW w:w="2785"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统筹评价项目工作安排/负责与韶关市财政局、韶关市发展和改革局日常联络/监督把控评价工作进度与质量/主导撰写绩效评价报告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jc w:val="center"/>
        </w:trPr>
        <w:tc>
          <w:tcPr>
            <w:tcW w:w="1514"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财务专家</w:t>
            </w:r>
          </w:p>
        </w:tc>
        <w:tc>
          <w:tcPr>
            <w:tcW w:w="1042"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刘津</w:t>
            </w:r>
          </w:p>
        </w:tc>
        <w:tc>
          <w:tcPr>
            <w:tcW w:w="4104"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项目总监/注册会计师/税务师/资产评估师</w:t>
            </w:r>
          </w:p>
        </w:tc>
        <w:tc>
          <w:tcPr>
            <w:tcW w:w="2785"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审核工作方案/参与现场调研/审核报告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14"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行业专家</w:t>
            </w:r>
          </w:p>
        </w:tc>
        <w:tc>
          <w:tcPr>
            <w:tcW w:w="1042"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赖新权</w:t>
            </w:r>
          </w:p>
        </w:tc>
        <w:tc>
          <w:tcPr>
            <w:tcW w:w="4104"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广东省发改委原处长/正高级</w:t>
            </w:r>
          </w:p>
        </w:tc>
        <w:tc>
          <w:tcPr>
            <w:tcW w:w="2785"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审核绩效指标体系/初审项目材料/参与现场调研工作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jc w:val="center"/>
        </w:trPr>
        <w:tc>
          <w:tcPr>
            <w:tcW w:w="1514" w:type="dxa"/>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行业专家</w:t>
            </w:r>
          </w:p>
        </w:tc>
        <w:tc>
          <w:tcPr>
            <w:tcW w:w="1042"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张新府</w:t>
            </w:r>
          </w:p>
        </w:tc>
        <w:tc>
          <w:tcPr>
            <w:tcW w:w="4104" w:type="dxa"/>
            <w:shd w:val="clear" w:color="auto" w:fill="auto"/>
            <w:vAlign w:val="center"/>
          </w:tcPr>
          <w:p>
            <w:pPr>
              <w:jc w:val="center"/>
              <w:rPr>
                <w:rFonts w:ascii="宋体" w:hAnsi="宋体"/>
                <w:sz w:val="18"/>
                <w:szCs w:val="18"/>
              </w:rPr>
            </w:pPr>
            <w:r>
              <w:rPr>
                <w:rFonts w:hint="eastAsia" w:ascii="宋体" w:hAnsi="宋体"/>
                <w:sz w:val="18"/>
                <w:szCs w:val="18"/>
              </w:rPr>
              <w:t>广东省粮食与物资储备保障中心</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粮食工程高级工程师/正高级</w:t>
            </w:r>
          </w:p>
        </w:tc>
        <w:tc>
          <w:tcPr>
            <w:tcW w:w="2785" w:type="dxa"/>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审核绩效指标体系/初审项目材料/参与现场调研工作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14" w:type="dxa"/>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人员</w:t>
            </w:r>
          </w:p>
        </w:tc>
        <w:tc>
          <w:tcPr>
            <w:tcW w:w="1042" w:type="dxa"/>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陆美惠</w:t>
            </w:r>
          </w:p>
        </w:tc>
        <w:tc>
          <w:tcPr>
            <w:tcW w:w="4104"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评审工作人员</w:t>
            </w:r>
          </w:p>
        </w:tc>
        <w:tc>
          <w:tcPr>
            <w:tcW w:w="2785"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整理分类材料/参与现场调研/参与撰写评价工作总结报告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jc w:val="center"/>
        </w:trPr>
        <w:tc>
          <w:tcPr>
            <w:tcW w:w="1514" w:type="dxa"/>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w:t>
            </w:r>
          </w:p>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人员</w:t>
            </w:r>
          </w:p>
        </w:tc>
        <w:tc>
          <w:tcPr>
            <w:tcW w:w="1042" w:type="dxa"/>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谭晓岚</w:t>
            </w:r>
          </w:p>
        </w:tc>
        <w:tc>
          <w:tcPr>
            <w:tcW w:w="4104" w:type="dxa"/>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评审工作人员</w:t>
            </w:r>
          </w:p>
        </w:tc>
        <w:tc>
          <w:tcPr>
            <w:tcW w:w="2785" w:type="dxa"/>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整理分类材料/参与现场调研/参与撰写评价工作总结报告</w:t>
            </w:r>
          </w:p>
        </w:tc>
      </w:tr>
    </w:tbl>
    <w:p>
      <w:pPr>
        <w:pStyle w:val="2"/>
        <w:rPr>
          <w:rFonts w:hint="default"/>
          <w:lang w:val="en-US" w:eastAsia="zh-CN"/>
        </w:rPr>
      </w:pPr>
    </w:p>
    <w:sectPr>
      <w:type w:val="continuous"/>
      <w:pgSz w:w="11906" w:h="16838"/>
      <w:pgMar w:top="1020" w:right="850" w:bottom="1134" w:left="850" w:header="851" w:footer="454" w:gutter="0"/>
      <w:pgBorders>
        <w:top w:val="none" w:sz="0" w:space="0"/>
        <w:left w:val="none" w:sz="0" w:space="0"/>
        <w:bottom w:val="none" w:sz="0" w:space="0"/>
        <w:right w:val="none" w:sz="0" w:space="0"/>
      </w:pgBorders>
      <w:pgNumType w:fmt="numberInDash"/>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roid Sans">
    <w:altName w:val="Noto Serif CJK JP"/>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rect id="4097" o:spid="_x0000_s4097"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-139065</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upright="false">
                      <a:spAutoFit/>
                    </wps:bodyPr>
                  </wps:wsp>
                </a:graphicData>
              </a:graphic>
            </wp:anchor>
          </w:drawing>
        </mc:Choice>
        <mc:Fallback>
          <w:pict>
            <v:rect id="文本框 6" o:spid="_x0000_s1026" o:spt="1" style="position:absolute;left:0pt;margin-top:-10.9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27MpN9UAAAAIAQAADwAAAAAAAAABACAAAAA4AAAA&#10;ZHJzL2Rvd25yZXYueG1sUEsBAhQAFAAAAAgAh07iQGYTQAK7AQAAVAMAAA4AAAAAAAAAAQAgAAAA&#10;OgEAAGRycy9lMm9Eb2MueG1sUEsFBgAAAAAGAAYAWQEAAGc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-139065</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vert="horz" wrap="none" lIns="0" tIns="0" rIns="0" bIns="0" anchor="t" upright="false">
                      <a:spAutoFit/>
                    </wps:bodyPr>
                  </wps:wsp>
                </a:graphicData>
              </a:graphic>
            </wp:anchor>
          </w:drawing>
        </mc:Choice>
        <mc:Fallback>
          <w:pict>
            <v:rect id="文本框 5" o:spid="_x0000_s1026" o:spt="1" style="position:absolute;left:0pt;margin-top:-10.9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27MpN9UAAAAIAQAADwAAAAAAAAABACAAAAA4AAAA&#10;ZHJzL2Rvd25yZXYueG1sUEsBAhQAFAAAAAgAh07iQGfbWV67AQAAVAMAAA4AAAAAAAAAAQAgAAAA&#10;OgEAAGRycy9lMm9Eb2MueG1sUEsFBgAAAAAGAAYAWQEAAGc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62"/>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jNiODVhNDgxZTU2ZTEwM2I5ODZiNDY2NGI0NWQifQ=="/>
  </w:docVars>
  <w:rsids>
    <w:rsidRoot w:val="00000000"/>
    <w:rsid w:val="001D19EE"/>
    <w:rsid w:val="004B6AD5"/>
    <w:rsid w:val="005C66C6"/>
    <w:rsid w:val="00C608B9"/>
    <w:rsid w:val="00D5688F"/>
    <w:rsid w:val="011F19CB"/>
    <w:rsid w:val="012E020B"/>
    <w:rsid w:val="013E61E2"/>
    <w:rsid w:val="01731930"/>
    <w:rsid w:val="018B78FA"/>
    <w:rsid w:val="01A3526B"/>
    <w:rsid w:val="01A61E16"/>
    <w:rsid w:val="01EC72D6"/>
    <w:rsid w:val="02157665"/>
    <w:rsid w:val="02832869"/>
    <w:rsid w:val="02AA1DB8"/>
    <w:rsid w:val="02BC3F3F"/>
    <w:rsid w:val="02EE3C38"/>
    <w:rsid w:val="032C4E8C"/>
    <w:rsid w:val="03511AD9"/>
    <w:rsid w:val="03584DB3"/>
    <w:rsid w:val="03BB2CDF"/>
    <w:rsid w:val="03BF3BDD"/>
    <w:rsid w:val="03D57484"/>
    <w:rsid w:val="03E500E6"/>
    <w:rsid w:val="045A1585"/>
    <w:rsid w:val="04781ECF"/>
    <w:rsid w:val="04AE18D1"/>
    <w:rsid w:val="04C15A35"/>
    <w:rsid w:val="04DF1A8A"/>
    <w:rsid w:val="04FB3F97"/>
    <w:rsid w:val="04FF4E28"/>
    <w:rsid w:val="05045994"/>
    <w:rsid w:val="053761B2"/>
    <w:rsid w:val="059211F2"/>
    <w:rsid w:val="05A71CE9"/>
    <w:rsid w:val="05C863D4"/>
    <w:rsid w:val="05D03C38"/>
    <w:rsid w:val="06150F68"/>
    <w:rsid w:val="0620235A"/>
    <w:rsid w:val="0645068C"/>
    <w:rsid w:val="06485200"/>
    <w:rsid w:val="06694317"/>
    <w:rsid w:val="06710693"/>
    <w:rsid w:val="06912FFF"/>
    <w:rsid w:val="0693639D"/>
    <w:rsid w:val="06C51A4E"/>
    <w:rsid w:val="071E2E38"/>
    <w:rsid w:val="0724177E"/>
    <w:rsid w:val="076B280F"/>
    <w:rsid w:val="076C68D0"/>
    <w:rsid w:val="077F1302"/>
    <w:rsid w:val="07C75902"/>
    <w:rsid w:val="07F46D75"/>
    <w:rsid w:val="07F7429B"/>
    <w:rsid w:val="080A32C2"/>
    <w:rsid w:val="081E4FBF"/>
    <w:rsid w:val="082400BC"/>
    <w:rsid w:val="08701950"/>
    <w:rsid w:val="08C76FE7"/>
    <w:rsid w:val="09000221"/>
    <w:rsid w:val="09047D11"/>
    <w:rsid w:val="091D754C"/>
    <w:rsid w:val="09424A0F"/>
    <w:rsid w:val="094C3466"/>
    <w:rsid w:val="095D5764"/>
    <w:rsid w:val="0969226A"/>
    <w:rsid w:val="09756E61"/>
    <w:rsid w:val="09C522D7"/>
    <w:rsid w:val="0A0A1296"/>
    <w:rsid w:val="0A167BB1"/>
    <w:rsid w:val="0A1F5AF8"/>
    <w:rsid w:val="0A47370C"/>
    <w:rsid w:val="0A4A6522"/>
    <w:rsid w:val="0A6560F2"/>
    <w:rsid w:val="0A8B39F0"/>
    <w:rsid w:val="0A9E4AC1"/>
    <w:rsid w:val="0AA9231F"/>
    <w:rsid w:val="0ACB571F"/>
    <w:rsid w:val="0B1526A9"/>
    <w:rsid w:val="0B1A1A6E"/>
    <w:rsid w:val="0B287395"/>
    <w:rsid w:val="0B330D82"/>
    <w:rsid w:val="0B8249A4"/>
    <w:rsid w:val="0B8503AF"/>
    <w:rsid w:val="0B870B9C"/>
    <w:rsid w:val="0B8C15FE"/>
    <w:rsid w:val="0B9456C5"/>
    <w:rsid w:val="0C0E3033"/>
    <w:rsid w:val="0C4F72C3"/>
    <w:rsid w:val="0C6F1945"/>
    <w:rsid w:val="0CE258B1"/>
    <w:rsid w:val="0CE9152F"/>
    <w:rsid w:val="0D136CD8"/>
    <w:rsid w:val="0D621ACA"/>
    <w:rsid w:val="0D90587A"/>
    <w:rsid w:val="0D9C49BC"/>
    <w:rsid w:val="0DD17656"/>
    <w:rsid w:val="0DF10DFA"/>
    <w:rsid w:val="0DF93177"/>
    <w:rsid w:val="0E2E4AE8"/>
    <w:rsid w:val="0E3E1F17"/>
    <w:rsid w:val="0E4D36BE"/>
    <w:rsid w:val="0E564F96"/>
    <w:rsid w:val="0E8E42AC"/>
    <w:rsid w:val="0E924011"/>
    <w:rsid w:val="0ED049FA"/>
    <w:rsid w:val="0F132803"/>
    <w:rsid w:val="0F2B577C"/>
    <w:rsid w:val="0FB56804"/>
    <w:rsid w:val="0FF73936"/>
    <w:rsid w:val="10060813"/>
    <w:rsid w:val="103B50D5"/>
    <w:rsid w:val="10407D27"/>
    <w:rsid w:val="10947BCD"/>
    <w:rsid w:val="109C7329"/>
    <w:rsid w:val="109F2D9C"/>
    <w:rsid w:val="10B57871"/>
    <w:rsid w:val="10CB7366"/>
    <w:rsid w:val="10E56EBA"/>
    <w:rsid w:val="11005E45"/>
    <w:rsid w:val="114E421F"/>
    <w:rsid w:val="11AE2F10"/>
    <w:rsid w:val="11EF443E"/>
    <w:rsid w:val="126C57AE"/>
    <w:rsid w:val="12724491"/>
    <w:rsid w:val="12FE572C"/>
    <w:rsid w:val="131A6E9B"/>
    <w:rsid w:val="134B0750"/>
    <w:rsid w:val="138A7F2D"/>
    <w:rsid w:val="13A23BBC"/>
    <w:rsid w:val="13B134CC"/>
    <w:rsid w:val="1411351B"/>
    <w:rsid w:val="141A0940"/>
    <w:rsid w:val="142716DD"/>
    <w:rsid w:val="142F202D"/>
    <w:rsid w:val="14532E5A"/>
    <w:rsid w:val="14665D24"/>
    <w:rsid w:val="146F398C"/>
    <w:rsid w:val="147E12BF"/>
    <w:rsid w:val="14F46B5F"/>
    <w:rsid w:val="150A6547"/>
    <w:rsid w:val="150F31DD"/>
    <w:rsid w:val="156E1EA5"/>
    <w:rsid w:val="15817A39"/>
    <w:rsid w:val="15826742"/>
    <w:rsid w:val="15CF5C33"/>
    <w:rsid w:val="16070223"/>
    <w:rsid w:val="160D7976"/>
    <w:rsid w:val="161F0F67"/>
    <w:rsid w:val="16461969"/>
    <w:rsid w:val="172939E3"/>
    <w:rsid w:val="172A128B"/>
    <w:rsid w:val="174E7AEF"/>
    <w:rsid w:val="17742506"/>
    <w:rsid w:val="17897EF2"/>
    <w:rsid w:val="179778F3"/>
    <w:rsid w:val="17BD7456"/>
    <w:rsid w:val="17C5660C"/>
    <w:rsid w:val="18064353"/>
    <w:rsid w:val="18652FC2"/>
    <w:rsid w:val="189B641B"/>
    <w:rsid w:val="18DD7EFA"/>
    <w:rsid w:val="18EB32E8"/>
    <w:rsid w:val="19137AFC"/>
    <w:rsid w:val="19622F5E"/>
    <w:rsid w:val="19742C91"/>
    <w:rsid w:val="198A0E4B"/>
    <w:rsid w:val="19B15033"/>
    <w:rsid w:val="1AA50C28"/>
    <w:rsid w:val="1AAE21D3"/>
    <w:rsid w:val="1AD6585A"/>
    <w:rsid w:val="1AE9765A"/>
    <w:rsid w:val="1B1A33C4"/>
    <w:rsid w:val="1B4641B9"/>
    <w:rsid w:val="1BCD078D"/>
    <w:rsid w:val="1BE614F8"/>
    <w:rsid w:val="1C6C3EBF"/>
    <w:rsid w:val="1C7C3099"/>
    <w:rsid w:val="1C9F4596"/>
    <w:rsid w:val="1CB82E95"/>
    <w:rsid w:val="1D323B04"/>
    <w:rsid w:val="1D4F6E3B"/>
    <w:rsid w:val="1D8D39D3"/>
    <w:rsid w:val="1D9525D2"/>
    <w:rsid w:val="1E0841D0"/>
    <w:rsid w:val="1EA53100"/>
    <w:rsid w:val="1EC61F32"/>
    <w:rsid w:val="1EE77A61"/>
    <w:rsid w:val="1EE93DB3"/>
    <w:rsid w:val="1EEE2B9E"/>
    <w:rsid w:val="1EF37632"/>
    <w:rsid w:val="1F326A59"/>
    <w:rsid w:val="1F354E12"/>
    <w:rsid w:val="1FA97D98"/>
    <w:rsid w:val="1FB61240"/>
    <w:rsid w:val="201A54AB"/>
    <w:rsid w:val="20442505"/>
    <w:rsid w:val="20B47E17"/>
    <w:rsid w:val="20D47DF7"/>
    <w:rsid w:val="20F21B36"/>
    <w:rsid w:val="20FD0DBE"/>
    <w:rsid w:val="21575F88"/>
    <w:rsid w:val="21C44A9A"/>
    <w:rsid w:val="226B2757"/>
    <w:rsid w:val="22BE4F7D"/>
    <w:rsid w:val="22E569AE"/>
    <w:rsid w:val="22F36DE9"/>
    <w:rsid w:val="23022550"/>
    <w:rsid w:val="23311E82"/>
    <w:rsid w:val="233A29DF"/>
    <w:rsid w:val="235D1CFF"/>
    <w:rsid w:val="23787282"/>
    <w:rsid w:val="23873D1B"/>
    <w:rsid w:val="23A8707F"/>
    <w:rsid w:val="23D47E71"/>
    <w:rsid w:val="241F2012"/>
    <w:rsid w:val="2492221D"/>
    <w:rsid w:val="24B65F0C"/>
    <w:rsid w:val="24B76603"/>
    <w:rsid w:val="24C71537"/>
    <w:rsid w:val="252E1F46"/>
    <w:rsid w:val="255729FA"/>
    <w:rsid w:val="25805E78"/>
    <w:rsid w:val="259E5864"/>
    <w:rsid w:val="25C44658"/>
    <w:rsid w:val="25E53EB4"/>
    <w:rsid w:val="25F91C59"/>
    <w:rsid w:val="262D1EDD"/>
    <w:rsid w:val="262D7EE2"/>
    <w:rsid w:val="26345C82"/>
    <w:rsid w:val="26443A6C"/>
    <w:rsid w:val="26F57ADB"/>
    <w:rsid w:val="272E0923"/>
    <w:rsid w:val="2793048E"/>
    <w:rsid w:val="27AC7278"/>
    <w:rsid w:val="27BC40AA"/>
    <w:rsid w:val="280E714D"/>
    <w:rsid w:val="286608DB"/>
    <w:rsid w:val="28675821"/>
    <w:rsid w:val="287A768B"/>
    <w:rsid w:val="288B5901"/>
    <w:rsid w:val="28B35AF9"/>
    <w:rsid w:val="28B47FB3"/>
    <w:rsid w:val="291479E1"/>
    <w:rsid w:val="29210904"/>
    <w:rsid w:val="294A6DC7"/>
    <w:rsid w:val="297445E7"/>
    <w:rsid w:val="29984B18"/>
    <w:rsid w:val="29EF0632"/>
    <w:rsid w:val="2A0F07CB"/>
    <w:rsid w:val="2A340A85"/>
    <w:rsid w:val="2A4725A0"/>
    <w:rsid w:val="2AF94679"/>
    <w:rsid w:val="2B8856B6"/>
    <w:rsid w:val="2B9F115D"/>
    <w:rsid w:val="2BF305E6"/>
    <w:rsid w:val="2C302A48"/>
    <w:rsid w:val="2C6A296F"/>
    <w:rsid w:val="2C95643B"/>
    <w:rsid w:val="2CE3364D"/>
    <w:rsid w:val="2D3513A0"/>
    <w:rsid w:val="2D3741B8"/>
    <w:rsid w:val="2D3A4195"/>
    <w:rsid w:val="2DA6257F"/>
    <w:rsid w:val="2DA87432"/>
    <w:rsid w:val="2DBE4083"/>
    <w:rsid w:val="2DC23B73"/>
    <w:rsid w:val="2DE57862"/>
    <w:rsid w:val="2E374561"/>
    <w:rsid w:val="2E4E753A"/>
    <w:rsid w:val="2E755BFA"/>
    <w:rsid w:val="2E82325D"/>
    <w:rsid w:val="2E862BE9"/>
    <w:rsid w:val="2EB62824"/>
    <w:rsid w:val="2ED33B5E"/>
    <w:rsid w:val="2EDB57B7"/>
    <w:rsid w:val="2EE21A82"/>
    <w:rsid w:val="2EFD7FBA"/>
    <w:rsid w:val="2F2F6276"/>
    <w:rsid w:val="2F8C274D"/>
    <w:rsid w:val="2FAF45CB"/>
    <w:rsid w:val="2FBE036A"/>
    <w:rsid w:val="2FBE4A9D"/>
    <w:rsid w:val="2FE6734E"/>
    <w:rsid w:val="30186D9C"/>
    <w:rsid w:val="303065B0"/>
    <w:rsid w:val="30F41315"/>
    <w:rsid w:val="314A42A6"/>
    <w:rsid w:val="315A3D9B"/>
    <w:rsid w:val="31623972"/>
    <w:rsid w:val="31B00187"/>
    <w:rsid w:val="324C58EE"/>
    <w:rsid w:val="328C3F0E"/>
    <w:rsid w:val="32AA3576"/>
    <w:rsid w:val="32C57C62"/>
    <w:rsid w:val="32E6746F"/>
    <w:rsid w:val="331865C6"/>
    <w:rsid w:val="338A4629"/>
    <w:rsid w:val="33B158EA"/>
    <w:rsid w:val="33F20F2A"/>
    <w:rsid w:val="34326461"/>
    <w:rsid w:val="346C65E7"/>
    <w:rsid w:val="34993154"/>
    <w:rsid w:val="34994ACB"/>
    <w:rsid w:val="34A4076D"/>
    <w:rsid w:val="34A71D15"/>
    <w:rsid w:val="34EB1C02"/>
    <w:rsid w:val="352E30A2"/>
    <w:rsid w:val="355509B7"/>
    <w:rsid w:val="356C0B3B"/>
    <w:rsid w:val="35B54E35"/>
    <w:rsid w:val="35C3679B"/>
    <w:rsid w:val="35C833DD"/>
    <w:rsid w:val="35D97CAC"/>
    <w:rsid w:val="35F01532"/>
    <w:rsid w:val="360410B6"/>
    <w:rsid w:val="360621B5"/>
    <w:rsid w:val="361130C2"/>
    <w:rsid w:val="36422291"/>
    <w:rsid w:val="36AA42E5"/>
    <w:rsid w:val="36CE6FE8"/>
    <w:rsid w:val="36DC334F"/>
    <w:rsid w:val="372907BF"/>
    <w:rsid w:val="37470F02"/>
    <w:rsid w:val="37656EB8"/>
    <w:rsid w:val="377169DA"/>
    <w:rsid w:val="37AB4ED8"/>
    <w:rsid w:val="37BF2ED1"/>
    <w:rsid w:val="386160C8"/>
    <w:rsid w:val="388F2529"/>
    <w:rsid w:val="389C4EBE"/>
    <w:rsid w:val="38CA7B4E"/>
    <w:rsid w:val="38E5618E"/>
    <w:rsid w:val="38F60B75"/>
    <w:rsid w:val="391E32EE"/>
    <w:rsid w:val="39417AE1"/>
    <w:rsid w:val="39487E1E"/>
    <w:rsid w:val="394C69E7"/>
    <w:rsid w:val="39603FBE"/>
    <w:rsid w:val="396A13BC"/>
    <w:rsid w:val="39CC01CF"/>
    <w:rsid w:val="3A0F636C"/>
    <w:rsid w:val="3A115E55"/>
    <w:rsid w:val="3A125E82"/>
    <w:rsid w:val="3A2E5D93"/>
    <w:rsid w:val="3A5A591C"/>
    <w:rsid w:val="3AB60ED4"/>
    <w:rsid w:val="3AD75390"/>
    <w:rsid w:val="3AEE2AB9"/>
    <w:rsid w:val="3B26431E"/>
    <w:rsid w:val="3B292871"/>
    <w:rsid w:val="3B2F216B"/>
    <w:rsid w:val="3B575ADC"/>
    <w:rsid w:val="3B706B6D"/>
    <w:rsid w:val="3B9F4F56"/>
    <w:rsid w:val="3BCA75BD"/>
    <w:rsid w:val="3BE01BF7"/>
    <w:rsid w:val="3C962485"/>
    <w:rsid w:val="3CAC1FDE"/>
    <w:rsid w:val="3CBA4399"/>
    <w:rsid w:val="3CDE7455"/>
    <w:rsid w:val="3CF2732E"/>
    <w:rsid w:val="3D4A154A"/>
    <w:rsid w:val="3D9E74BE"/>
    <w:rsid w:val="3DAE1A1E"/>
    <w:rsid w:val="3DAF72B7"/>
    <w:rsid w:val="3DB039E8"/>
    <w:rsid w:val="3E027FBC"/>
    <w:rsid w:val="3E35213F"/>
    <w:rsid w:val="3E3A106C"/>
    <w:rsid w:val="3E486C40"/>
    <w:rsid w:val="3E4C227C"/>
    <w:rsid w:val="3E777074"/>
    <w:rsid w:val="3E970CEA"/>
    <w:rsid w:val="3EB76FF8"/>
    <w:rsid w:val="3F17605B"/>
    <w:rsid w:val="3F1A1FCE"/>
    <w:rsid w:val="3F226537"/>
    <w:rsid w:val="3F253F62"/>
    <w:rsid w:val="3F3101B5"/>
    <w:rsid w:val="3F6842E5"/>
    <w:rsid w:val="403D2D06"/>
    <w:rsid w:val="40672957"/>
    <w:rsid w:val="407A110F"/>
    <w:rsid w:val="4089046C"/>
    <w:rsid w:val="409273D5"/>
    <w:rsid w:val="40943FA7"/>
    <w:rsid w:val="40DB09F6"/>
    <w:rsid w:val="40E439A9"/>
    <w:rsid w:val="41230F51"/>
    <w:rsid w:val="41296C1D"/>
    <w:rsid w:val="412B1CFE"/>
    <w:rsid w:val="412B5DCB"/>
    <w:rsid w:val="413814B2"/>
    <w:rsid w:val="41546D80"/>
    <w:rsid w:val="41A701CB"/>
    <w:rsid w:val="41CE0187"/>
    <w:rsid w:val="41D23D44"/>
    <w:rsid w:val="41D2457A"/>
    <w:rsid w:val="41E81277"/>
    <w:rsid w:val="41FE38CF"/>
    <w:rsid w:val="4211767B"/>
    <w:rsid w:val="42612B81"/>
    <w:rsid w:val="42695728"/>
    <w:rsid w:val="427A59CE"/>
    <w:rsid w:val="428D0E2B"/>
    <w:rsid w:val="42C359AA"/>
    <w:rsid w:val="42C62596"/>
    <w:rsid w:val="42CA6BA3"/>
    <w:rsid w:val="42ED4D97"/>
    <w:rsid w:val="4327494F"/>
    <w:rsid w:val="433A4C14"/>
    <w:rsid w:val="434F5A51"/>
    <w:rsid w:val="438424E9"/>
    <w:rsid w:val="43CB346B"/>
    <w:rsid w:val="43DB5537"/>
    <w:rsid w:val="43E048FB"/>
    <w:rsid w:val="43FF57C3"/>
    <w:rsid w:val="44004F9E"/>
    <w:rsid w:val="440D3C2F"/>
    <w:rsid w:val="442A63A6"/>
    <w:rsid w:val="443C3612"/>
    <w:rsid w:val="447B4D95"/>
    <w:rsid w:val="44816184"/>
    <w:rsid w:val="44853A49"/>
    <w:rsid w:val="44917BC1"/>
    <w:rsid w:val="450157C1"/>
    <w:rsid w:val="45231058"/>
    <w:rsid w:val="452A144D"/>
    <w:rsid w:val="453C6921"/>
    <w:rsid w:val="456A1083"/>
    <w:rsid w:val="458A4B1F"/>
    <w:rsid w:val="458B4CB0"/>
    <w:rsid w:val="459260C9"/>
    <w:rsid w:val="459836FF"/>
    <w:rsid w:val="45BC6CA2"/>
    <w:rsid w:val="45C44F0B"/>
    <w:rsid w:val="45FB33F8"/>
    <w:rsid w:val="45FC53D1"/>
    <w:rsid w:val="46513163"/>
    <w:rsid w:val="46544E64"/>
    <w:rsid w:val="4656095D"/>
    <w:rsid w:val="46A37E92"/>
    <w:rsid w:val="470D188A"/>
    <w:rsid w:val="473F7891"/>
    <w:rsid w:val="4779309D"/>
    <w:rsid w:val="47C90E9A"/>
    <w:rsid w:val="483A2895"/>
    <w:rsid w:val="484F02A2"/>
    <w:rsid w:val="48502E50"/>
    <w:rsid w:val="48594DB8"/>
    <w:rsid w:val="48A14CE3"/>
    <w:rsid w:val="48EE7ABB"/>
    <w:rsid w:val="48F158AA"/>
    <w:rsid w:val="49022E1F"/>
    <w:rsid w:val="496E6505"/>
    <w:rsid w:val="4A0D21C2"/>
    <w:rsid w:val="4A1448A8"/>
    <w:rsid w:val="4A27116B"/>
    <w:rsid w:val="4A2C089A"/>
    <w:rsid w:val="4A301A0D"/>
    <w:rsid w:val="4A402C5F"/>
    <w:rsid w:val="4A4469AD"/>
    <w:rsid w:val="4A513E5D"/>
    <w:rsid w:val="4AAB2EF3"/>
    <w:rsid w:val="4AF3760A"/>
    <w:rsid w:val="4B8118C1"/>
    <w:rsid w:val="4BB2739B"/>
    <w:rsid w:val="4BF1610B"/>
    <w:rsid w:val="4C704112"/>
    <w:rsid w:val="4C7C5239"/>
    <w:rsid w:val="4CF87845"/>
    <w:rsid w:val="4D3B1A90"/>
    <w:rsid w:val="4D3B2BA3"/>
    <w:rsid w:val="4D636650"/>
    <w:rsid w:val="4D644AB2"/>
    <w:rsid w:val="4D7D500F"/>
    <w:rsid w:val="4D9B3132"/>
    <w:rsid w:val="4DA86480"/>
    <w:rsid w:val="4DCE5557"/>
    <w:rsid w:val="4DD20B39"/>
    <w:rsid w:val="4DE24313"/>
    <w:rsid w:val="4E21623C"/>
    <w:rsid w:val="4E623AEF"/>
    <w:rsid w:val="4E7B63E6"/>
    <w:rsid w:val="4E834801"/>
    <w:rsid w:val="4E85133A"/>
    <w:rsid w:val="4ECC61A8"/>
    <w:rsid w:val="4EE901F2"/>
    <w:rsid w:val="4F2307E8"/>
    <w:rsid w:val="4FA7638F"/>
    <w:rsid w:val="4FAC3A9F"/>
    <w:rsid w:val="4FC84735"/>
    <w:rsid w:val="50394575"/>
    <w:rsid w:val="50650662"/>
    <w:rsid w:val="50B1418D"/>
    <w:rsid w:val="50F54AAE"/>
    <w:rsid w:val="51031C29"/>
    <w:rsid w:val="510734AA"/>
    <w:rsid w:val="511E58D1"/>
    <w:rsid w:val="512C73D5"/>
    <w:rsid w:val="51361FFF"/>
    <w:rsid w:val="51451207"/>
    <w:rsid w:val="51557DD0"/>
    <w:rsid w:val="517B5C63"/>
    <w:rsid w:val="518E1E3B"/>
    <w:rsid w:val="5191207C"/>
    <w:rsid w:val="51AF5FE6"/>
    <w:rsid w:val="51D138E8"/>
    <w:rsid w:val="524876DE"/>
    <w:rsid w:val="526E7D50"/>
    <w:rsid w:val="527276B4"/>
    <w:rsid w:val="5289043B"/>
    <w:rsid w:val="52A75737"/>
    <w:rsid w:val="52CB0F9F"/>
    <w:rsid w:val="52E0653A"/>
    <w:rsid w:val="530219FE"/>
    <w:rsid w:val="531E3EF5"/>
    <w:rsid w:val="53444547"/>
    <w:rsid w:val="535D1AC5"/>
    <w:rsid w:val="53D56755"/>
    <w:rsid w:val="53F752A0"/>
    <w:rsid w:val="5411106D"/>
    <w:rsid w:val="541D3002"/>
    <w:rsid w:val="547B031B"/>
    <w:rsid w:val="548C2C55"/>
    <w:rsid w:val="549B226A"/>
    <w:rsid w:val="54B0521E"/>
    <w:rsid w:val="54B95421"/>
    <w:rsid w:val="54D7446E"/>
    <w:rsid w:val="54F155A6"/>
    <w:rsid w:val="553A7055"/>
    <w:rsid w:val="556F788D"/>
    <w:rsid w:val="55A80C91"/>
    <w:rsid w:val="55BA485F"/>
    <w:rsid w:val="55EA629B"/>
    <w:rsid w:val="55F56A35"/>
    <w:rsid w:val="56156787"/>
    <w:rsid w:val="56350EFB"/>
    <w:rsid w:val="563A2544"/>
    <w:rsid w:val="564F575C"/>
    <w:rsid w:val="565847C5"/>
    <w:rsid w:val="565866C9"/>
    <w:rsid w:val="5688489D"/>
    <w:rsid w:val="56A33C92"/>
    <w:rsid w:val="56CE4961"/>
    <w:rsid w:val="56D467AB"/>
    <w:rsid w:val="56E80800"/>
    <w:rsid w:val="57185426"/>
    <w:rsid w:val="573A1A99"/>
    <w:rsid w:val="57913175"/>
    <w:rsid w:val="57E56B89"/>
    <w:rsid w:val="57F87BFC"/>
    <w:rsid w:val="58290CFC"/>
    <w:rsid w:val="586447AF"/>
    <w:rsid w:val="588066F5"/>
    <w:rsid w:val="58A14202"/>
    <w:rsid w:val="58B83BF5"/>
    <w:rsid w:val="58CE0D1E"/>
    <w:rsid w:val="595E56DA"/>
    <w:rsid w:val="59975605"/>
    <w:rsid w:val="59C67689"/>
    <w:rsid w:val="5A1A5FD2"/>
    <w:rsid w:val="5A2F3A8F"/>
    <w:rsid w:val="5A49089A"/>
    <w:rsid w:val="5A7D17AB"/>
    <w:rsid w:val="5A821E11"/>
    <w:rsid w:val="5ADC117F"/>
    <w:rsid w:val="5B217870"/>
    <w:rsid w:val="5B370E4D"/>
    <w:rsid w:val="5B4669BF"/>
    <w:rsid w:val="5B490B80"/>
    <w:rsid w:val="5B566F88"/>
    <w:rsid w:val="5B6F16BD"/>
    <w:rsid w:val="5B871882"/>
    <w:rsid w:val="5BC31F35"/>
    <w:rsid w:val="5BCF0530"/>
    <w:rsid w:val="5C431A63"/>
    <w:rsid w:val="5C4A6A7D"/>
    <w:rsid w:val="5C55596B"/>
    <w:rsid w:val="5C7B189C"/>
    <w:rsid w:val="5D021747"/>
    <w:rsid w:val="5D344AC9"/>
    <w:rsid w:val="5D4F626D"/>
    <w:rsid w:val="5D832BF3"/>
    <w:rsid w:val="5D962BC3"/>
    <w:rsid w:val="5DB2076D"/>
    <w:rsid w:val="5E0C30E6"/>
    <w:rsid w:val="5E6E5C45"/>
    <w:rsid w:val="5EA94CB1"/>
    <w:rsid w:val="5EAF16CE"/>
    <w:rsid w:val="5F3131C6"/>
    <w:rsid w:val="5F4C4754"/>
    <w:rsid w:val="5F73441E"/>
    <w:rsid w:val="5F7A755A"/>
    <w:rsid w:val="5F85783B"/>
    <w:rsid w:val="5FC14B2F"/>
    <w:rsid w:val="5FE25A3D"/>
    <w:rsid w:val="5FE667E2"/>
    <w:rsid w:val="5FFF2560"/>
    <w:rsid w:val="60177CFC"/>
    <w:rsid w:val="601C6972"/>
    <w:rsid w:val="604F4E8B"/>
    <w:rsid w:val="60981CEA"/>
    <w:rsid w:val="60B42F40"/>
    <w:rsid w:val="60E62633"/>
    <w:rsid w:val="60FF6DBE"/>
    <w:rsid w:val="61693D2A"/>
    <w:rsid w:val="61824E8E"/>
    <w:rsid w:val="61D95824"/>
    <w:rsid w:val="61DA3DE4"/>
    <w:rsid w:val="62023B22"/>
    <w:rsid w:val="622A129B"/>
    <w:rsid w:val="62AD115F"/>
    <w:rsid w:val="62AF1C11"/>
    <w:rsid w:val="631618EC"/>
    <w:rsid w:val="63183393"/>
    <w:rsid w:val="635B58F5"/>
    <w:rsid w:val="63717442"/>
    <w:rsid w:val="63912164"/>
    <w:rsid w:val="63A1512E"/>
    <w:rsid w:val="63AB1823"/>
    <w:rsid w:val="64191A38"/>
    <w:rsid w:val="641C6B60"/>
    <w:rsid w:val="645C7EA7"/>
    <w:rsid w:val="6466033A"/>
    <w:rsid w:val="65AC2438"/>
    <w:rsid w:val="65EA73D7"/>
    <w:rsid w:val="66240876"/>
    <w:rsid w:val="665D1C4F"/>
    <w:rsid w:val="66734B1E"/>
    <w:rsid w:val="66854BCD"/>
    <w:rsid w:val="66E70FAC"/>
    <w:rsid w:val="66FA4C42"/>
    <w:rsid w:val="67186709"/>
    <w:rsid w:val="67405616"/>
    <w:rsid w:val="67424FEC"/>
    <w:rsid w:val="675613A6"/>
    <w:rsid w:val="676B07FC"/>
    <w:rsid w:val="680E7AD7"/>
    <w:rsid w:val="687312A7"/>
    <w:rsid w:val="68836607"/>
    <w:rsid w:val="688C49A6"/>
    <w:rsid w:val="68D1574D"/>
    <w:rsid w:val="6939281C"/>
    <w:rsid w:val="6982541E"/>
    <w:rsid w:val="69A54CB7"/>
    <w:rsid w:val="69B53996"/>
    <w:rsid w:val="69E5704E"/>
    <w:rsid w:val="69F13B78"/>
    <w:rsid w:val="6A2A3C8C"/>
    <w:rsid w:val="6A2A530E"/>
    <w:rsid w:val="6A3D5D54"/>
    <w:rsid w:val="6A5D3ED1"/>
    <w:rsid w:val="6A9A5C09"/>
    <w:rsid w:val="6AB04778"/>
    <w:rsid w:val="6AD2649C"/>
    <w:rsid w:val="6B031AA5"/>
    <w:rsid w:val="6B5B0B88"/>
    <w:rsid w:val="6B9F6960"/>
    <w:rsid w:val="6C4B260E"/>
    <w:rsid w:val="6C5766BC"/>
    <w:rsid w:val="6CB933FA"/>
    <w:rsid w:val="6D594C53"/>
    <w:rsid w:val="6D6C1822"/>
    <w:rsid w:val="6D724353"/>
    <w:rsid w:val="6D7870EB"/>
    <w:rsid w:val="6D790059"/>
    <w:rsid w:val="6D8C327A"/>
    <w:rsid w:val="6D994D0E"/>
    <w:rsid w:val="6E346665"/>
    <w:rsid w:val="6E435434"/>
    <w:rsid w:val="6E4A53A7"/>
    <w:rsid w:val="6E5361EF"/>
    <w:rsid w:val="6E70494A"/>
    <w:rsid w:val="6E8E0ECD"/>
    <w:rsid w:val="6E997A91"/>
    <w:rsid w:val="6EB43DC7"/>
    <w:rsid w:val="6F3C65DA"/>
    <w:rsid w:val="6F3C6F59"/>
    <w:rsid w:val="6F69656D"/>
    <w:rsid w:val="6F9044C3"/>
    <w:rsid w:val="6F9B691D"/>
    <w:rsid w:val="6FBF4D77"/>
    <w:rsid w:val="6FFB7B4A"/>
    <w:rsid w:val="701E3338"/>
    <w:rsid w:val="70421843"/>
    <w:rsid w:val="705D4A5A"/>
    <w:rsid w:val="70DD2C16"/>
    <w:rsid w:val="70E92897"/>
    <w:rsid w:val="710E4AA4"/>
    <w:rsid w:val="712832BA"/>
    <w:rsid w:val="713E3598"/>
    <w:rsid w:val="719130E6"/>
    <w:rsid w:val="719A09DE"/>
    <w:rsid w:val="728B1D53"/>
    <w:rsid w:val="72DE41C4"/>
    <w:rsid w:val="73107AA8"/>
    <w:rsid w:val="733665D5"/>
    <w:rsid w:val="73465C7A"/>
    <w:rsid w:val="738F7621"/>
    <w:rsid w:val="73987BB2"/>
    <w:rsid w:val="73BB735B"/>
    <w:rsid w:val="73BE05FF"/>
    <w:rsid w:val="73F65FFA"/>
    <w:rsid w:val="74315F89"/>
    <w:rsid w:val="746A0DBC"/>
    <w:rsid w:val="746C1AE8"/>
    <w:rsid w:val="749647E1"/>
    <w:rsid w:val="74967430"/>
    <w:rsid w:val="749F700F"/>
    <w:rsid w:val="74A34E96"/>
    <w:rsid w:val="74B05E45"/>
    <w:rsid w:val="74F50953"/>
    <w:rsid w:val="75472320"/>
    <w:rsid w:val="75B25D2B"/>
    <w:rsid w:val="75CC5217"/>
    <w:rsid w:val="75E1612D"/>
    <w:rsid w:val="75E36971"/>
    <w:rsid w:val="75F91F2A"/>
    <w:rsid w:val="760C2E49"/>
    <w:rsid w:val="768E2D55"/>
    <w:rsid w:val="76A95A38"/>
    <w:rsid w:val="76B733F8"/>
    <w:rsid w:val="77091498"/>
    <w:rsid w:val="77271704"/>
    <w:rsid w:val="77330FFC"/>
    <w:rsid w:val="77F4209F"/>
    <w:rsid w:val="786C7DFD"/>
    <w:rsid w:val="78821F70"/>
    <w:rsid w:val="791D747D"/>
    <w:rsid w:val="79392906"/>
    <w:rsid w:val="795F1383"/>
    <w:rsid w:val="79B5646F"/>
    <w:rsid w:val="79C478F8"/>
    <w:rsid w:val="79CB6ED9"/>
    <w:rsid w:val="79D81204"/>
    <w:rsid w:val="79DA711C"/>
    <w:rsid w:val="7A6C6C92"/>
    <w:rsid w:val="7A863382"/>
    <w:rsid w:val="7AA85F44"/>
    <w:rsid w:val="7AAB4D1D"/>
    <w:rsid w:val="7ABE4D07"/>
    <w:rsid w:val="7AEC5D5D"/>
    <w:rsid w:val="7AFE1EF5"/>
    <w:rsid w:val="7B025905"/>
    <w:rsid w:val="7B353C3B"/>
    <w:rsid w:val="7B6367D2"/>
    <w:rsid w:val="7BA81FAA"/>
    <w:rsid w:val="7BAD0F8C"/>
    <w:rsid w:val="7BB45623"/>
    <w:rsid w:val="7BB864CF"/>
    <w:rsid w:val="7BCF3E3B"/>
    <w:rsid w:val="7C2423BA"/>
    <w:rsid w:val="7C242FE2"/>
    <w:rsid w:val="7C356A74"/>
    <w:rsid w:val="7C4F71FF"/>
    <w:rsid w:val="7CF271DD"/>
    <w:rsid w:val="7D1B1F25"/>
    <w:rsid w:val="7D2E4E92"/>
    <w:rsid w:val="7D2E7EAA"/>
    <w:rsid w:val="7D462A91"/>
    <w:rsid w:val="7D4B2116"/>
    <w:rsid w:val="7D9E01FF"/>
    <w:rsid w:val="7DD1003A"/>
    <w:rsid w:val="7E3A2A6D"/>
    <w:rsid w:val="7E6B1CBB"/>
    <w:rsid w:val="7ECA5F24"/>
    <w:rsid w:val="7EDE28DD"/>
    <w:rsid w:val="7EF02F3D"/>
    <w:rsid w:val="7F1D5AFB"/>
    <w:rsid w:val="7F1F0761"/>
    <w:rsid w:val="7F3472CE"/>
    <w:rsid w:val="7F85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5">
    <w:name w:val="heading 3"/>
    <w:basedOn w:val="1"/>
    <w:next w:val="1"/>
    <w:qFormat/>
    <w:uiPriority w:val="9"/>
    <w:pPr>
      <w:spacing w:line="360" w:lineRule="auto"/>
      <w:ind w:firstLine="1040" w:firstLineChars="200"/>
      <w:jc w:val="left"/>
      <w:outlineLvl w:val="2"/>
    </w:pPr>
    <w:rPr>
      <w:rFonts w:hint="eastAsia" w:ascii="仿宋_GB2312" w:hAnsi="仿宋_GB2312" w:eastAsia="仿宋_GB2312"/>
      <w:b/>
      <w:kern w:val="0"/>
      <w:sz w:val="32"/>
      <w:szCs w:val="27"/>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1"/>
    <w:pPr>
      <w:ind w:left="400"/>
    </w:pPr>
    <w:rPr>
      <w:rFonts w:ascii="仿宋" w:hAnsi="仿宋" w:eastAsia="仿宋" w:cs="仿宋"/>
      <w:sz w:val="32"/>
      <w:szCs w:val="32"/>
      <w:lang w:val="zh-CN" w:bidi="zh-CN"/>
    </w:rPr>
  </w:style>
  <w:style w:type="paragraph" w:styleId="8">
    <w:name w:val="Body Text Indent"/>
    <w:basedOn w:val="1"/>
    <w:qFormat/>
    <w:uiPriority w:val="0"/>
    <w:pPr>
      <w:spacing w:line="360" w:lineRule="auto"/>
      <w:ind w:firstLine="480" w:firstLineChars="200"/>
    </w:pPr>
    <w:rPr>
      <w:rFonts w:ascii="仿宋_GB2312" w:hAnsi="仿宋_GB2312" w:eastAsia="仿宋_GB2312" w:cs="仿宋_GB2312"/>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footnote text"/>
    <w:basedOn w:val="1"/>
    <w:qFormat/>
    <w:uiPriority w:val="0"/>
    <w:pPr>
      <w:snapToGrid w:val="0"/>
      <w:jc w:val="left"/>
    </w:pPr>
    <w:rPr>
      <w:rFonts w:ascii="Droid Sans" w:hAnsi="Droid Sans" w:eastAsia="仿宋_GB2312"/>
    </w:rPr>
  </w:style>
  <w:style w:type="paragraph" w:styleId="13">
    <w:name w:val="toc 2"/>
    <w:basedOn w:val="1"/>
    <w:next w:val="1"/>
    <w:qFormat/>
    <w:uiPriority w:val="0"/>
    <w:pPr>
      <w:ind w:left="420" w:leftChars="200"/>
    </w:pPr>
  </w:style>
  <w:style w:type="paragraph" w:styleId="14">
    <w:name w:val="Body Text 2"/>
    <w:basedOn w:val="1"/>
    <w:qFormat/>
    <w:uiPriority w:val="99"/>
    <w:pPr>
      <w:spacing w:after="120" w:line="480" w:lineRule="auto"/>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qFormat/>
    <w:uiPriority w:val="0"/>
    <w:rPr>
      <w:color w:val="800080"/>
      <w:u w:val="single"/>
    </w:rPr>
  </w:style>
  <w:style w:type="character" w:styleId="20">
    <w:name w:val="Hyperlink"/>
    <w:basedOn w:val="17"/>
    <w:qFormat/>
    <w:uiPriority w:val="0"/>
    <w:rPr>
      <w:color w:val="0000FF"/>
      <w:u w:val="single"/>
    </w:rPr>
  </w:style>
  <w:style w:type="character" w:styleId="21">
    <w:name w:val="footnote reference"/>
    <w:qFormat/>
    <w:uiPriority w:val="0"/>
    <w:rPr>
      <w:vertAlign w:val="superscript"/>
    </w:rPr>
  </w:style>
  <w:style w:type="paragraph" w:customStyle="1" w:styleId="22">
    <w:name w:val="BodyText"/>
    <w:basedOn w:val="1"/>
    <w:qFormat/>
    <w:uiPriority w:val="0"/>
    <w:pPr>
      <w:spacing w:after="120"/>
      <w:textAlignment w:val="baseline"/>
    </w:pPr>
    <w:rPr>
      <w:rFonts w:ascii="Calibri" w:hAnsi="Calibri"/>
    </w:rPr>
  </w:style>
  <w:style w:type="paragraph" w:customStyle="1" w:styleId="23">
    <w:name w:val="WPSOffice手动目录 1"/>
    <w:qFormat/>
    <w:uiPriority w:val="0"/>
    <w:pPr>
      <w:ind w:leftChars="0"/>
    </w:pPr>
    <w:rPr>
      <w:rFonts w:ascii="Calibri" w:hAnsi="Calibri" w:eastAsia="宋体" w:cs="宋体"/>
      <w:sz w:val="20"/>
      <w:szCs w:val="20"/>
    </w:rPr>
  </w:style>
  <w:style w:type="paragraph" w:customStyle="1" w:styleId="24">
    <w:name w:val="WPSOffice手动目录 2"/>
    <w:qFormat/>
    <w:uiPriority w:val="0"/>
    <w:pPr>
      <w:ind w:leftChars="200"/>
    </w:pPr>
    <w:rPr>
      <w:rFonts w:ascii="Calibri" w:hAnsi="Calibri" w:eastAsia="宋体" w:cs="宋体"/>
      <w:sz w:val="20"/>
      <w:szCs w:val="20"/>
    </w:rPr>
  </w:style>
  <w:style w:type="character" w:customStyle="1" w:styleId="25">
    <w:name w:val="font91"/>
    <w:basedOn w:val="17"/>
    <w:qFormat/>
    <w:uiPriority w:val="0"/>
    <w:rPr>
      <w:rFonts w:hint="eastAsia" w:ascii="宋体" w:hAnsi="宋体" w:eastAsia="宋体" w:cs="宋体"/>
      <w:color w:val="000000"/>
      <w:sz w:val="28"/>
      <w:szCs w:val="28"/>
      <w:u w:val="none"/>
    </w:rPr>
  </w:style>
  <w:style w:type="paragraph" w:customStyle="1" w:styleId="26">
    <w:name w:val="Normal Indent1"/>
    <w:basedOn w:val="1"/>
    <w:qFormat/>
    <w:uiPriority w:val="0"/>
    <w:pPr>
      <w:ind w:firstLine="200" w:firstLineChars="200"/>
    </w:pPr>
  </w:style>
  <w:style w:type="paragraph" w:customStyle="1" w:styleId="27">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character" w:customStyle="1" w:styleId="28">
    <w:name w:val="font31"/>
    <w:basedOn w:val="17"/>
    <w:uiPriority w:val="0"/>
    <w:rPr>
      <w:rFonts w:ascii="Calibri" w:hAnsi="Calibri" w:cs="Calibri"/>
      <w:color w:val="000000"/>
      <w:sz w:val="18"/>
      <w:szCs w:val="18"/>
      <w:u w:val="none"/>
    </w:rPr>
  </w:style>
  <w:style w:type="character" w:customStyle="1" w:styleId="29">
    <w:name w:val="font51"/>
    <w:basedOn w:val="1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bg2">
                <a:lumMod val="75000"/>
              </a:schemeClr>
            </a:solidFill>
            <a:ln>
              <a:noFill/>
            </a:ln>
            <a:effectLst/>
          </c:spPr>
          <c:invertIfNegative val="false"/>
          <c:dPt>
            <c:idx val="0"/>
            <c:invertIfNegative val="false"/>
            <c:bubble3D val="false"/>
            <c:spPr>
              <a:solidFill>
                <a:schemeClr val="bg1">
                  <a:lumMod val="85000"/>
                </a:schemeClr>
              </a:solidFill>
              <a:ln>
                <a:noFill/>
              </a:ln>
              <a:effectLst/>
            </c:spPr>
          </c:dPt>
          <c:dPt>
            <c:idx val="1"/>
            <c:invertIfNegative val="false"/>
            <c:bubble3D val="false"/>
            <c:spPr>
              <a:solidFill>
                <a:schemeClr val="bg1">
                  <a:lumMod val="50000"/>
                </a:schemeClr>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223</c:v>
                </c:pt>
                <c:pt idx="1">
                  <c:v>176</c:v>
                </c:pt>
              </c:numCache>
            </c:numRef>
          </c:val>
        </c:ser>
        <c:dLbls>
          <c:showLegendKey val="false"/>
          <c:showVal val="true"/>
          <c:showCatName val="false"/>
          <c:showSerName val="false"/>
          <c:showPercent val="false"/>
          <c:showBubbleSize val="false"/>
        </c:dLbls>
        <c:gapWidth val="338"/>
        <c:overlap val="-27"/>
        <c:axId val="662483762"/>
        <c:axId val="918864313"/>
      </c:barChart>
      <c:catAx>
        <c:axId val="66248376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crossAx val="918864313"/>
        <c:crosses val="max"/>
        <c:auto val="true"/>
        <c:lblAlgn val="ctr"/>
        <c:lblOffset val="100"/>
        <c:noMultiLvlLbl val="false"/>
      </c:catAx>
      <c:valAx>
        <c:axId val="918864313"/>
        <c:scaling>
          <c:orientation val="maxMin"/>
          <c:max val="250"/>
          <c:min val="15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crossAx val="662483762"/>
        <c:crosses val="autoZero"/>
        <c:crossBetween val="between"/>
        <c:majorUnit val="50"/>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1"/>
    </mc:Choice>
    <mc:Fallback>
      <c:style val="1"/>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bg1">
                <a:lumMod val="50000"/>
              </a:schemeClr>
            </a:solidFill>
            <a:ln>
              <a:noFill/>
            </a:ln>
            <a:effectLst/>
          </c:spPr>
          <c:invertIfNegative val="false"/>
          <c:dLbls>
            <c:dLbl>
              <c:idx val="0"/>
              <c:layout>
                <c:manualLayout>
                  <c:x val="0.0482450205547823"/>
                  <c:y val="-0.0564434298565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87500070418461"/>
                  <c:y val="-0.0087432769211527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532608441797676"/>
                  <c:y val="-0.040179573976821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29912229781765"/>
                  <c:y val="-0.0566206200862074"/>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239176010642766"/>
                  <c:y val="-0.018264411137628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满意</c:v>
                </c:pt>
                <c:pt idx="1">
                  <c:v>比较满意</c:v>
                </c:pt>
                <c:pt idx="2">
                  <c:v>不太满意</c:v>
                </c:pt>
                <c:pt idx="3">
                  <c:v>不满意</c:v>
                </c:pt>
                <c:pt idx="4">
                  <c:v>不了解</c:v>
                </c:pt>
              </c:strCache>
            </c:strRef>
          </c:cat>
          <c:val>
            <c:numRef>
              <c:f>Sheet1!$B$2:$B$6</c:f>
              <c:numCache>
                <c:formatCode>0.00%</c:formatCode>
                <c:ptCount val="5"/>
                <c:pt idx="0">
                  <c:v>0.2895</c:v>
                </c:pt>
                <c:pt idx="1">
                  <c:v>0.4211</c:v>
                </c:pt>
                <c:pt idx="2">
                  <c:v>0.1316</c:v>
                </c:pt>
                <c:pt idx="3">
                  <c:v>0.0702</c:v>
                </c:pt>
                <c:pt idx="4">
                  <c:v>0.0877</c:v>
                </c:pt>
              </c:numCache>
            </c:numRef>
          </c:val>
        </c:ser>
        <c:dLbls>
          <c:showLegendKey val="false"/>
          <c:showVal val="true"/>
          <c:showCatName val="false"/>
          <c:showSerName val="false"/>
          <c:showPercent val="false"/>
          <c:showBubbleSize val="false"/>
        </c:dLbls>
        <c:gapWidth val="219"/>
        <c:overlap val="-27"/>
        <c:axId val="397531828"/>
        <c:axId val="884851332"/>
      </c:barChart>
      <c:catAx>
        <c:axId val="397531828"/>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crossAx val="884851332"/>
        <c:crosses val="autoZero"/>
        <c:auto val="true"/>
        <c:lblAlgn val="ctr"/>
        <c:lblOffset val="100"/>
        <c:noMultiLvlLbl val="false"/>
      </c:catAx>
      <c:valAx>
        <c:axId val="884851332"/>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out"/>
        <c:minorTickMark val="none"/>
        <c:tickLblPos val="nextTo"/>
        <c:spPr>
          <a:noFill/>
          <a:ln>
            <a:noFill/>
          </a:ln>
          <a:effectLst/>
        </c:spPr>
        <c:txPr>
          <a:bodyPr rot="-60000000" spcFirstLastPara="0"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crossAx val="397531828"/>
        <c:crosses val="autoZero"/>
        <c:crossBetween val="between"/>
        <c:majorUnit val="0.1"/>
        <c:minorUnit val="0.1"/>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22302</Words>
  <Characters>24827</Characters>
  <Paragraphs>1481</Paragraphs>
  <TotalTime>7</TotalTime>
  <ScaleCrop>false</ScaleCrop>
  <LinksUpToDate>false</LinksUpToDate>
  <CharactersWithSpaces>25064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2019-12-26T17:26:00Z</dcterms:created>
  <dc:creator>xiaofei li</dc:creator>
  <cp:lastModifiedBy>user</cp:lastModifiedBy>
  <cp:lastPrinted>2022-09-08T08:44:00Z</cp:lastPrinted>
  <dcterms:modified xsi:type="dcterms:W3CDTF">2023-02-15T15:51:07Z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6DCF1BD6D6EC422A9454E3234A38715D</vt:lpwstr>
  </property>
  <property fmtid="{D5CDD505-2E9C-101B-9397-08002B2CF9AE}" pid="4" name="ribbonExt">
    <vt:lpwstr>{"WPSExtOfficeTab":{"OnGetEnabled":false,"OnGetVisible":false}}</vt:lpwstr>
  </property>
</Properties>
</file>