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韶关市消防救援支队部门整体支出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第三方绩效评价报告</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52"/>
          <w:szCs w:val="52"/>
          <w:highlight w:val="none"/>
          <w:lang w:val="en-US" w:eastAsia="zh-CN"/>
        </w:rPr>
      </w:pPr>
      <w:bookmarkStart w:id="221" w:name="_GoBack"/>
      <w:bookmarkEnd w:id="221"/>
    </w:p>
    <w:p>
      <w:pPr>
        <w:pStyle w:val="22"/>
        <w:rPr>
          <w:rFonts w:hint="eastAsia" w:ascii="仿宋_GB2312" w:hAnsi="仿宋_GB2312" w:eastAsia="仿宋_GB2312" w:cs="仿宋_GB2312"/>
          <w:b/>
          <w:bCs/>
          <w:sz w:val="52"/>
          <w:szCs w:val="52"/>
          <w:highlight w:val="none"/>
          <w:lang w:val="en-US" w:eastAsia="zh-CN"/>
        </w:rPr>
      </w:pPr>
    </w:p>
    <w:p>
      <w:pPr>
        <w:pStyle w:val="22"/>
        <w:rPr>
          <w:rFonts w:hint="eastAsia" w:ascii="仿宋_GB2312" w:hAnsi="仿宋_GB2312" w:eastAsia="仿宋_GB2312" w:cs="仿宋_GB2312"/>
          <w:b/>
          <w:bCs/>
          <w:sz w:val="52"/>
          <w:szCs w:val="52"/>
          <w:highlight w:val="none"/>
          <w:lang w:val="en-US" w:eastAsia="zh-CN"/>
        </w:rPr>
      </w:pPr>
    </w:p>
    <w:p>
      <w:pPr>
        <w:pStyle w:val="22"/>
        <w:rPr>
          <w:rFonts w:hint="eastAsia" w:ascii="仿宋_GB2312" w:hAnsi="仿宋_GB2312" w:eastAsia="仿宋_GB2312" w:cs="仿宋_GB2312"/>
          <w:b/>
          <w:bCs/>
          <w:sz w:val="52"/>
          <w:szCs w:val="52"/>
          <w:highlight w:val="none"/>
          <w:lang w:val="en-US" w:eastAsia="zh-CN"/>
        </w:rPr>
      </w:pPr>
    </w:p>
    <w:p>
      <w:pPr>
        <w:pStyle w:val="22"/>
        <w:rPr>
          <w:rFonts w:hint="eastAsia" w:ascii="仿宋_GB2312" w:hAnsi="仿宋_GB2312" w:eastAsia="仿宋_GB2312" w:cs="仿宋_GB2312"/>
          <w:b/>
          <w:bCs/>
          <w:sz w:val="52"/>
          <w:szCs w:val="52"/>
          <w:highlight w:val="none"/>
          <w:lang w:val="en-US" w:eastAsia="zh-CN"/>
        </w:rPr>
      </w:pPr>
    </w:p>
    <w:p>
      <w:pPr>
        <w:keepNext w:val="0"/>
        <w:keepLines w:val="0"/>
        <w:pageBreakBefore w:val="0"/>
        <w:widowControl w:val="0"/>
        <w:tabs>
          <w:tab w:val="left" w:pos="1680"/>
        </w:tabs>
        <w:kinsoku/>
        <w:wordWrap/>
        <w:overflowPunct/>
        <w:topLinePunct w:val="0"/>
        <w:autoSpaceDE/>
        <w:autoSpaceDN/>
        <w:bidi w:val="0"/>
        <w:adjustRightInd/>
        <w:snapToGrid/>
        <w:spacing w:line="360" w:lineRule="auto"/>
        <w:ind w:left="1898" w:leftChars="904" w:firstLine="0" w:firstLineChars="0"/>
        <w:jc w:val="left"/>
        <w:textAlignment w:val="auto"/>
        <w:rPr>
          <w:rFonts w:hint="eastAsia" w:ascii="宋体" w:hAnsi="宋体" w:eastAsia="宋体" w:cs="宋体"/>
          <w:b w:val="0"/>
          <w:bCs w:val="0"/>
          <w:sz w:val="32"/>
          <w:szCs w:val="32"/>
          <w:highlight w:val="none"/>
          <w:lang w:val="en-US" w:eastAsia="zh-CN"/>
        </w:rPr>
      </w:pPr>
    </w:p>
    <w:p>
      <w:pPr>
        <w:keepNext w:val="0"/>
        <w:keepLines w:val="0"/>
        <w:pageBreakBefore w:val="0"/>
        <w:widowControl w:val="0"/>
        <w:tabs>
          <w:tab w:val="left" w:pos="1680"/>
        </w:tabs>
        <w:kinsoku/>
        <w:wordWrap/>
        <w:overflowPunct/>
        <w:topLinePunct w:val="0"/>
        <w:autoSpaceDE/>
        <w:autoSpaceDN/>
        <w:bidi w:val="0"/>
        <w:adjustRightInd/>
        <w:snapToGrid/>
        <w:spacing w:line="360" w:lineRule="auto"/>
        <w:ind w:left="1898" w:leftChars="904" w:firstLine="0" w:firstLineChars="0"/>
        <w:jc w:val="left"/>
        <w:textAlignment w:val="auto"/>
        <w:rPr>
          <w:rFonts w:hint="default"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评价机构：广东中企华正诚资产房地产土地评估造价咨询有限公司</w:t>
      </w:r>
    </w:p>
    <w:p>
      <w:pPr>
        <w:keepNext w:val="0"/>
        <w:keepLines w:val="0"/>
        <w:pageBreakBefore w:val="0"/>
        <w:widowControl w:val="0"/>
        <w:tabs>
          <w:tab w:val="left" w:pos="1680"/>
        </w:tabs>
        <w:kinsoku/>
        <w:wordWrap/>
        <w:overflowPunct/>
        <w:topLinePunct w:val="0"/>
        <w:autoSpaceDE/>
        <w:autoSpaceDN/>
        <w:bidi w:val="0"/>
        <w:adjustRightInd/>
        <w:snapToGrid/>
        <w:spacing w:line="360" w:lineRule="auto"/>
        <w:ind w:left="1898" w:leftChars="904" w:firstLine="0" w:firstLineChars="0"/>
        <w:jc w:val="left"/>
        <w:textAlignment w:val="auto"/>
        <w:rPr>
          <w:rFonts w:hint="default"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机构负责人：黄青发</w:t>
      </w:r>
    </w:p>
    <w:p>
      <w:pPr>
        <w:keepNext w:val="0"/>
        <w:keepLines w:val="0"/>
        <w:pageBreakBefore w:val="0"/>
        <w:widowControl w:val="0"/>
        <w:tabs>
          <w:tab w:val="left" w:pos="1680"/>
        </w:tabs>
        <w:kinsoku/>
        <w:wordWrap/>
        <w:overflowPunct/>
        <w:topLinePunct w:val="0"/>
        <w:autoSpaceDE/>
        <w:autoSpaceDN/>
        <w:bidi w:val="0"/>
        <w:adjustRightInd/>
        <w:snapToGrid/>
        <w:spacing w:line="360" w:lineRule="auto"/>
        <w:ind w:left="1898" w:leftChars="904" w:firstLine="0" w:firstLineChars="0"/>
        <w:jc w:val="left"/>
        <w:textAlignment w:val="auto"/>
        <w:rPr>
          <w:rFonts w:hint="default"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项目负责人：陆美惠</w:t>
      </w:r>
    </w:p>
    <w:p>
      <w:pPr>
        <w:keepNext w:val="0"/>
        <w:keepLines w:val="0"/>
        <w:pageBreakBefore w:val="0"/>
        <w:widowControl w:val="0"/>
        <w:tabs>
          <w:tab w:val="left" w:pos="1680"/>
        </w:tabs>
        <w:kinsoku/>
        <w:wordWrap/>
        <w:overflowPunct/>
        <w:topLinePunct w:val="0"/>
        <w:autoSpaceDE/>
        <w:autoSpaceDN/>
        <w:bidi w:val="0"/>
        <w:adjustRightInd/>
        <w:snapToGrid/>
        <w:spacing w:line="360" w:lineRule="auto"/>
        <w:ind w:left="1898" w:leftChars="904" w:firstLine="0" w:firstLineChars="0"/>
        <w:jc w:val="left"/>
        <w:textAlignment w:val="auto"/>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日期：2022年12月14日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pacing w:val="20"/>
          <w:sz w:val="32"/>
          <w:szCs w:val="32"/>
          <w:highlight w:val="none"/>
          <w:lang w:val="en-US" w:eastAsia="zh-CN"/>
        </w:rPr>
        <w:sectPr>
          <w:pgSz w:w="11906" w:h="16838"/>
          <w:pgMar w:top="1440" w:right="1417" w:bottom="1440" w:left="1531" w:header="851" w:footer="454" w:gutter="0"/>
          <w:pgBorders>
            <w:top w:val="none" w:sz="0" w:space="0"/>
            <w:left w:val="none" w:sz="0" w:space="0"/>
            <w:bottom w:val="none" w:sz="0" w:space="0"/>
            <w:right w:val="none" w:sz="0" w:space="0"/>
          </w:pgBorders>
          <w:pgNumType w:fmt="numberInDash" w:start="1"/>
          <w:cols w:space="0" w:num="1"/>
          <w:rtlGutter w:val="0"/>
          <w:docGrid w:type="lines" w:linePitch="325"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pacing w:val="160"/>
          <w:sz w:val="32"/>
          <w:szCs w:val="32"/>
          <w:highlight w:val="none"/>
          <w:lang w:val="en-US" w:eastAsia="zh-CN"/>
        </w:rPr>
      </w:pPr>
      <w:r>
        <w:rPr>
          <w:rFonts w:hint="eastAsia" w:ascii="黑体" w:hAnsi="黑体" w:eastAsia="黑体" w:cs="黑体"/>
          <w:b w:val="0"/>
          <w:bCs w:val="0"/>
          <w:spacing w:val="160"/>
          <w:sz w:val="32"/>
          <w:szCs w:val="32"/>
          <w:highlight w:val="none"/>
          <w:lang w:val="en-US" w:eastAsia="zh-CN"/>
        </w:rPr>
        <w:t>摘要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b w:val="0"/>
          <w:bCs w:val="0"/>
          <w:spacing w:val="2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bidi="ar"/>
        </w:rPr>
        <w:t>受韶关市财政局（以下简称“市财政局”）委托，广东中企华正诚资产房地产土地评估造价咨询有限公司（以下简称“评价组”）本着客观、公平、公正的原则，对</w:t>
      </w:r>
      <w:r>
        <w:rPr>
          <w:rFonts w:hint="eastAsia" w:ascii="仿宋_GB2312" w:hAnsi="仿宋_GB2312" w:eastAsia="仿宋_GB2312" w:cs="仿宋_GB2312"/>
          <w:b w:val="0"/>
          <w:bCs w:val="0"/>
          <w:spacing w:val="20"/>
          <w:sz w:val="32"/>
          <w:szCs w:val="32"/>
          <w:highlight w:val="none"/>
          <w:lang w:val="en-US" w:eastAsia="zh-CN"/>
        </w:rPr>
        <w:t>韶关市消防救援支队（以下简称“市消防救援支队”）2021年</w:t>
      </w:r>
      <w:r>
        <w:rPr>
          <w:rFonts w:hint="eastAsia" w:ascii="仿宋_GB2312" w:hAnsi="仿宋_GB2312" w:eastAsia="仿宋_GB2312" w:cs="仿宋_GB2312"/>
          <w:b w:val="0"/>
          <w:bCs w:val="0"/>
          <w:color w:val="auto"/>
          <w:kern w:val="0"/>
          <w:sz w:val="32"/>
          <w:szCs w:val="32"/>
          <w:highlight w:val="none"/>
          <w:lang w:val="en-US" w:eastAsia="zh-CN" w:bidi="ar"/>
        </w:rPr>
        <w:t>部门整体支出进行第三方绩效评价。</w:t>
      </w:r>
      <w:r>
        <w:rPr>
          <w:rFonts w:hint="eastAsia" w:ascii="仿宋_GB2312" w:hAnsi="仿宋_GB2312" w:eastAsia="仿宋_GB2312" w:cs="仿宋_GB2312"/>
          <w:color w:val="auto"/>
          <w:sz w:val="32"/>
          <w:szCs w:val="32"/>
          <w:highlight w:val="none"/>
        </w:rPr>
        <w:t>经综合评定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spacing w:val="20"/>
          <w:sz w:val="32"/>
          <w:szCs w:val="32"/>
          <w:highlight w:val="none"/>
          <w:lang w:val="en-US" w:eastAsia="zh-CN"/>
        </w:rPr>
        <w:t>2021年市消防救援支队部门整体支出绩效评价得分为</w:t>
      </w:r>
      <w:r>
        <w:rPr>
          <w:rFonts w:hint="eastAsia" w:ascii="仿宋_GB2312" w:hAnsi="仿宋_GB2312" w:eastAsia="仿宋_GB2312" w:cs="仿宋_GB2312"/>
          <w:b/>
          <w:bCs/>
          <w:spacing w:val="20"/>
          <w:sz w:val="32"/>
          <w:szCs w:val="32"/>
          <w:highlight w:val="none"/>
          <w:lang w:val="en-US" w:eastAsia="zh-CN"/>
        </w:rPr>
        <w:t>81.67</w:t>
      </w:r>
      <w:r>
        <w:rPr>
          <w:rFonts w:hint="eastAsia" w:ascii="仿宋_GB2312" w:hAnsi="仿宋_GB2312" w:eastAsia="仿宋_GB2312" w:cs="仿宋_GB2312"/>
          <w:b w:val="0"/>
          <w:bCs w:val="0"/>
          <w:spacing w:val="20"/>
          <w:sz w:val="32"/>
          <w:szCs w:val="32"/>
          <w:highlight w:val="none"/>
          <w:lang w:val="en-US" w:eastAsia="zh-CN"/>
        </w:rPr>
        <w:t>分，绩效等级为“</w:t>
      </w:r>
      <w:r>
        <w:rPr>
          <w:rFonts w:hint="eastAsia" w:ascii="仿宋_GB2312" w:hAnsi="仿宋_GB2312" w:eastAsia="仿宋_GB2312" w:cs="仿宋_GB2312"/>
          <w:b/>
          <w:bCs/>
          <w:spacing w:val="20"/>
          <w:sz w:val="32"/>
          <w:szCs w:val="32"/>
          <w:highlight w:val="none"/>
          <w:lang w:val="en-US" w:eastAsia="zh-CN"/>
        </w:rPr>
        <w:t>良</w:t>
      </w:r>
      <w:r>
        <w:rPr>
          <w:rFonts w:hint="eastAsia" w:ascii="仿宋_GB2312" w:hAnsi="仿宋_GB2312" w:eastAsia="仿宋_GB2312" w:cs="仿宋_GB2312"/>
          <w:b w:val="0"/>
          <w:bCs w:val="0"/>
          <w:spacing w:val="20"/>
          <w:sz w:val="32"/>
          <w:szCs w:val="32"/>
          <w:highlight w:val="none"/>
          <w:lang w:val="en-US" w:eastAsia="zh-CN"/>
        </w:rPr>
        <w:t>”。</w:t>
      </w:r>
    </w:p>
    <w:p>
      <w:pPr>
        <w:pageBreakBefore w:val="0"/>
        <w:widowControl w:val="0"/>
        <w:kinsoku w:val="0"/>
        <w:wordWrap/>
        <w:overflowPunct w:val="0"/>
        <w:topLinePunct w:val="0"/>
        <w:autoSpaceDE w:val="0"/>
        <w:autoSpaceDN w:val="0"/>
        <w:bidi w:val="0"/>
        <w:adjustRightInd/>
        <w:snapToGrid/>
        <w:spacing w:line="360" w:lineRule="auto"/>
        <w:ind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市消防救援支队2021年部门整体支出年初预算2,939.22万元，调整后指标</w:t>
      </w:r>
      <w:r>
        <w:rPr>
          <w:rFonts w:hint="eastAsia" w:ascii="仿宋_GB2312" w:hAnsi="仿宋_GB2312" w:eastAsia="仿宋_GB2312" w:cs="仿宋_GB2312"/>
          <w:sz w:val="32"/>
          <w:szCs w:val="32"/>
          <w:highlight w:val="none"/>
          <w:lang w:val="en-US" w:eastAsia="zh-CN"/>
        </w:rPr>
        <w:t>4,648.66万元</w:t>
      </w:r>
      <w:r>
        <w:rPr>
          <w:rFonts w:hint="eastAsia" w:ascii="仿宋_GB2312" w:hAnsi="仿宋_GB2312" w:eastAsia="仿宋_GB2312" w:cs="仿宋_GB2312"/>
          <w:color w:val="auto"/>
          <w:sz w:val="32"/>
          <w:szCs w:val="32"/>
          <w:highlight w:val="none"/>
          <w:lang w:val="en-US" w:eastAsia="zh-CN"/>
        </w:rPr>
        <w:t>，实际支出</w:t>
      </w:r>
      <w:r>
        <w:rPr>
          <w:rFonts w:hint="eastAsia" w:ascii="仿宋_GB2312" w:hAnsi="仿宋_GB2312" w:eastAsia="仿宋_GB2312" w:cs="仿宋_GB2312"/>
          <w:sz w:val="32"/>
          <w:szCs w:val="32"/>
          <w:highlight w:val="none"/>
          <w:lang w:val="en-US" w:eastAsia="zh-CN"/>
        </w:rPr>
        <w:t>4,620.14万元</w:t>
      </w:r>
      <w:r>
        <w:rPr>
          <w:rFonts w:hint="eastAsia" w:ascii="仿宋_GB2312" w:hAnsi="仿宋_GB2312" w:eastAsia="仿宋_GB2312" w:cs="仿宋_GB2312"/>
          <w:color w:val="auto"/>
          <w:sz w:val="32"/>
          <w:szCs w:val="32"/>
          <w:highlight w:val="none"/>
          <w:lang w:val="en-US" w:eastAsia="zh-CN"/>
        </w:rPr>
        <w:t>，部门整体支出率为</w:t>
      </w:r>
      <w:r>
        <w:rPr>
          <w:rFonts w:hint="eastAsia" w:ascii="仿宋_GB2312" w:hAnsi="仿宋_GB2312" w:eastAsia="仿宋_GB2312" w:cs="仿宋_GB2312"/>
          <w:sz w:val="32"/>
          <w:szCs w:val="32"/>
          <w:highlight w:val="none"/>
          <w:lang w:val="en-US" w:eastAsia="zh-CN"/>
        </w:rPr>
        <w:t>99.39</w:t>
      </w:r>
      <w:r>
        <w:rPr>
          <w:rFonts w:hint="eastAsia" w:ascii="仿宋_GB2312" w:hAnsi="仿宋_GB2312" w:eastAsia="仿宋_GB2312" w:cs="仿宋_GB2312"/>
          <w:color w:val="auto"/>
          <w:sz w:val="32"/>
          <w:szCs w:val="32"/>
          <w:highlight w:val="none"/>
          <w:lang w:val="en-US" w:eastAsia="zh-CN"/>
        </w:rPr>
        <w:t>%。2021年度部门工作取得一定成效，消防安全形势基本稳定，韶关市</w:t>
      </w:r>
      <w:r>
        <w:rPr>
          <w:rFonts w:hint="eastAsia" w:ascii="仿宋_GB2312" w:hAnsi="仿宋_GB2312" w:eastAsia="仿宋_GB2312" w:cs="仿宋_GB2312"/>
          <w:color w:val="auto"/>
          <w:sz w:val="32"/>
          <w:szCs w:val="32"/>
          <w:highlight w:val="none"/>
        </w:rPr>
        <w:t>未发生</w:t>
      </w:r>
      <w:r>
        <w:rPr>
          <w:rFonts w:hint="eastAsia" w:ascii="仿宋_GB2312" w:hAnsi="仿宋_GB2312" w:eastAsia="仿宋_GB2312" w:cs="仿宋_GB2312"/>
          <w:color w:val="auto"/>
          <w:sz w:val="32"/>
          <w:szCs w:val="32"/>
          <w:highlight w:val="none"/>
          <w:lang w:val="en-US" w:eastAsia="zh-CN"/>
        </w:rPr>
        <w:t>较大以上</w:t>
      </w:r>
      <w:r>
        <w:rPr>
          <w:rFonts w:hint="eastAsia" w:ascii="仿宋_GB2312" w:hAnsi="仿宋_GB2312" w:eastAsia="仿宋_GB2312" w:cs="仿宋_GB2312"/>
          <w:color w:val="auto"/>
          <w:sz w:val="32"/>
          <w:szCs w:val="32"/>
          <w:highlight w:val="none"/>
        </w:rPr>
        <w:t>火灾</w:t>
      </w:r>
      <w:r>
        <w:rPr>
          <w:rFonts w:hint="eastAsia" w:ascii="仿宋_GB2312" w:hAnsi="仿宋_GB2312" w:eastAsia="仿宋_GB2312" w:cs="仿宋_GB2312"/>
          <w:color w:val="auto"/>
          <w:sz w:val="32"/>
          <w:szCs w:val="32"/>
          <w:highlight w:val="none"/>
          <w:lang w:val="en-US" w:eastAsia="zh-CN"/>
        </w:rPr>
        <w:t>事故，年均10万人口火灾死亡率控制在0.15内，平均火灾损失呈下降趋势。</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720" w:firstLineChars="200"/>
        <w:jc w:val="both"/>
        <w:textAlignment w:val="auto"/>
        <w:outlineLvl w:val="9"/>
        <w:rPr>
          <w:rFonts w:hint="eastAsia" w:ascii="仿宋_GB2312" w:hAnsi="仿宋_GB2312" w:eastAsia="仿宋_GB2312" w:cs="仿宋_GB2312"/>
          <w:b w:val="0"/>
          <w:bCs w:val="0"/>
          <w:spacing w:val="20"/>
          <w:sz w:val="32"/>
          <w:szCs w:val="32"/>
          <w:highlight w:val="none"/>
          <w:lang w:val="en-US" w:eastAsia="zh-CN"/>
        </w:rPr>
      </w:pPr>
      <w:r>
        <w:rPr>
          <w:rFonts w:hint="eastAsia" w:ascii="仿宋_GB2312" w:hAnsi="仿宋_GB2312" w:eastAsia="仿宋_GB2312" w:cs="仿宋_GB2312"/>
          <w:b w:val="0"/>
          <w:bCs w:val="0"/>
          <w:spacing w:val="20"/>
          <w:sz w:val="32"/>
          <w:szCs w:val="32"/>
          <w:highlight w:val="none"/>
          <w:lang w:val="en-US" w:eastAsia="zh-CN"/>
        </w:rPr>
        <w:t>市消防救援支队主要存在以下问题：</w:t>
      </w:r>
      <w:r>
        <w:rPr>
          <w:rFonts w:hint="eastAsia" w:ascii="仿宋_GB2312" w:hAnsi="仿宋_GB2312" w:eastAsia="仿宋_GB2312" w:cs="仿宋_GB2312"/>
          <w:b/>
          <w:bCs/>
          <w:spacing w:val="20"/>
          <w:sz w:val="32"/>
          <w:szCs w:val="32"/>
          <w:highlight w:val="none"/>
          <w:lang w:val="en-US" w:eastAsia="zh-CN"/>
        </w:rPr>
        <w:t>一是</w:t>
      </w:r>
      <w:r>
        <w:rPr>
          <w:rFonts w:hint="eastAsia" w:ascii="仿宋_GB2312" w:hAnsi="仿宋_GB2312" w:eastAsia="仿宋_GB2312" w:cs="仿宋_GB2312"/>
          <w:b w:val="0"/>
          <w:bCs w:val="0"/>
          <w:spacing w:val="20"/>
          <w:sz w:val="32"/>
          <w:szCs w:val="32"/>
          <w:highlight w:val="none"/>
          <w:lang w:val="en-US" w:eastAsia="zh-CN"/>
        </w:rPr>
        <w:t>绩效目标约束性较弱，资金使用呈现“碎片化”，易出现资金使用“撒胡椒面”的局面；</w:t>
      </w:r>
      <w:r>
        <w:rPr>
          <w:rFonts w:hint="eastAsia" w:ascii="仿宋_GB2312" w:hAnsi="仿宋_GB2312" w:eastAsia="仿宋_GB2312" w:cs="仿宋_GB2312"/>
          <w:b/>
          <w:bCs/>
          <w:spacing w:val="20"/>
          <w:sz w:val="32"/>
          <w:szCs w:val="32"/>
          <w:highlight w:val="none"/>
          <w:lang w:val="en-US" w:eastAsia="zh-CN"/>
        </w:rPr>
        <w:t>二是</w:t>
      </w:r>
      <w:r>
        <w:rPr>
          <w:rFonts w:hint="eastAsia" w:ascii="仿宋_GB2312" w:hAnsi="仿宋_GB2312" w:eastAsia="仿宋_GB2312" w:cs="仿宋_GB2312"/>
          <w:b w:val="0"/>
          <w:bCs w:val="0"/>
          <w:spacing w:val="20"/>
          <w:sz w:val="32"/>
          <w:szCs w:val="32"/>
          <w:highlight w:val="none"/>
          <w:lang w:val="en-US" w:eastAsia="zh-CN"/>
        </w:rPr>
        <w:t>消防安全隐患仍然较突出，火灾起数和直接财产损失增长较快；</w:t>
      </w:r>
      <w:r>
        <w:rPr>
          <w:rFonts w:hint="eastAsia" w:ascii="仿宋_GB2312" w:hAnsi="仿宋_GB2312" w:eastAsia="仿宋_GB2312" w:cs="仿宋_GB2312"/>
          <w:b/>
          <w:bCs/>
          <w:spacing w:val="20"/>
          <w:sz w:val="32"/>
          <w:szCs w:val="32"/>
          <w:highlight w:val="none"/>
          <w:lang w:val="en-US" w:eastAsia="zh-CN"/>
        </w:rPr>
        <w:t>三是</w:t>
      </w:r>
      <w:r>
        <w:rPr>
          <w:rFonts w:hint="eastAsia" w:ascii="仿宋_GB2312" w:hAnsi="仿宋_GB2312" w:eastAsia="仿宋_GB2312" w:cs="仿宋_GB2312"/>
          <w:b w:val="0"/>
          <w:bCs w:val="0"/>
          <w:spacing w:val="20"/>
          <w:sz w:val="32"/>
          <w:szCs w:val="32"/>
          <w:highlight w:val="none"/>
          <w:lang w:val="en-US" w:eastAsia="zh-CN"/>
        </w:rPr>
        <w:t>消防队伍建设设在体能素质、正规化建设方面存在不足；</w:t>
      </w:r>
      <w:r>
        <w:rPr>
          <w:rFonts w:hint="eastAsia" w:ascii="仿宋_GB2312" w:hAnsi="仿宋_GB2312" w:eastAsia="仿宋_GB2312" w:cs="仿宋_GB2312"/>
          <w:b/>
          <w:bCs/>
          <w:spacing w:val="20"/>
          <w:sz w:val="32"/>
          <w:szCs w:val="32"/>
          <w:highlight w:val="none"/>
          <w:lang w:val="en-US" w:eastAsia="zh-CN"/>
        </w:rPr>
        <w:t>四是</w:t>
      </w:r>
      <w:r>
        <w:rPr>
          <w:rFonts w:hint="eastAsia" w:ascii="仿宋_GB2312" w:hAnsi="仿宋_GB2312" w:eastAsia="仿宋_GB2312" w:cs="仿宋_GB2312"/>
          <w:b w:val="0"/>
          <w:bCs w:val="0"/>
          <w:spacing w:val="20"/>
          <w:sz w:val="32"/>
          <w:szCs w:val="32"/>
          <w:highlight w:val="none"/>
          <w:lang w:val="en-US" w:eastAsia="zh-CN"/>
        </w:rPr>
        <w:t>资产管理水平不高。在制度建设、资产处置、定期清查盘点、资产配置等方面存在一些不足。</w:t>
      </w:r>
    </w:p>
    <w:p>
      <w:pPr>
        <w:pStyle w:val="22"/>
        <w:keepNext w:val="0"/>
        <w:keepLines w:val="0"/>
        <w:pageBreakBefore w:val="0"/>
        <w:widowControl w:val="0"/>
        <w:wordWrap/>
        <w:topLinePunct w:val="0"/>
        <w:bidi w:val="0"/>
        <w:adjustRightInd/>
        <w:snapToGrid/>
        <w:spacing w:line="360" w:lineRule="auto"/>
        <w:ind w:firstLine="720" w:firstLineChars="200"/>
        <w:rPr>
          <w:rFonts w:hint="default" w:ascii="仿宋_GB2312" w:hAnsi="仿宋_GB2312" w:eastAsia="仿宋_GB2312" w:cs="仿宋_GB2312"/>
          <w:b w:val="0"/>
          <w:bCs w:val="0"/>
          <w:spacing w:val="20"/>
          <w:sz w:val="32"/>
          <w:szCs w:val="32"/>
          <w:highlight w:val="none"/>
          <w:lang w:val="en-US" w:eastAsia="zh-CN"/>
        </w:rPr>
      </w:pPr>
      <w:r>
        <w:rPr>
          <w:rFonts w:hint="eastAsia" w:ascii="仿宋_GB2312" w:hAnsi="仿宋_GB2312" w:eastAsia="仿宋_GB2312" w:cs="仿宋_GB2312"/>
          <w:b w:val="0"/>
          <w:bCs w:val="0"/>
          <w:spacing w:val="20"/>
          <w:sz w:val="32"/>
          <w:szCs w:val="32"/>
          <w:highlight w:val="none"/>
          <w:lang w:val="en-US" w:eastAsia="zh-CN"/>
        </w:rPr>
        <w:t>针对以上问题，提出相关建议如下：</w:t>
      </w:r>
      <w:r>
        <w:rPr>
          <w:rFonts w:hint="eastAsia" w:ascii="仿宋_GB2312" w:hAnsi="仿宋_GB2312" w:eastAsia="仿宋_GB2312" w:cs="仿宋_GB2312"/>
          <w:b/>
          <w:bCs/>
          <w:spacing w:val="20"/>
          <w:sz w:val="32"/>
          <w:szCs w:val="32"/>
          <w:highlight w:val="none"/>
          <w:lang w:val="en-US" w:eastAsia="zh-CN"/>
        </w:rPr>
        <w:t>一是</w:t>
      </w:r>
      <w:r>
        <w:rPr>
          <w:rFonts w:hint="eastAsia" w:ascii="仿宋_GB2312" w:hAnsi="仿宋_GB2312" w:eastAsia="仿宋_GB2312" w:cs="仿宋_GB2312"/>
          <w:b w:val="0"/>
          <w:bCs w:val="0"/>
          <w:spacing w:val="20"/>
          <w:sz w:val="32"/>
          <w:szCs w:val="32"/>
          <w:highlight w:val="none"/>
          <w:lang w:val="en-US" w:eastAsia="zh-CN"/>
        </w:rPr>
        <w:t>明确年度任务目标，集中财力解决突出问题；</w:t>
      </w:r>
      <w:r>
        <w:rPr>
          <w:rFonts w:hint="eastAsia" w:ascii="仿宋_GB2312" w:hAnsi="仿宋_GB2312" w:eastAsia="仿宋_GB2312" w:cs="仿宋_GB2312"/>
          <w:b/>
          <w:bCs/>
          <w:spacing w:val="20"/>
          <w:sz w:val="32"/>
          <w:szCs w:val="32"/>
          <w:highlight w:val="none"/>
          <w:lang w:val="en-US" w:eastAsia="zh-CN"/>
        </w:rPr>
        <w:t>二是</w:t>
      </w:r>
      <w:r>
        <w:rPr>
          <w:rFonts w:hint="eastAsia" w:ascii="仿宋_GB2312" w:hAnsi="仿宋_GB2312" w:eastAsia="仿宋_GB2312" w:cs="仿宋_GB2312"/>
          <w:b w:val="0"/>
          <w:bCs w:val="0"/>
          <w:spacing w:val="20"/>
          <w:sz w:val="32"/>
          <w:szCs w:val="32"/>
          <w:highlight w:val="none"/>
          <w:lang w:val="en-US" w:eastAsia="zh-CN"/>
        </w:rPr>
        <w:t>多措并举，有针对性部署落实防范举措，</w:t>
      </w:r>
      <w:r>
        <w:rPr>
          <w:rFonts w:hint="eastAsia" w:ascii="仿宋_GB2312" w:hAnsi="仿宋_GB2312" w:eastAsia="仿宋_GB2312" w:cs="仿宋_GB2312"/>
          <w:b w:val="0"/>
          <w:bCs w:val="0"/>
          <w:sz w:val="32"/>
          <w:szCs w:val="32"/>
          <w:highlight w:val="none"/>
          <w:lang w:val="en-US" w:eastAsia="zh-CN"/>
        </w:rPr>
        <w:t>在宣传培训、防范火灾等方面强化工作措施，深入推进消防安全责任、火灾防控、消防安全基础建设，</w:t>
      </w:r>
      <w:r>
        <w:rPr>
          <w:rFonts w:hint="eastAsia" w:ascii="仿宋_GB2312" w:hAnsi="仿宋_GB2312" w:eastAsia="仿宋_GB2312" w:cs="仿宋_GB2312"/>
          <w:b w:val="0"/>
          <w:bCs w:val="0"/>
          <w:spacing w:val="20"/>
          <w:sz w:val="32"/>
          <w:szCs w:val="32"/>
          <w:highlight w:val="none"/>
          <w:lang w:val="en-US" w:eastAsia="zh-CN"/>
        </w:rPr>
        <w:t>进一步提升消防安全治理能力；</w:t>
      </w:r>
      <w:r>
        <w:rPr>
          <w:rFonts w:hint="eastAsia" w:ascii="仿宋_GB2312" w:hAnsi="仿宋_GB2312" w:eastAsia="仿宋_GB2312" w:cs="仿宋_GB2312"/>
          <w:b/>
          <w:bCs/>
          <w:spacing w:val="20"/>
          <w:sz w:val="32"/>
          <w:szCs w:val="32"/>
          <w:highlight w:val="none"/>
          <w:lang w:val="en-US" w:eastAsia="zh-CN"/>
        </w:rPr>
        <w:t>三是</w:t>
      </w:r>
      <w:r>
        <w:rPr>
          <w:rFonts w:hint="eastAsia" w:ascii="仿宋_GB2312" w:hAnsi="仿宋_GB2312" w:eastAsia="仿宋_GB2312" w:cs="仿宋_GB2312"/>
          <w:b w:val="0"/>
          <w:bCs w:val="0"/>
          <w:spacing w:val="20"/>
          <w:sz w:val="32"/>
          <w:szCs w:val="32"/>
          <w:highlight w:val="none"/>
          <w:lang w:val="en-US" w:eastAsia="zh-CN"/>
        </w:rPr>
        <w:t>紧抓落实，细化队伍建设措施。紧盯正规化建设任务目标，压实责任，进一步增强指战员的身体素质，提高队伍战斗力；</w:t>
      </w:r>
      <w:r>
        <w:rPr>
          <w:rFonts w:hint="eastAsia" w:ascii="仿宋_GB2312" w:hAnsi="仿宋_GB2312" w:eastAsia="仿宋_GB2312" w:cs="仿宋_GB2312"/>
          <w:b/>
          <w:bCs/>
          <w:spacing w:val="20"/>
          <w:sz w:val="32"/>
          <w:szCs w:val="32"/>
          <w:highlight w:val="none"/>
          <w:lang w:val="en-US" w:eastAsia="zh-CN"/>
        </w:rPr>
        <w:t>四是</w:t>
      </w:r>
      <w:r>
        <w:rPr>
          <w:rFonts w:hint="eastAsia" w:ascii="仿宋_GB2312" w:hAnsi="仿宋_GB2312" w:eastAsia="仿宋_GB2312" w:cs="仿宋_GB2312"/>
          <w:b w:val="0"/>
          <w:bCs w:val="0"/>
          <w:spacing w:val="20"/>
          <w:sz w:val="32"/>
          <w:szCs w:val="32"/>
          <w:highlight w:val="none"/>
          <w:lang w:val="en-US" w:eastAsia="zh-CN"/>
        </w:rPr>
        <w:t>健全资产管理制度，切实扎牢资产管理笼子，对固定资产购置管理、日常管理、处置管理等出台专门规定，确保资产管理工作有章可循。</w:t>
      </w:r>
    </w:p>
    <w:p>
      <w:pPr>
        <w:bidi w:val="0"/>
        <w:rPr>
          <w:rFonts w:hint="eastAsia"/>
          <w:highlight w:val="none"/>
          <w:lang w:eastAsia="zh-CN"/>
        </w:rPr>
        <w:sectPr>
          <w:footerReference r:id="rId5" w:type="default"/>
          <w:pgSz w:w="11906" w:h="16838"/>
          <w:pgMar w:top="1440" w:right="1417" w:bottom="1440" w:left="1531" w:header="454" w:footer="850" w:gutter="0"/>
          <w:pgBorders>
            <w:top w:val="none" w:sz="0" w:space="0"/>
            <w:left w:val="none" w:sz="0" w:space="0"/>
            <w:bottom w:val="none" w:sz="0" w:space="0"/>
            <w:right w:val="none" w:sz="0" w:space="0"/>
          </w:pgBorders>
          <w:pgNumType w:fmt="numberInDash" w:start="1"/>
          <w:cols w:space="0" w:num="1"/>
          <w:rtlGutter w:val="0"/>
          <w:docGrid w:type="lines" w:linePitch="325"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rPr>
          <w:b/>
          <w:bCs/>
          <w:sz w:val="44"/>
          <w:szCs w:val="44"/>
          <w:highlight w:val="none"/>
        </w:rPr>
      </w:pPr>
      <w:r>
        <w:rPr>
          <w:rFonts w:ascii="宋体" w:hAnsi="宋体" w:eastAsia="宋体"/>
          <w:b/>
          <w:bCs/>
          <w:spacing w:val="200"/>
          <w:sz w:val="44"/>
          <w:szCs w:val="44"/>
          <w:highlight w:val="none"/>
        </w:rPr>
        <w:t>目录</w:t>
      </w:r>
    </w:p>
    <w:p>
      <w:pPr>
        <w:pStyle w:val="11"/>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TOC \o "1-2" \h \u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_Toc19200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val="en-US" w:eastAsia="zh-CN"/>
        </w:rPr>
        <w:t>一、部门基本情况</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_Toc19200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- 1 -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_Toc21221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rPr>
        <w:t>（一）</w:t>
      </w:r>
      <w:r>
        <w:rPr>
          <w:rFonts w:hint="eastAsia" w:asciiTheme="minorEastAsia" w:hAnsiTheme="minorEastAsia" w:eastAsiaTheme="minorEastAsia" w:cstheme="minorEastAsia"/>
          <w:bCs/>
          <w:sz w:val="28"/>
          <w:szCs w:val="28"/>
          <w:highlight w:val="none"/>
          <w:lang w:val="en-US" w:eastAsia="zh-CN"/>
        </w:rPr>
        <w:t>部门概要。</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_Toc21221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- 1 -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_Toc26823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rPr>
        <w:t>（</w:t>
      </w:r>
      <w:r>
        <w:rPr>
          <w:rFonts w:hint="eastAsia" w:asciiTheme="minorEastAsia" w:hAnsiTheme="minorEastAsia" w:eastAsiaTheme="minorEastAsia" w:cstheme="minorEastAsia"/>
          <w:bCs/>
          <w:sz w:val="28"/>
          <w:szCs w:val="28"/>
          <w:highlight w:val="none"/>
          <w:lang w:val="en-US" w:eastAsia="zh-CN"/>
        </w:rPr>
        <w:t>二</w:t>
      </w:r>
      <w:r>
        <w:rPr>
          <w:rFonts w:hint="eastAsia" w:asciiTheme="minorEastAsia" w:hAnsiTheme="minorEastAsia" w:eastAsiaTheme="minorEastAsia" w:cstheme="minorEastAsia"/>
          <w:bCs/>
          <w:sz w:val="28"/>
          <w:szCs w:val="28"/>
          <w:highlight w:val="none"/>
        </w:rPr>
        <w:t>）</w:t>
      </w:r>
      <w:r>
        <w:rPr>
          <w:rFonts w:hint="eastAsia" w:asciiTheme="minorEastAsia" w:hAnsiTheme="minorEastAsia" w:eastAsiaTheme="minorEastAsia" w:cstheme="minorEastAsia"/>
          <w:bCs/>
          <w:sz w:val="28"/>
          <w:szCs w:val="28"/>
          <w:highlight w:val="none"/>
          <w:lang w:val="en-US" w:eastAsia="zh-CN"/>
        </w:rPr>
        <w:t>年度总体工作任务及重点工作</w:t>
      </w:r>
      <w:r>
        <w:rPr>
          <w:rFonts w:hint="eastAsia" w:asciiTheme="minorEastAsia" w:hAnsiTheme="minorEastAsia" w:eastAsiaTheme="minorEastAsia" w:cstheme="minorEastAsia"/>
          <w:bCs/>
          <w:sz w:val="28"/>
          <w:szCs w:val="28"/>
          <w:highlight w:val="none"/>
        </w:rPr>
        <w:t>任务</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_Toc26823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- 2 -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_Toc4127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三）资金使用的绩效目标及指标。</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_Toc4127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- 4 -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_Toc18956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rPr>
        <w:t>（</w:t>
      </w:r>
      <w:r>
        <w:rPr>
          <w:rFonts w:hint="eastAsia" w:asciiTheme="minorEastAsia" w:hAnsiTheme="minorEastAsia" w:eastAsiaTheme="minorEastAsia" w:cstheme="minorEastAsia"/>
          <w:bCs/>
          <w:sz w:val="28"/>
          <w:szCs w:val="28"/>
          <w:highlight w:val="none"/>
          <w:lang w:val="en-US" w:eastAsia="zh-CN"/>
        </w:rPr>
        <w:t>四</w:t>
      </w:r>
      <w:r>
        <w:rPr>
          <w:rFonts w:hint="eastAsia" w:asciiTheme="minorEastAsia" w:hAnsiTheme="minorEastAsia" w:eastAsiaTheme="minorEastAsia" w:cstheme="minorEastAsia"/>
          <w:bCs/>
          <w:sz w:val="28"/>
          <w:szCs w:val="28"/>
          <w:highlight w:val="none"/>
        </w:rPr>
        <w:t>）部门整体收支情况</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_Toc18956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- 5 -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1"/>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_Toc2965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rPr>
        <w:t>二、</w:t>
      </w:r>
      <w:r>
        <w:rPr>
          <w:rFonts w:hint="eastAsia" w:asciiTheme="minorEastAsia" w:hAnsiTheme="minorEastAsia" w:eastAsiaTheme="minorEastAsia" w:cstheme="minorEastAsia"/>
          <w:bCs/>
          <w:sz w:val="28"/>
          <w:szCs w:val="28"/>
          <w:highlight w:val="none"/>
          <w:lang w:val="en-US" w:eastAsia="zh-CN"/>
        </w:rPr>
        <w:t>绩效评价指标分析</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_Toc2965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- 6 -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_Toc15233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eastAsia="zh-CN"/>
        </w:rPr>
        <w:t>（一）</w:t>
      </w:r>
      <w:r>
        <w:rPr>
          <w:rFonts w:hint="eastAsia" w:asciiTheme="minorEastAsia" w:hAnsiTheme="minorEastAsia" w:eastAsiaTheme="minorEastAsia" w:cstheme="minorEastAsia"/>
          <w:bCs/>
          <w:sz w:val="28"/>
          <w:szCs w:val="28"/>
          <w:highlight w:val="none"/>
          <w:lang w:val="en-US" w:eastAsia="zh-CN"/>
        </w:rPr>
        <w:t>年度工作任务及绩效目标完成情况</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_Toc15233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- 6 -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_Toc18137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二）</w:t>
      </w:r>
      <w:r>
        <w:rPr>
          <w:rFonts w:hint="eastAsia" w:asciiTheme="minorEastAsia" w:hAnsiTheme="minorEastAsia" w:eastAsiaTheme="minorEastAsia" w:cstheme="minorEastAsia"/>
          <w:bCs/>
          <w:sz w:val="28"/>
          <w:szCs w:val="28"/>
          <w:highlight w:val="none"/>
          <w:lang w:eastAsia="zh-CN"/>
        </w:rPr>
        <w:t>预算编制情况分析。</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_Toc18137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- 7 -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_Toc10603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三）</w:t>
      </w:r>
      <w:r>
        <w:rPr>
          <w:rFonts w:hint="eastAsia" w:asciiTheme="minorEastAsia" w:hAnsiTheme="minorEastAsia" w:eastAsiaTheme="minorEastAsia" w:cstheme="minorEastAsia"/>
          <w:bCs/>
          <w:sz w:val="28"/>
          <w:szCs w:val="28"/>
          <w:highlight w:val="none"/>
        </w:rPr>
        <w:t>预算执行情况分析。</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_Toc10603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- 9 -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_Toc12823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四）预算使用效益分析。</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_Toc12823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- 13 -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1"/>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_Toc3163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val="en-US" w:eastAsia="zh-CN"/>
        </w:rPr>
        <w:t>三、评价结论</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_Toc3163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- 17 -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1"/>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_Toc20584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val="en-US" w:eastAsia="zh-CN"/>
        </w:rPr>
        <w:t>四</w:t>
      </w:r>
      <w:r>
        <w:rPr>
          <w:rFonts w:hint="eastAsia" w:asciiTheme="minorEastAsia" w:hAnsiTheme="minorEastAsia" w:eastAsiaTheme="minorEastAsia" w:cstheme="minorEastAsia"/>
          <w:bCs/>
          <w:sz w:val="28"/>
          <w:szCs w:val="28"/>
          <w:highlight w:val="none"/>
        </w:rPr>
        <w:t>、主要绩效</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_Toc20584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- 17 -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_Toc15530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一）</w:t>
      </w:r>
      <w:r>
        <w:rPr>
          <w:rFonts w:hint="eastAsia" w:asciiTheme="minorEastAsia" w:hAnsiTheme="minorEastAsia" w:eastAsiaTheme="minorEastAsia" w:cstheme="minorEastAsia"/>
          <w:bCs/>
          <w:sz w:val="28"/>
          <w:szCs w:val="28"/>
          <w:highlight w:val="none"/>
        </w:rPr>
        <w:t>消防安全形势持续平稳可控</w:t>
      </w:r>
      <w:r>
        <w:rPr>
          <w:rFonts w:hint="eastAsia" w:asciiTheme="minorEastAsia" w:hAnsiTheme="minorEastAsia" w:eastAsiaTheme="minorEastAsia" w:cstheme="minorEastAsia"/>
          <w:bCs/>
          <w:sz w:val="28"/>
          <w:szCs w:val="28"/>
          <w:highlight w:val="none"/>
          <w:lang w:val="en-US" w:eastAsia="zh-CN"/>
        </w:rPr>
        <w:t>。</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_Toc15530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- 17 -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_Toc31702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二）应急救援综合实战能力得到提升</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_Toc31702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- 18 -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_Toc27367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三）消防宣传教育工作初显成效。</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_Toc27367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- 18 -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1"/>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_Toc11940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val="en-US" w:eastAsia="zh-CN"/>
        </w:rPr>
        <w:t>五、</w:t>
      </w:r>
      <w:r>
        <w:rPr>
          <w:rFonts w:hint="eastAsia" w:asciiTheme="minorEastAsia" w:hAnsiTheme="minorEastAsia" w:eastAsiaTheme="minorEastAsia" w:cstheme="minorEastAsia"/>
          <w:bCs/>
          <w:sz w:val="28"/>
          <w:szCs w:val="28"/>
          <w:highlight w:val="none"/>
        </w:rPr>
        <w:t>存在问题</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_Toc11940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- 19 -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_Toc11411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一</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绩效目标约束性较弱，资金使用呈现“碎片化”。</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_Toc11411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- 19 -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_Toc9092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二）消防安全隐患较为突出，社会安全治理任务艰巨。</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_Toc9092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- 20 -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_Toc18400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三）消防队伍素质建设不足，正规化建设存在短板。</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_Toc18400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- 21 -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_Toc27886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四</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监管制度不够健全，资产管理存在漏洞</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_Toc27886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- 22 -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1"/>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_Toc32338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val="en-US" w:eastAsia="zh-CN"/>
        </w:rPr>
        <w:t>六、</w:t>
      </w:r>
      <w:r>
        <w:rPr>
          <w:rFonts w:hint="eastAsia" w:asciiTheme="minorEastAsia" w:hAnsiTheme="minorEastAsia" w:eastAsiaTheme="minorEastAsia" w:cstheme="minorEastAsia"/>
          <w:bCs/>
          <w:sz w:val="28"/>
          <w:szCs w:val="28"/>
          <w:highlight w:val="none"/>
        </w:rPr>
        <w:t>相关建议</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_Toc32338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- 24 -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_Toc25519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一</w:t>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明确年度任务目标，集中财力解决突出问题。</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_Toc25519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- 24 -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_Toc21868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二）多措并举，有针对性部署落实防范举措。</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_Toc21868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- 24 -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_Toc3943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三）紧抓落实，细化队伍建设措施。</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_Toc3943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- 25 -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3"/>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_Toc5590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sz w:val="28"/>
          <w:szCs w:val="28"/>
          <w:highlight w:val="none"/>
          <w:lang w:eastAsia="zh-CN"/>
        </w:rPr>
        <w:t>（</w:t>
      </w:r>
      <w:r>
        <w:rPr>
          <w:rFonts w:hint="eastAsia" w:asciiTheme="minorEastAsia" w:hAnsiTheme="minorEastAsia" w:eastAsiaTheme="minorEastAsia" w:cstheme="minorEastAsia"/>
          <w:bCs/>
          <w:sz w:val="28"/>
          <w:szCs w:val="28"/>
          <w:highlight w:val="none"/>
          <w:lang w:val="en-US" w:eastAsia="zh-CN"/>
        </w:rPr>
        <w:t>四）</w:t>
      </w:r>
      <w:r>
        <w:rPr>
          <w:rFonts w:hint="eastAsia" w:asciiTheme="minorEastAsia" w:hAnsiTheme="minorEastAsia" w:eastAsiaTheme="minorEastAsia" w:cstheme="minorEastAsia"/>
          <w:bCs/>
          <w:sz w:val="28"/>
          <w:szCs w:val="28"/>
          <w:highlight w:val="none"/>
          <w:lang w:eastAsia="zh-CN"/>
        </w:rPr>
        <w:t>健全资产管理</w:t>
      </w:r>
      <w:r>
        <w:rPr>
          <w:rFonts w:hint="eastAsia" w:asciiTheme="minorEastAsia" w:hAnsiTheme="minorEastAsia" w:eastAsiaTheme="minorEastAsia" w:cstheme="minorEastAsia"/>
          <w:bCs/>
          <w:sz w:val="28"/>
          <w:szCs w:val="28"/>
          <w:highlight w:val="none"/>
          <w:lang w:val="en-US" w:eastAsia="zh-CN"/>
        </w:rPr>
        <w:t>制度</w:t>
      </w:r>
      <w:r>
        <w:rPr>
          <w:rFonts w:hint="eastAsia" w:asciiTheme="minorEastAsia" w:hAnsiTheme="minorEastAsia" w:eastAsiaTheme="minorEastAsia" w:cstheme="minorEastAsia"/>
          <w:bCs/>
          <w:sz w:val="28"/>
          <w:szCs w:val="28"/>
          <w:highlight w:val="none"/>
          <w:lang w:eastAsia="zh-CN"/>
        </w:rPr>
        <w:t>，切实扎牢资产管理笼子。</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_Toc5590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- 26 -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1"/>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_Toc32662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bCs w:val="0"/>
          <w:sz w:val="28"/>
          <w:szCs w:val="28"/>
          <w:highlight w:val="none"/>
          <w:lang w:val="en-US" w:eastAsia="zh-CN"/>
        </w:rPr>
        <w:t>附件1</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_Toc32662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- 28 -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pStyle w:val="11"/>
        <w:tabs>
          <w:tab w:val="right" w:leader="dot" w:pos="8958"/>
        </w:tabs>
        <w:spacing w:line="440" w:lineRule="exac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HYPERLINK \l _Toc15518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lang w:val="en-US" w:eastAsia="zh-CN"/>
        </w:rPr>
        <w:t>附件2</w:t>
      </w:r>
      <w:r>
        <w:rPr>
          <w:rFonts w:hint="eastAsia" w:asciiTheme="minorEastAsia" w:hAnsiTheme="minorEastAsia" w:cstheme="minorEastAsia"/>
          <w:sz w:val="28"/>
          <w:szCs w:val="28"/>
          <w:highlight w:val="none"/>
        </w:rPr>
        <w:tab/>
      </w:r>
      <w:r>
        <w:rPr>
          <w:rFonts w:hint="eastAsia" w:asciiTheme="minorEastAsia" w:hAnsiTheme="minorEastAsia" w:cstheme="minorEastAsia"/>
          <w:sz w:val="28"/>
          <w:szCs w:val="28"/>
          <w:highlight w:val="none"/>
        </w:rPr>
        <w:fldChar w:fldCharType="begin"/>
      </w:r>
      <w:r>
        <w:rPr>
          <w:rFonts w:hint="eastAsia" w:asciiTheme="minorEastAsia" w:hAnsiTheme="minorEastAsia" w:cstheme="minorEastAsia"/>
          <w:sz w:val="28"/>
          <w:szCs w:val="28"/>
          <w:highlight w:val="none"/>
        </w:rPr>
        <w:instrText xml:space="preserve"> PAGEREF _Toc15518 \h </w:instrText>
      </w:r>
      <w:r>
        <w:rPr>
          <w:rFonts w:hint="eastAsia" w:asciiTheme="minorEastAsia" w:hAnsiTheme="minorEastAsia" w:cstheme="minorEastAsia"/>
          <w:sz w:val="28"/>
          <w:szCs w:val="28"/>
          <w:highlight w:val="none"/>
        </w:rPr>
        <w:fldChar w:fldCharType="separate"/>
      </w:r>
      <w:r>
        <w:rPr>
          <w:rFonts w:hint="eastAsia" w:asciiTheme="minorEastAsia" w:hAnsiTheme="minorEastAsia" w:cstheme="minorEastAsia"/>
          <w:sz w:val="28"/>
          <w:szCs w:val="28"/>
          <w:highlight w:val="none"/>
        </w:rPr>
        <w:t>- 34 -</w:t>
      </w:r>
      <w:r>
        <w:rPr>
          <w:rFonts w:hint="eastAsia" w:asciiTheme="minorEastAsia" w:hAnsiTheme="minorEastAsia" w:cstheme="minorEastAsia"/>
          <w:sz w:val="28"/>
          <w:szCs w:val="28"/>
          <w:highlight w:val="none"/>
        </w:rPr>
        <w:fldChar w:fldCharType="end"/>
      </w:r>
      <w:r>
        <w:rPr>
          <w:rFonts w:hint="eastAsia" w:asciiTheme="minorEastAsia" w:hAnsiTheme="minorEastAsia" w:cstheme="minorEastAsia"/>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Theme="minorEastAsia" w:hAnsiTheme="minorEastAsia" w:cstheme="minorEastAsia"/>
          <w:sz w:val="28"/>
          <w:szCs w:val="28"/>
          <w:highlight w:val="none"/>
        </w:rPr>
        <w:sectPr>
          <w:footerReference r:id="rId6" w:type="default"/>
          <w:pgSz w:w="11906" w:h="16838"/>
          <w:pgMar w:top="1440" w:right="1417" w:bottom="1440" w:left="1531" w:header="454" w:footer="850" w:gutter="0"/>
          <w:pgBorders>
            <w:top w:val="none" w:sz="0" w:space="0"/>
            <w:left w:val="none" w:sz="0" w:space="0"/>
            <w:bottom w:val="none" w:sz="0" w:space="0"/>
            <w:right w:val="none" w:sz="0" w:space="0"/>
          </w:pgBorders>
          <w:pgNumType w:fmt="numberInDash" w:start="1"/>
          <w:cols w:space="0" w:num="1"/>
          <w:rtlGutter w:val="0"/>
          <w:docGrid w:type="lines" w:linePitch="325" w:charSpace="0"/>
        </w:sect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sz w:val="32"/>
          <w:szCs w:val="32"/>
          <w:highlight w:val="none"/>
          <w:lang w:val="en-US" w:eastAsia="zh-CN"/>
        </w:rPr>
      </w:pPr>
      <w:r>
        <w:rPr>
          <w:rFonts w:hint="eastAsia" w:asciiTheme="minorEastAsia" w:hAnsiTheme="minorEastAsia" w:cstheme="minorEastAsia"/>
          <w:sz w:val="28"/>
          <w:szCs w:val="28"/>
          <w:highlight w:val="none"/>
        </w:rPr>
        <w:fldChar w:fldCharType="end"/>
      </w:r>
      <w:bookmarkStart w:id="0" w:name="_Toc21495"/>
      <w:bookmarkStart w:id="1" w:name="_Toc24602"/>
      <w:bookmarkStart w:id="2" w:name="_Toc11130"/>
      <w:bookmarkStart w:id="3" w:name="_Toc23092"/>
      <w:bookmarkStart w:id="4" w:name="_Toc19200"/>
      <w:r>
        <w:rPr>
          <w:rFonts w:hint="eastAsia" w:ascii="黑体" w:hAnsi="黑体" w:eastAsia="黑体" w:cs="黑体"/>
          <w:b w:val="0"/>
          <w:bCs/>
          <w:sz w:val="32"/>
          <w:szCs w:val="32"/>
          <w:highlight w:val="none"/>
          <w:lang w:val="en-US" w:eastAsia="zh-CN"/>
        </w:rPr>
        <w:t>一、部门基本情况</w:t>
      </w:r>
      <w:bookmarkEnd w:id="0"/>
      <w:bookmarkEnd w:id="1"/>
      <w:bookmarkEnd w:id="2"/>
      <w:bookmarkEnd w:id="3"/>
      <w:bookmarkEnd w:id="4"/>
    </w:p>
    <w:p>
      <w:pPr>
        <w:pStyle w:val="4"/>
        <w:pageBreakBefore w:val="0"/>
        <w:widowControl w:val="0"/>
        <w:kinsoku/>
        <w:wordWrap/>
        <w:overflowPunct/>
        <w:autoSpaceDE/>
        <w:autoSpaceDN/>
        <w:bidi w:val="0"/>
        <w:adjustRightInd/>
        <w:snapToGrid/>
        <w:spacing w:before="0" w:beforeLines="0" w:after="0" w:afterLines="0" w:line="360" w:lineRule="auto"/>
        <w:ind w:firstLine="640" w:firstLineChars="200"/>
        <w:textAlignment w:val="auto"/>
        <w:rPr>
          <w:rFonts w:hint="eastAsia" w:ascii="楷体_GB2312" w:hAnsi="楷体_GB2312" w:eastAsia="楷体_GB2312" w:cs="楷体_GB2312"/>
          <w:b w:val="0"/>
          <w:bCs/>
          <w:highlight w:val="none"/>
          <w:lang w:eastAsia="zh-CN"/>
        </w:rPr>
      </w:pPr>
      <w:bookmarkStart w:id="5" w:name="_Toc44169692"/>
      <w:bookmarkStart w:id="6" w:name="_Toc17863"/>
      <w:bookmarkStart w:id="7" w:name="_Toc5988_WPSOffice_Level3"/>
      <w:bookmarkStart w:id="8" w:name="_Toc23683"/>
      <w:bookmarkStart w:id="9" w:name="_Toc23829"/>
      <w:bookmarkStart w:id="10" w:name="_Toc28475"/>
      <w:bookmarkStart w:id="11" w:name="_Toc28518"/>
      <w:bookmarkStart w:id="12" w:name="_Toc9315"/>
      <w:bookmarkStart w:id="13" w:name="_Toc22917"/>
      <w:bookmarkStart w:id="14" w:name="_Toc31813"/>
      <w:bookmarkStart w:id="15" w:name="_Toc4740"/>
      <w:bookmarkStart w:id="16" w:name="_Toc21221"/>
      <w:bookmarkStart w:id="17" w:name="_Toc19264"/>
      <w:r>
        <w:rPr>
          <w:rFonts w:hint="eastAsia" w:ascii="楷体_GB2312" w:hAnsi="楷体_GB2312" w:eastAsia="楷体_GB2312" w:cs="楷体_GB2312"/>
          <w:b w:val="0"/>
          <w:bCs/>
          <w:highlight w:val="none"/>
        </w:rPr>
        <w:t>（一）</w:t>
      </w:r>
      <w:bookmarkEnd w:id="5"/>
      <w:bookmarkEnd w:id="6"/>
      <w:bookmarkEnd w:id="7"/>
      <w:bookmarkEnd w:id="8"/>
      <w:bookmarkEnd w:id="9"/>
      <w:bookmarkEnd w:id="10"/>
      <w:bookmarkEnd w:id="11"/>
      <w:bookmarkEnd w:id="12"/>
      <w:r>
        <w:rPr>
          <w:rFonts w:hint="eastAsia" w:ascii="楷体_GB2312" w:hAnsi="楷体_GB2312" w:eastAsia="楷体_GB2312" w:cs="楷体_GB2312"/>
          <w:b w:val="0"/>
          <w:bCs/>
          <w:highlight w:val="none"/>
          <w:lang w:val="en-US" w:eastAsia="zh-CN"/>
        </w:rPr>
        <w:t>部门</w:t>
      </w:r>
      <w:bookmarkEnd w:id="13"/>
      <w:r>
        <w:rPr>
          <w:rFonts w:hint="eastAsia" w:ascii="楷体_GB2312" w:hAnsi="楷体_GB2312" w:eastAsia="楷体_GB2312" w:cs="楷体_GB2312"/>
          <w:b w:val="0"/>
          <w:bCs/>
          <w:highlight w:val="none"/>
          <w:lang w:val="en-US" w:eastAsia="zh-CN"/>
        </w:rPr>
        <w:t>概要。</w:t>
      </w:r>
      <w:bookmarkEnd w:id="14"/>
      <w:bookmarkEnd w:id="15"/>
      <w:bookmarkEnd w:id="16"/>
      <w:bookmarkEnd w:id="17"/>
    </w:p>
    <w:p>
      <w:pPr>
        <w:pageBreakBefore w:val="0"/>
        <w:widowControl w:val="0"/>
        <w:kinsoku/>
        <w:wordWrap/>
        <w:overflowPunct/>
        <w:topLinePunct/>
        <w:autoSpaceDE/>
        <w:autoSpaceDN/>
        <w:bidi w:val="0"/>
        <w:adjustRightInd/>
        <w:snapToGrid/>
        <w:spacing w:line="360" w:lineRule="auto"/>
        <w:ind w:firstLine="640" w:firstLineChars="200"/>
        <w:contextualSpacing/>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1.部门主要职责。</w:t>
      </w:r>
    </w:p>
    <w:p>
      <w:pPr>
        <w:pageBreakBefore w:val="0"/>
        <w:widowControl w:val="0"/>
        <w:kinsoku/>
        <w:wordWrap/>
        <w:overflowPunct/>
        <w:topLinePunct/>
        <w:autoSpaceDE/>
        <w:autoSpaceDN/>
        <w:bidi w:val="0"/>
        <w:adjustRightInd/>
        <w:snapToGrid/>
        <w:spacing w:line="360" w:lineRule="auto"/>
        <w:ind w:firstLine="640" w:firstLineChars="200"/>
        <w:contextualSpacing/>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2018年，公安消防部队改制，不再列武警部队序列，全部退出现役，成建制划归应急管理部。2019年12月31日，市消防救援支队正式挂牌。依据</w:t>
      </w:r>
      <w:r>
        <w:rPr>
          <w:rFonts w:hint="eastAsia" w:ascii="仿宋_GB2312" w:hAnsi="仿宋_GB2312" w:eastAsia="仿宋_GB2312" w:cs="仿宋_GB2312"/>
          <w:sz w:val="32"/>
          <w:szCs w:val="32"/>
          <w:highlight w:val="none"/>
          <w:lang w:val="en-US" w:eastAsia="zh-CN"/>
        </w:rPr>
        <w:t>《广东省消防救援总队关于印发〈广东省消防救援队伍400人以上三类支队机关内设机构主要职责（试行）〉的通知》，市消防救援支队（改革转制前称韶关市公安消防支队，又称中国人民武装警察部队韶关市消防支队、韶关市公安消防局）内设办公室</w:t>
      </w:r>
      <w:r>
        <w:rPr>
          <w:rFonts w:hint="eastAsia" w:ascii="仿宋_GB2312" w:hAnsi="仿宋_GB2312" w:eastAsia="仿宋_GB2312" w:cs="仿宋_GB2312"/>
          <w:sz w:val="32"/>
          <w:szCs w:val="32"/>
          <w:highlight w:val="none"/>
        </w:rPr>
        <w:t>、指挥中心、作战训练科、防火监督科、法制与社会消防工作科、战勤保障科</w:t>
      </w:r>
      <w:r>
        <w:rPr>
          <w:rFonts w:hint="eastAsia" w:ascii="仿宋_GB2312" w:hAnsi="仿宋_GB2312" w:eastAsia="仿宋_GB2312" w:cs="仿宋_GB2312"/>
          <w:sz w:val="32"/>
          <w:szCs w:val="32"/>
          <w:highlight w:val="none"/>
          <w:lang w:val="en-US" w:eastAsia="zh-CN"/>
        </w:rPr>
        <w:t>等12</w:t>
      </w:r>
      <w:r>
        <w:rPr>
          <w:rFonts w:hint="eastAsia" w:ascii="仿宋_GB2312" w:hAnsi="仿宋_GB2312" w:eastAsia="仿宋_GB2312" w:cs="仿宋_GB2312"/>
          <w:sz w:val="32"/>
          <w:szCs w:val="32"/>
          <w:highlight w:val="none"/>
        </w:rPr>
        <w:t>个机构，</w:t>
      </w:r>
      <w:r>
        <w:rPr>
          <w:rFonts w:hint="eastAsia" w:ascii="仿宋_GB2312" w:hAnsi="仿宋_GB2312" w:eastAsia="仿宋_GB2312" w:cs="仿宋_GB2312"/>
          <w:sz w:val="32"/>
          <w:szCs w:val="32"/>
          <w:highlight w:val="none"/>
          <w:lang w:val="en-US" w:eastAsia="zh-CN"/>
        </w:rPr>
        <w:t>分别</w:t>
      </w:r>
      <w:r>
        <w:rPr>
          <w:rFonts w:hint="eastAsia" w:ascii="仿宋_GB2312" w:hAnsi="仿宋_GB2312" w:eastAsia="仿宋_GB2312" w:cs="仿宋_GB2312"/>
          <w:sz w:val="32"/>
          <w:szCs w:val="32"/>
          <w:highlight w:val="none"/>
        </w:rPr>
        <w:t>履行</w:t>
      </w:r>
      <w:r>
        <w:rPr>
          <w:rFonts w:hint="eastAsia" w:ascii="仿宋_GB2312" w:hAnsi="仿宋_GB2312" w:eastAsia="仿宋_GB2312" w:cs="仿宋_GB2312"/>
          <w:sz w:val="32"/>
          <w:szCs w:val="32"/>
          <w:highlight w:val="none"/>
          <w:lang w:val="en-US" w:eastAsia="zh-CN"/>
        </w:rPr>
        <w:t>消防救援、火灾预防、监督执法、消防安全宣传教育</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大项主要职责，</w:t>
      </w:r>
      <w:r>
        <w:rPr>
          <w:rFonts w:hint="eastAsia" w:ascii="仿宋_GB2312" w:hAnsi="仿宋_GB2312" w:eastAsia="仿宋_GB2312" w:cs="仿宋_GB2312"/>
          <w:sz w:val="32"/>
          <w:szCs w:val="32"/>
          <w:highlight w:val="none"/>
          <w:lang w:val="en-US" w:eastAsia="zh-CN"/>
        </w:rPr>
        <w:t>详见</w:t>
      </w:r>
      <w:r>
        <w:rPr>
          <w:rFonts w:hint="eastAsia" w:ascii="仿宋_GB2312" w:hAnsi="仿宋_GB2312" w:eastAsia="仿宋_GB2312" w:cs="仿宋_GB2312"/>
          <w:sz w:val="32"/>
          <w:szCs w:val="32"/>
          <w:highlight w:val="none"/>
        </w:rPr>
        <w:t>表1-1。</w:t>
      </w:r>
    </w:p>
    <w:p>
      <w:pPr>
        <w:keepNext w:val="0"/>
        <w:keepLines w:val="0"/>
        <w:pageBreakBefore w:val="0"/>
        <w:widowControl w:val="0"/>
        <w:numPr>
          <w:ilvl w:val="0"/>
          <w:numId w:val="0"/>
        </w:numPr>
        <w:kinsoku/>
        <w:wordWrap/>
        <w:overflowPunct/>
        <w:topLinePunct w:val="0"/>
        <w:autoSpaceDE/>
        <w:autoSpaceDN/>
        <w:bidi w:val="0"/>
        <w:adjustRightInd/>
        <w:snapToGrid/>
        <w:spacing w:before="326" w:beforeLines="100" w:line="360" w:lineRule="auto"/>
        <w:ind w:firstLine="0" w:firstLineChars="0"/>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表1-1 部门主要职责</w:t>
      </w:r>
    </w:p>
    <w:tbl>
      <w:tblPr>
        <w:tblStyle w:val="15"/>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29"/>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283" w:hRule="atLeast"/>
          <w:tblHeader/>
          <w:jc w:val="center"/>
        </w:trPr>
        <w:tc>
          <w:tcPr>
            <w:tcW w:w="729" w:type="dxa"/>
            <w:shd w:val="clear" w:color="auto" w:fill="auto"/>
            <w:vAlign w:val="center"/>
          </w:tcPr>
          <w:p>
            <w:pPr>
              <w:widowControl/>
              <w:spacing w:line="360" w:lineRule="auto"/>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序号</w:t>
            </w:r>
          </w:p>
        </w:tc>
        <w:tc>
          <w:tcPr>
            <w:tcW w:w="8228" w:type="dxa"/>
            <w:shd w:val="clear" w:color="auto" w:fill="auto"/>
            <w:vAlign w:val="center"/>
          </w:tcPr>
          <w:p>
            <w:pPr>
              <w:widowControl/>
              <w:spacing w:line="360" w:lineRule="auto"/>
              <w:jc w:val="center"/>
              <w:textAlignment w:val="center"/>
              <w:rPr>
                <w:rFonts w:hint="eastAsia" w:ascii="宋体" w:hAnsi="宋体" w:eastAsia="宋体" w:cs="宋体"/>
                <w:b/>
                <w:bCs/>
                <w:sz w:val="21"/>
                <w:szCs w:val="21"/>
                <w:highlight w:val="none"/>
              </w:rPr>
            </w:pPr>
            <w:r>
              <w:rPr>
                <w:rFonts w:hint="eastAsia" w:ascii="宋体" w:hAnsi="宋体" w:eastAsia="宋体" w:cs="宋体"/>
                <w:b/>
                <w:bCs/>
                <w:kern w:val="0"/>
                <w:sz w:val="21"/>
                <w:szCs w:val="21"/>
                <w:highlight w:val="none"/>
                <w:lang w:bidi="ar"/>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8228" w:type="dxa"/>
            <w:shd w:val="clear" w:color="auto" w:fill="FFFFFF"/>
            <w:vAlign w:val="center"/>
          </w:tcPr>
          <w:p>
            <w:pPr>
              <w:widowControl/>
              <w:spacing w:line="276"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承担城乡综合性消防救援工作，负责指挥调度相关灾害事故救援行动，承担重要会议、大型活动消防安全保卫工作</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8228" w:type="dxa"/>
            <w:shd w:val="clear" w:color="auto" w:fill="FFFFFF"/>
            <w:vAlign w:val="center"/>
          </w:tcPr>
          <w:p>
            <w:pPr>
              <w:widowControl/>
              <w:spacing w:line="276" w:lineRule="auto"/>
              <w:jc w:val="center"/>
              <w:textAlignment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承担火灾预防、消防监督执法以及火灾事故调查处理相关工作，依法行使消防安全综合监管职能，推动落实消防安全责任制</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8228" w:type="dxa"/>
            <w:shd w:val="clear" w:color="auto" w:fill="FFFFFF"/>
            <w:vAlign w:val="center"/>
          </w:tcPr>
          <w:p>
            <w:pPr>
              <w:widowControl/>
              <w:spacing w:line="276"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参与拟订消防专项规划，参与起草地方性消防法规、规章草案并监督实施</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8228" w:type="dxa"/>
            <w:shd w:val="clear" w:color="auto" w:fill="FFFFFF"/>
            <w:vAlign w:val="center"/>
          </w:tcPr>
          <w:p>
            <w:pPr>
              <w:widowControl/>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负责消防救援队伍综合性消防救援预案编制、战术研究和执勤备战、训练演练等工作。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p>
        </w:tc>
        <w:tc>
          <w:tcPr>
            <w:tcW w:w="8228" w:type="dxa"/>
            <w:shd w:val="clear" w:color="auto" w:fill="FFFFFF"/>
            <w:vAlign w:val="center"/>
          </w:tcPr>
          <w:p>
            <w:pPr>
              <w:widowControl/>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负责消防救援信息化和应急通信建设，承担综合性消防救援行动应急通信保障工作。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p>
        </w:tc>
        <w:tc>
          <w:tcPr>
            <w:tcW w:w="8228" w:type="dxa"/>
            <w:shd w:val="clear" w:color="auto" w:fill="FFFFFF"/>
            <w:vAlign w:val="center"/>
          </w:tcPr>
          <w:p>
            <w:pPr>
              <w:widowControl/>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负责消防安全宣传教育，组织指导社会消防力量建设。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8228" w:type="dxa"/>
            <w:shd w:val="clear" w:color="auto" w:fill="FFFFFF"/>
            <w:vAlign w:val="center"/>
          </w:tcPr>
          <w:p>
            <w:pPr>
              <w:widowControl/>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负责消防应急救援专业队伍规划、建设与调度指挥，与组织协调动员各类社会救援力量参加救援任务。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8</w:t>
            </w:r>
          </w:p>
        </w:tc>
        <w:tc>
          <w:tcPr>
            <w:tcW w:w="8228" w:type="dxa"/>
            <w:shd w:val="clear" w:color="auto" w:fill="FFFFFF"/>
            <w:vAlign w:val="center"/>
          </w:tcPr>
          <w:p>
            <w:pPr>
              <w:widowControl/>
              <w:spacing w:line="276" w:lineRule="auto"/>
              <w:jc w:val="center"/>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负责全市消防救援队伍建设与管理。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729" w:type="dxa"/>
            <w:shd w:val="clear" w:color="auto" w:fill="FFFFFF"/>
            <w:vAlign w:val="center"/>
          </w:tcPr>
          <w:p>
            <w:pPr>
              <w:widowControl/>
              <w:spacing w:line="276"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9</w:t>
            </w:r>
          </w:p>
        </w:tc>
        <w:tc>
          <w:tcPr>
            <w:tcW w:w="8228" w:type="dxa"/>
            <w:shd w:val="clear" w:color="auto" w:fill="FFFFFF"/>
            <w:vAlign w:val="center"/>
          </w:tcPr>
          <w:p>
            <w:pPr>
              <w:widowControl/>
              <w:spacing w:line="276"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完成省消防救援总队和市委市政府交办的相关任务。</w:t>
            </w:r>
          </w:p>
        </w:tc>
      </w:tr>
    </w:tbl>
    <w:p>
      <w:pPr>
        <w:pStyle w:val="5"/>
        <w:keepNext w:val="0"/>
        <w:keepLines w:val="0"/>
        <w:pageBreakBefore w:val="0"/>
        <w:widowControl w:val="0"/>
        <w:kinsoku/>
        <w:wordWrap/>
        <w:overflowPunct/>
        <w:topLinePunct w:val="0"/>
        <w:autoSpaceDE/>
        <w:autoSpaceDN/>
        <w:bidi w:val="0"/>
        <w:adjustRightInd/>
        <w:snapToGrid/>
        <w:spacing w:before="326" w:beforeLines="100"/>
        <w:ind w:firstLine="643"/>
        <w:textAlignment w:val="auto"/>
        <w:rPr>
          <w:rFonts w:hint="eastAsia"/>
          <w:b w:val="0"/>
          <w:bCs/>
          <w:highlight w:val="none"/>
        </w:rPr>
      </w:pPr>
      <w:bookmarkStart w:id="18" w:name="_Toc20744"/>
      <w:bookmarkStart w:id="19" w:name="_Toc4772"/>
      <w:bookmarkStart w:id="20" w:name="_Toc23562"/>
      <w:bookmarkStart w:id="21" w:name="_Toc25442"/>
      <w:bookmarkStart w:id="22" w:name="_Toc2876"/>
      <w:bookmarkStart w:id="23" w:name="_Toc11746"/>
      <w:bookmarkStart w:id="24" w:name="_Toc9435"/>
      <w:bookmarkStart w:id="25" w:name="_Toc28544"/>
      <w:r>
        <w:rPr>
          <w:rFonts w:hint="eastAsia"/>
          <w:b w:val="0"/>
          <w:bCs/>
          <w:highlight w:val="none"/>
          <w:lang w:val="en-US" w:eastAsia="zh-CN"/>
        </w:rPr>
        <w:t>2.</w:t>
      </w:r>
      <w:r>
        <w:rPr>
          <w:rFonts w:hint="eastAsia"/>
          <w:b w:val="0"/>
          <w:bCs/>
          <w:highlight w:val="none"/>
        </w:rPr>
        <w:t>纳入决算编制范围单位。</w:t>
      </w:r>
      <w:bookmarkEnd w:id="18"/>
      <w:bookmarkEnd w:id="19"/>
      <w:bookmarkEnd w:id="20"/>
      <w:bookmarkEnd w:id="21"/>
      <w:bookmarkEnd w:id="22"/>
      <w:bookmarkEnd w:id="23"/>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纳入财政决算编报范围的单位共</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个，包括</w:t>
      </w:r>
      <w:r>
        <w:rPr>
          <w:rFonts w:hint="eastAsia" w:ascii="仿宋_GB2312" w:hAnsi="仿宋_GB2312" w:eastAsia="仿宋_GB2312" w:cs="仿宋_GB2312"/>
          <w:sz w:val="32"/>
          <w:szCs w:val="32"/>
          <w:highlight w:val="none"/>
          <w:lang w:val="en-US" w:eastAsia="zh-CN"/>
        </w:rPr>
        <w:t>支队</w:t>
      </w:r>
      <w:r>
        <w:rPr>
          <w:rFonts w:hint="eastAsia" w:ascii="仿宋_GB2312" w:hAnsi="仿宋_GB2312" w:eastAsia="仿宋_GB2312" w:cs="仿宋_GB2312"/>
          <w:sz w:val="32"/>
          <w:szCs w:val="32"/>
          <w:highlight w:val="none"/>
        </w:rPr>
        <w:t>本级和</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个预算单位，</w:t>
      </w:r>
      <w:r>
        <w:rPr>
          <w:rFonts w:hint="eastAsia" w:ascii="仿宋_GB2312" w:hAnsi="仿宋_GB2312" w:eastAsia="仿宋_GB2312" w:cs="仿宋_GB2312"/>
          <w:sz w:val="32"/>
          <w:szCs w:val="32"/>
          <w:highlight w:val="none"/>
          <w:lang w:val="en-US" w:eastAsia="zh-CN"/>
        </w:rPr>
        <w:t>2个下属单位分</w:t>
      </w:r>
      <w:r>
        <w:rPr>
          <w:rFonts w:hint="eastAsia" w:ascii="仿宋_GB2312" w:hAnsi="仿宋_GB2312" w:eastAsia="仿宋_GB2312" w:cs="仿宋_GB2312"/>
          <w:sz w:val="32"/>
          <w:szCs w:val="32"/>
          <w:highlight w:val="none"/>
        </w:rPr>
        <w:t>别是：</w:t>
      </w:r>
      <w:r>
        <w:rPr>
          <w:rFonts w:hint="eastAsia" w:ascii="仿宋_GB2312" w:hAnsi="仿宋_GB2312" w:eastAsia="仿宋_GB2312" w:cs="仿宋_GB2312"/>
          <w:sz w:val="32"/>
          <w:szCs w:val="32"/>
          <w:highlight w:val="none"/>
          <w:lang w:val="en-US" w:eastAsia="zh-CN"/>
        </w:rPr>
        <w:t>韶关市消防救援支队应急通信与车辆勤务站、韶关市消防救援支队西联特勤站</w:t>
      </w:r>
      <w:r>
        <w:rPr>
          <w:rFonts w:hint="eastAsia" w:ascii="仿宋_GB2312" w:hAnsi="仿宋_GB2312" w:eastAsia="仿宋_GB2312" w:cs="仿宋_GB2312"/>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ind w:firstLine="643"/>
        <w:textAlignment w:val="auto"/>
        <w:rPr>
          <w:rFonts w:hint="default"/>
          <w:b w:val="0"/>
          <w:bCs/>
          <w:highlight w:val="none"/>
        </w:rPr>
      </w:pPr>
      <w:bookmarkStart w:id="26" w:name="_Toc3551"/>
      <w:bookmarkStart w:id="27" w:name="_Toc3010"/>
      <w:bookmarkStart w:id="28" w:name="_Toc22207"/>
      <w:bookmarkStart w:id="29" w:name="_Toc9868"/>
      <w:bookmarkStart w:id="30" w:name="_Toc5509"/>
      <w:bookmarkStart w:id="31" w:name="_Toc11793"/>
      <w:bookmarkStart w:id="32" w:name="_Toc32483"/>
      <w:bookmarkStart w:id="33" w:name="_Toc4916"/>
      <w:r>
        <w:rPr>
          <w:rFonts w:hint="eastAsia"/>
          <w:b w:val="0"/>
          <w:bCs/>
          <w:highlight w:val="none"/>
          <w:lang w:val="en-US" w:eastAsia="zh-CN"/>
        </w:rPr>
        <w:t>3.</w:t>
      </w:r>
      <w:r>
        <w:rPr>
          <w:rFonts w:hint="eastAsia"/>
          <w:b w:val="0"/>
          <w:bCs/>
          <w:highlight w:val="none"/>
        </w:rPr>
        <w:t>部门人员编制构成。</w:t>
      </w:r>
      <w:bookmarkEnd w:id="26"/>
      <w:bookmarkEnd w:id="27"/>
      <w:bookmarkEnd w:id="28"/>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截至202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年12月31日，</w:t>
      </w:r>
      <w:r>
        <w:rPr>
          <w:rFonts w:hint="eastAsia" w:ascii="仿宋_GB2312" w:hAnsi="仿宋_GB2312" w:eastAsia="仿宋_GB2312" w:cs="仿宋_GB2312"/>
          <w:sz w:val="32"/>
          <w:szCs w:val="32"/>
          <w:highlight w:val="none"/>
          <w:lang w:val="en-US" w:eastAsia="zh-CN"/>
        </w:rPr>
        <w:t>市消防救援支队</w:t>
      </w:r>
      <w:r>
        <w:rPr>
          <w:rFonts w:hint="eastAsia" w:ascii="仿宋_GB2312" w:hAnsi="仿宋_GB2312" w:eastAsia="仿宋_GB2312" w:cs="仿宋_GB2312"/>
          <w:sz w:val="32"/>
          <w:szCs w:val="32"/>
          <w:highlight w:val="none"/>
        </w:rPr>
        <w:t>共有</w:t>
      </w:r>
      <w:r>
        <w:rPr>
          <w:rFonts w:hint="eastAsia" w:ascii="仿宋_GB2312" w:hAnsi="仿宋_GB2312" w:eastAsia="仿宋_GB2312" w:cs="仿宋_GB2312"/>
          <w:sz w:val="32"/>
          <w:szCs w:val="32"/>
          <w:highlight w:val="none"/>
          <w:lang w:val="en-US" w:eastAsia="zh-CN"/>
        </w:rPr>
        <w:t>435人，消防指战员358人，其中干部138人，消防员220人。另外，市消防救援支队有政府专职消防员36人、消防文员41人。</w:t>
      </w:r>
    </w:p>
    <w:p>
      <w:pPr>
        <w:pStyle w:val="4"/>
        <w:pageBreakBefore w:val="0"/>
        <w:widowControl w:val="0"/>
        <w:kinsoku/>
        <w:wordWrap/>
        <w:overflowPunct/>
        <w:topLinePunct w:val="0"/>
        <w:autoSpaceDE/>
        <w:autoSpaceDN/>
        <w:bidi w:val="0"/>
        <w:spacing w:before="0" w:beforeLines="0" w:after="0" w:afterLines="0" w:line="360" w:lineRule="auto"/>
        <w:ind w:firstLine="640" w:firstLineChars="200"/>
        <w:textAlignment w:val="auto"/>
        <w:rPr>
          <w:rFonts w:hint="eastAsia" w:ascii="楷体_GB2312" w:hAnsi="楷体_GB2312" w:eastAsia="楷体_GB2312" w:cs="楷体_GB2312"/>
          <w:b w:val="0"/>
          <w:bCs/>
          <w:highlight w:val="none"/>
          <w:lang w:eastAsia="zh-CN"/>
        </w:rPr>
      </w:pPr>
      <w:bookmarkStart w:id="34" w:name="_Toc1017"/>
      <w:bookmarkStart w:id="35" w:name="_Toc20934_WPSOffice_Level3"/>
      <w:bookmarkStart w:id="36" w:name="_Toc9422"/>
      <w:bookmarkStart w:id="37" w:name="_Toc23526"/>
      <w:bookmarkStart w:id="38" w:name="_Toc17153"/>
      <w:bookmarkStart w:id="39" w:name="_Toc3876"/>
      <w:bookmarkStart w:id="40" w:name="_Toc4126"/>
      <w:bookmarkStart w:id="41" w:name="_Toc44169699"/>
      <w:bookmarkStart w:id="42" w:name="_Toc23370"/>
      <w:bookmarkStart w:id="43" w:name="_Toc26823"/>
      <w:bookmarkStart w:id="44" w:name="_Toc24634"/>
      <w:bookmarkStart w:id="45" w:name="_Toc20738"/>
      <w:bookmarkStart w:id="46" w:name="_Toc14701"/>
      <w:bookmarkStart w:id="47" w:name="_Toc6778"/>
      <w:bookmarkStart w:id="48" w:name="_Toc13485"/>
      <w:bookmarkStart w:id="49" w:name="_Toc623"/>
      <w:bookmarkStart w:id="50" w:name="_Toc9206"/>
      <w:bookmarkStart w:id="51" w:name="_Toc23334_WPSOffice_Level3"/>
      <w:bookmarkStart w:id="52" w:name="_Toc20559"/>
      <w:bookmarkStart w:id="53" w:name="_Toc44169696"/>
      <w:bookmarkStart w:id="54" w:name="_Toc15496"/>
      <w:r>
        <w:rPr>
          <w:rFonts w:hint="eastAsia" w:ascii="楷体_GB2312" w:hAnsi="楷体_GB2312" w:eastAsia="楷体_GB2312" w:cs="楷体_GB2312"/>
          <w:b w:val="0"/>
          <w:bCs/>
          <w:highlight w:val="none"/>
        </w:rPr>
        <w:t>（</w:t>
      </w:r>
      <w:r>
        <w:rPr>
          <w:rFonts w:hint="eastAsia" w:ascii="楷体_GB2312" w:hAnsi="楷体_GB2312" w:eastAsia="楷体_GB2312" w:cs="楷体_GB2312"/>
          <w:b w:val="0"/>
          <w:bCs/>
          <w:highlight w:val="none"/>
          <w:lang w:val="en-US" w:eastAsia="zh-CN"/>
        </w:rPr>
        <w:t>二</w:t>
      </w:r>
      <w:r>
        <w:rPr>
          <w:rFonts w:hint="eastAsia" w:ascii="楷体_GB2312" w:hAnsi="楷体_GB2312" w:eastAsia="楷体_GB2312" w:cs="楷体_GB2312"/>
          <w:b w:val="0"/>
          <w:bCs/>
          <w:highlight w:val="none"/>
        </w:rPr>
        <w:t>）</w:t>
      </w:r>
      <w:r>
        <w:rPr>
          <w:rFonts w:hint="eastAsia" w:ascii="楷体_GB2312" w:hAnsi="楷体_GB2312" w:eastAsia="楷体_GB2312" w:cs="楷体_GB2312"/>
          <w:b w:val="0"/>
          <w:bCs/>
          <w:highlight w:val="none"/>
          <w:lang w:val="en-US" w:eastAsia="zh-CN"/>
        </w:rPr>
        <w:t>年度总体工作任务及重点工作</w:t>
      </w:r>
      <w:r>
        <w:rPr>
          <w:rFonts w:hint="eastAsia" w:ascii="楷体_GB2312" w:hAnsi="楷体_GB2312" w:eastAsia="楷体_GB2312" w:cs="楷体_GB2312"/>
          <w:b w:val="0"/>
          <w:bCs/>
          <w:highlight w:val="none"/>
        </w:rPr>
        <w:t>任务</w:t>
      </w:r>
      <w:bookmarkEnd w:id="34"/>
      <w:bookmarkEnd w:id="35"/>
      <w:bookmarkEnd w:id="36"/>
      <w:bookmarkEnd w:id="37"/>
      <w:bookmarkEnd w:id="38"/>
      <w:bookmarkEnd w:id="39"/>
      <w:bookmarkEnd w:id="40"/>
      <w:bookmarkEnd w:id="41"/>
      <w:r>
        <w:rPr>
          <w:rFonts w:hint="eastAsia" w:ascii="楷体_GB2312" w:hAnsi="楷体_GB2312" w:eastAsia="楷体_GB2312" w:cs="楷体_GB2312"/>
          <w:b w:val="0"/>
          <w:bCs/>
          <w:highlight w:val="none"/>
          <w:lang w:eastAsia="zh-CN"/>
        </w:rPr>
        <w:t>。</w:t>
      </w:r>
      <w:bookmarkEnd w:id="42"/>
      <w:bookmarkEnd w:id="43"/>
      <w:bookmarkEnd w:id="44"/>
      <w:bookmarkEnd w:id="45"/>
      <w:bookmarkEnd w:id="46"/>
    </w:p>
    <w:p>
      <w:pPr>
        <w:pStyle w:val="5"/>
        <w:keepNext w:val="0"/>
        <w:keepLines w:val="0"/>
        <w:pageBreakBefore w:val="0"/>
        <w:widowControl w:val="0"/>
        <w:kinsoku/>
        <w:wordWrap/>
        <w:overflowPunct/>
        <w:topLinePunct w:val="0"/>
        <w:autoSpaceDE/>
        <w:autoSpaceDN/>
        <w:bidi w:val="0"/>
        <w:adjustRightInd/>
        <w:snapToGrid/>
        <w:ind w:firstLine="643"/>
        <w:textAlignment w:val="auto"/>
        <w:rPr>
          <w:rFonts w:hint="eastAsia"/>
          <w:b w:val="0"/>
          <w:bCs/>
          <w:highlight w:val="none"/>
          <w:lang w:val="en-US" w:eastAsia="zh-CN"/>
        </w:rPr>
      </w:pPr>
      <w:r>
        <w:rPr>
          <w:rFonts w:hint="eastAsia"/>
          <w:b w:val="0"/>
          <w:bCs/>
          <w:highlight w:val="none"/>
          <w:lang w:val="en-US" w:eastAsia="zh-CN"/>
        </w:rPr>
        <w:t>1.年度总体工作任务。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市消防救援支队年度总体工作任务为：提升队伍灭火救援实战能力，保障人民群众生命财产安全。</w:t>
      </w:r>
    </w:p>
    <w:p>
      <w:pPr>
        <w:pStyle w:val="5"/>
        <w:keepNext w:val="0"/>
        <w:keepLines w:val="0"/>
        <w:pageBreakBefore w:val="0"/>
        <w:widowControl w:val="0"/>
        <w:kinsoku/>
        <w:wordWrap/>
        <w:overflowPunct/>
        <w:topLinePunct w:val="0"/>
        <w:autoSpaceDE/>
        <w:autoSpaceDN/>
        <w:bidi w:val="0"/>
        <w:adjustRightInd/>
        <w:snapToGrid/>
        <w:ind w:firstLine="643"/>
        <w:textAlignment w:val="auto"/>
        <w:rPr>
          <w:rFonts w:hint="eastAsia"/>
          <w:b w:val="0"/>
          <w:bCs/>
          <w:highlight w:val="none"/>
          <w:lang w:val="en-US" w:eastAsia="zh-CN"/>
        </w:rPr>
      </w:pPr>
      <w:r>
        <w:rPr>
          <w:rFonts w:hint="eastAsia"/>
          <w:b w:val="0"/>
          <w:bCs/>
          <w:highlight w:val="none"/>
          <w:lang w:val="en-US" w:eastAsia="zh-CN"/>
        </w:rPr>
        <w:t>2.重点工作任务。</w:t>
      </w:r>
    </w:p>
    <w:p>
      <w:pPr>
        <w:keepNext w:val="0"/>
        <w:keepLines w:val="0"/>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年部门整体支出绩效目标申报表，</w:t>
      </w:r>
      <w:r>
        <w:rPr>
          <w:rFonts w:hint="eastAsia" w:ascii="仿宋_GB2312" w:hAnsi="仿宋_GB2312" w:eastAsia="仿宋_GB2312" w:cs="仿宋_GB2312"/>
          <w:sz w:val="32"/>
          <w:szCs w:val="32"/>
          <w:highlight w:val="none"/>
          <w:lang w:val="en-US" w:eastAsia="zh-CN"/>
        </w:rPr>
        <w:t>市消防救援支队</w:t>
      </w:r>
      <w:r>
        <w:rPr>
          <w:rFonts w:hint="eastAsia" w:ascii="仿宋_GB2312" w:hAnsi="仿宋_GB2312" w:eastAsia="仿宋_GB2312" w:cs="仿宋_GB2312"/>
          <w:sz w:val="32"/>
          <w:szCs w:val="32"/>
          <w:highlight w:val="none"/>
        </w:rPr>
        <w:t>年度重点工作任务主要为</w:t>
      </w:r>
      <w:r>
        <w:rPr>
          <w:rFonts w:hint="eastAsia" w:ascii="仿宋_GB2312" w:hAnsi="仿宋_GB2312" w:eastAsia="仿宋_GB2312" w:cs="仿宋_GB2312"/>
          <w:sz w:val="32"/>
          <w:szCs w:val="32"/>
          <w:highlight w:val="none"/>
          <w:lang w:val="en-US" w:eastAsia="zh-CN"/>
        </w:rPr>
        <w:t>提升队伍灭火救援实战能力、推进指挥中心升级改造、提升队伍应急通信保障能力等14项任务</w:t>
      </w:r>
      <w:r>
        <w:rPr>
          <w:rFonts w:hint="eastAsia" w:ascii="仿宋_GB2312" w:hAnsi="仿宋_GB2312" w:eastAsia="仿宋_GB2312" w:cs="仿宋_GB2312"/>
          <w:sz w:val="32"/>
          <w:szCs w:val="32"/>
          <w:highlight w:val="none"/>
        </w:rPr>
        <w:t>。具体实施内容如下表：</w:t>
      </w:r>
    </w:p>
    <w:p>
      <w:pPr>
        <w:pStyle w:val="2"/>
        <w:rPr>
          <w:rFonts w:hint="eastAsia" w:ascii="仿宋_GB2312" w:hAnsi="仿宋_GB2312" w:eastAsia="仿宋_GB2312" w:cs="仿宋_GB2312"/>
          <w:sz w:val="32"/>
          <w:szCs w:val="32"/>
          <w:highlight w:val="none"/>
        </w:rPr>
      </w:pPr>
    </w:p>
    <w:p>
      <w:pPr>
        <w:pStyle w:val="2"/>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319" w:beforeLines="100" w:line="360" w:lineRule="auto"/>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表1-</w:t>
      </w: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 xml:space="preserve"> 202</w:t>
      </w: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rPr>
        <w:t>年度重点工作任务</w:t>
      </w:r>
    </w:p>
    <w:tbl>
      <w:tblPr>
        <w:tblStyle w:val="1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875"/>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80" w:type="dxa"/>
            <w:shd w:val="clear" w:color="auto" w:fill="auto"/>
            <w:vAlign w:val="center"/>
          </w:tcPr>
          <w:p>
            <w:pPr>
              <w:widowControl/>
              <w:spacing w:line="360" w:lineRule="auto"/>
              <w:jc w:val="center"/>
              <w:textAlignment w:val="center"/>
              <w:rPr>
                <w:rFonts w:hint="eastAsia" w:ascii="宋体" w:hAnsi="宋体" w:eastAsia="宋体" w:cs="宋体"/>
                <w:b/>
                <w:bCs w:val="0"/>
                <w:color w:val="000000"/>
                <w:kern w:val="0"/>
                <w:sz w:val="21"/>
                <w:szCs w:val="21"/>
                <w:highlight w:val="none"/>
                <w:lang w:val="en-US" w:eastAsia="zh-CN" w:bidi="ar"/>
              </w:rPr>
            </w:pPr>
            <w:r>
              <w:rPr>
                <w:rFonts w:hint="eastAsia" w:ascii="宋体" w:hAnsi="宋体" w:eastAsia="宋体" w:cs="宋体"/>
                <w:b/>
                <w:bCs w:val="0"/>
                <w:color w:val="000000"/>
                <w:kern w:val="0"/>
                <w:sz w:val="21"/>
                <w:szCs w:val="21"/>
                <w:highlight w:val="none"/>
                <w:lang w:val="en-US" w:eastAsia="zh-CN" w:bidi="ar"/>
              </w:rPr>
              <w:t>序号</w:t>
            </w:r>
          </w:p>
        </w:tc>
        <w:tc>
          <w:tcPr>
            <w:tcW w:w="1875" w:type="dxa"/>
            <w:shd w:val="clear" w:color="auto" w:fill="auto"/>
            <w:vAlign w:val="center"/>
          </w:tcPr>
          <w:p>
            <w:pPr>
              <w:widowControl/>
              <w:spacing w:line="360" w:lineRule="auto"/>
              <w:jc w:val="center"/>
              <w:textAlignment w:val="center"/>
              <w:rPr>
                <w:rFonts w:hint="eastAsia" w:ascii="宋体" w:hAnsi="宋体" w:eastAsia="宋体" w:cs="宋体"/>
                <w:b/>
                <w:bCs w:val="0"/>
                <w:color w:val="000000"/>
                <w:kern w:val="0"/>
                <w:sz w:val="21"/>
                <w:szCs w:val="21"/>
                <w:highlight w:val="none"/>
                <w:lang w:bidi="ar"/>
              </w:rPr>
            </w:pPr>
            <w:r>
              <w:rPr>
                <w:rFonts w:hint="eastAsia" w:ascii="宋体" w:hAnsi="宋体" w:eastAsia="宋体" w:cs="宋体"/>
                <w:b/>
                <w:bCs w:val="0"/>
                <w:color w:val="000000"/>
                <w:kern w:val="0"/>
                <w:sz w:val="21"/>
                <w:szCs w:val="21"/>
                <w:highlight w:val="none"/>
                <w:lang w:bidi="ar"/>
              </w:rPr>
              <w:t>任务名称</w:t>
            </w:r>
          </w:p>
        </w:tc>
        <w:tc>
          <w:tcPr>
            <w:tcW w:w="6519" w:type="dxa"/>
            <w:shd w:val="clear" w:color="auto" w:fill="auto"/>
            <w:vAlign w:val="center"/>
          </w:tcPr>
          <w:p>
            <w:pPr>
              <w:widowControl/>
              <w:spacing w:line="360" w:lineRule="auto"/>
              <w:jc w:val="center"/>
              <w:textAlignment w:val="center"/>
              <w:rPr>
                <w:rFonts w:hint="eastAsia" w:ascii="宋体" w:hAnsi="宋体" w:eastAsia="宋体" w:cs="宋体"/>
                <w:b/>
                <w:bCs w:val="0"/>
                <w:color w:val="000000"/>
                <w:kern w:val="0"/>
                <w:sz w:val="21"/>
                <w:szCs w:val="21"/>
                <w:highlight w:val="none"/>
                <w:lang w:bidi="ar"/>
              </w:rPr>
            </w:pPr>
            <w:r>
              <w:rPr>
                <w:rFonts w:hint="eastAsia" w:ascii="宋体" w:hAnsi="宋体" w:eastAsia="宋体" w:cs="宋体"/>
                <w:b/>
                <w:bCs w:val="0"/>
                <w:color w:val="000000"/>
                <w:kern w:val="0"/>
                <w:sz w:val="21"/>
                <w:szCs w:val="21"/>
                <w:highlight w:val="none"/>
                <w:lang w:bidi="ar"/>
              </w:rPr>
              <w:t>主要实施内容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vAlign w:val="center"/>
          </w:tcPr>
          <w:p>
            <w:pPr>
              <w:widowControl/>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1875" w:type="dxa"/>
            <w:vAlign w:val="center"/>
          </w:tcPr>
          <w:p>
            <w:pPr>
              <w:keepNext w:val="0"/>
              <w:keepLines w:val="0"/>
              <w:widowControl/>
              <w:suppressLineNumbers w:val="0"/>
              <w:jc w:val="center"/>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编制消防规划、规范性文件</w:t>
            </w:r>
          </w:p>
        </w:tc>
        <w:tc>
          <w:tcPr>
            <w:tcW w:w="6519" w:type="dxa"/>
            <w:vAlign w:val="center"/>
          </w:tcPr>
          <w:p>
            <w:pPr>
              <w:keepNext w:val="0"/>
              <w:keepLines w:val="0"/>
              <w:widowControl/>
              <w:numPr>
                <w:ilvl w:val="0"/>
                <w:numId w:val="0"/>
              </w:numPr>
              <w:suppressLineNumbers w:val="0"/>
              <w:jc w:val="left"/>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编制市“十四五”消防规划，并宣贯实施；年内出台修订1部政府规范性文件。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vAlign w:val="center"/>
          </w:tcPr>
          <w:p>
            <w:pPr>
              <w:widowControl/>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1875" w:type="dxa"/>
            <w:vAlign w:val="center"/>
          </w:tcPr>
          <w:p>
            <w:pPr>
              <w:keepNext w:val="0"/>
              <w:keepLines w:val="0"/>
              <w:widowControl/>
              <w:suppressLineNumbers w:val="0"/>
              <w:jc w:val="center"/>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加强消防安全宣传教育</w:t>
            </w:r>
          </w:p>
        </w:tc>
        <w:tc>
          <w:tcPr>
            <w:tcW w:w="6519"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通过微信、微博等新媒体平台定期推送消防工作动态、消防安全信息；开展“119”消防日主题活动；在市级主流媒体开设消防宣传专栏（专版）；</w:t>
            </w:r>
          </w:p>
          <w:p>
            <w:pPr>
              <w:keepNext w:val="0"/>
              <w:keepLines w:val="0"/>
              <w:widowControl/>
              <w:numPr>
                <w:ilvl w:val="0"/>
                <w:numId w:val="0"/>
              </w:numPr>
              <w:suppressLineNumbers w:val="0"/>
              <w:jc w:val="left"/>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推广全民消防安全学习云平台线上学习。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vAlign w:val="center"/>
          </w:tcPr>
          <w:p>
            <w:pPr>
              <w:widowControl/>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1875" w:type="dxa"/>
            <w:vAlign w:val="center"/>
          </w:tcPr>
          <w:p>
            <w:pPr>
              <w:keepNext w:val="0"/>
              <w:keepLines w:val="0"/>
              <w:widowControl/>
              <w:suppressLineNumbers w:val="0"/>
              <w:jc w:val="center"/>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提升队伍灭火救援实战能力</w:t>
            </w:r>
          </w:p>
        </w:tc>
        <w:tc>
          <w:tcPr>
            <w:tcW w:w="6519" w:type="dxa"/>
            <w:vAlign w:val="center"/>
          </w:tcPr>
          <w:p>
            <w:pPr>
              <w:keepNext w:val="0"/>
              <w:keepLines w:val="0"/>
              <w:widowControl/>
              <w:numPr>
                <w:ilvl w:val="0"/>
                <w:numId w:val="0"/>
              </w:numPr>
              <w:suppressLineNumbers w:val="0"/>
              <w:jc w:val="left"/>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出台全员大练兵工作方案，定期议训、议战、议安全，加强和改进战训工作措施和意见；组织对全员体能和技能普考，对基层队站开展不少于2次体技能比武；开展地震、山岳、水域、高层建筑等灾害实战演练。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vAlign w:val="center"/>
          </w:tcPr>
          <w:p>
            <w:pPr>
              <w:widowControl/>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1875" w:type="dxa"/>
            <w:vAlign w:val="center"/>
          </w:tcPr>
          <w:p>
            <w:pPr>
              <w:keepNext w:val="0"/>
              <w:keepLines w:val="0"/>
              <w:widowControl/>
              <w:suppressLineNumbers w:val="0"/>
              <w:jc w:val="center"/>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推进指挥中心升级改造</w:t>
            </w:r>
          </w:p>
        </w:tc>
        <w:tc>
          <w:tcPr>
            <w:tcW w:w="6519"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按要求配备接警调度席，设置4个日常接警调度席、4个扩展接警调度席；</w:t>
            </w:r>
          </w:p>
          <w:p>
            <w:pPr>
              <w:keepNext w:val="0"/>
              <w:keepLines w:val="0"/>
              <w:widowControl/>
              <w:suppressLineNumbers w:val="0"/>
              <w:jc w:val="left"/>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按照全勤指挥部驻勤岗位设置全勤指挥部值守席，开通30路119电话线路。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vAlign w:val="center"/>
          </w:tcPr>
          <w:p>
            <w:pPr>
              <w:widowControl/>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w:t>
            </w:r>
          </w:p>
        </w:tc>
        <w:tc>
          <w:tcPr>
            <w:tcW w:w="1875" w:type="dxa"/>
            <w:vAlign w:val="center"/>
          </w:tcPr>
          <w:p>
            <w:pPr>
              <w:keepNext w:val="0"/>
              <w:keepLines w:val="0"/>
              <w:widowControl/>
              <w:suppressLineNumbers w:val="0"/>
              <w:jc w:val="center"/>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提升队伍应急通信保障能力</w:t>
            </w:r>
          </w:p>
        </w:tc>
        <w:tc>
          <w:tcPr>
            <w:tcW w:w="6519" w:type="dxa"/>
            <w:vAlign w:val="center"/>
          </w:tcPr>
          <w:p>
            <w:pPr>
              <w:keepNext w:val="0"/>
              <w:keepLines w:val="0"/>
              <w:widowControl/>
              <w:numPr>
                <w:ilvl w:val="0"/>
                <w:numId w:val="0"/>
              </w:numPr>
              <w:suppressLineNumbers w:val="0"/>
              <w:jc w:val="left"/>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培养通信骨干人才，通过委托有资质的第三方培训，持证无人机驾驶员达到每站1人以上，持证人数与消防站数配比达1.5以上；开展应急通信岗位练兵活动，日常对各级应急通信保障分队（小组）开展拉动考核。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vAlign w:val="center"/>
          </w:tcPr>
          <w:p>
            <w:pPr>
              <w:widowControl/>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w:t>
            </w:r>
          </w:p>
        </w:tc>
        <w:tc>
          <w:tcPr>
            <w:tcW w:w="1875" w:type="dxa"/>
            <w:vAlign w:val="center"/>
          </w:tcPr>
          <w:p>
            <w:pPr>
              <w:keepNext w:val="0"/>
              <w:keepLines w:val="0"/>
              <w:widowControl/>
              <w:suppressLineNumbers w:val="0"/>
              <w:jc w:val="center"/>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推动落实消防安全责任制</w:t>
            </w:r>
          </w:p>
        </w:tc>
        <w:tc>
          <w:tcPr>
            <w:tcW w:w="6519" w:type="dxa"/>
            <w:vAlign w:val="center"/>
          </w:tcPr>
          <w:p>
            <w:pPr>
              <w:keepNext w:val="0"/>
              <w:keepLines w:val="0"/>
              <w:widowControl/>
              <w:numPr>
                <w:ilvl w:val="0"/>
                <w:numId w:val="0"/>
              </w:numPr>
              <w:suppressLineNumbers w:val="0"/>
              <w:jc w:val="left"/>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以市政府或市消防安全委员会名义印发年度消防工作意见，提请市政府常务会至少每半年听取消防工作汇报；推动市政府（市消防安全委员会）每季度召开会议部署推进消防安全工作；每季度向各县（市、区）和市消安委成员单位通报或函告全市火灾形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vAlign w:val="center"/>
          </w:tcPr>
          <w:p>
            <w:pPr>
              <w:widowControl/>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w:t>
            </w:r>
          </w:p>
        </w:tc>
        <w:tc>
          <w:tcPr>
            <w:tcW w:w="1875" w:type="dxa"/>
            <w:vAlign w:val="center"/>
          </w:tcPr>
          <w:p>
            <w:pPr>
              <w:keepNext w:val="0"/>
              <w:keepLines w:val="0"/>
              <w:widowControl/>
              <w:suppressLineNumbers w:val="0"/>
              <w:jc w:val="center"/>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持续优化消防营商环境</w:t>
            </w:r>
          </w:p>
        </w:tc>
        <w:tc>
          <w:tcPr>
            <w:tcW w:w="6519" w:type="dxa"/>
            <w:vAlign w:val="center"/>
          </w:tcPr>
          <w:p>
            <w:pPr>
              <w:keepNext w:val="0"/>
              <w:keepLines w:val="0"/>
              <w:widowControl/>
              <w:numPr>
                <w:ilvl w:val="0"/>
                <w:numId w:val="0"/>
              </w:numPr>
              <w:suppressLineNumbers w:val="0"/>
              <w:jc w:val="left"/>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通过政务服务网站等方式向社会公布《公众聚集场所消防安全要求》以及实行告知承诺管理的范围、依据、条件、程序、期限等；根据申请人的申请，依法进行受理、许可及现场核查。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vAlign w:val="center"/>
          </w:tcPr>
          <w:p>
            <w:pPr>
              <w:widowControl/>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w:t>
            </w:r>
          </w:p>
        </w:tc>
        <w:tc>
          <w:tcPr>
            <w:tcW w:w="1875" w:type="dxa"/>
            <w:vAlign w:val="center"/>
          </w:tcPr>
          <w:p>
            <w:pPr>
              <w:keepNext w:val="0"/>
              <w:keepLines w:val="0"/>
              <w:widowControl/>
              <w:suppressLineNumbers w:val="0"/>
              <w:jc w:val="center"/>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增强消防救援队伍执法办案能力</w:t>
            </w:r>
          </w:p>
        </w:tc>
        <w:tc>
          <w:tcPr>
            <w:tcW w:w="6519"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建立支队级火灾调查执法办案中心，参照公安机关办案模式，进一步规范火调执法办案流程和规范化建设；加强火调人才培养，建立火调专家库；</w:t>
            </w:r>
          </w:p>
          <w:p>
            <w:pPr>
              <w:keepNext w:val="0"/>
              <w:keepLines w:val="0"/>
              <w:widowControl/>
              <w:numPr>
                <w:ilvl w:val="0"/>
                <w:numId w:val="0"/>
              </w:numPr>
              <w:suppressLineNumbers w:val="0"/>
              <w:jc w:val="left"/>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开展火调技术大练兵，每半年至少举办1期全市火灾调查案例复盘工作。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vAlign w:val="center"/>
          </w:tcPr>
          <w:p>
            <w:pPr>
              <w:widowControl/>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9</w:t>
            </w:r>
          </w:p>
        </w:tc>
        <w:tc>
          <w:tcPr>
            <w:tcW w:w="1875" w:type="dxa"/>
            <w:vAlign w:val="center"/>
          </w:tcPr>
          <w:p>
            <w:pPr>
              <w:keepNext w:val="0"/>
              <w:keepLines w:val="0"/>
              <w:widowControl/>
              <w:suppressLineNumbers w:val="0"/>
              <w:jc w:val="center"/>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推进基层队站正规化建设</w:t>
            </w:r>
          </w:p>
        </w:tc>
        <w:tc>
          <w:tcPr>
            <w:tcW w:w="6519" w:type="dxa"/>
            <w:vAlign w:val="center"/>
          </w:tcPr>
          <w:p>
            <w:pPr>
              <w:keepNext w:val="0"/>
              <w:keepLines w:val="0"/>
              <w:widowControl/>
              <w:numPr>
                <w:ilvl w:val="0"/>
                <w:numId w:val="0"/>
              </w:numPr>
              <w:suppressLineNumbers w:val="0"/>
              <w:jc w:val="left"/>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制定出台正规化建设三年规划和2021年计划，确保所有基层队站分批次达标；6月底前建设完成基层队站正规化建设片区级示范队站；2021年年底完成50%基层队站正规化建设达标。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vAlign w:val="center"/>
          </w:tcPr>
          <w:p>
            <w:pPr>
              <w:widowControl/>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w:t>
            </w:r>
          </w:p>
        </w:tc>
        <w:tc>
          <w:tcPr>
            <w:tcW w:w="1875" w:type="dxa"/>
            <w:vAlign w:val="center"/>
          </w:tcPr>
          <w:p>
            <w:pPr>
              <w:keepNext w:val="0"/>
              <w:keepLines w:val="0"/>
              <w:widowControl/>
              <w:suppressLineNumbers w:val="0"/>
              <w:jc w:val="center"/>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争取欠发达地区补助经费</w:t>
            </w:r>
          </w:p>
        </w:tc>
        <w:tc>
          <w:tcPr>
            <w:tcW w:w="6519" w:type="dxa"/>
            <w:vAlign w:val="center"/>
          </w:tcPr>
          <w:p>
            <w:pPr>
              <w:keepNext w:val="0"/>
              <w:keepLines w:val="0"/>
              <w:widowControl/>
              <w:numPr>
                <w:ilvl w:val="0"/>
                <w:numId w:val="0"/>
              </w:numPr>
              <w:suppressLineNumbers w:val="0"/>
              <w:jc w:val="left"/>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争取省财厅下达欠发达地区政府专职消防员补助经费；争取省财厅下达老区苏区消防站装备扶持经费。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vAlign w:val="center"/>
          </w:tcPr>
          <w:p>
            <w:pPr>
              <w:widowControl/>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11</w:t>
            </w:r>
          </w:p>
        </w:tc>
        <w:tc>
          <w:tcPr>
            <w:tcW w:w="1875" w:type="dxa"/>
            <w:vAlign w:val="center"/>
          </w:tcPr>
          <w:p>
            <w:pPr>
              <w:keepNext w:val="0"/>
              <w:keepLines w:val="0"/>
              <w:widowControl/>
              <w:suppressLineNumbers w:val="0"/>
              <w:jc w:val="center"/>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加强消防救援队伍装备建设工作</w:t>
            </w:r>
          </w:p>
        </w:tc>
        <w:tc>
          <w:tcPr>
            <w:tcW w:w="6519" w:type="dxa"/>
            <w:vAlign w:val="center"/>
          </w:tcPr>
          <w:p>
            <w:pPr>
              <w:keepNext w:val="0"/>
              <w:keepLines w:val="0"/>
              <w:widowControl/>
              <w:numPr>
                <w:ilvl w:val="0"/>
                <w:numId w:val="0"/>
              </w:numPr>
              <w:suppressLineNumbers w:val="0"/>
              <w:jc w:val="left"/>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开展消防车辆装备巡检维保工作，确保车辆器材完好有效；配备一批山岳救援装备，提升省定山岳专业队装备建设水平。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vAlign w:val="center"/>
          </w:tcPr>
          <w:p>
            <w:pPr>
              <w:widowControl/>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12</w:t>
            </w:r>
          </w:p>
        </w:tc>
        <w:tc>
          <w:tcPr>
            <w:tcW w:w="1875" w:type="dxa"/>
            <w:vAlign w:val="center"/>
          </w:tcPr>
          <w:p>
            <w:pPr>
              <w:keepNext w:val="0"/>
              <w:keepLines w:val="0"/>
              <w:widowControl/>
              <w:suppressLineNumbers w:val="0"/>
              <w:jc w:val="center"/>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推进应急装备物资保障体系建设</w:t>
            </w:r>
          </w:p>
        </w:tc>
        <w:tc>
          <w:tcPr>
            <w:tcW w:w="6519" w:type="dxa"/>
            <w:vAlign w:val="center"/>
          </w:tcPr>
          <w:p>
            <w:pPr>
              <w:keepNext w:val="0"/>
              <w:keepLines w:val="0"/>
              <w:widowControl/>
              <w:numPr>
                <w:ilvl w:val="0"/>
                <w:numId w:val="0"/>
              </w:numPr>
              <w:suppressLineNumbers w:val="0"/>
              <w:jc w:val="left"/>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实体化运行战勤保障消防救援站；战勤保障消防站与加油站、超市、餐饮、重型机动企业等单位签订意向采购、联勤联储等社会联勤保障方式。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vAlign w:val="center"/>
          </w:tcPr>
          <w:p>
            <w:pPr>
              <w:widowControl/>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w:t>
            </w:r>
          </w:p>
        </w:tc>
        <w:tc>
          <w:tcPr>
            <w:tcW w:w="1875" w:type="dxa"/>
            <w:vAlign w:val="center"/>
          </w:tcPr>
          <w:p>
            <w:pPr>
              <w:keepNext w:val="0"/>
              <w:keepLines w:val="0"/>
              <w:widowControl/>
              <w:suppressLineNumbers w:val="0"/>
              <w:jc w:val="center"/>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参与、支持、服务招商工作方面</w:t>
            </w:r>
          </w:p>
        </w:tc>
        <w:tc>
          <w:tcPr>
            <w:tcW w:w="6519" w:type="dxa"/>
            <w:vAlign w:val="center"/>
          </w:tcPr>
          <w:p>
            <w:pPr>
              <w:keepNext w:val="0"/>
              <w:keepLines w:val="0"/>
              <w:widowControl/>
              <w:suppressLineNumbers w:val="0"/>
              <w:jc w:val="left"/>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每个季度须至少开展以下工作中的一项内容：根据单位职能职责在人、财、物以及组织保障、 人文关怀等方面积极参与、支持和服务全市招商引资工作；主动参与、全力服务和协助解决招商引资项目落地建 设中的问题和困难；主动当好招商引资宣传员、服务员，积极宣传韶关投资营商环境和产业优势，收集招商引资项目信息；配合市有关产业招商部门、县（市、区） 政府和产业园区做好相关招商信息收集、对接企业、招商推介、洽谈签约、项目开工建设等系列工作。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0" w:type="dxa"/>
            <w:vAlign w:val="center"/>
          </w:tcPr>
          <w:p>
            <w:pPr>
              <w:widowControl/>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14</w:t>
            </w:r>
          </w:p>
        </w:tc>
        <w:tc>
          <w:tcPr>
            <w:tcW w:w="1875" w:type="dxa"/>
            <w:vAlign w:val="center"/>
          </w:tcPr>
          <w:p>
            <w:pPr>
              <w:keepNext w:val="0"/>
              <w:keepLines w:val="0"/>
              <w:widowControl/>
              <w:suppressLineNumbers w:val="0"/>
              <w:jc w:val="center"/>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服务保障项目落地方面</w:t>
            </w:r>
          </w:p>
        </w:tc>
        <w:tc>
          <w:tcPr>
            <w:tcW w:w="6519" w:type="dxa"/>
            <w:vAlign w:val="center"/>
          </w:tcPr>
          <w:p>
            <w:pPr>
              <w:keepNext w:val="0"/>
              <w:keepLines w:val="0"/>
              <w:widowControl/>
              <w:suppressLineNumbers w:val="0"/>
              <w:jc w:val="left"/>
              <w:textAlignment w:val="center"/>
              <w:rPr>
                <w:rFonts w:hint="eastAsia" w:ascii="宋体" w:hAnsi="宋体" w:eastAsia="宋体" w:cs="宋体"/>
                <w:b w:val="0"/>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根据市级部门的职能和在招商引资工作中发挥的作用，由市招商办组织县（市、区）政府、韶关高新区管委会、华南先进装备园管委会以及部分企业代表分别对各单位在业务指导、项目服务、解决问题、工作效率、信息 报送、工作落实等方面分别进行评价评分。</w:t>
            </w:r>
          </w:p>
        </w:tc>
      </w:tr>
    </w:tbl>
    <w:p>
      <w:pPr>
        <w:pStyle w:val="4"/>
        <w:keepNext/>
        <w:keepLines/>
        <w:pageBreakBefore w:val="0"/>
        <w:widowControl w:val="0"/>
        <w:kinsoku/>
        <w:wordWrap/>
        <w:overflowPunct/>
        <w:topLinePunct w:val="0"/>
        <w:autoSpaceDE/>
        <w:autoSpaceDN/>
        <w:bidi w:val="0"/>
        <w:adjustRightInd/>
        <w:snapToGrid/>
        <w:spacing w:before="326" w:beforeLines="100" w:after="0" w:afterLines="0" w:line="360" w:lineRule="auto"/>
        <w:ind w:firstLine="640" w:firstLineChars="200"/>
        <w:jc w:val="both"/>
        <w:textAlignment w:val="auto"/>
        <w:outlineLvl w:val="1"/>
        <w:rPr>
          <w:rFonts w:hint="eastAsia" w:ascii="楷体_GB2312" w:hAnsi="楷体_GB2312" w:eastAsia="楷体_GB2312" w:cs="楷体_GB2312"/>
          <w:b w:val="0"/>
          <w:bCs/>
          <w:szCs w:val="32"/>
          <w:highlight w:val="none"/>
        </w:rPr>
      </w:pPr>
      <w:bookmarkStart w:id="55" w:name="_Toc14918"/>
      <w:bookmarkStart w:id="56" w:name="_Toc12990"/>
      <w:bookmarkStart w:id="57" w:name="_Toc10210"/>
      <w:bookmarkStart w:id="58" w:name="_Toc30007"/>
      <w:bookmarkStart w:id="59" w:name="_Toc13803"/>
      <w:bookmarkStart w:id="60" w:name="_Toc5703"/>
      <w:bookmarkStart w:id="61" w:name="_Toc30419"/>
      <w:bookmarkStart w:id="62" w:name="_Toc17134"/>
      <w:bookmarkStart w:id="63" w:name="_Toc14283"/>
      <w:bookmarkStart w:id="64" w:name="_Toc8193"/>
      <w:bookmarkStart w:id="65" w:name="_Toc30687"/>
      <w:bookmarkStart w:id="66" w:name="_Toc17964"/>
      <w:bookmarkStart w:id="67" w:name="_Toc9978"/>
      <w:bookmarkStart w:id="68" w:name="_Toc4127"/>
      <w:bookmarkStart w:id="69" w:name="_Toc23039"/>
      <w:r>
        <w:rPr>
          <w:rFonts w:hint="eastAsia" w:ascii="楷体_GB2312" w:hAnsi="楷体_GB2312" w:eastAsia="楷体_GB2312" w:cs="楷体_GB2312"/>
          <w:b w:val="0"/>
          <w:bCs/>
          <w:szCs w:val="32"/>
          <w:highlight w:val="none"/>
          <w:lang w:eastAsia="zh-CN"/>
        </w:rPr>
        <w:t>（</w:t>
      </w:r>
      <w:r>
        <w:rPr>
          <w:rFonts w:hint="eastAsia" w:ascii="楷体_GB2312" w:hAnsi="楷体_GB2312" w:eastAsia="楷体_GB2312" w:cs="楷体_GB2312"/>
          <w:b w:val="0"/>
          <w:bCs/>
          <w:szCs w:val="32"/>
          <w:highlight w:val="none"/>
          <w:lang w:val="en-US" w:eastAsia="zh-CN"/>
        </w:rPr>
        <w:t>三）资金使用的绩效目标及指标</w:t>
      </w:r>
      <w:bookmarkEnd w:id="55"/>
      <w:bookmarkEnd w:id="56"/>
      <w:bookmarkEnd w:id="57"/>
      <w:bookmarkEnd w:id="58"/>
      <w:bookmarkEnd w:id="59"/>
      <w:bookmarkEnd w:id="60"/>
      <w:bookmarkEnd w:id="61"/>
      <w:bookmarkEnd w:id="62"/>
      <w:bookmarkEnd w:id="63"/>
      <w:bookmarkEnd w:id="64"/>
      <w:bookmarkEnd w:id="65"/>
      <w:r>
        <w:rPr>
          <w:rFonts w:hint="eastAsia" w:ascii="楷体_GB2312" w:hAnsi="楷体_GB2312" w:eastAsia="楷体_GB2312" w:cs="楷体_GB2312"/>
          <w:b w:val="0"/>
          <w:bCs/>
          <w:szCs w:val="32"/>
          <w:highlight w:val="none"/>
          <w:lang w:val="en-US" w:eastAsia="zh-CN"/>
        </w:rPr>
        <w:t>。</w:t>
      </w:r>
      <w:bookmarkEnd w:id="66"/>
      <w:bookmarkEnd w:id="67"/>
      <w:bookmarkEnd w:id="68"/>
      <w:bookmarkEnd w:id="69"/>
    </w:p>
    <w:p>
      <w:pPr>
        <w:pageBreakBefore w:val="0"/>
        <w:widowControl w:val="0"/>
        <w:kinsoku/>
        <w:wordWrap/>
        <w:overflowPunct/>
        <w:topLinePunct w:val="0"/>
        <w:autoSpaceDE/>
        <w:autoSpaceDN/>
        <w:bidi w:val="0"/>
        <w:adjustRightInd w:val="0"/>
        <w:snapToGrid w:val="0"/>
        <w:spacing w:line="360" w:lineRule="auto"/>
        <w:ind w:firstLine="640" w:firstLineChars="200"/>
        <w:contextualSpacing/>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围绕年度重点工作任务，</w:t>
      </w:r>
      <w:r>
        <w:rPr>
          <w:rFonts w:hint="eastAsia" w:ascii="仿宋_GB2312" w:hAnsi="仿宋_GB2312" w:eastAsia="仿宋_GB2312" w:cs="仿宋_GB2312"/>
          <w:kern w:val="0"/>
          <w:sz w:val="32"/>
          <w:szCs w:val="32"/>
          <w:highlight w:val="none"/>
          <w:lang w:val="en-US" w:eastAsia="zh-CN"/>
        </w:rPr>
        <w:t>市消防救援支队</w:t>
      </w:r>
      <w:r>
        <w:rPr>
          <w:rFonts w:hint="eastAsia" w:ascii="仿宋_GB2312" w:hAnsi="仿宋_GB2312" w:eastAsia="仿宋_GB2312" w:cs="仿宋_GB2312"/>
          <w:kern w:val="0"/>
          <w:sz w:val="32"/>
          <w:szCs w:val="32"/>
          <w:highlight w:val="none"/>
        </w:rPr>
        <w:t>确定了202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年部门整体支出绩效目标</w:t>
      </w:r>
      <w:r>
        <w:rPr>
          <w:rFonts w:hint="eastAsia" w:ascii="仿宋_GB2312" w:hAnsi="仿宋_GB2312" w:eastAsia="仿宋_GB2312" w:cs="仿宋_GB2312"/>
          <w:kern w:val="0"/>
          <w:sz w:val="32"/>
          <w:szCs w:val="32"/>
          <w:highlight w:val="none"/>
          <w:lang w:val="en-US" w:eastAsia="zh-CN"/>
        </w:rPr>
        <w:t>为完成消防救援队伍经费保障工作。</w:t>
      </w:r>
    </w:p>
    <w:p>
      <w:pPr>
        <w:pageBreakBefore w:val="0"/>
        <w:widowControl w:val="0"/>
        <w:kinsoku/>
        <w:wordWrap/>
        <w:overflowPunct/>
        <w:topLinePunct w:val="0"/>
        <w:autoSpaceDE/>
        <w:autoSpaceDN/>
        <w:bidi w:val="0"/>
        <w:adjustRightInd w:val="0"/>
        <w:snapToGrid w:val="0"/>
        <w:spacing w:line="360" w:lineRule="auto"/>
        <w:ind w:firstLine="640" w:firstLineChars="200"/>
        <w:contextualSpacing/>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lang w:val="en-US" w:eastAsia="zh-CN"/>
        </w:rPr>
        <w:t>根据部门整体预算申报材料，市消防救援支队填报2021年度部门整体支出绩效指标如表1-3所示，在进行部门整体绩效支出绩效自评时，市消防救援支队对绩效目标和绩效指标进行了完善修改，绩效目标修改为：提升消防救援队伍灭火和抢险救援能力；提升消防救援队伍信息化建设水平；提升人民群众消防安全意识，提升社会面防火安全意识；保障人民群众生命财产安全</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绩效指标及完成情况如表1-4所示</w:t>
      </w:r>
      <w:r>
        <w:rPr>
          <w:rFonts w:hint="eastAsia" w:ascii="仿宋_GB2312" w:hAnsi="仿宋_GB2312" w:eastAsia="仿宋_GB2312" w:cs="仿宋_GB2312"/>
          <w:sz w:val="32"/>
          <w:szCs w:val="32"/>
          <w:highlight w:val="none"/>
        </w:rPr>
        <w:t>。</w:t>
      </w:r>
    </w:p>
    <w:p>
      <w:pPr>
        <w:spacing w:before="319" w:beforeLines="100" w:line="360" w:lineRule="auto"/>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表1-</w:t>
      </w: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rPr>
        <w:t xml:space="preserve"> 部门整体支出绩效指标</w:t>
      </w:r>
      <w:r>
        <w:rPr>
          <w:rFonts w:hint="eastAsia" w:ascii="宋体" w:hAnsi="宋体" w:eastAsia="宋体" w:cs="宋体"/>
          <w:b/>
          <w:bCs/>
          <w:sz w:val="28"/>
          <w:szCs w:val="28"/>
          <w:highlight w:val="none"/>
          <w:lang w:val="en-US" w:eastAsia="zh-CN"/>
        </w:rPr>
        <w:t>完成</w:t>
      </w:r>
      <w:r>
        <w:rPr>
          <w:rFonts w:hint="eastAsia" w:ascii="宋体" w:hAnsi="宋体" w:eastAsia="宋体" w:cs="宋体"/>
          <w:b/>
          <w:bCs/>
          <w:sz w:val="28"/>
          <w:szCs w:val="28"/>
          <w:highlight w:val="none"/>
        </w:rPr>
        <w:t>情况</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预算申报）</w:t>
      </w:r>
    </w:p>
    <w:tbl>
      <w:tblPr>
        <w:tblStyle w:val="15"/>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4410"/>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597" w:type="dxa"/>
            <w:shd w:val="clear" w:color="auto" w:fill="auto"/>
            <w:vAlign w:val="center"/>
          </w:tcPr>
          <w:p>
            <w:pPr>
              <w:widowControl/>
              <w:spacing w:line="360" w:lineRule="auto"/>
              <w:jc w:val="center"/>
              <w:textAlignment w:val="center"/>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指标类型</w:t>
            </w:r>
          </w:p>
        </w:tc>
        <w:tc>
          <w:tcPr>
            <w:tcW w:w="4410" w:type="dxa"/>
            <w:shd w:val="clear" w:color="auto" w:fill="auto"/>
            <w:vAlign w:val="center"/>
          </w:tcPr>
          <w:p>
            <w:pPr>
              <w:widowControl/>
              <w:spacing w:line="360" w:lineRule="auto"/>
              <w:jc w:val="center"/>
              <w:textAlignment w:val="center"/>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指标内容</w:t>
            </w:r>
          </w:p>
        </w:tc>
        <w:tc>
          <w:tcPr>
            <w:tcW w:w="3163" w:type="dxa"/>
            <w:shd w:val="clear" w:color="auto" w:fill="auto"/>
            <w:vAlign w:val="center"/>
          </w:tcPr>
          <w:p>
            <w:pPr>
              <w:widowControl/>
              <w:spacing w:line="360" w:lineRule="auto"/>
              <w:jc w:val="center"/>
              <w:textAlignment w:val="center"/>
              <w:rPr>
                <w:rFonts w:hint="eastAsia"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7" w:type="dxa"/>
            <w:vMerge w:val="restart"/>
            <w:vAlign w:val="center"/>
          </w:tcPr>
          <w:p>
            <w:pPr>
              <w:widowControl/>
              <w:spacing w:line="360" w:lineRule="auto"/>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产出指标</w:t>
            </w:r>
          </w:p>
        </w:tc>
        <w:tc>
          <w:tcPr>
            <w:tcW w:w="4410" w:type="dxa"/>
            <w:vAlign w:val="center"/>
          </w:tcPr>
          <w:p>
            <w:pPr>
              <w:widowControl/>
              <w:spacing w:line="360" w:lineRule="auto"/>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项目完成率</w:t>
            </w:r>
          </w:p>
        </w:tc>
        <w:tc>
          <w:tcPr>
            <w:tcW w:w="3163" w:type="dxa"/>
            <w:vAlign w:val="center"/>
          </w:tcPr>
          <w:p>
            <w:pPr>
              <w:widowControl/>
              <w:spacing w:line="360" w:lineRule="auto"/>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7" w:type="dxa"/>
            <w:vMerge w:val="continue"/>
            <w:vAlign w:val="center"/>
          </w:tcPr>
          <w:p>
            <w:pPr>
              <w:widowControl/>
              <w:spacing w:line="360" w:lineRule="auto"/>
              <w:jc w:val="center"/>
              <w:textAlignment w:val="center"/>
              <w:rPr>
                <w:rFonts w:hint="eastAsia" w:ascii="宋体" w:hAnsi="宋体" w:eastAsia="宋体" w:cs="宋体"/>
                <w:color w:val="000000"/>
                <w:kern w:val="0"/>
                <w:sz w:val="21"/>
                <w:szCs w:val="21"/>
                <w:highlight w:val="none"/>
                <w:lang w:val="en-US" w:eastAsia="zh-CN"/>
              </w:rPr>
            </w:pPr>
          </w:p>
        </w:tc>
        <w:tc>
          <w:tcPr>
            <w:tcW w:w="4410" w:type="dxa"/>
            <w:vAlign w:val="center"/>
          </w:tcPr>
          <w:p>
            <w:pPr>
              <w:widowControl/>
              <w:spacing w:line="360" w:lineRule="auto"/>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专款专用率</w:t>
            </w:r>
          </w:p>
        </w:tc>
        <w:tc>
          <w:tcPr>
            <w:tcW w:w="3163" w:type="dxa"/>
            <w:vAlign w:val="center"/>
          </w:tcPr>
          <w:p>
            <w:pPr>
              <w:widowControl/>
              <w:spacing w:line="360" w:lineRule="auto"/>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7" w:type="dxa"/>
            <w:vMerge w:val="continue"/>
            <w:vAlign w:val="center"/>
          </w:tcPr>
          <w:p>
            <w:pPr>
              <w:widowControl/>
              <w:spacing w:line="360" w:lineRule="auto"/>
              <w:jc w:val="center"/>
              <w:textAlignment w:val="center"/>
              <w:rPr>
                <w:rFonts w:hint="eastAsia" w:ascii="宋体" w:hAnsi="宋体" w:eastAsia="宋体" w:cs="宋体"/>
                <w:color w:val="000000"/>
                <w:kern w:val="0"/>
                <w:sz w:val="21"/>
                <w:szCs w:val="21"/>
                <w:highlight w:val="none"/>
                <w:lang w:val="en-US" w:eastAsia="zh-CN"/>
              </w:rPr>
            </w:pPr>
          </w:p>
        </w:tc>
        <w:tc>
          <w:tcPr>
            <w:tcW w:w="4410" w:type="dxa"/>
            <w:vAlign w:val="center"/>
          </w:tcPr>
          <w:p>
            <w:pPr>
              <w:widowControl/>
              <w:spacing w:line="360" w:lineRule="auto"/>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预算执行率</w:t>
            </w:r>
          </w:p>
        </w:tc>
        <w:tc>
          <w:tcPr>
            <w:tcW w:w="3163" w:type="dxa"/>
            <w:vAlign w:val="center"/>
          </w:tcPr>
          <w:p>
            <w:pPr>
              <w:widowControl/>
              <w:spacing w:line="360" w:lineRule="auto"/>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7" w:type="dxa"/>
            <w:vAlign w:val="center"/>
          </w:tcPr>
          <w:p>
            <w:pPr>
              <w:widowControl/>
              <w:spacing w:line="360" w:lineRule="auto"/>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效果指标</w:t>
            </w:r>
          </w:p>
        </w:tc>
        <w:tc>
          <w:tcPr>
            <w:tcW w:w="4410" w:type="dxa"/>
            <w:vAlign w:val="center"/>
          </w:tcPr>
          <w:p>
            <w:pPr>
              <w:widowControl/>
              <w:spacing w:line="360" w:lineRule="auto"/>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消防救援人员提升战斗力</w:t>
            </w:r>
          </w:p>
        </w:tc>
        <w:tc>
          <w:tcPr>
            <w:tcW w:w="3163" w:type="dxa"/>
            <w:vAlign w:val="center"/>
          </w:tcPr>
          <w:p>
            <w:pPr>
              <w:widowControl/>
              <w:spacing w:line="360" w:lineRule="auto"/>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7" w:type="dxa"/>
            <w:vAlign w:val="center"/>
          </w:tcPr>
          <w:p>
            <w:pPr>
              <w:widowControl/>
              <w:spacing w:line="360" w:lineRule="auto"/>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满意度指标</w:t>
            </w:r>
          </w:p>
        </w:tc>
        <w:tc>
          <w:tcPr>
            <w:tcW w:w="4410" w:type="dxa"/>
            <w:vAlign w:val="center"/>
          </w:tcPr>
          <w:p>
            <w:pPr>
              <w:widowControl/>
              <w:spacing w:line="360" w:lineRule="auto"/>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消防救援人员对项目执行满意度</w:t>
            </w:r>
          </w:p>
        </w:tc>
        <w:tc>
          <w:tcPr>
            <w:tcW w:w="3163" w:type="dxa"/>
            <w:vAlign w:val="center"/>
          </w:tcPr>
          <w:p>
            <w:pPr>
              <w:widowControl/>
              <w:spacing w:line="360" w:lineRule="auto"/>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≧95%</w:t>
            </w:r>
          </w:p>
        </w:tc>
      </w:tr>
    </w:tbl>
    <w:p>
      <w:pPr>
        <w:pStyle w:val="2"/>
        <w:rPr>
          <w:rFonts w:hint="default"/>
          <w:highlight w:val="none"/>
          <w:lang w:val="en-US" w:eastAsia="zh-CN"/>
        </w:rPr>
      </w:pPr>
    </w:p>
    <w:p>
      <w:pPr>
        <w:pStyle w:val="2"/>
        <w:rPr>
          <w:rFonts w:hint="default"/>
          <w:highlight w:val="none"/>
          <w:lang w:val="en-US" w:eastAsia="zh-CN"/>
        </w:rPr>
      </w:pPr>
    </w:p>
    <w:p>
      <w:pPr>
        <w:spacing w:before="0" w:beforeLines="0" w:line="360" w:lineRule="auto"/>
        <w:jc w:val="center"/>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表1-</w:t>
      </w:r>
      <w:r>
        <w:rPr>
          <w:rFonts w:hint="eastAsia" w:ascii="宋体" w:hAnsi="宋体" w:eastAsia="宋体" w:cs="宋体"/>
          <w:b/>
          <w:bCs/>
          <w:sz w:val="28"/>
          <w:szCs w:val="28"/>
          <w:highlight w:val="none"/>
          <w:lang w:val="en-US" w:eastAsia="zh-CN"/>
        </w:rPr>
        <w:t>4</w:t>
      </w:r>
      <w:r>
        <w:rPr>
          <w:rFonts w:hint="eastAsia" w:ascii="宋体" w:hAnsi="宋体" w:eastAsia="宋体" w:cs="宋体"/>
          <w:b/>
          <w:bCs/>
          <w:sz w:val="28"/>
          <w:szCs w:val="28"/>
          <w:highlight w:val="none"/>
        </w:rPr>
        <w:t xml:space="preserve"> 部门整体支出绩效指标</w:t>
      </w:r>
      <w:r>
        <w:rPr>
          <w:rFonts w:hint="eastAsia" w:ascii="宋体" w:hAnsi="宋体" w:eastAsia="宋体" w:cs="宋体"/>
          <w:b/>
          <w:bCs/>
          <w:sz w:val="28"/>
          <w:szCs w:val="28"/>
          <w:highlight w:val="none"/>
          <w:lang w:val="en-US" w:eastAsia="zh-CN"/>
        </w:rPr>
        <w:t>完成</w:t>
      </w:r>
      <w:r>
        <w:rPr>
          <w:rFonts w:hint="eastAsia" w:ascii="宋体" w:hAnsi="宋体" w:eastAsia="宋体" w:cs="宋体"/>
          <w:b/>
          <w:bCs/>
          <w:sz w:val="28"/>
          <w:szCs w:val="28"/>
          <w:highlight w:val="none"/>
        </w:rPr>
        <w:t>情况</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自评填报）</w:t>
      </w:r>
    </w:p>
    <w:tbl>
      <w:tblPr>
        <w:tblStyle w:val="15"/>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665"/>
        <w:gridCol w:w="2665"/>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39" w:type="dxa"/>
            <w:shd w:val="clear" w:color="auto" w:fill="auto"/>
            <w:vAlign w:val="center"/>
          </w:tcPr>
          <w:p>
            <w:pPr>
              <w:widowControl/>
              <w:spacing w:line="240" w:lineRule="exact"/>
              <w:jc w:val="center"/>
              <w:textAlignment w:val="center"/>
              <w:rPr>
                <w:rFonts w:hint="eastAsia" w:ascii="宋体" w:hAnsi="宋体" w:eastAsia="宋体" w:cs="宋体"/>
                <w:b/>
                <w:bCs w:val="0"/>
                <w:color w:val="000000"/>
                <w:kern w:val="0"/>
                <w:sz w:val="21"/>
                <w:szCs w:val="21"/>
                <w:highlight w:val="none"/>
                <w:lang w:bidi="ar"/>
              </w:rPr>
            </w:pPr>
            <w:r>
              <w:rPr>
                <w:rFonts w:hint="eastAsia" w:ascii="宋体" w:hAnsi="宋体" w:eastAsia="宋体" w:cs="宋体"/>
                <w:b/>
                <w:bCs w:val="0"/>
                <w:color w:val="000000"/>
                <w:kern w:val="0"/>
                <w:sz w:val="21"/>
                <w:szCs w:val="21"/>
                <w:highlight w:val="none"/>
                <w:lang w:bidi="ar"/>
              </w:rPr>
              <w:t>指标</w:t>
            </w:r>
          </w:p>
          <w:p>
            <w:pPr>
              <w:widowControl/>
              <w:spacing w:line="240" w:lineRule="exact"/>
              <w:jc w:val="center"/>
              <w:textAlignment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lang w:bidi="ar"/>
              </w:rPr>
              <w:t>类型</w:t>
            </w:r>
          </w:p>
        </w:tc>
        <w:tc>
          <w:tcPr>
            <w:tcW w:w="2665" w:type="dxa"/>
            <w:shd w:val="clear" w:color="auto" w:fill="auto"/>
            <w:vAlign w:val="center"/>
          </w:tcPr>
          <w:p>
            <w:pPr>
              <w:widowControl/>
              <w:spacing w:line="240" w:lineRule="exact"/>
              <w:jc w:val="center"/>
              <w:textAlignment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lang w:bidi="ar"/>
              </w:rPr>
              <w:t>指标内容</w:t>
            </w:r>
          </w:p>
        </w:tc>
        <w:tc>
          <w:tcPr>
            <w:tcW w:w="2665" w:type="dxa"/>
            <w:shd w:val="clear" w:color="auto" w:fill="auto"/>
            <w:vAlign w:val="center"/>
          </w:tcPr>
          <w:p>
            <w:pPr>
              <w:widowControl/>
              <w:spacing w:line="240" w:lineRule="exact"/>
              <w:jc w:val="center"/>
              <w:textAlignment w:val="center"/>
              <w:rPr>
                <w:rFonts w:hint="eastAsia" w:ascii="宋体" w:hAnsi="宋体" w:eastAsia="宋体" w:cs="宋体"/>
                <w:b/>
                <w:bCs w:val="0"/>
                <w:color w:val="000000"/>
                <w:kern w:val="0"/>
                <w:sz w:val="21"/>
                <w:szCs w:val="21"/>
                <w:highlight w:val="none"/>
              </w:rPr>
            </w:pPr>
            <w:r>
              <w:rPr>
                <w:rFonts w:hint="eastAsia" w:ascii="宋体" w:hAnsi="宋体" w:eastAsia="宋体" w:cs="宋体"/>
                <w:b/>
                <w:bCs w:val="0"/>
                <w:color w:val="000000"/>
                <w:kern w:val="0"/>
                <w:sz w:val="21"/>
                <w:szCs w:val="21"/>
                <w:highlight w:val="none"/>
                <w:lang w:bidi="ar"/>
              </w:rPr>
              <w:t>指标值</w:t>
            </w:r>
          </w:p>
        </w:tc>
        <w:tc>
          <w:tcPr>
            <w:tcW w:w="2649" w:type="dxa"/>
            <w:shd w:val="clear" w:color="auto" w:fill="auto"/>
            <w:vAlign w:val="center"/>
          </w:tcPr>
          <w:p>
            <w:pPr>
              <w:widowControl/>
              <w:spacing w:line="240" w:lineRule="exact"/>
              <w:jc w:val="center"/>
              <w:textAlignment w:val="center"/>
              <w:rPr>
                <w:rFonts w:hint="default" w:ascii="宋体" w:hAnsi="宋体" w:eastAsia="宋体" w:cs="宋体"/>
                <w:b/>
                <w:bCs w:val="0"/>
                <w:color w:val="000000"/>
                <w:kern w:val="0"/>
                <w:sz w:val="21"/>
                <w:szCs w:val="21"/>
                <w:highlight w:val="none"/>
                <w:lang w:val="en-US" w:eastAsia="zh-CN" w:bidi="ar"/>
              </w:rPr>
            </w:pPr>
            <w:r>
              <w:rPr>
                <w:rFonts w:hint="eastAsia" w:ascii="宋体" w:hAnsi="宋体" w:eastAsia="宋体" w:cs="宋体"/>
                <w:b/>
                <w:bCs w:val="0"/>
                <w:color w:val="000000"/>
                <w:kern w:val="0"/>
                <w:sz w:val="21"/>
                <w:szCs w:val="21"/>
                <w:highlight w:val="none"/>
                <w:lang w:val="en-US" w:eastAsia="zh-CN" w:bidi="ar"/>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9" w:type="dxa"/>
            <w:vMerge w:val="restart"/>
            <w:vAlign w:val="center"/>
          </w:tcPr>
          <w:p>
            <w:pPr>
              <w:widowControl/>
              <w:spacing w:line="240" w:lineRule="exact"/>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产出指标</w:t>
            </w:r>
          </w:p>
        </w:tc>
        <w:tc>
          <w:tcPr>
            <w:tcW w:w="2665" w:type="dxa"/>
            <w:vAlign w:val="center"/>
          </w:tcPr>
          <w:p>
            <w:pPr>
              <w:widowControl/>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购置消防装备器材</w:t>
            </w:r>
          </w:p>
        </w:tc>
        <w:tc>
          <w:tcPr>
            <w:tcW w:w="2665" w:type="dxa"/>
            <w:vAlign w:val="center"/>
          </w:tcPr>
          <w:p>
            <w:pPr>
              <w:widowControl/>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采购数量超过300件（套）</w:t>
            </w:r>
          </w:p>
        </w:tc>
        <w:tc>
          <w:tcPr>
            <w:tcW w:w="2649" w:type="dxa"/>
            <w:vAlign w:val="center"/>
          </w:tcPr>
          <w:p>
            <w:pPr>
              <w:keepNext w:val="0"/>
              <w:keepLines w:val="0"/>
              <w:widowControl/>
              <w:suppressLineNumbers w:val="0"/>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8000余件套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9" w:type="dxa"/>
            <w:vMerge w:val="continue"/>
            <w:vAlign w:val="center"/>
          </w:tcPr>
          <w:p>
            <w:pPr>
              <w:widowControl/>
              <w:spacing w:line="240" w:lineRule="exact"/>
              <w:jc w:val="center"/>
              <w:textAlignment w:val="center"/>
              <w:rPr>
                <w:rFonts w:hint="eastAsia" w:ascii="宋体" w:hAnsi="宋体" w:eastAsia="宋体" w:cs="宋体"/>
                <w:color w:val="000000"/>
                <w:kern w:val="0"/>
                <w:sz w:val="21"/>
                <w:szCs w:val="21"/>
                <w:highlight w:val="none"/>
              </w:rPr>
            </w:pPr>
          </w:p>
        </w:tc>
        <w:tc>
          <w:tcPr>
            <w:tcW w:w="2665" w:type="dxa"/>
            <w:vAlign w:val="center"/>
          </w:tcPr>
          <w:p>
            <w:pPr>
              <w:widowControl/>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开展消防宣传次数</w:t>
            </w:r>
          </w:p>
        </w:tc>
        <w:tc>
          <w:tcPr>
            <w:tcW w:w="2665" w:type="dxa"/>
            <w:vAlign w:val="center"/>
          </w:tcPr>
          <w:p>
            <w:pPr>
              <w:widowControl/>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每月至少1次</w:t>
            </w:r>
          </w:p>
        </w:tc>
        <w:tc>
          <w:tcPr>
            <w:tcW w:w="2649" w:type="dxa"/>
            <w:vAlign w:val="center"/>
          </w:tcPr>
          <w:p>
            <w:pPr>
              <w:keepNext w:val="0"/>
              <w:keepLines w:val="0"/>
              <w:widowControl/>
              <w:suppressLineNumbers w:val="0"/>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平均每月4.67场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9" w:type="dxa"/>
            <w:vMerge w:val="continue"/>
            <w:vAlign w:val="center"/>
          </w:tcPr>
          <w:p>
            <w:pPr>
              <w:widowControl/>
              <w:spacing w:line="240" w:lineRule="exact"/>
              <w:jc w:val="center"/>
              <w:textAlignment w:val="center"/>
              <w:rPr>
                <w:rFonts w:hint="eastAsia" w:ascii="宋体" w:hAnsi="宋体" w:eastAsia="宋体" w:cs="宋体"/>
                <w:color w:val="000000"/>
                <w:kern w:val="0"/>
                <w:sz w:val="21"/>
                <w:szCs w:val="21"/>
                <w:highlight w:val="none"/>
                <w:lang w:bidi="ar"/>
              </w:rPr>
            </w:pPr>
          </w:p>
        </w:tc>
        <w:tc>
          <w:tcPr>
            <w:tcW w:w="2665" w:type="dxa"/>
            <w:vAlign w:val="center"/>
          </w:tcPr>
          <w:p>
            <w:pPr>
              <w:widowControl/>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开展消防救援队伍救援训练、演练</w:t>
            </w:r>
          </w:p>
        </w:tc>
        <w:tc>
          <w:tcPr>
            <w:tcW w:w="2665" w:type="dxa"/>
            <w:vAlign w:val="center"/>
          </w:tcPr>
          <w:p>
            <w:pPr>
              <w:widowControl/>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每月至少1次</w:t>
            </w:r>
          </w:p>
        </w:tc>
        <w:tc>
          <w:tcPr>
            <w:tcW w:w="2649" w:type="dxa"/>
            <w:vAlign w:val="center"/>
          </w:tcPr>
          <w:p>
            <w:pPr>
              <w:keepNext w:val="0"/>
              <w:keepLines w:val="0"/>
              <w:widowControl/>
              <w:suppressLineNumbers w:val="0"/>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全年每月至少开展1次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39" w:type="dxa"/>
            <w:vMerge w:val="restart"/>
            <w:vAlign w:val="center"/>
          </w:tcPr>
          <w:p>
            <w:pPr>
              <w:widowControl/>
              <w:spacing w:line="240" w:lineRule="exact"/>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效果指标</w:t>
            </w:r>
          </w:p>
        </w:tc>
        <w:tc>
          <w:tcPr>
            <w:tcW w:w="2665" w:type="dxa"/>
            <w:vAlign w:val="center"/>
          </w:tcPr>
          <w:p>
            <w:pPr>
              <w:widowControl/>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稳定消防安全形势</w:t>
            </w:r>
          </w:p>
        </w:tc>
        <w:tc>
          <w:tcPr>
            <w:tcW w:w="2665" w:type="dxa"/>
            <w:vAlign w:val="center"/>
          </w:tcPr>
          <w:p>
            <w:pPr>
              <w:widowControl/>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韶关当地火灾四项指数下降</w:t>
            </w:r>
          </w:p>
        </w:tc>
        <w:tc>
          <w:tcPr>
            <w:tcW w:w="2649" w:type="dxa"/>
            <w:vAlign w:val="center"/>
          </w:tcPr>
          <w:p>
            <w:pPr>
              <w:keepNext w:val="0"/>
              <w:keepLines w:val="0"/>
              <w:widowControl/>
              <w:suppressLineNumbers w:val="0"/>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韶关当地火灾四项指标均有所上升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39" w:type="dxa"/>
            <w:vMerge w:val="continue"/>
            <w:vAlign w:val="center"/>
          </w:tcPr>
          <w:p>
            <w:pPr>
              <w:widowControl/>
              <w:spacing w:line="240" w:lineRule="exact"/>
              <w:jc w:val="center"/>
              <w:textAlignment w:val="center"/>
              <w:rPr>
                <w:rFonts w:hint="eastAsia" w:ascii="宋体" w:hAnsi="宋体" w:eastAsia="宋体" w:cs="宋体"/>
                <w:color w:val="000000"/>
                <w:kern w:val="0"/>
                <w:sz w:val="21"/>
                <w:szCs w:val="21"/>
                <w:highlight w:val="none"/>
              </w:rPr>
            </w:pPr>
          </w:p>
        </w:tc>
        <w:tc>
          <w:tcPr>
            <w:tcW w:w="2665" w:type="dxa"/>
            <w:vAlign w:val="center"/>
          </w:tcPr>
          <w:p>
            <w:pPr>
              <w:widowControl/>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加强消防救援队伍建设</w:t>
            </w:r>
          </w:p>
        </w:tc>
        <w:tc>
          <w:tcPr>
            <w:tcW w:w="2665" w:type="dxa"/>
            <w:vAlign w:val="center"/>
          </w:tcPr>
          <w:p>
            <w:pPr>
              <w:widowControl/>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消防救援队伍建设正规化水平不断提高</w:t>
            </w:r>
          </w:p>
        </w:tc>
        <w:tc>
          <w:tcPr>
            <w:tcW w:w="2649" w:type="dxa"/>
            <w:vAlign w:val="center"/>
          </w:tcPr>
          <w:p>
            <w:pPr>
              <w:keepNext w:val="0"/>
              <w:keepLines w:val="0"/>
              <w:widowControl/>
              <w:suppressLineNumbers w:val="0"/>
              <w:spacing w:line="240" w:lineRule="exact"/>
              <w:jc w:val="left"/>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完成（新东大街站）粤北片区基层正规化建设示范单位验收；完成狮岩路站、前进路站、鹰峰东路站、乐城站等队站基层正规化建设验收，消防救援队伍建设正规化水平不断提高。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839" w:type="dxa"/>
            <w:vMerge w:val="continue"/>
            <w:vAlign w:val="center"/>
          </w:tcPr>
          <w:p>
            <w:pPr>
              <w:widowControl/>
              <w:spacing w:line="240" w:lineRule="exact"/>
              <w:jc w:val="center"/>
              <w:rPr>
                <w:rFonts w:hint="eastAsia" w:ascii="宋体" w:hAnsi="宋体" w:eastAsia="宋体" w:cs="宋体"/>
                <w:color w:val="000000"/>
                <w:kern w:val="0"/>
                <w:sz w:val="21"/>
                <w:szCs w:val="21"/>
                <w:highlight w:val="none"/>
              </w:rPr>
            </w:pPr>
          </w:p>
        </w:tc>
        <w:tc>
          <w:tcPr>
            <w:tcW w:w="2665" w:type="dxa"/>
            <w:vAlign w:val="center"/>
          </w:tcPr>
          <w:p>
            <w:pPr>
              <w:widowControl/>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消防宣传教育成效</w:t>
            </w:r>
          </w:p>
        </w:tc>
        <w:tc>
          <w:tcPr>
            <w:tcW w:w="2665" w:type="dxa"/>
            <w:vAlign w:val="center"/>
          </w:tcPr>
          <w:p>
            <w:pPr>
              <w:widowControl/>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消防宣传成效显著，群众消防安全意识增强</w:t>
            </w:r>
          </w:p>
        </w:tc>
        <w:tc>
          <w:tcPr>
            <w:tcW w:w="2649" w:type="dxa"/>
            <w:vAlign w:val="center"/>
          </w:tcPr>
          <w:p>
            <w:pPr>
              <w:keepNext w:val="0"/>
              <w:keepLines w:val="0"/>
              <w:widowControl/>
              <w:suppressLineNumbers w:val="0"/>
              <w:spacing w:line="240" w:lineRule="exact"/>
              <w:jc w:val="both"/>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通过发动群众开展消防安全学习云平台注册，、线上教育渠道、消防主题音乐纪录片、消防培训等形式，</w:t>
            </w:r>
            <w:r>
              <w:rPr>
                <w:rFonts w:hint="eastAsia" w:ascii="宋体" w:hAnsi="宋体" w:eastAsia="宋体" w:cs="宋体"/>
                <w:color w:val="000000"/>
                <w:kern w:val="0"/>
                <w:sz w:val="21"/>
                <w:szCs w:val="21"/>
                <w:highlight w:val="none"/>
                <w:lang w:val="en-US" w:eastAsia="zh-CN"/>
              </w:rPr>
              <w:t>群众消防安全意识有所增强</w:t>
            </w:r>
            <w:r>
              <w:rPr>
                <w:rFonts w:hint="eastAsia" w:ascii="宋体" w:hAnsi="宋体" w:eastAsia="宋体" w:cs="宋体"/>
                <w:b w:val="0"/>
                <w:bCs w:val="0"/>
                <w:i w:val="0"/>
                <w:iCs w:val="0"/>
                <w:color w:val="000000"/>
                <w:kern w:val="0"/>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39" w:type="dxa"/>
            <w:vMerge w:val="restart"/>
            <w:vAlign w:val="center"/>
          </w:tcPr>
          <w:p>
            <w:pPr>
              <w:widowControl/>
              <w:spacing w:line="240" w:lineRule="exact"/>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满意度指标</w:t>
            </w:r>
          </w:p>
        </w:tc>
        <w:tc>
          <w:tcPr>
            <w:tcW w:w="2665" w:type="dxa"/>
            <w:vAlign w:val="center"/>
          </w:tcPr>
          <w:p>
            <w:pPr>
              <w:widowControl/>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消防救援队伍对支队开展工作满意度</w:t>
            </w:r>
          </w:p>
        </w:tc>
        <w:tc>
          <w:tcPr>
            <w:tcW w:w="2665" w:type="dxa"/>
            <w:vAlign w:val="center"/>
          </w:tcPr>
          <w:p>
            <w:pPr>
              <w:widowControl/>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超过95%</w:t>
            </w:r>
          </w:p>
        </w:tc>
        <w:tc>
          <w:tcPr>
            <w:tcW w:w="2649" w:type="dxa"/>
            <w:vAlign w:val="center"/>
          </w:tcPr>
          <w:p>
            <w:pPr>
              <w:keepNext w:val="0"/>
              <w:keepLines w:val="0"/>
              <w:widowControl/>
              <w:suppressLineNumbers w:val="0"/>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96.19%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9" w:type="dxa"/>
            <w:vMerge w:val="continue"/>
            <w:vAlign w:val="center"/>
          </w:tcPr>
          <w:p>
            <w:pPr>
              <w:widowControl/>
              <w:spacing w:line="240" w:lineRule="exact"/>
              <w:jc w:val="center"/>
              <w:rPr>
                <w:rFonts w:hint="eastAsia" w:ascii="宋体" w:hAnsi="宋体" w:eastAsia="宋体" w:cs="宋体"/>
                <w:color w:val="000000"/>
                <w:kern w:val="0"/>
                <w:sz w:val="21"/>
                <w:szCs w:val="21"/>
                <w:highlight w:val="none"/>
              </w:rPr>
            </w:pPr>
          </w:p>
        </w:tc>
        <w:tc>
          <w:tcPr>
            <w:tcW w:w="2665" w:type="dxa"/>
            <w:vAlign w:val="center"/>
          </w:tcPr>
          <w:p>
            <w:pPr>
              <w:widowControl/>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人民群众对消防工作满意度</w:t>
            </w:r>
          </w:p>
        </w:tc>
        <w:tc>
          <w:tcPr>
            <w:tcW w:w="2665" w:type="dxa"/>
            <w:vAlign w:val="center"/>
          </w:tcPr>
          <w:p>
            <w:pPr>
              <w:widowControl/>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超过95%</w:t>
            </w:r>
          </w:p>
        </w:tc>
        <w:tc>
          <w:tcPr>
            <w:tcW w:w="2649" w:type="dxa"/>
            <w:vAlign w:val="center"/>
          </w:tcPr>
          <w:p>
            <w:pPr>
              <w:keepNext w:val="0"/>
              <w:keepLines w:val="0"/>
              <w:widowControl/>
              <w:suppressLineNumbers w:val="0"/>
              <w:spacing w:line="240" w:lineRule="exact"/>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b w:val="0"/>
                <w:bCs w:val="0"/>
                <w:i w:val="0"/>
                <w:iCs w:val="0"/>
                <w:color w:val="000000"/>
                <w:kern w:val="0"/>
                <w:sz w:val="21"/>
                <w:szCs w:val="21"/>
                <w:highlight w:val="none"/>
                <w:u w:val="none"/>
                <w:lang w:val="en-US" w:eastAsia="zh-CN" w:bidi="ar"/>
              </w:rPr>
              <w:t>95.23%</w:t>
            </w:r>
          </w:p>
        </w:tc>
      </w:tr>
    </w:tbl>
    <w:p>
      <w:pPr>
        <w:pStyle w:val="4"/>
        <w:keepNext/>
        <w:keepLines/>
        <w:pageBreakBefore w:val="0"/>
        <w:widowControl w:val="0"/>
        <w:kinsoku/>
        <w:wordWrap/>
        <w:overflowPunct/>
        <w:topLinePunct w:val="0"/>
        <w:autoSpaceDE/>
        <w:autoSpaceDN/>
        <w:bidi w:val="0"/>
        <w:adjustRightInd/>
        <w:snapToGrid/>
        <w:spacing w:before="326" w:beforeLines="100" w:after="0" w:afterLines="0" w:line="360" w:lineRule="auto"/>
        <w:ind w:firstLine="640" w:firstLineChars="200"/>
        <w:textAlignment w:val="auto"/>
        <w:rPr>
          <w:rFonts w:hint="eastAsia" w:ascii="楷体_GB2312" w:hAnsi="楷体_GB2312" w:eastAsia="楷体_GB2312" w:cs="楷体_GB2312"/>
          <w:b w:val="0"/>
          <w:bCs/>
          <w:highlight w:val="none"/>
          <w:lang w:eastAsia="zh-CN"/>
        </w:rPr>
      </w:pPr>
      <w:bookmarkStart w:id="70" w:name="_Toc27989"/>
      <w:bookmarkStart w:id="71" w:name="_Toc16751"/>
      <w:bookmarkStart w:id="72" w:name="_Toc18956"/>
      <w:bookmarkStart w:id="73" w:name="_Toc13006"/>
      <w:r>
        <w:rPr>
          <w:rFonts w:hint="eastAsia" w:ascii="楷体_GB2312" w:hAnsi="楷体_GB2312" w:eastAsia="楷体_GB2312" w:cs="楷体_GB2312"/>
          <w:b w:val="0"/>
          <w:bCs/>
          <w:highlight w:val="none"/>
        </w:rPr>
        <w:t>（</w:t>
      </w:r>
      <w:r>
        <w:rPr>
          <w:rFonts w:hint="eastAsia" w:ascii="楷体_GB2312" w:hAnsi="楷体_GB2312" w:eastAsia="楷体_GB2312" w:cs="楷体_GB2312"/>
          <w:b w:val="0"/>
          <w:bCs/>
          <w:highlight w:val="none"/>
          <w:lang w:val="en-US" w:eastAsia="zh-CN"/>
        </w:rPr>
        <w:t>四</w:t>
      </w:r>
      <w:r>
        <w:rPr>
          <w:rFonts w:hint="eastAsia" w:ascii="楷体_GB2312" w:hAnsi="楷体_GB2312" w:eastAsia="楷体_GB2312" w:cs="楷体_GB2312"/>
          <w:b w:val="0"/>
          <w:bCs/>
          <w:highlight w:val="none"/>
        </w:rPr>
        <w:t>）部门整体收支情况</w:t>
      </w:r>
      <w:bookmarkEnd w:id="47"/>
      <w:bookmarkEnd w:id="48"/>
      <w:bookmarkEnd w:id="49"/>
      <w:bookmarkEnd w:id="50"/>
      <w:bookmarkEnd w:id="51"/>
      <w:bookmarkEnd w:id="52"/>
      <w:bookmarkEnd w:id="53"/>
      <w:r>
        <w:rPr>
          <w:rFonts w:hint="eastAsia" w:ascii="楷体_GB2312" w:hAnsi="楷体_GB2312" w:eastAsia="楷体_GB2312" w:cs="楷体_GB2312"/>
          <w:b w:val="0"/>
          <w:bCs/>
          <w:highlight w:val="none"/>
          <w:lang w:eastAsia="zh-CN"/>
        </w:rPr>
        <w:t>。</w:t>
      </w:r>
      <w:bookmarkEnd w:id="54"/>
      <w:bookmarkEnd w:id="70"/>
      <w:bookmarkEnd w:id="71"/>
      <w:bookmarkEnd w:id="72"/>
      <w:bookmarkEnd w:id="73"/>
    </w:p>
    <w:p>
      <w:pPr>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val="en-US" w:eastAsia="zh-CN"/>
        </w:rPr>
        <w:t>中央、省级、市级资金统计情况</w:t>
      </w:r>
      <w:r>
        <w:rPr>
          <w:rFonts w:hint="eastAsia" w:ascii="仿宋_GB2312" w:hAnsi="仿宋_GB2312" w:eastAsia="仿宋_GB2312" w:cs="仿宋_GB2312"/>
          <w:sz w:val="32"/>
          <w:szCs w:val="32"/>
          <w:highlight w:val="none"/>
        </w:rPr>
        <w:t>，部门整体收支情况如下：</w:t>
      </w:r>
    </w:p>
    <w:p>
      <w:pPr>
        <w:pageBreakBefore w:val="0"/>
        <w:widowControl w:val="0"/>
        <w:kinsoku w:val="0"/>
        <w:wordWrap/>
        <w:overflowPunct w:val="0"/>
        <w:topLinePunct w:val="0"/>
        <w:autoSpaceDE w:val="0"/>
        <w:autoSpaceDN w:val="0"/>
        <w:bidi w:val="0"/>
        <w:adjustRightInd/>
        <w:snapToGrid/>
        <w:spacing w:line="360" w:lineRule="auto"/>
        <w:ind w:firstLine="640" w:firstLineChars="200"/>
        <w:contextualSpacing/>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市消防救援支队</w:t>
      </w:r>
      <w:r>
        <w:rPr>
          <w:rFonts w:hint="eastAsia" w:ascii="仿宋_GB2312" w:hAnsi="仿宋_GB2312" w:eastAsia="仿宋_GB2312" w:cs="仿宋_GB2312"/>
          <w:sz w:val="32"/>
          <w:szCs w:val="32"/>
          <w:highlight w:val="none"/>
        </w:rPr>
        <w:t>部门收入合计</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463</w:t>
      </w: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其中中央资金4,752.04万元（占比50.22%），省级资金91.28万元（占比0.97%），市级资金4,620.14万元（占比48.82%）</w:t>
      </w:r>
      <w:r>
        <w:rPr>
          <w:rFonts w:hint="eastAsia" w:ascii="仿宋_GB2312" w:hAnsi="仿宋_GB2312" w:eastAsia="仿宋_GB2312" w:cs="仿宋_GB2312"/>
          <w:sz w:val="32"/>
          <w:szCs w:val="32"/>
          <w:highlight w:val="none"/>
        </w:rPr>
        <w:t>。</w:t>
      </w:r>
    </w:p>
    <w:p>
      <w:pPr>
        <w:pageBreakBefore w:val="0"/>
        <w:widowControl w:val="0"/>
        <w:kinsoku w:val="0"/>
        <w:wordWrap/>
        <w:overflowPunct w:val="0"/>
        <w:topLinePunct w:val="0"/>
        <w:autoSpaceDE w:val="0"/>
        <w:autoSpaceDN w:val="0"/>
        <w:bidi w:val="0"/>
        <w:adjustRightInd/>
        <w:snapToGrid/>
        <w:spacing w:line="360" w:lineRule="auto"/>
        <w:ind w:firstLine="640" w:firstLineChars="200"/>
        <w:contextualSpacing/>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市消防救援支队</w:t>
      </w:r>
      <w:r>
        <w:rPr>
          <w:rFonts w:hint="eastAsia" w:ascii="仿宋_GB2312" w:hAnsi="仿宋_GB2312" w:eastAsia="仿宋_GB2312" w:cs="仿宋_GB2312"/>
          <w:sz w:val="32"/>
          <w:szCs w:val="32"/>
          <w:highlight w:val="none"/>
        </w:rPr>
        <w:t>部门支出合计</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463</w:t>
      </w: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val="en-US" w:eastAsia="zh-CN"/>
        </w:rPr>
        <w:t>其中市级资金支出4,620.14万元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与单位指标金额4,648.66万元相比，市级</w:t>
      </w:r>
      <w:r>
        <w:rPr>
          <w:rFonts w:hint="eastAsia" w:ascii="仿宋_GB2312" w:hAnsi="仿宋_GB2312" w:eastAsia="仿宋_GB2312" w:cs="仿宋_GB2312"/>
          <w:sz w:val="32"/>
          <w:szCs w:val="32"/>
          <w:highlight w:val="none"/>
        </w:rPr>
        <w:t>财政拨款资金支出率为</w:t>
      </w:r>
      <w:r>
        <w:rPr>
          <w:rFonts w:hint="eastAsia" w:ascii="仿宋_GB2312" w:hAnsi="仿宋_GB2312" w:eastAsia="仿宋_GB2312" w:cs="仿宋_GB2312"/>
          <w:sz w:val="32"/>
          <w:szCs w:val="32"/>
          <w:highlight w:val="none"/>
          <w:lang w:val="en-US" w:eastAsia="zh-CN"/>
        </w:rPr>
        <w:t>99.39</w:t>
      </w:r>
      <w:r>
        <w:rPr>
          <w:rFonts w:hint="eastAsia" w:ascii="仿宋_GB2312" w:hAnsi="仿宋_GB2312" w:eastAsia="仿宋_GB2312" w:cs="仿宋_GB2312"/>
          <w:sz w:val="32"/>
          <w:szCs w:val="32"/>
          <w:highlight w:val="none"/>
        </w:rPr>
        <w:t>%。按支出性质分类，202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年部门整体支出分为基本支出和项目支出2类，其中</w:t>
      </w:r>
      <w:r>
        <w:rPr>
          <w:rFonts w:hint="eastAsia" w:ascii="仿宋_GB2312" w:hAnsi="仿宋_GB2312" w:eastAsia="仿宋_GB2312" w:cs="仿宋_GB2312"/>
          <w:sz w:val="32"/>
          <w:szCs w:val="32"/>
          <w:highlight w:val="none"/>
          <w:lang w:val="en-US" w:eastAsia="zh-CN"/>
        </w:rPr>
        <w:t>基本支出</w:t>
      </w:r>
      <w:r>
        <w:rPr>
          <w:rFonts w:hint="eastAsia" w:ascii="仿宋_GB2312" w:hAnsi="仿宋_GB2312" w:eastAsia="仿宋_GB2312" w:cs="仿宋_GB2312"/>
          <w:sz w:val="32"/>
          <w:szCs w:val="32"/>
          <w:highlight w:val="none"/>
        </w:rPr>
        <w:t>占比较大，占总支出的</w:t>
      </w:r>
      <w:r>
        <w:rPr>
          <w:rFonts w:hint="eastAsia" w:ascii="仿宋_GB2312" w:hAnsi="仿宋_GB2312" w:eastAsia="仿宋_GB2312" w:cs="仿宋_GB2312"/>
          <w:sz w:val="32"/>
          <w:szCs w:val="32"/>
          <w:highlight w:val="none"/>
          <w:lang w:val="en-US" w:eastAsia="zh-CN"/>
        </w:rPr>
        <w:t>77.10</w:t>
      </w:r>
      <w:r>
        <w:rPr>
          <w:rFonts w:hint="eastAsia" w:ascii="仿宋_GB2312" w:hAnsi="仿宋_GB2312" w:eastAsia="仿宋_GB2312" w:cs="仿宋_GB2312"/>
          <w:sz w:val="32"/>
          <w:szCs w:val="32"/>
          <w:highlight w:val="none"/>
        </w:rPr>
        <w:t>%。</w:t>
      </w:r>
    </w:p>
    <w:p>
      <w:pPr>
        <w:spacing w:before="319" w:beforeLines="100"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表1-</w:t>
      </w:r>
      <w:r>
        <w:rPr>
          <w:rFonts w:hint="eastAsia" w:ascii="宋体" w:hAnsi="宋体" w:eastAsia="宋体" w:cs="宋体"/>
          <w:b/>
          <w:bCs/>
          <w:sz w:val="28"/>
          <w:szCs w:val="28"/>
          <w:highlight w:val="none"/>
          <w:lang w:val="en-US" w:eastAsia="zh-CN"/>
        </w:rPr>
        <w:t>5</w:t>
      </w:r>
      <w:r>
        <w:rPr>
          <w:rFonts w:hint="eastAsia" w:ascii="宋体" w:hAnsi="宋体" w:eastAsia="宋体" w:cs="宋体"/>
          <w:b/>
          <w:bCs/>
          <w:sz w:val="28"/>
          <w:szCs w:val="28"/>
          <w:highlight w:val="none"/>
        </w:rPr>
        <w:t xml:space="preserve"> 部门整体支出基本情况表</w:t>
      </w:r>
    </w:p>
    <w:tbl>
      <w:tblPr>
        <w:tblStyle w:val="15"/>
        <w:tblW w:w="91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0"/>
        <w:gridCol w:w="1988"/>
        <w:gridCol w:w="1955"/>
        <w:gridCol w:w="1680"/>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blHeader/>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项目（按支出性质）</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年初预算数（万元）</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调整预算数（万元）</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决算数（万元）</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一、基本支出</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5,664.61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7,296.41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7,296.41</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ind w:firstLine="420" w:firstLineChars="2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人员经费</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5,368.50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7,006.84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7,006.84</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ind w:firstLine="840" w:firstLineChars="4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其中：中央</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4,689.73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4,689.73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4,689.73</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ind w:firstLine="1470" w:firstLineChars="7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省级</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9.40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9.40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9.40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ind w:firstLine="1470" w:firstLineChars="7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市级</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669.37</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2,307.71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2,307.71</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ind w:firstLine="420" w:firstLineChars="2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公用经费</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296.11</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289.57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289.57</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ind w:firstLine="840" w:firstLineChars="4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其中：中央</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39.63</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39.63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39.63</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ind w:firstLine="1470" w:firstLineChars="7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省级</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36.88</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36.88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36.88</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ind w:firstLine="1470" w:firstLineChars="7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市级</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219.60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213.06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213.06</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二、项目支出</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2,117.87</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2,167.04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2,167.04</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ind w:firstLine="840" w:firstLineChars="4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其中：中央</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22.68</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22.68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22.68</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ind w:firstLine="1470" w:firstLineChars="7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省级</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45.00</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45.00</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ind w:firstLine="1470" w:firstLineChars="7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市级</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2,050.19</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2,099.36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2,099.36</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本年支出合计</w:t>
            </w:r>
          </w:p>
        </w:tc>
        <w:tc>
          <w:tcPr>
            <w:tcW w:w="1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7,782.48</w:t>
            </w:r>
          </w:p>
        </w:tc>
        <w:tc>
          <w:tcPr>
            <w:tcW w:w="1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9,463.45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9,463.45</w:t>
            </w: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44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100.00%</w:t>
            </w:r>
          </w:p>
        </w:tc>
      </w:tr>
    </w:tbl>
    <w:p>
      <w:pPr>
        <w:pStyle w:val="2"/>
        <w:rPr>
          <w:rFonts w:hint="eastAsia"/>
          <w:highlight w:val="none"/>
        </w:rPr>
      </w:pPr>
    </w:p>
    <w:p>
      <w:pPr>
        <w:pStyle w:val="3"/>
        <w:keepNext/>
        <w:keepLines/>
        <w:pageBreakBefore w:val="0"/>
        <w:widowControl w:val="0"/>
        <w:kinsoku/>
        <w:wordWrap/>
        <w:overflowPunct/>
        <w:topLinePunct w:val="0"/>
        <w:autoSpaceDE/>
        <w:autoSpaceDN/>
        <w:bidi w:val="0"/>
        <w:adjustRightInd/>
        <w:snapToGrid/>
        <w:spacing w:before="326" w:beforeLines="100" w:after="0" w:afterLines="0" w:line="360" w:lineRule="auto"/>
        <w:ind w:firstLine="640" w:firstLineChars="200"/>
        <w:textAlignment w:val="auto"/>
        <w:rPr>
          <w:rFonts w:hint="eastAsia" w:ascii="黑体" w:hAnsi="黑体" w:eastAsia="黑体" w:cs="黑体"/>
          <w:b w:val="0"/>
          <w:bCs/>
          <w:sz w:val="32"/>
          <w:szCs w:val="32"/>
          <w:highlight w:val="none"/>
          <w:lang w:val="en-US" w:eastAsia="zh-CN"/>
        </w:rPr>
      </w:pPr>
      <w:bookmarkStart w:id="74" w:name="_Toc2965"/>
      <w:bookmarkStart w:id="75" w:name="_Toc24530"/>
      <w:bookmarkStart w:id="76" w:name="_Toc19555"/>
      <w:bookmarkStart w:id="77" w:name="_Toc12652"/>
      <w:bookmarkStart w:id="78" w:name="_Toc2589_WPSOffice_Level2"/>
      <w:bookmarkStart w:id="79" w:name="_Toc3620"/>
      <w:bookmarkStart w:id="80" w:name="_Toc44169670"/>
      <w:bookmarkStart w:id="81" w:name="_Toc25905_WPSOffice_Level2"/>
      <w:bookmarkStart w:id="82" w:name="_Toc1512"/>
      <w:bookmarkStart w:id="83" w:name="_Toc20566"/>
      <w:bookmarkStart w:id="84" w:name="_Toc29497"/>
      <w:bookmarkStart w:id="85" w:name="_Toc401"/>
      <w:r>
        <w:rPr>
          <w:rFonts w:hint="eastAsia" w:ascii="黑体" w:hAnsi="黑体" w:eastAsia="黑体" w:cs="黑体"/>
          <w:b w:val="0"/>
          <w:bCs/>
          <w:sz w:val="32"/>
          <w:szCs w:val="32"/>
          <w:highlight w:val="none"/>
        </w:rPr>
        <w:t>二、</w:t>
      </w:r>
      <w:r>
        <w:rPr>
          <w:rFonts w:hint="eastAsia" w:ascii="黑体" w:hAnsi="黑体" w:eastAsia="黑体" w:cs="黑体"/>
          <w:b w:val="0"/>
          <w:bCs/>
          <w:sz w:val="32"/>
          <w:szCs w:val="32"/>
          <w:highlight w:val="none"/>
          <w:lang w:val="en-US" w:eastAsia="zh-CN"/>
        </w:rPr>
        <w:t>绩效评价指标分析</w:t>
      </w:r>
      <w:bookmarkEnd w:id="74"/>
      <w:bookmarkEnd w:id="75"/>
      <w:bookmarkEnd w:id="76"/>
      <w:bookmarkEnd w:id="77"/>
      <w:bookmarkEnd w:id="78"/>
      <w:bookmarkEnd w:id="79"/>
      <w:bookmarkEnd w:id="80"/>
      <w:bookmarkEnd w:id="81"/>
      <w:bookmarkEnd w:id="82"/>
      <w:bookmarkEnd w:id="83"/>
      <w:bookmarkEnd w:id="84"/>
      <w:bookmarkEnd w:id="85"/>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1"/>
        <w:rPr>
          <w:rFonts w:hint="eastAsia" w:ascii="楷体_GB2312" w:hAnsi="楷体_GB2312" w:eastAsia="楷体_GB2312" w:cs="楷体_GB2312"/>
          <w:b w:val="0"/>
          <w:bCs/>
          <w:highlight w:val="none"/>
          <w:lang w:eastAsia="zh-CN"/>
        </w:rPr>
      </w:pPr>
      <w:bookmarkStart w:id="86" w:name="_Toc10661"/>
      <w:bookmarkStart w:id="87" w:name="_Toc15233"/>
      <w:bookmarkStart w:id="88" w:name="_Toc11949"/>
      <w:bookmarkStart w:id="89" w:name="_Toc20410"/>
      <w:r>
        <w:rPr>
          <w:rFonts w:hint="eastAsia" w:ascii="楷体_GB2312" w:hAnsi="楷体_GB2312" w:eastAsia="楷体_GB2312" w:cs="楷体_GB2312"/>
          <w:b w:val="0"/>
          <w:bCs/>
          <w:highlight w:val="none"/>
          <w:lang w:eastAsia="zh-CN"/>
        </w:rPr>
        <w:t>（一）</w:t>
      </w:r>
      <w:r>
        <w:rPr>
          <w:rFonts w:hint="eastAsia" w:ascii="楷体_GB2312" w:hAnsi="楷体_GB2312" w:eastAsia="楷体_GB2312" w:cs="楷体_GB2312"/>
          <w:b w:val="0"/>
          <w:bCs/>
          <w:highlight w:val="none"/>
          <w:lang w:val="en-US" w:eastAsia="zh-CN"/>
        </w:rPr>
        <w:t>年度工作任务及绩效目标完成情况</w:t>
      </w:r>
      <w:r>
        <w:rPr>
          <w:rFonts w:hint="eastAsia" w:ascii="楷体_GB2312" w:hAnsi="楷体_GB2312" w:eastAsia="楷体_GB2312" w:cs="楷体_GB2312"/>
          <w:b w:val="0"/>
          <w:bCs/>
          <w:highlight w:val="none"/>
          <w:lang w:eastAsia="zh-CN"/>
        </w:rPr>
        <w:t>。</w:t>
      </w:r>
      <w:bookmarkEnd w:id="86"/>
      <w:bookmarkEnd w:id="87"/>
      <w:bookmarkEnd w:id="88"/>
      <w:bookmarkEnd w:id="89"/>
    </w:p>
    <w:p>
      <w:pPr>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22项重点工作（包括支队攻坚任务）中18项任务已完成，1项未完成（由于经费紧张，2021年未能</w:t>
      </w:r>
      <w:r>
        <w:rPr>
          <w:rFonts w:hint="eastAsia" w:ascii="仿宋_GB2312" w:eastAsia="仿宋_GB2312"/>
          <w:sz w:val="32"/>
          <w:szCs w:val="32"/>
          <w:highlight w:val="none"/>
        </w:rPr>
        <w:t>购置前突指挥车、轻型卫星便携站、大型系留无人机等“专精尖”通信装备</w:t>
      </w:r>
      <w:r>
        <w:rPr>
          <w:rFonts w:hint="eastAsia" w:ascii="仿宋_GB2312" w:eastAsia="仿宋_GB2312"/>
          <w:sz w:val="32"/>
          <w:szCs w:val="32"/>
          <w:highlight w:val="none"/>
          <w:lang w:val="en-US" w:eastAsia="zh-CN"/>
        </w:rPr>
        <w:t>），1项未及时完成（未按</w:t>
      </w:r>
      <w:r>
        <w:rPr>
          <w:rFonts w:hint="eastAsia" w:ascii="仿宋_GB2312" w:eastAsia="仿宋_GB2312"/>
          <w:sz w:val="32"/>
          <w:szCs w:val="32"/>
          <w:highlight w:val="none"/>
        </w:rPr>
        <w:t>《年度消防工作意见》</w:t>
      </w:r>
      <w:r>
        <w:rPr>
          <w:rFonts w:hint="eastAsia" w:ascii="仿宋_GB2312" w:eastAsia="仿宋_GB2312"/>
          <w:sz w:val="32"/>
          <w:szCs w:val="32"/>
          <w:highlight w:val="none"/>
          <w:lang w:val="en-US" w:eastAsia="zh-CN"/>
        </w:rPr>
        <w:t>要求在2021年</w:t>
      </w:r>
      <w:r>
        <w:rPr>
          <w:rFonts w:hint="eastAsia" w:ascii="仿宋_GB2312" w:eastAsia="仿宋_GB2312"/>
          <w:sz w:val="32"/>
          <w:szCs w:val="32"/>
          <w:highlight w:val="none"/>
        </w:rPr>
        <w:t>9月底前出台印发《韶关市消防“十四五”规划》</w:t>
      </w:r>
      <w:r>
        <w:rPr>
          <w:rFonts w:hint="eastAsia" w:ascii="仿宋_GB2312" w:eastAsia="仿宋_GB2312"/>
          <w:sz w:val="32"/>
          <w:szCs w:val="32"/>
          <w:highlight w:val="none"/>
          <w:lang w:val="en-US" w:eastAsia="zh-CN"/>
        </w:rPr>
        <w:t>），2项部分完成（一是</w:t>
      </w:r>
      <w:r>
        <w:rPr>
          <w:rFonts w:hint="eastAsia" w:ascii="仿宋_GB2312" w:eastAsia="仿宋_GB2312"/>
          <w:sz w:val="32"/>
          <w:szCs w:val="32"/>
          <w:highlight w:val="none"/>
        </w:rPr>
        <w:t>14个队站有5个队站正规化建设达标</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未达目标50%；二是</w:t>
      </w:r>
      <w:r>
        <w:rPr>
          <w:rFonts w:hint="eastAsia" w:ascii="仿宋_GB2312" w:eastAsia="仿宋_GB2312"/>
          <w:sz w:val="32"/>
          <w:szCs w:val="32"/>
          <w:highlight w:val="none"/>
        </w:rPr>
        <w:t>基层指挥员指挥能力暨水域（激流）救援技术培训日程为7天，未达</w:t>
      </w:r>
      <w:r>
        <w:rPr>
          <w:rFonts w:hint="eastAsia" w:ascii="仿宋_GB2312" w:eastAsia="仿宋_GB2312"/>
          <w:sz w:val="32"/>
          <w:szCs w:val="32"/>
          <w:highlight w:val="none"/>
          <w:lang w:val="en-US" w:eastAsia="zh-CN"/>
        </w:rPr>
        <w:t>所要求的</w:t>
      </w:r>
      <w:r>
        <w:rPr>
          <w:rFonts w:hint="eastAsia" w:ascii="仿宋_GB2312" w:eastAsia="仿宋_GB2312"/>
          <w:sz w:val="32"/>
          <w:szCs w:val="32"/>
          <w:highlight w:val="none"/>
        </w:rPr>
        <w:t>10天</w:t>
      </w:r>
      <w:r>
        <w:rPr>
          <w:rFonts w:hint="eastAsia" w:ascii="仿宋_GB2312" w:eastAsia="仿宋_GB2312"/>
          <w:sz w:val="32"/>
          <w:szCs w:val="32"/>
          <w:highlight w:val="none"/>
          <w:lang w:val="en-US" w:eastAsia="zh-CN"/>
        </w:rPr>
        <w:t>）。重点工作完成率为90%。</w:t>
      </w:r>
    </w:p>
    <w:p>
      <w:pPr>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sz w:val="32"/>
          <w:szCs w:val="32"/>
          <w:highlight w:val="none"/>
          <w:lang w:val="en-US"/>
        </w:rPr>
      </w:pPr>
      <w:r>
        <w:rPr>
          <w:rFonts w:hint="eastAsia" w:ascii="仿宋_GB2312" w:eastAsia="仿宋_GB2312"/>
          <w:sz w:val="32"/>
          <w:szCs w:val="32"/>
          <w:highlight w:val="none"/>
          <w:lang w:val="en-US" w:eastAsia="zh-CN"/>
        </w:rPr>
        <w:t>除“稳定消防安全形势”指标未达到预期目标（</w:t>
      </w:r>
      <w:r>
        <w:rPr>
          <w:rFonts w:hint="eastAsia" w:ascii="仿宋_GB2312" w:eastAsia="仿宋_GB2312"/>
          <w:sz w:val="32"/>
          <w:szCs w:val="32"/>
          <w:highlight w:val="none"/>
        </w:rPr>
        <w:t>韶关当地火灾四项指标均有所上升</w:t>
      </w:r>
      <w:r>
        <w:rPr>
          <w:rFonts w:hint="eastAsia" w:ascii="仿宋_GB2312" w:eastAsia="仿宋_GB2312"/>
          <w:sz w:val="32"/>
          <w:szCs w:val="32"/>
          <w:highlight w:val="none"/>
          <w:lang w:val="en-US" w:eastAsia="zh-CN"/>
        </w:rPr>
        <w:t>），其余7个指标均已实现。绩效目标完成率为87.50%。</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1"/>
        <w:rPr>
          <w:rFonts w:hint="eastAsia" w:ascii="楷体_GB2312" w:hAnsi="楷体_GB2312" w:eastAsia="楷体_GB2312" w:cs="楷体_GB2312"/>
          <w:b w:val="0"/>
          <w:bCs/>
          <w:highlight w:val="none"/>
          <w:lang w:eastAsia="zh-CN"/>
        </w:rPr>
      </w:pPr>
      <w:bookmarkStart w:id="90" w:name="_Toc8595"/>
      <w:bookmarkStart w:id="91" w:name="_Toc16507"/>
      <w:bookmarkStart w:id="92" w:name="_Toc18137"/>
      <w:bookmarkStart w:id="93" w:name="_Toc22050"/>
      <w:bookmarkStart w:id="94" w:name="_Toc8668"/>
      <w:bookmarkStart w:id="95" w:name="_Toc22594"/>
      <w:bookmarkStart w:id="96" w:name="_Toc8820"/>
      <w:bookmarkStart w:id="97" w:name="_Toc26383"/>
      <w:bookmarkStart w:id="98" w:name="_Toc15678"/>
      <w:bookmarkStart w:id="99" w:name="_Toc44169371"/>
      <w:bookmarkStart w:id="100" w:name="_Toc44169673"/>
      <w:bookmarkStart w:id="101" w:name="_Toc13882"/>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二）</w:t>
      </w:r>
      <w:r>
        <w:rPr>
          <w:rFonts w:hint="eastAsia" w:ascii="楷体_GB2312" w:hAnsi="楷体_GB2312" w:eastAsia="楷体_GB2312" w:cs="楷体_GB2312"/>
          <w:b w:val="0"/>
          <w:bCs/>
          <w:highlight w:val="none"/>
          <w:lang w:eastAsia="zh-CN"/>
        </w:rPr>
        <w:t>预算编制情况分析。</w:t>
      </w:r>
      <w:bookmarkEnd w:id="90"/>
      <w:bookmarkEnd w:id="91"/>
      <w:bookmarkEnd w:id="92"/>
      <w:bookmarkEnd w:id="93"/>
      <w:bookmarkEnd w:id="94"/>
      <w:bookmarkEnd w:id="95"/>
      <w:bookmarkEnd w:id="96"/>
      <w:bookmarkEnd w:id="97"/>
      <w:bookmarkEnd w:id="98"/>
      <w:bookmarkEnd w:id="99"/>
      <w:bookmarkEnd w:id="100"/>
    </w:p>
    <w:p>
      <w:pPr>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该指标主要考核</w:t>
      </w:r>
      <w:r>
        <w:rPr>
          <w:rFonts w:hint="eastAsia" w:ascii="仿宋_GB2312" w:eastAsia="仿宋_GB2312"/>
          <w:sz w:val="32"/>
          <w:szCs w:val="32"/>
          <w:highlight w:val="none"/>
          <w:lang w:val="en-US" w:eastAsia="zh-CN"/>
        </w:rPr>
        <w:t>预算编制的合理性</w:t>
      </w:r>
      <w:r>
        <w:rPr>
          <w:rFonts w:hint="eastAsia" w:ascii="仿宋_GB2312" w:eastAsia="仿宋_GB2312"/>
          <w:sz w:val="32"/>
          <w:szCs w:val="32"/>
          <w:highlight w:val="none"/>
        </w:rPr>
        <w:t>，包括</w:t>
      </w:r>
      <w:r>
        <w:rPr>
          <w:rFonts w:hint="eastAsia" w:ascii="仿宋_GB2312" w:eastAsia="仿宋_GB2312"/>
          <w:sz w:val="32"/>
          <w:szCs w:val="32"/>
          <w:highlight w:val="none"/>
          <w:lang w:val="en-US" w:eastAsia="zh-CN"/>
        </w:rPr>
        <w:t>预算编制规范性、预算调整率、绩效目标覆盖率、绩效目标合理性、绩效指标明确性5</w:t>
      </w:r>
      <w:r>
        <w:rPr>
          <w:rFonts w:hint="eastAsia" w:ascii="仿宋_GB2312" w:eastAsia="仿宋_GB2312"/>
          <w:sz w:val="32"/>
          <w:szCs w:val="32"/>
          <w:highlight w:val="none"/>
        </w:rPr>
        <w:t>个</w:t>
      </w: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rPr>
        <w:t>级指标，预算编制情况指标分值</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分，得</w:t>
      </w:r>
      <w:r>
        <w:rPr>
          <w:rFonts w:hint="eastAsia" w:ascii="仿宋_GB2312" w:eastAsia="仿宋_GB2312"/>
          <w:sz w:val="32"/>
          <w:szCs w:val="32"/>
          <w:highlight w:val="none"/>
          <w:lang w:val="en-US" w:eastAsia="zh-CN"/>
        </w:rPr>
        <w:t>10.50</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70.00</w:t>
      </w:r>
      <w:r>
        <w:rPr>
          <w:rFonts w:hint="eastAsia" w:ascii="仿宋_GB2312" w:eastAsia="仿宋_GB2312"/>
          <w:sz w:val="32"/>
          <w:szCs w:val="32"/>
          <w:highlight w:val="none"/>
        </w:rPr>
        <w:t>%。部门预算编制与部门职责相符，项目均设置了绩效目标，但</w:t>
      </w:r>
      <w:r>
        <w:rPr>
          <w:rFonts w:hint="eastAsia" w:ascii="仿宋_GB2312" w:eastAsia="仿宋_GB2312"/>
          <w:sz w:val="32"/>
          <w:szCs w:val="32"/>
          <w:highlight w:val="none"/>
          <w:lang w:val="en-US" w:eastAsia="zh-CN"/>
        </w:rPr>
        <w:t>绩效目标设置不够细化、合理</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具体分析如下：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1.预算编制规范性。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指标分值3分，得2.5分，得分率83.33%。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部门预算编制与市消防救援支队职责相符，但整体来看，部分项目资金投向范围较宽泛，建设意图、目标约束、资金使用三者结合不够紧密，易出现资金使用“撒胡椒面”的局面。绩效目标未能结合建设任务细化分解，且各科室未对资金的使用进行系统性规划建设，支出散乱，如187.86万元正规化建设经费支出中包含物业服务费32.31万元，宣传活动经费30.97万元，指挥中心、谈话室改造费用26.76万元，培训费用12.64万元，审计服务费4.9万元，绿化养护费2.49万元，空调拆装、清洗费1.77万元等。该指标扣0.5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2.预算调整率。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指标分值3分，得3分，得分率100%。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年初预算数为2,939.22万元，调整预算数为4,620.14万元，剔除绩效考核奖励经费1,640.19万元以及上级转移支付资金45万元，预算调整数为4.27万元，预算调整率为0.15%。该指标不扣分。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3.绩效目标覆盖率。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指标分值2分，得2分，得分率100%。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部门共有13个项目（除住房改革补贴、2020年度绩效考核奖励经费、住房公积金等6个基本支出项目以及上级转移支付项目外），13个项目均设置了绩效目标。绩效目标覆盖率为100%。该指标不扣分。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绩效目标合理性</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指标分值4分，得2分，得分率50%。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绩效目标与部门职能具有相关性，但预算申报和自评填报的绩效目标均存在一些不足：一是绩效目标表述过于宏大与宽泛，未能描述所实施的具体内容和要达到的预期目标，不够规范；二是部分项目绩效目标表述较空泛、针对性弱，未明确所需达到的目标，预期目标的实现程度无法把控。该指标扣2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360" w:lineRule="auto"/>
        <w:ind w:firstLine="640" w:firstLineChars="200"/>
        <w:contextualSpacing/>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5.绩效指标明确性。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指标分值3分，得1分，得分率33.33%。</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市消防救援支队围绕绩效目标设置了相应的指标名称及指标预期值，但存在以下问题：一是部分指标完成率高于150%。如“购置消防装备器材”指标值设置为“超过300件（套）”，实际采购8000余件套，超出预期值26倍；“开展消防宣传次数”指标值设置为“每月至少1次”，实际每月4.67场，超出预期值4.6倍；二是效果指标均为定性指标。如效果指标“加强消防救援队伍建设”目标值设置为“消防救援队伍建设正规化水平不断提高”，“消防宣传教育成效”目标值设置为“消防宣传成效显著，群众消防安全意识增强”等，采用“不断提高、显著、增强”等表述，可衡量性较弱，不利于后期绩效管理及评价；三是预算申报所填报指标不够全面。设置的产出指标基本为资金管理的共性指标，如预算执行率、专款专用率等指标，且未设置火灾四项指标等核心效益指标，该指标扣2分。</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textAlignment w:val="auto"/>
        <w:outlineLvl w:val="1"/>
        <w:rPr>
          <w:rFonts w:hint="eastAsia" w:ascii="楷体_GB2312" w:hAnsi="楷体_GB2312" w:eastAsia="楷体_GB2312" w:cs="楷体_GB2312"/>
          <w:b w:val="0"/>
          <w:bCs/>
          <w:highlight w:val="none"/>
        </w:rPr>
      </w:pPr>
      <w:bookmarkStart w:id="102" w:name="_Toc28235"/>
      <w:bookmarkStart w:id="103" w:name="_Toc44169674"/>
      <w:bookmarkStart w:id="104" w:name="_Toc24439"/>
      <w:bookmarkStart w:id="105" w:name="_Toc9881"/>
      <w:bookmarkStart w:id="106" w:name="_Toc20273"/>
      <w:bookmarkStart w:id="107" w:name="_Toc19173"/>
      <w:bookmarkStart w:id="108" w:name="_Toc28772"/>
      <w:bookmarkStart w:id="109" w:name="_Toc44169372"/>
      <w:bookmarkStart w:id="110" w:name="_Toc10603"/>
      <w:bookmarkStart w:id="111" w:name="_Toc29142"/>
      <w:bookmarkStart w:id="112" w:name="_Toc12317"/>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三）</w:t>
      </w:r>
      <w:r>
        <w:rPr>
          <w:rFonts w:hint="eastAsia" w:ascii="楷体_GB2312" w:hAnsi="楷体_GB2312" w:eastAsia="楷体_GB2312" w:cs="楷体_GB2312"/>
          <w:b w:val="0"/>
          <w:bCs/>
          <w:highlight w:val="none"/>
        </w:rPr>
        <w:t>预算执行情况分析。</w:t>
      </w:r>
      <w:bookmarkEnd w:id="102"/>
      <w:bookmarkEnd w:id="103"/>
      <w:bookmarkEnd w:id="104"/>
      <w:bookmarkEnd w:id="105"/>
      <w:bookmarkEnd w:id="106"/>
      <w:bookmarkEnd w:id="107"/>
      <w:bookmarkEnd w:id="108"/>
      <w:bookmarkEnd w:id="109"/>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该指标反映预算执行过程中管理情况</w:t>
      </w:r>
      <w:r>
        <w:rPr>
          <w:rFonts w:hint="eastAsia" w:ascii="仿宋_GB2312" w:eastAsia="仿宋_GB2312"/>
          <w:sz w:val="32"/>
          <w:szCs w:val="32"/>
          <w:highlight w:val="none"/>
        </w:rPr>
        <w:t>，包括</w:t>
      </w:r>
      <w:r>
        <w:rPr>
          <w:rFonts w:hint="eastAsia" w:ascii="仿宋_GB2312" w:eastAsia="仿宋_GB2312"/>
          <w:sz w:val="32"/>
          <w:szCs w:val="32"/>
          <w:highlight w:val="none"/>
          <w:lang w:val="en-US" w:eastAsia="zh-CN"/>
        </w:rPr>
        <w:t>部门预算支出率、结转结余率、政府采购合规性等10</w:t>
      </w:r>
      <w:r>
        <w:rPr>
          <w:rFonts w:hint="eastAsia" w:ascii="仿宋_GB2312" w:eastAsia="仿宋_GB2312"/>
          <w:sz w:val="32"/>
          <w:szCs w:val="32"/>
          <w:highlight w:val="none"/>
        </w:rPr>
        <w:t>个</w:t>
      </w: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rPr>
        <w:t>级指标，预算执行情况方面指标分值35分，得</w:t>
      </w:r>
      <w:r>
        <w:rPr>
          <w:rFonts w:hint="default" w:ascii="仿宋_GB2312" w:eastAsia="仿宋_GB2312"/>
          <w:sz w:val="32"/>
          <w:szCs w:val="32"/>
          <w:highlight w:val="none"/>
          <w:lang w:val="en-US" w:eastAsia="zh-CN"/>
        </w:rPr>
        <w:t>29.78</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8</w:t>
      </w:r>
      <w:r>
        <w:rPr>
          <w:rFonts w:hint="default" w:ascii="仿宋_GB2312" w:eastAsia="仿宋_GB2312"/>
          <w:sz w:val="32"/>
          <w:szCs w:val="32"/>
          <w:highlight w:val="none"/>
          <w:lang w:val="en-US" w:eastAsia="zh-CN"/>
        </w:rPr>
        <w:t>5.09</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年度预算执行情况较好，预决算信息基本能按要求时间和内容公开，项目实施程序较规范，但在支出均衡性、资产管理、监督管理成效等方面存在不足。具体分析如下：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1.部门预算支出率。</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指标分值3分，得2.1分，得分率70%。</w:t>
      </w:r>
    </w:p>
    <w:p>
      <w:pPr>
        <w:keepNext w:val="0"/>
        <w:keepLines w:val="0"/>
        <w:pageBreakBefore w:val="0"/>
        <w:widowControl w:val="0"/>
        <w:kinsoku/>
        <w:wordWrap/>
        <w:overflowPunct/>
        <w:topLinePunct w:val="0"/>
        <w:autoSpaceDE/>
        <w:autoSpaceDN/>
        <w:bidi w:val="0"/>
        <w:adjustRightInd/>
        <w:snapToGrid/>
        <w:spacing w:beforeLines="0"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根据部门所提供的《2021年预算执行情况统计表》，</w:t>
      </w:r>
      <w:r>
        <w:rPr>
          <w:rFonts w:hint="eastAsia" w:ascii="仿宋_GB2312" w:eastAsia="仿宋_GB2312"/>
          <w:sz w:val="32"/>
          <w:szCs w:val="32"/>
          <w:highlight w:val="none"/>
        </w:rPr>
        <w:t>每个季度的执行率</w:t>
      </w:r>
      <w:r>
        <w:rPr>
          <w:rFonts w:hint="eastAsia" w:ascii="仿宋_GB2312" w:eastAsia="仿宋_GB2312"/>
          <w:sz w:val="32"/>
          <w:szCs w:val="32"/>
          <w:highlight w:val="none"/>
          <w:lang w:val="en-US" w:eastAsia="zh-CN"/>
        </w:rPr>
        <w:t>分别为4.31%、41.53%、57.29%和99.39%</w:t>
      </w:r>
      <w:r>
        <w:rPr>
          <w:rStyle w:val="21"/>
          <w:rFonts w:hint="eastAsia" w:ascii="仿宋_GB2312" w:eastAsia="仿宋_GB2312"/>
          <w:sz w:val="32"/>
          <w:szCs w:val="32"/>
          <w:highlight w:val="none"/>
          <w:lang w:val="en-US" w:eastAsia="zh-CN"/>
        </w:rPr>
        <w:footnoteReference w:id="0"/>
      </w:r>
      <w:r>
        <w:rPr>
          <w:rFonts w:hint="eastAsia" w:ascii="仿宋_GB2312" w:eastAsia="仿宋_GB2312"/>
          <w:sz w:val="32"/>
          <w:szCs w:val="32"/>
          <w:highlight w:val="none"/>
          <w:lang w:val="en-US" w:eastAsia="zh-CN"/>
        </w:rPr>
        <w:t>，全年平均执行率为69.02%。按计算公式计算，该指标得2.1分，扣0.9分。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360" w:lineRule="auto"/>
        <w:ind w:firstLine="640" w:firstLineChars="200"/>
        <w:contextualSpacing/>
        <w:textAlignment w:val="auto"/>
        <w:outlineLvl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结转结余率</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指标分值3分，得3分，得分率100%。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部门所提供的《2021年预算执行情况统计表》，2021年市消防救援支队部门支出合计4,620.14万元，均为财政拨款支出，与单位指标金额4,648.66万元相比，财政拨款资金支出率为99.39%，结转结余率为0.61%≤10%，该指标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政府采购合规性</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指标分值4分，得3.78分，得分94.50%。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根据《2021年政府采购信息统计报表》，采购计划金额为843.15万元，实际采购金额为749.50万元。政府采购执行率为88.89%。政府采购执行过程较为规范，该指标得3.78分，扣0.22分。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财务合规性</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指标分值5分，得4.5分，得分率90%。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市消防救援支队资金管理较规范，但存在一些不足：一是支出不够规范，同一事项在不同项目中列支。消防救援支队信息通信科网络安全设备采购项目余款经费28.64万元，其中25万元在信息化建设经费中列支，其余3.64万元在装备器材购置费（含特种装备维护保养经费）列支；二是部分项目支出列支范围有误。如消防救援队伍公用经费中列支“归垫合同制奖金”8.75万元，应列支在政府专职消防员人员经费项目中，据市消防救援支队反馈因经费紧张，在消防救援队伍公用经费项目列支该笔费用。综合考虑，该指标扣0.5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预决算信息公开</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指标分值2分，得2分，得分率100%。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市消防救援支队在2021年3月10日公开2021年预算，能按照《财政部关于印发〈地方预决算公开操作规程〉的通知》（财预〔2016〕143号）部门预决算公开时间及内容的要求，在市财政批复20日内公开部门预决算及报表，公开内容包括部门收支总体情况和财政拨款收支情况。由于2021年首次列入市级预算，故不考核2020年决算公开情况。该指标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r>
        <w:rPr>
          <w:rFonts w:hint="default" w:ascii="仿宋_GB2312" w:hAnsi="仿宋_GB2312" w:eastAsia="仿宋_GB2312" w:cs="仿宋_GB2312"/>
          <w:sz w:val="32"/>
          <w:szCs w:val="32"/>
          <w:highlight w:val="none"/>
          <w:lang w:val="en-US" w:eastAsia="zh-CN"/>
        </w:rPr>
        <w:t>项目实施程序</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指标分值4分，得4分，得分率100%。</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市消防救援支队基本能按照相应的实施方案或管理制度等规定程序实施，重大经济事项在党委会集体研究决定后实施，各项工作报批手续较完整。该指标不扣分。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7.项目监管。</w:t>
      </w:r>
    </w:p>
    <w:p>
      <w:pPr>
        <w:keepNext w:val="0"/>
        <w:keepLines w:val="0"/>
        <w:pageBreakBefore w:val="0"/>
        <w:widowControl w:val="0"/>
        <w:shd w:val="clear"/>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指标分值4分，得</w:t>
      </w:r>
      <w:r>
        <w:rPr>
          <w:rFonts w:hint="default" w:ascii="仿宋_GB2312" w:eastAsia="仿宋_GB2312"/>
          <w:sz w:val="32"/>
          <w:szCs w:val="32"/>
          <w:highlight w:val="none"/>
          <w:lang w:val="en-US" w:eastAsia="zh-CN"/>
        </w:rPr>
        <w:t>3</w:t>
      </w:r>
      <w:r>
        <w:rPr>
          <w:rFonts w:hint="eastAsia" w:ascii="仿宋_GB2312" w:eastAsia="仿宋_GB2312"/>
          <w:sz w:val="32"/>
          <w:szCs w:val="32"/>
          <w:highlight w:val="none"/>
          <w:lang w:val="en-US" w:eastAsia="zh-CN"/>
        </w:rPr>
        <w:t>分，得分率</w:t>
      </w:r>
      <w:r>
        <w:rPr>
          <w:rFonts w:hint="default" w:ascii="仿宋_GB2312" w:eastAsia="仿宋_GB2312"/>
          <w:sz w:val="32"/>
          <w:szCs w:val="32"/>
          <w:highlight w:val="none"/>
          <w:lang w:val="en-US" w:eastAsia="zh-CN"/>
        </w:rPr>
        <w:t>75</w:t>
      </w:r>
      <w:r>
        <w:rPr>
          <w:rFonts w:hint="eastAsia" w:ascii="仿宋_GB2312" w:eastAsia="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eastAsia="仿宋_GB2312"/>
          <w:sz w:val="32"/>
          <w:szCs w:val="32"/>
          <w:highlight w:val="none"/>
          <w:lang w:eastAsia="zh-CN"/>
        </w:rPr>
        <w:t>市消防救援支队</w:t>
      </w:r>
      <w:r>
        <w:rPr>
          <w:rFonts w:hint="eastAsia" w:ascii="仿宋_GB2312" w:eastAsia="仿宋_GB2312"/>
          <w:sz w:val="32"/>
          <w:szCs w:val="32"/>
          <w:highlight w:val="none"/>
          <w:lang w:val="en-US" w:eastAsia="zh-CN"/>
        </w:rPr>
        <w:t>党委会每月对队站执勤训练和作战训练安全工作进行研究分析，并提出下一步计划。但存在一些不足：</w:t>
      </w:r>
      <w:r>
        <w:rPr>
          <w:rFonts w:hint="eastAsia" w:ascii="仿宋_GB2312" w:hAnsi="仿宋_GB2312" w:eastAsia="仿宋_GB2312" w:cs="仿宋_GB2312"/>
          <w:b/>
          <w:bCs/>
          <w:kern w:val="2"/>
          <w:sz w:val="32"/>
          <w:highlight w:val="none"/>
          <w:lang w:val="en-US" w:eastAsia="zh-CN"/>
        </w:rPr>
        <w:t>一是</w:t>
      </w:r>
      <w:r>
        <w:rPr>
          <w:rFonts w:hint="eastAsia" w:ascii="仿宋_GB2312" w:hAnsi="仿宋_GB2312" w:eastAsia="仿宋_GB2312" w:cs="仿宋_GB2312"/>
          <w:b w:val="0"/>
          <w:bCs w:val="0"/>
          <w:kern w:val="2"/>
          <w:sz w:val="32"/>
          <w:highlight w:val="none"/>
          <w:lang w:val="en-US" w:eastAsia="zh-CN"/>
        </w:rPr>
        <w:t>对各队站监管成效还有待加强。在</w:t>
      </w:r>
      <w:r>
        <w:rPr>
          <w:rFonts w:hint="eastAsia" w:ascii="仿宋_GB2312" w:eastAsia="仿宋_GB2312"/>
          <w:sz w:val="32"/>
          <w:szCs w:val="32"/>
          <w:highlight w:val="none"/>
          <w:lang w:val="en-US" w:eastAsia="zh-CN"/>
        </w:rPr>
        <w:t>队站执勤训练和作战训练安全方面仍存在“部分单位思想重视不够、制度落实不严、工作要求不高”等突出问题</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如</w:t>
      </w:r>
      <w:r>
        <w:rPr>
          <w:rFonts w:hint="eastAsia" w:ascii="仿宋_GB2312" w:hAnsi="仿宋_GB2312" w:eastAsia="仿宋_GB2312" w:cs="仿宋_GB2312"/>
          <w:spacing w:val="0"/>
          <w:kern w:val="2"/>
          <w:sz w:val="32"/>
          <w:szCs w:val="32"/>
          <w:highlight w:val="none"/>
          <w:lang w:val="en-US" w:eastAsia="zh-CN" w:bidi="ar-SA"/>
        </w:rPr>
        <w:t>部分单位日常组织训练时对训练场地设施安全检查不彻底，对训练项目存在的安全隐患分析评估不充分，忽略训练前热身拉伸和训练后身体恢复，组训方式方法单一，不科学；</w:t>
      </w:r>
      <w:r>
        <w:rPr>
          <w:rFonts w:hint="eastAsia" w:ascii="仿宋_GB2312" w:hAnsi="仿宋_GB2312" w:eastAsia="仿宋_GB2312" w:cs="仿宋_GB2312"/>
          <w:kern w:val="2"/>
          <w:sz w:val="32"/>
          <w:highlight w:val="none"/>
          <w:lang w:val="en-US" w:eastAsia="zh-CN"/>
        </w:rPr>
        <w:t>反映出市消防救援支队对各队站监管成效还有待加强。</w:t>
      </w:r>
      <w:r>
        <w:rPr>
          <w:rFonts w:hint="eastAsia" w:ascii="仿宋_GB2312" w:hAnsi="仿宋_GB2312" w:eastAsia="仿宋_GB2312" w:cs="仿宋_GB2312"/>
          <w:b/>
          <w:bCs/>
          <w:kern w:val="2"/>
          <w:sz w:val="32"/>
          <w:highlight w:val="none"/>
          <w:lang w:val="en-US" w:eastAsia="zh-CN"/>
        </w:rPr>
        <w:t>二是</w:t>
      </w:r>
      <w:r>
        <w:rPr>
          <w:rFonts w:hint="eastAsia" w:ascii="仿宋_GB2312" w:hAnsi="仿宋_GB2312" w:eastAsia="仿宋_GB2312" w:cs="仿宋_GB2312"/>
          <w:b w:val="0"/>
          <w:bCs w:val="0"/>
          <w:kern w:val="2"/>
          <w:sz w:val="32"/>
          <w:highlight w:val="none"/>
          <w:lang w:val="en-US" w:eastAsia="zh-CN"/>
        </w:rPr>
        <w:t>绩效监控时点不符合《中央绩效监控管理暂行办法》时点要求。</w:t>
      </w:r>
      <w:r>
        <w:rPr>
          <w:rFonts w:hint="eastAsia" w:ascii="仿宋_GB2312" w:hAnsi="仿宋_GB2312" w:eastAsia="仿宋_GB2312" w:cs="仿宋_GB2312"/>
          <w:sz w:val="32"/>
          <w:highlight w:val="none"/>
        </w:rPr>
        <w:t>市消防救援支队所提供的绩效监控报告对各项目的监控时点为2021年底，不符合《中央绩效监控管理暂行办法》“每年8月开展”要求</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不利于及时掌握项目实施情况及存在的问题。</w:t>
      </w:r>
      <w:r>
        <w:rPr>
          <w:rFonts w:hint="eastAsia" w:ascii="仿宋_GB2312" w:eastAsia="仿宋_GB2312"/>
          <w:sz w:val="32"/>
          <w:szCs w:val="32"/>
          <w:highlight w:val="none"/>
        </w:rPr>
        <w:t>该指标</w:t>
      </w:r>
      <w:r>
        <w:rPr>
          <w:rFonts w:hint="eastAsia" w:ascii="仿宋_GB2312" w:eastAsia="仿宋_GB2312"/>
          <w:sz w:val="32"/>
          <w:szCs w:val="32"/>
          <w:highlight w:val="none"/>
          <w:lang w:val="en-US" w:eastAsia="zh-CN"/>
        </w:rPr>
        <w:t>扣</w:t>
      </w:r>
      <w:r>
        <w:rPr>
          <w:rFonts w:hint="default" w:ascii="仿宋_GB2312" w:eastAsia="仿宋_GB2312"/>
          <w:sz w:val="32"/>
          <w:szCs w:val="32"/>
          <w:highlight w:val="none"/>
          <w:lang w:val="en-US" w:eastAsia="zh-CN"/>
        </w:rPr>
        <w:t>1</w:t>
      </w:r>
      <w:r>
        <w:rPr>
          <w:rFonts w:hint="eastAsia" w:ascii="仿宋_GB2312" w:eastAsia="仿宋_GB2312"/>
          <w:sz w:val="32"/>
          <w:szCs w:val="32"/>
          <w:highlight w:val="none"/>
        </w:rPr>
        <w:t>分</w:t>
      </w:r>
      <w:r>
        <w:rPr>
          <w:rFonts w:hint="eastAsia" w:ascii="仿宋_GB2312" w:eastAsia="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8.资产管理安全性。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指标分值4分，得2分，得分率50%。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2022年7月5日市消防救援支队组织开展资产清查，发现资产损失（盘亏及报废）140.37万元，存在“在建工程未转固”情形，涉及资金10,774.24万元，包括公寓楼4,094.06万元、区域模拟训练设施2,500万元和韶关消防新指挥中心及消防站3,029.56万元等；清查报告指出市消防救援支队在制度建设、资产处置、定期清查盘点、资产配置等方面存在一些不足；另外，现场评价发现，由于西联特勤站仓库改造尚未完成，目前装备器材成堆摆放在训练馆。该指标扣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w:t>
      </w:r>
      <w:r>
        <w:rPr>
          <w:rFonts w:hint="default" w:ascii="仿宋_GB2312" w:hAnsi="仿宋_GB2312" w:eastAsia="仿宋_GB2312" w:cs="仿宋_GB2312"/>
          <w:sz w:val="32"/>
          <w:szCs w:val="32"/>
          <w:highlight w:val="none"/>
          <w:lang w:val="en-US" w:eastAsia="zh-CN"/>
        </w:rPr>
        <w:t>固定资产利用率</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指标分值2分，得1.9分，得分率95.00%。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根据市消防救援支队提供的《资产卡片账》，2021年资产期末数</w:t>
      </w:r>
      <w:r>
        <w:rPr>
          <w:rStyle w:val="21"/>
          <w:rFonts w:hint="eastAsia" w:ascii="仿宋_GB2312" w:eastAsia="仿宋_GB2312"/>
          <w:sz w:val="32"/>
          <w:szCs w:val="32"/>
          <w:highlight w:val="none"/>
          <w:lang w:val="en-US" w:eastAsia="zh-CN"/>
        </w:rPr>
        <w:footnoteReference w:id="1"/>
      </w:r>
      <w:r>
        <w:rPr>
          <w:rFonts w:hint="eastAsia" w:ascii="仿宋_GB2312" w:eastAsia="仿宋_GB2312"/>
          <w:sz w:val="32"/>
          <w:szCs w:val="32"/>
          <w:highlight w:val="none"/>
          <w:lang w:val="en-US" w:eastAsia="zh-CN"/>
        </w:rPr>
        <w:t>18,906.23万元，根据资产清查报告，有33项资产需报废，价值为17.47万元。固定资产利用率为99.91%。该指标扣0.1分。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w:t>
      </w:r>
      <w:r>
        <w:rPr>
          <w:rFonts w:hint="default" w:ascii="仿宋_GB2312" w:hAnsi="仿宋_GB2312" w:eastAsia="仿宋_GB2312" w:cs="仿宋_GB2312"/>
          <w:sz w:val="32"/>
          <w:szCs w:val="32"/>
          <w:highlight w:val="none"/>
          <w:lang w:val="en-US" w:eastAsia="zh-CN"/>
        </w:rPr>
        <w:t>管理制度健全性</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指标分值4分，得3.5分，得分率87.50%。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highlight w:val="none"/>
          <w:lang w:val="en-US" w:eastAsia="zh-CN"/>
        </w:rPr>
      </w:pPr>
      <w:r>
        <w:rPr>
          <w:rFonts w:hint="eastAsia" w:ascii="仿宋_GB2312" w:eastAsia="仿宋_GB2312"/>
          <w:sz w:val="32"/>
          <w:szCs w:val="32"/>
          <w:highlight w:val="none"/>
          <w:lang w:val="en-US" w:eastAsia="zh-CN"/>
        </w:rPr>
        <w:t>市消防救援支队制定了《韶关市消防救援支队项目审计规程》、《韶关市消防救援支队报销指引》以及《韶关市消防救援队伍财务管理暂行规定》等制度，但未制定预算绩效管理制度。据市消防救援支队反馈，目前财务管理暂行规定正在修订，将在财务管理暂行规定部分章节新增预算绩效管理内容。该指标扣0.5分。</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textAlignment w:val="auto"/>
        <w:outlineLvl w:val="1"/>
        <w:rPr>
          <w:rFonts w:hint="eastAsia" w:ascii="楷体_GB2312" w:hAnsi="楷体_GB2312" w:eastAsia="楷体_GB2312" w:cs="楷体_GB2312"/>
          <w:b w:val="0"/>
          <w:bCs/>
          <w:highlight w:val="none"/>
          <w:lang w:val="en-US" w:eastAsia="zh-CN"/>
        </w:rPr>
      </w:pPr>
      <w:bookmarkStart w:id="113" w:name="_Toc6357"/>
      <w:bookmarkStart w:id="114" w:name="_Toc12823"/>
      <w:bookmarkStart w:id="115" w:name="_Toc30130"/>
      <w:bookmarkStart w:id="116" w:name="_Toc27382"/>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四）预算使用效益分析。</w:t>
      </w:r>
      <w:bookmarkEnd w:id="113"/>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该指标反映预算使用的效果情况</w:t>
      </w:r>
      <w:r>
        <w:rPr>
          <w:rFonts w:hint="eastAsia" w:ascii="仿宋_GB2312" w:eastAsia="仿宋_GB2312"/>
          <w:sz w:val="32"/>
          <w:szCs w:val="32"/>
          <w:highlight w:val="none"/>
        </w:rPr>
        <w:t>，包括</w:t>
      </w:r>
      <w:r>
        <w:rPr>
          <w:rFonts w:hint="eastAsia" w:ascii="仿宋_GB2312" w:eastAsia="仿宋_GB2312"/>
          <w:sz w:val="32"/>
          <w:szCs w:val="32"/>
          <w:highlight w:val="none"/>
          <w:lang w:val="en-US" w:eastAsia="zh-CN"/>
        </w:rPr>
        <w:t>公用经费控制率、“三公”经费控制率、完成成本合理性、重点工作完成率等9</w:t>
      </w:r>
      <w:r>
        <w:rPr>
          <w:rFonts w:hint="eastAsia" w:ascii="仿宋_GB2312" w:eastAsia="仿宋_GB2312"/>
          <w:sz w:val="32"/>
          <w:szCs w:val="32"/>
          <w:highlight w:val="none"/>
        </w:rPr>
        <w:t>个</w:t>
      </w: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rPr>
        <w:t>级指标，效益方面指标分值</w:t>
      </w:r>
      <w:r>
        <w:rPr>
          <w:rFonts w:hint="eastAsia" w:ascii="仿宋_GB2312" w:eastAsia="仿宋_GB2312"/>
          <w:sz w:val="32"/>
          <w:szCs w:val="32"/>
          <w:highlight w:val="none"/>
          <w:lang w:val="en-US" w:eastAsia="zh-CN"/>
        </w:rPr>
        <w:t>50</w:t>
      </w:r>
      <w:r>
        <w:rPr>
          <w:rFonts w:hint="eastAsia" w:ascii="仿宋_GB2312" w:eastAsia="仿宋_GB2312"/>
          <w:sz w:val="32"/>
          <w:szCs w:val="32"/>
          <w:highlight w:val="none"/>
        </w:rPr>
        <w:t>分，得</w:t>
      </w:r>
      <w:r>
        <w:rPr>
          <w:rFonts w:hint="eastAsia" w:ascii="仿宋_GB2312" w:eastAsia="仿宋_GB2312"/>
          <w:sz w:val="32"/>
          <w:szCs w:val="32"/>
          <w:highlight w:val="none"/>
          <w:lang w:val="en-US" w:eastAsia="zh-CN"/>
        </w:rPr>
        <w:t>41.39</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82.78%</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整体来看，群众信访渠道便利，回复意见较及时，但在公用经费成本控制、部门履职效果方面存在不足。具体分析如下：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1.公用经费控制率。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rPr>
      </w:pPr>
      <w:r>
        <w:rPr>
          <w:rFonts w:hint="eastAsia" w:ascii="仿宋_GB2312" w:eastAsia="仿宋_GB2312"/>
          <w:sz w:val="32"/>
          <w:szCs w:val="32"/>
          <w:highlight w:val="none"/>
        </w:rPr>
        <w:t>指标分值</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分，得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日常公用经费预算调整数为1,525.88</w:t>
      </w:r>
      <w:r>
        <w:rPr>
          <w:rStyle w:val="21"/>
          <w:rFonts w:hint="eastAsia" w:ascii="仿宋_GB2312" w:eastAsia="仿宋_GB2312"/>
          <w:sz w:val="32"/>
          <w:szCs w:val="32"/>
          <w:highlight w:val="none"/>
          <w:lang w:val="en-US" w:eastAsia="zh-CN"/>
        </w:rPr>
        <w:footnoteReference w:id="2"/>
      </w:r>
      <w:r>
        <w:rPr>
          <w:rFonts w:hint="eastAsia" w:ascii="仿宋_GB2312" w:eastAsia="仿宋_GB2312"/>
          <w:sz w:val="32"/>
          <w:szCs w:val="32"/>
          <w:highlight w:val="none"/>
          <w:lang w:val="en-US" w:eastAsia="zh-CN"/>
        </w:rPr>
        <w:t>万元，日常公用经费决算数为1,677.42万元，超出日常公用经费预算调整数151.54万元。该指标不得分。据市消防救援支队反馈，因上级部门年中临时新增工作任务，但经费不足，故部分项目支出在该科目列支。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2.“三公”经费控制率。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rPr>
      </w:pPr>
      <w:r>
        <w:rPr>
          <w:rFonts w:hint="eastAsia" w:ascii="仿宋_GB2312" w:eastAsia="仿宋_GB2312"/>
          <w:sz w:val="32"/>
          <w:szCs w:val="32"/>
          <w:highlight w:val="none"/>
        </w:rPr>
        <w:t>指标分值</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分，得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根据2021年部门预算，公务用车运行维护费预算为30万元，实际公务用车运行维护费为34.77万元，超出公务用车运行维护费预算4.77万元。该指标不得</w:t>
      </w:r>
      <w:r>
        <w:rPr>
          <w:rFonts w:hint="default" w:ascii="仿宋_GB2312" w:eastAsia="仿宋_GB2312"/>
          <w:sz w:val="32"/>
          <w:szCs w:val="32"/>
          <w:highlight w:val="none"/>
          <w:lang w:val="en-US" w:eastAsia="zh-CN"/>
        </w:rPr>
        <w:t>分。</w:t>
      </w:r>
      <w:r>
        <w:rPr>
          <w:rFonts w:hint="eastAsia" w:ascii="仿宋_GB2312" w:eastAsia="仿宋_GB2312"/>
          <w:sz w:val="32"/>
          <w:szCs w:val="32"/>
          <w:highlight w:val="none"/>
          <w:lang w:val="en-US" w:eastAsia="zh-CN"/>
        </w:rPr>
        <w:t>据市消防救援支队反馈，原因在于车辆加油采用“预付加油卡充值”方式，实际油费未超出预算计划。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完成成本合理性</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rPr>
      </w:pPr>
      <w:r>
        <w:rPr>
          <w:rFonts w:hint="eastAsia" w:ascii="仿宋_GB2312" w:eastAsia="仿宋_GB2312"/>
          <w:sz w:val="32"/>
          <w:szCs w:val="32"/>
          <w:highlight w:val="none"/>
        </w:rPr>
        <w:t>指标分值</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分，得</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市消防救援支队项目工作成本与市场价格的同类项目相比，较为合理，如火灾高风险区域整治验收评估对20个区域开展验收评估共58.97万元，平均一个区域验收评估2.94万元，低于肇庆市、茂名市同类项目单价（4-5万元不等）。该指标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重点工作完成率</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rPr>
      </w:pPr>
      <w:r>
        <w:rPr>
          <w:rFonts w:hint="eastAsia" w:ascii="仿宋_GB2312" w:eastAsia="仿宋_GB2312"/>
          <w:sz w:val="32"/>
          <w:szCs w:val="32"/>
          <w:highlight w:val="none"/>
        </w:rPr>
        <w:t>指标分值</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分，得分</w:t>
      </w:r>
      <w:r>
        <w:rPr>
          <w:rFonts w:hint="eastAsia" w:ascii="仿宋_GB2312" w:eastAsia="仿宋_GB2312"/>
          <w:sz w:val="32"/>
          <w:szCs w:val="32"/>
          <w:highlight w:val="none"/>
          <w:lang w:val="en-US" w:eastAsia="zh-CN"/>
        </w:rPr>
        <w:t>2.7</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90</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22项重点工作（包括支队攻坚任务）中18项任务已完成，1项未完成（0%），2项部分完成（60%），1项未及时完成（60%）。重点工作完成率为90%</w:t>
      </w:r>
      <w:r>
        <w:rPr>
          <w:rStyle w:val="21"/>
          <w:rFonts w:hint="eastAsia" w:ascii="仿宋_GB2312" w:eastAsia="仿宋_GB2312"/>
          <w:sz w:val="32"/>
          <w:szCs w:val="32"/>
          <w:highlight w:val="none"/>
          <w:lang w:val="en-US" w:eastAsia="zh-CN"/>
        </w:rPr>
        <w:footnoteReference w:id="3"/>
      </w:r>
      <w:r>
        <w:rPr>
          <w:rFonts w:hint="eastAsia" w:ascii="仿宋_GB2312" w:eastAsia="仿宋_GB2312"/>
          <w:sz w:val="32"/>
          <w:szCs w:val="32"/>
          <w:highlight w:val="none"/>
          <w:lang w:val="en-US" w:eastAsia="zh-CN"/>
        </w:rPr>
        <w:t>。该指标得2.7分，扣0.3分。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line="360" w:lineRule="auto"/>
        <w:ind w:firstLine="640" w:firstLineChars="200"/>
        <w:contextualSpacing/>
        <w:textAlignment w:val="auto"/>
        <w:outlineLvl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w:t>
      </w:r>
      <w:r>
        <w:rPr>
          <w:rFonts w:hint="default" w:ascii="仿宋_GB2312" w:hAnsi="仿宋_GB2312" w:eastAsia="仿宋_GB2312" w:cs="仿宋_GB2312"/>
          <w:sz w:val="32"/>
          <w:szCs w:val="32"/>
          <w:highlight w:val="none"/>
          <w:lang w:val="en-US" w:eastAsia="zh-CN"/>
        </w:rPr>
        <w:t>绩效目标完成率</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rPr>
      </w:pPr>
      <w:r>
        <w:rPr>
          <w:rFonts w:hint="eastAsia" w:ascii="仿宋_GB2312" w:eastAsia="仿宋_GB2312"/>
          <w:sz w:val="32"/>
          <w:szCs w:val="32"/>
          <w:highlight w:val="none"/>
        </w:rPr>
        <w:t>指标分值</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分，得</w:t>
      </w:r>
      <w:r>
        <w:rPr>
          <w:rFonts w:hint="eastAsia" w:ascii="仿宋_GB2312" w:eastAsia="仿宋_GB2312"/>
          <w:sz w:val="32"/>
          <w:szCs w:val="32"/>
          <w:highlight w:val="none"/>
          <w:lang w:val="en-US" w:eastAsia="zh-CN"/>
        </w:rPr>
        <w:t>2.63</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87.67</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除“稳定消防安全形势”指标未达到预期目标，其余7个指标均已实现。绩效目标完成率为87.50%。该指标得2.63分，扣0.37分。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r>
        <w:rPr>
          <w:rFonts w:hint="default" w:ascii="仿宋_GB2312" w:hAnsi="仿宋_GB2312" w:eastAsia="仿宋_GB2312" w:cs="仿宋_GB2312"/>
          <w:sz w:val="32"/>
          <w:szCs w:val="32"/>
          <w:highlight w:val="none"/>
          <w:lang w:val="en-US" w:eastAsia="zh-CN"/>
        </w:rPr>
        <w:t>项目完成及时性</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rPr>
      </w:pPr>
      <w:r>
        <w:rPr>
          <w:rFonts w:hint="eastAsia" w:ascii="仿宋_GB2312" w:eastAsia="仿宋_GB2312"/>
          <w:sz w:val="32"/>
          <w:szCs w:val="32"/>
          <w:highlight w:val="none"/>
        </w:rPr>
        <w:t>指标分值</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分，得</w:t>
      </w:r>
      <w:r>
        <w:rPr>
          <w:rFonts w:hint="eastAsia" w:ascii="仿宋_GB2312" w:eastAsia="仿宋_GB2312"/>
          <w:sz w:val="32"/>
          <w:szCs w:val="32"/>
          <w:highlight w:val="none"/>
          <w:lang w:val="en-US" w:eastAsia="zh-CN"/>
        </w:rPr>
        <w:t>3.69</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92.25</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截至2021年12月，13个项目基本按时完成，其中信息化建设经费项目支出率为89.69%，信息化建设项目进度稍有滞后，项目完成及时率为92.31%，该指标得3.69分，扣0.31分。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7.社会经济环境效益。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指标分值25分，得18.60分，得分率74.40%。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_GB2312" w:hAnsi="Calibri" w:eastAsia="仿宋_GB2312" w:cstheme="minorBidi"/>
          <w:b w:val="0"/>
          <w:bCs w:val="0"/>
          <w:kern w:val="2"/>
          <w:sz w:val="32"/>
          <w:szCs w:val="32"/>
          <w:highlight w:val="none"/>
          <w:lang w:val="en-US" w:eastAsia="zh-CN" w:bidi="ar-SA"/>
        </w:rPr>
      </w:pPr>
      <w:r>
        <w:rPr>
          <w:rFonts w:hint="eastAsia" w:ascii="仿宋_GB2312" w:eastAsia="仿宋_GB2312"/>
          <w:b w:val="0"/>
          <w:bCs w:val="0"/>
          <w:sz w:val="32"/>
          <w:szCs w:val="32"/>
          <w:highlight w:val="none"/>
          <w:lang w:val="en-US" w:eastAsia="zh-CN"/>
        </w:rPr>
        <w:t>在消防安全形势方面，消防安全形势基本稳定，但火灾起数和直接财产损失增长较快，</w:t>
      </w:r>
      <w:r>
        <w:rPr>
          <w:rFonts w:hint="eastAsia" w:ascii="仿宋_GB2312" w:hAnsi="Calibri" w:eastAsia="仿宋_GB2312" w:cstheme="minorBidi"/>
          <w:b w:val="0"/>
          <w:bCs w:val="0"/>
          <w:kern w:val="2"/>
          <w:sz w:val="32"/>
          <w:szCs w:val="32"/>
          <w:highlight w:val="none"/>
          <w:lang w:val="en-US" w:eastAsia="zh-CN" w:bidi="ar-SA"/>
        </w:rPr>
        <w:t>该处扣3.6分；</w:t>
      </w:r>
      <w:r>
        <w:rPr>
          <w:rFonts w:hint="eastAsia" w:ascii="仿宋_GB2312" w:eastAsia="仿宋_GB2312"/>
          <w:b w:val="0"/>
          <w:bCs w:val="0"/>
          <w:sz w:val="32"/>
          <w:szCs w:val="32"/>
          <w:highlight w:val="none"/>
          <w:lang w:val="en-US" w:eastAsia="zh-CN"/>
        </w:rPr>
        <w:t>在</w:t>
      </w:r>
      <w:r>
        <w:rPr>
          <w:rFonts w:hint="eastAsia" w:ascii="仿宋_GB2312" w:hAnsi="Calibri" w:eastAsia="仿宋_GB2312" w:cstheme="minorBidi"/>
          <w:b w:val="0"/>
          <w:bCs w:val="0"/>
          <w:kern w:val="2"/>
          <w:sz w:val="32"/>
          <w:szCs w:val="32"/>
          <w:highlight w:val="none"/>
          <w:lang w:val="en-US" w:eastAsia="zh-CN" w:bidi="ar-SA"/>
        </w:rPr>
        <w:t>消防队伍建设成效方面，消防救援支队队伍正规化建设成效良好，离职率有所下降，但存在一些不足：</w:t>
      </w:r>
      <w:r>
        <w:rPr>
          <w:rFonts w:hint="eastAsia" w:ascii="仿宋_GB2312" w:hAnsi="Calibri" w:eastAsia="仿宋_GB2312" w:cstheme="minorBidi"/>
          <w:b/>
          <w:bCs/>
          <w:kern w:val="2"/>
          <w:sz w:val="32"/>
          <w:szCs w:val="32"/>
          <w:highlight w:val="none"/>
          <w:lang w:val="en-US" w:eastAsia="zh-CN" w:bidi="ar-SA"/>
        </w:rPr>
        <w:t>一是</w:t>
      </w:r>
      <w:r>
        <w:rPr>
          <w:rFonts w:hint="eastAsia" w:ascii="仿宋_GB2312" w:hAnsi="Calibri" w:eastAsia="仿宋_GB2312" w:cstheme="minorBidi"/>
          <w:b w:val="0"/>
          <w:bCs w:val="0"/>
          <w:kern w:val="2"/>
          <w:sz w:val="32"/>
          <w:szCs w:val="32"/>
          <w:highlight w:val="none"/>
          <w:lang w:val="en-US" w:eastAsia="zh-CN" w:bidi="ar-SA"/>
        </w:rPr>
        <w:t>2021年优秀率为</w:t>
      </w:r>
      <w:r>
        <w:rPr>
          <w:rFonts w:hint="default" w:ascii="仿宋_GB2312" w:hAnsi="Calibri" w:eastAsia="仿宋_GB2312" w:cstheme="minorBidi"/>
          <w:b w:val="0"/>
          <w:bCs w:val="0"/>
          <w:kern w:val="2"/>
          <w:sz w:val="32"/>
          <w:szCs w:val="32"/>
          <w:highlight w:val="none"/>
          <w:lang w:val="en-US" w:eastAsia="zh-CN" w:bidi="ar-SA"/>
        </w:rPr>
        <w:t>87.73%</w:t>
      </w:r>
      <w:r>
        <w:rPr>
          <w:rFonts w:hint="eastAsia" w:ascii="仿宋_GB2312" w:hAnsi="Calibri" w:eastAsia="仿宋_GB2312" w:cstheme="minorBidi"/>
          <w:b w:val="0"/>
          <w:bCs w:val="0"/>
          <w:kern w:val="2"/>
          <w:sz w:val="32"/>
          <w:szCs w:val="32"/>
          <w:highlight w:val="none"/>
          <w:lang w:val="en-US" w:eastAsia="zh-CN" w:bidi="ar-SA"/>
        </w:rPr>
        <w:t>，稍低于上年水平</w:t>
      </w:r>
      <w:r>
        <w:rPr>
          <w:rFonts w:hint="default" w:ascii="仿宋_GB2312" w:hAnsi="Calibri" w:eastAsia="仿宋_GB2312" w:cstheme="minorBidi"/>
          <w:b w:val="0"/>
          <w:bCs w:val="0"/>
          <w:kern w:val="2"/>
          <w:sz w:val="32"/>
          <w:szCs w:val="32"/>
          <w:highlight w:val="none"/>
          <w:lang w:val="en-US" w:eastAsia="zh-CN" w:bidi="ar-SA"/>
        </w:rPr>
        <w:t>88.70%</w:t>
      </w:r>
      <w:r>
        <w:rPr>
          <w:rFonts w:hint="eastAsia" w:ascii="仿宋_GB2312" w:hAnsi="Calibri" w:eastAsia="仿宋_GB2312" w:cstheme="minorBidi"/>
          <w:b w:val="0"/>
          <w:bCs w:val="0"/>
          <w:kern w:val="2"/>
          <w:sz w:val="32"/>
          <w:szCs w:val="32"/>
          <w:highlight w:val="none"/>
          <w:lang w:val="en-US" w:eastAsia="zh-CN" w:bidi="ar-SA"/>
        </w:rPr>
        <w:t>；</w:t>
      </w:r>
      <w:r>
        <w:rPr>
          <w:rFonts w:hint="eastAsia" w:ascii="仿宋_GB2312" w:hAnsi="Calibri" w:eastAsia="仿宋_GB2312" w:cstheme="minorBidi"/>
          <w:b/>
          <w:bCs/>
          <w:kern w:val="2"/>
          <w:sz w:val="32"/>
          <w:szCs w:val="32"/>
          <w:highlight w:val="none"/>
          <w:lang w:val="en-US" w:eastAsia="zh-CN" w:bidi="ar-SA"/>
        </w:rPr>
        <w:t>二是</w:t>
      </w:r>
      <w:r>
        <w:rPr>
          <w:rFonts w:hint="eastAsia" w:ascii="仿宋_GB2312" w:hAnsi="Calibri" w:eastAsia="仿宋_GB2312" w:cstheme="minorBidi"/>
          <w:b w:val="0"/>
          <w:bCs w:val="0"/>
          <w:kern w:val="2"/>
          <w:sz w:val="32"/>
          <w:szCs w:val="32"/>
          <w:highlight w:val="none"/>
          <w:lang w:val="en-US" w:eastAsia="zh-CN" w:bidi="ar-SA"/>
        </w:rPr>
        <w:t>目前消防队伍建设在指战员正规化建设方面暴露出一些问题，影响和制约了消防队伍的发展，</w:t>
      </w:r>
      <w:r>
        <w:rPr>
          <w:rFonts w:hint="default" w:ascii="仿宋_GB2312" w:hAnsi="Calibri" w:eastAsia="仿宋_GB2312" w:cstheme="minorBidi"/>
          <w:b w:val="0"/>
          <w:bCs w:val="0"/>
          <w:kern w:val="2"/>
          <w:sz w:val="32"/>
          <w:szCs w:val="32"/>
          <w:highlight w:val="none"/>
          <w:lang w:val="en-US" w:eastAsia="zh-CN" w:bidi="ar-SA"/>
        </w:rPr>
        <w:t>该</w:t>
      </w:r>
      <w:r>
        <w:rPr>
          <w:rFonts w:hint="eastAsia" w:ascii="仿宋_GB2312" w:hAnsi="Calibri" w:eastAsia="仿宋_GB2312" w:cstheme="minorBidi"/>
          <w:b w:val="0"/>
          <w:bCs w:val="0"/>
          <w:kern w:val="2"/>
          <w:sz w:val="32"/>
          <w:szCs w:val="32"/>
          <w:highlight w:val="none"/>
          <w:lang w:val="en-US" w:eastAsia="zh-CN" w:bidi="ar-SA"/>
        </w:rPr>
        <w:t>处扣1.1</w:t>
      </w:r>
      <w:r>
        <w:rPr>
          <w:rFonts w:hint="default" w:ascii="仿宋_GB2312" w:hAnsi="Calibri" w:eastAsia="仿宋_GB2312" w:cstheme="minorBidi"/>
          <w:b w:val="0"/>
          <w:bCs w:val="0"/>
          <w:kern w:val="2"/>
          <w:sz w:val="32"/>
          <w:szCs w:val="32"/>
          <w:highlight w:val="none"/>
          <w:lang w:val="en-US" w:eastAsia="zh-CN" w:bidi="ar-SA"/>
        </w:rPr>
        <w:t>分</w:t>
      </w:r>
      <w:r>
        <w:rPr>
          <w:rFonts w:hint="eastAsia" w:ascii="仿宋_GB2312" w:hAnsi="Calibri" w:eastAsia="仿宋_GB2312" w:cstheme="minorBidi"/>
          <w:b w:val="0"/>
          <w:bCs w:val="0"/>
          <w:kern w:val="2"/>
          <w:sz w:val="32"/>
          <w:szCs w:val="32"/>
          <w:highlight w:val="none"/>
          <w:lang w:val="en-US" w:eastAsia="zh-CN" w:bidi="ar-SA"/>
        </w:rPr>
        <w:t>；在消防宣传教育成效方面，消防宣传手段较多样，整体居民消防安全知识知晓率稍高于全省平均水平，但宣传成效和影响力存在不足，该处扣1.7分。该指标合计扣6.4分。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default" w:ascii="仿宋_GB2312" w:hAnsi="Calibri" w:eastAsia="仿宋_GB2312" w:cstheme="minorBidi"/>
          <w:kern w:val="2"/>
          <w:sz w:val="32"/>
          <w:szCs w:val="32"/>
          <w:highlight w:val="none"/>
          <w:lang w:val="en-US" w:eastAsia="zh-CN" w:bidi="ar-SA"/>
        </w:rPr>
      </w:pPr>
      <w:r>
        <w:rPr>
          <w:rFonts w:hint="eastAsia" w:ascii="仿宋_GB2312" w:hAnsi="Calibri" w:eastAsia="仿宋_GB2312" w:cstheme="minorBidi"/>
          <w:kern w:val="2"/>
          <w:sz w:val="32"/>
          <w:szCs w:val="32"/>
          <w:highlight w:val="none"/>
          <w:lang w:val="en-US" w:eastAsia="zh-CN" w:bidi="ar-SA"/>
        </w:rPr>
        <w:t>8.</w:t>
      </w:r>
      <w:r>
        <w:rPr>
          <w:rFonts w:hint="default" w:ascii="仿宋_GB2312" w:hAnsi="Calibri" w:eastAsia="仿宋_GB2312" w:cstheme="minorBidi"/>
          <w:kern w:val="2"/>
          <w:sz w:val="32"/>
          <w:szCs w:val="32"/>
          <w:highlight w:val="none"/>
          <w:lang w:val="en-US" w:eastAsia="zh-CN" w:bidi="ar-SA"/>
        </w:rPr>
        <w:t>群众信访办理情况</w:t>
      </w:r>
      <w:r>
        <w:rPr>
          <w:rFonts w:hint="eastAsia" w:ascii="仿宋_GB2312" w:hAnsi="Calibri" w:eastAsia="仿宋_GB2312" w:cstheme="minorBidi"/>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指标分值</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分，得</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p>
    <w:p>
      <w:pPr>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default" w:ascii="仿宋_GB2312" w:eastAsia="仿宋_GB2312" w:hAnsiTheme="minorHAnsi" w:cstheme="minorBidi"/>
          <w:kern w:val="2"/>
          <w:sz w:val="32"/>
          <w:szCs w:val="32"/>
          <w:highlight w:val="none"/>
          <w:lang w:val="en-US" w:eastAsia="zh-CN" w:bidi="ar-SA"/>
        </w:rPr>
      </w:pPr>
      <w:r>
        <w:rPr>
          <w:rFonts w:hint="eastAsia" w:ascii="仿宋_GB2312" w:eastAsia="仿宋_GB2312" w:cstheme="minorBidi"/>
          <w:kern w:val="2"/>
          <w:sz w:val="32"/>
          <w:szCs w:val="32"/>
          <w:highlight w:val="none"/>
          <w:lang w:val="en-US" w:eastAsia="zh-CN" w:bidi="ar-SA"/>
        </w:rPr>
        <w:t>群众可通过举报电话96119反映社会单位消防问题，同时也可通过市消防救援支队大厅意见箱反映消防问题，现场评价来看，市消防救援支队回复群众意见较及时。该指标不扣分。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contextualSpacing/>
        <w:textAlignment w:val="auto"/>
        <w:outlineLvl w:val="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w:t>
      </w:r>
      <w:r>
        <w:rPr>
          <w:rFonts w:hint="default" w:ascii="仿宋_GB2312" w:hAnsi="仿宋_GB2312" w:eastAsia="仿宋_GB2312" w:cs="仿宋_GB2312"/>
          <w:sz w:val="32"/>
          <w:szCs w:val="32"/>
          <w:highlight w:val="none"/>
          <w:lang w:val="en-US" w:eastAsia="zh-CN"/>
        </w:rPr>
        <w:t>公众或服务对象满意度</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rPr>
      </w:pPr>
      <w:r>
        <w:rPr>
          <w:rFonts w:hint="eastAsia" w:ascii="仿宋_GB2312" w:eastAsia="仿宋_GB2312"/>
          <w:sz w:val="32"/>
          <w:szCs w:val="32"/>
          <w:highlight w:val="none"/>
        </w:rPr>
        <w:t>指标分值</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分，得</w:t>
      </w:r>
      <w:r>
        <w:rPr>
          <w:rFonts w:hint="eastAsia" w:ascii="仿宋_GB2312" w:eastAsia="仿宋_GB2312"/>
          <w:sz w:val="32"/>
          <w:szCs w:val="32"/>
          <w:highlight w:val="none"/>
          <w:lang w:val="en-US" w:eastAsia="zh-CN"/>
        </w:rPr>
        <w:t>2.77</w:t>
      </w:r>
      <w:r>
        <w:rPr>
          <w:rFonts w:hint="eastAsia" w:ascii="仿宋_GB2312" w:eastAsia="仿宋_GB2312"/>
          <w:sz w:val="32"/>
          <w:szCs w:val="32"/>
          <w:highlight w:val="none"/>
        </w:rPr>
        <w:t>分，得分率</w:t>
      </w:r>
      <w:r>
        <w:rPr>
          <w:rFonts w:hint="eastAsia" w:ascii="仿宋_GB2312" w:eastAsia="仿宋_GB2312"/>
          <w:sz w:val="32"/>
          <w:szCs w:val="32"/>
          <w:highlight w:val="none"/>
          <w:lang w:val="en-US" w:eastAsia="zh-CN"/>
        </w:rPr>
        <w:t>92.33</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hAnsi="仿宋_GB2312" w:eastAsia="仿宋_GB2312" w:cs="仿宋_GB2312"/>
          <w:color w:val="auto"/>
          <w:kern w:val="2"/>
          <w:sz w:val="32"/>
          <w:highlight w:val="none"/>
          <w:lang w:val="en-US" w:eastAsia="zh-CN"/>
        </w:rPr>
      </w:pPr>
      <w:r>
        <w:rPr>
          <w:rFonts w:hint="eastAsia" w:ascii="仿宋_GB2312" w:hAnsi="仿宋_GB2312" w:eastAsia="仿宋_GB2312" w:cs="仿宋_GB2312"/>
          <w:color w:val="auto"/>
          <w:kern w:val="2"/>
          <w:sz w:val="32"/>
          <w:highlight w:val="none"/>
          <w:lang w:val="en-US" w:eastAsia="zh-CN"/>
        </w:rPr>
        <w:t>通过电子问卷方式共回收103份群众有效问卷。针对“Q8.您对韶关消防整体满意度如何？”一题，66名群众表示非常满意，占比为64.08%；35名群众表示满意，占比为33.98%；2名群众表示一般，占比为1.94%；具体见图2-1。按照比较满意100%、满意80%、一般60%、不满意和非常不满意0%权重计算综合满意度为92.43%。该指标得分2.77分，扣0.23分。</w:t>
      </w:r>
    </w:p>
    <w:p>
      <w:pPr>
        <w:bidi w:val="0"/>
        <w:jc w:val="center"/>
        <w:rPr>
          <w:highlight w:val="none"/>
        </w:rPr>
      </w:pPr>
      <w:r>
        <w:rPr>
          <w:highlight w:val="none"/>
        </w:rPr>
        <w:drawing>
          <wp:inline distT="0" distB="0" distL="114300" distR="114300">
            <wp:extent cx="3721735" cy="2049780"/>
            <wp:effectExtent l="4445" t="4445" r="7620" b="1841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图2-1 公众对消防支队满意度</w:t>
      </w:r>
    </w:p>
    <w:p>
      <w:pPr>
        <w:numPr>
          <w:ilvl w:val="0"/>
          <w:numId w:val="0"/>
        </w:numPr>
        <w:spacing w:before="326" w:beforeLines="100" w:line="360" w:lineRule="auto"/>
        <w:ind w:firstLine="640" w:firstLineChars="200"/>
        <w:contextualSpacing/>
        <w:outlineLvl w:val="2"/>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10.加减分项。</w:t>
      </w:r>
    </w:p>
    <w:p>
      <w:pPr>
        <w:pStyle w:val="2"/>
        <w:rPr>
          <w:rFonts w:hint="default"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2021年市消防救援支队获得全国消防救援队伍2021年调查研究工作先进单位称号；市消防救援支队队员任泽旭、程健家庭分别获得“广东好人”、第十六届广东“优秀书香家庭”等荣誉。根据评分标准，该指标加3分。</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黑体" w:hAnsi="黑体" w:eastAsia="黑体" w:cs="黑体"/>
          <w:b w:val="0"/>
          <w:bCs/>
          <w:sz w:val="32"/>
          <w:szCs w:val="32"/>
          <w:highlight w:val="none"/>
          <w:lang w:eastAsia="zh-CN"/>
        </w:rPr>
      </w:pPr>
      <w:bookmarkStart w:id="117" w:name="_Toc30410"/>
      <w:bookmarkStart w:id="118" w:name="_Toc15002"/>
      <w:bookmarkStart w:id="119" w:name="_Toc20448"/>
      <w:bookmarkStart w:id="120" w:name="_Toc3163"/>
      <w:r>
        <w:rPr>
          <w:rFonts w:hint="eastAsia" w:ascii="黑体" w:hAnsi="黑体" w:eastAsia="黑体" w:cs="黑体"/>
          <w:b w:val="0"/>
          <w:bCs/>
          <w:sz w:val="32"/>
          <w:szCs w:val="32"/>
          <w:highlight w:val="none"/>
          <w:lang w:val="en-US" w:eastAsia="zh-CN"/>
        </w:rPr>
        <w:t>三、评价结论</w:t>
      </w:r>
      <w:bookmarkEnd w:id="101"/>
      <w:bookmarkEnd w:id="117"/>
      <w:bookmarkEnd w:id="118"/>
      <w:bookmarkEnd w:id="119"/>
      <w:bookmarkEnd w:id="120"/>
    </w:p>
    <w:p>
      <w:pPr>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经自评材料审核和现场评价，结合预算编制、执行、使用效益三方面综合对部门整体支出资金绩效进行比较分析，综合评定202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市消防救援支队</w:t>
      </w:r>
      <w:r>
        <w:rPr>
          <w:rFonts w:hint="eastAsia" w:ascii="仿宋_GB2312" w:hAnsi="仿宋_GB2312" w:eastAsia="仿宋_GB2312" w:cs="仿宋_GB2312"/>
          <w:sz w:val="32"/>
          <w:szCs w:val="32"/>
          <w:highlight w:val="none"/>
        </w:rPr>
        <w:t>部门整体支出绩效评价得分为</w:t>
      </w:r>
      <w:r>
        <w:rPr>
          <w:rFonts w:hint="eastAsia" w:ascii="仿宋_GB2312" w:hAnsi="仿宋_GB2312" w:eastAsia="仿宋_GB2312" w:cs="仿宋_GB2312"/>
          <w:b/>
          <w:bCs/>
          <w:sz w:val="32"/>
          <w:szCs w:val="32"/>
          <w:highlight w:val="none"/>
          <w:lang w:val="en-US" w:eastAsia="zh-CN"/>
        </w:rPr>
        <w:t>81.67</w:t>
      </w:r>
      <w:r>
        <w:rPr>
          <w:rFonts w:hint="eastAsia" w:ascii="仿宋_GB2312" w:hAnsi="仿宋_GB2312" w:eastAsia="仿宋_GB2312" w:cs="仿宋_GB2312"/>
          <w:sz w:val="32"/>
          <w:szCs w:val="32"/>
          <w:highlight w:val="none"/>
        </w:rPr>
        <w:t>分，绩效等级为“</w:t>
      </w:r>
      <w:r>
        <w:rPr>
          <w:rFonts w:hint="eastAsia" w:ascii="仿宋_GB2312" w:hAnsi="仿宋_GB2312" w:eastAsia="仿宋_GB2312" w:cs="仿宋_GB2312"/>
          <w:b/>
          <w:bCs/>
          <w:sz w:val="32"/>
          <w:szCs w:val="32"/>
          <w:highlight w:val="none"/>
          <w:lang w:val="en-US" w:eastAsia="zh-CN"/>
        </w:rPr>
        <w:t>良</w:t>
      </w:r>
      <w:r>
        <w:rPr>
          <w:rFonts w:hint="eastAsia" w:ascii="仿宋_GB2312" w:hAnsi="仿宋_GB2312" w:eastAsia="仿宋_GB2312" w:cs="仿宋_GB2312"/>
          <w:sz w:val="32"/>
          <w:szCs w:val="32"/>
          <w:highlight w:val="none"/>
        </w:rPr>
        <w:t>”。</w:t>
      </w: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黑体" w:hAnsi="黑体" w:eastAsia="黑体" w:cs="黑体"/>
          <w:b w:val="0"/>
          <w:bCs/>
          <w:sz w:val="32"/>
          <w:szCs w:val="32"/>
          <w:highlight w:val="none"/>
        </w:rPr>
      </w:pPr>
      <w:bookmarkStart w:id="121" w:name="_Toc24456_WPSOffice_Level2"/>
      <w:bookmarkStart w:id="122" w:name="_Toc21314"/>
      <w:bookmarkStart w:id="123" w:name="_Toc25951"/>
      <w:bookmarkStart w:id="124" w:name="_Toc19950"/>
      <w:bookmarkStart w:id="125" w:name="_Toc22836"/>
      <w:bookmarkStart w:id="126" w:name="_Toc18152"/>
      <w:bookmarkStart w:id="127" w:name="_Toc44169677"/>
      <w:bookmarkStart w:id="128" w:name="_Toc28324"/>
      <w:bookmarkStart w:id="129" w:name="_Toc16450"/>
      <w:bookmarkStart w:id="130" w:name="_Toc9190"/>
      <w:bookmarkStart w:id="131" w:name="_Toc20584"/>
      <w:bookmarkStart w:id="132" w:name="_Toc7364_WPSOffice_Level2"/>
      <w:r>
        <w:rPr>
          <w:rFonts w:hint="eastAsia" w:ascii="黑体" w:hAnsi="黑体" w:eastAsia="黑体" w:cs="黑体"/>
          <w:b w:val="0"/>
          <w:bCs/>
          <w:sz w:val="32"/>
          <w:szCs w:val="32"/>
          <w:highlight w:val="none"/>
          <w:lang w:val="en-US" w:eastAsia="zh-CN"/>
        </w:rPr>
        <w:t>四</w:t>
      </w:r>
      <w:r>
        <w:rPr>
          <w:rFonts w:hint="eastAsia" w:ascii="黑体" w:hAnsi="黑体" w:eastAsia="黑体" w:cs="黑体"/>
          <w:b w:val="0"/>
          <w:bCs/>
          <w:sz w:val="32"/>
          <w:szCs w:val="32"/>
          <w:highlight w:val="none"/>
        </w:rPr>
        <w:t>、主要绩效</w:t>
      </w:r>
      <w:bookmarkEnd w:id="121"/>
      <w:bookmarkEnd w:id="122"/>
      <w:bookmarkEnd w:id="123"/>
      <w:bookmarkEnd w:id="124"/>
      <w:bookmarkEnd w:id="125"/>
      <w:bookmarkEnd w:id="126"/>
      <w:bookmarkEnd w:id="127"/>
      <w:bookmarkEnd w:id="128"/>
      <w:bookmarkEnd w:id="129"/>
      <w:bookmarkEnd w:id="130"/>
      <w:bookmarkEnd w:id="131"/>
      <w:bookmarkEnd w:id="132"/>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楷体_GB2312" w:hAnsi="楷体_GB2312" w:eastAsia="楷体_GB2312" w:cs="楷体_GB2312"/>
          <w:b w:val="0"/>
          <w:bCs/>
          <w:highlight w:val="none"/>
          <w:lang w:val="en-US" w:eastAsia="zh-CN"/>
        </w:rPr>
      </w:pPr>
      <w:bookmarkStart w:id="133" w:name="_Toc13390"/>
      <w:bookmarkStart w:id="134" w:name="_Toc15943"/>
      <w:bookmarkStart w:id="135" w:name="_Toc15530"/>
      <w:bookmarkStart w:id="136" w:name="_Toc20508"/>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一）</w:t>
      </w:r>
      <w:r>
        <w:rPr>
          <w:rFonts w:hint="eastAsia" w:ascii="楷体_GB2312" w:hAnsi="楷体_GB2312" w:eastAsia="楷体_GB2312" w:cs="楷体_GB2312"/>
          <w:b w:val="0"/>
          <w:bCs/>
          <w:highlight w:val="none"/>
        </w:rPr>
        <w:t>消防安全形势持续平稳可控</w:t>
      </w:r>
      <w:r>
        <w:rPr>
          <w:rFonts w:hint="eastAsia" w:ascii="楷体_GB2312" w:hAnsi="楷体_GB2312" w:eastAsia="楷体_GB2312" w:cs="楷体_GB2312"/>
          <w:b w:val="0"/>
          <w:bCs/>
          <w:highlight w:val="none"/>
          <w:lang w:val="en-US" w:eastAsia="zh-CN"/>
        </w:rPr>
        <w:t>。</w:t>
      </w:r>
      <w:bookmarkEnd w:id="133"/>
      <w:bookmarkEnd w:id="134"/>
      <w:bookmarkEnd w:id="135"/>
      <w:bookmarkEnd w:id="136"/>
    </w:p>
    <w:p>
      <w:pPr>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2021年市消防救援支队接警出动4975次，出动车辆10206辆次，出动人员61003人次，成功处置“2.14”火灾、“4.23”山岳救助、抗旱救灾及“11.30”槽罐车泄漏等急难险重任务，</w:t>
      </w:r>
      <w:r>
        <w:rPr>
          <w:rFonts w:hint="eastAsia" w:ascii="仿宋_GB2312" w:eastAsia="仿宋_GB2312"/>
          <w:sz w:val="32"/>
          <w:szCs w:val="32"/>
          <w:highlight w:val="none"/>
          <w:lang w:val="en-US" w:eastAsia="zh-CN"/>
        </w:rPr>
        <w:t>2021年韶关市</w:t>
      </w:r>
      <w:r>
        <w:rPr>
          <w:rFonts w:hint="eastAsia" w:ascii="仿宋_GB2312" w:hAnsi="仿宋_GB2312" w:eastAsia="仿宋_GB2312" w:cs="仿宋_GB2312"/>
          <w:sz w:val="32"/>
          <w:szCs w:val="32"/>
          <w:highlight w:val="none"/>
        </w:rPr>
        <w:t>未发生</w:t>
      </w:r>
      <w:r>
        <w:rPr>
          <w:rFonts w:hint="eastAsia" w:ascii="仿宋_GB2312" w:hAnsi="仿宋_GB2312" w:eastAsia="仿宋_GB2312" w:cs="仿宋_GB2312"/>
          <w:sz w:val="32"/>
          <w:szCs w:val="32"/>
          <w:highlight w:val="none"/>
          <w:lang w:val="en-US" w:eastAsia="zh-CN"/>
        </w:rPr>
        <w:t>较大以上</w:t>
      </w:r>
      <w:r>
        <w:rPr>
          <w:rFonts w:hint="eastAsia" w:ascii="仿宋_GB2312" w:hAnsi="仿宋_GB2312" w:eastAsia="仿宋_GB2312" w:cs="仿宋_GB2312"/>
          <w:sz w:val="32"/>
          <w:szCs w:val="32"/>
          <w:highlight w:val="none"/>
        </w:rPr>
        <w:t>火灾</w:t>
      </w:r>
      <w:r>
        <w:rPr>
          <w:rFonts w:hint="eastAsia" w:ascii="仿宋_GB2312" w:hAnsi="仿宋_GB2312" w:eastAsia="仿宋_GB2312" w:cs="仿宋_GB2312"/>
          <w:sz w:val="32"/>
          <w:szCs w:val="32"/>
          <w:highlight w:val="none"/>
          <w:lang w:val="en-US" w:eastAsia="zh-CN"/>
        </w:rPr>
        <w:t>事故，年均10万人口火灾死亡率控制在0.15内，平均火灾损失呈下降趋势。</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楷体_GB2312" w:hAnsi="楷体_GB2312" w:eastAsia="楷体_GB2312" w:cs="楷体_GB2312"/>
          <w:b w:val="0"/>
          <w:bCs/>
          <w:highlight w:val="none"/>
          <w:lang w:eastAsia="zh-CN"/>
        </w:rPr>
      </w:pPr>
      <w:bookmarkStart w:id="137" w:name="_Toc31702"/>
      <w:bookmarkStart w:id="138" w:name="_Toc26529"/>
      <w:bookmarkStart w:id="139" w:name="_Toc11414"/>
      <w:bookmarkStart w:id="140" w:name="_Toc27330"/>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二）应急救援综合实战能力得到提升</w:t>
      </w:r>
      <w:r>
        <w:rPr>
          <w:rFonts w:hint="eastAsia" w:ascii="楷体_GB2312" w:hAnsi="楷体_GB2312" w:eastAsia="楷体_GB2312" w:cs="楷体_GB2312"/>
          <w:b w:val="0"/>
          <w:bCs/>
          <w:highlight w:val="none"/>
          <w:lang w:eastAsia="zh-CN"/>
        </w:rPr>
        <w:t>。</w:t>
      </w:r>
      <w:bookmarkEnd w:id="137"/>
      <w:bookmarkEnd w:id="138"/>
      <w:bookmarkEnd w:id="139"/>
      <w:bookmarkEnd w:id="140"/>
    </w:p>
    <w:p>
      <w:pPr>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从应急</w:t>
      </w:r>
      <w:r>
        <w:rPr>
          <w:rFonts w:hint="eastAsia" w:ascii="仿宋_GB2312" w:hAnsi="仿宋_GB2312" w:eastAsia="仿宋_GB2312" w:cs="仿宋_GB2312"/>
          <w:sz w:val="32"/>
          <w:szCs w:val="32"/>
          <w:highlight w:val="none"/>
          <w:lang w:val="en-US" w:eastAsia="zh-CN"/>
        </w:rPr>
        <w:t>救援</w:t>
      </w:r>
      <w:r>
        <w:rPr>
          <w:rFonts w:hint="eastAsia" w:ascii="仿宋_GB2312" w:hAnsi="仿宋_GB2312" w:eastAsia="仿宋_GB2312" w:cs="仿宋_GB2312"/>
          <w:sz w:val="32"/>
          <w:szCs w:val="32"/>
          <w:highlight w:val="none"/>
        </w:rPr>
        <w:t>预案体系建设、实战演练、抢险救援、</w:t>
      </w:r>
      <w:r>
        <w:rPr>
          <w:rFonts w:hint="eastAsia" w:ascii="仿宋_GB2312" w:hAnsi="仿宋_GB2312" w:eastAsia="仿宋_GB2312" w:cs="仿宋_GB2312"/>
          <w:sz w:val="32"/>
          <w:szCs w:val="32"/>
          <w:highlight w:val="none"/>
          <w:lang w:val="en-US" w:eastAsia="zh-CN"/>
        </w:rPr>
        <w:t>救援力量</w:t>
      </w:r>
      <w:r>
        <w:rPr>
          <w:rFonts w:hint="eastAsia" w:ascii="仿宋_GB2312" w:hAnsi="仿宋_GB2312" w:eastAsia="仿宋_GB2312" w:cs="仿宋_GB2312"/>
          <w:sz w:val="32"/>
          <w:szCs w:val="32"/>
          <w:highlight w:val="none"/>
        </w:rPr>
        <w:t>和装备物资</w:t>
      </w:r>
      <w:r>
        <w:rPr>
          <w:rFonts w:hint="eastAsia" w:ascii="仿宋_GB2312" w:hAnsi="仿宋_GB2312" w:eastAsia="仿宋_GB2312" w:cs="仿宋_GB2312"/>
          <w:sz w:val="32"/>
          <w:szCs w:val="32"/>
          <w:highlight w:val="none"/>
          <w:lang w:val="en-US" w:eastAsia="zh-CN"/>
        </w:rPr>
        <w:t>保障</w:t>
      </w:r>
      <w:r>
        <w:rPr>
          <w:rFonts w:hint="eastAsia" w:ascii="仿宋_GB2312" w:hAnsi="仿宋_GB2312" w:eastAsia="仿宋_GB2312" w:cs="仿宋_GB2312"/>
          <w:sz w:val="32"/>
          <w:szCs w:val="32"/>
          <w:highlight w:val="none"/>
        </w:rPr>
        <w:t>等五个方面入手，全面提升应急救援综合实战能力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应急预案体系不断健全完善。出台突发火灾事故应急救援预案，</w:t>
      </w:r>
      <w:r>
        <w:rPr>
          <w:rFonts w:hint="eastAsia" w:ascii="仿宋_GB2312" w:hAnsi="仿宋_GB2312" w:eastAsia="仿宋_GB2312" w:cs="仿宋_GB2312"/>
          <w:sz w:val="32"/>
          <w:szCs w:val="32"/>
          <w:highlight w:val="none"/>
          <w:lang w:val="en-US" w:eastAsia="zh-CN"/>
        </w:rPr>
        <w:t>编修典型灾害事故预案18份。</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应急救援实战演练扎实开展。</w:t>
      </w:r>
      <w:r>
        <w:rPr>
          <w:rFonts w:hint="eastAsia" w:ascii="仿宋_GB2312" w:hAnsi="仿宋_GB2312" w:eastAsia="仿宋_GB2312" w:cs="仿宋_GB2312"/>
          <w:b w:val="0"/>
          <w:bCs w:val="0"/>
          <w:sz w:val="32"/>
          <w:szCs w:val="32"/>
          <w:highlight w:val="none"/>
        </w:rPr>
        <w:t>举行支队级“全链条、全要素、全过程”大型综合实战演练12次（山岳高空、城市综合体、景区</w:t>
      </w:r>
      <w:r>
        <w:rPr>
          <w:rFonts w:hint="eastAsia" w:ascii="仿宋_GB2312" w:hAnsi="仿宋_GB2312" w:eastAsia="仿宋_GB2312" w:cs="仿宋_GB2312"/>
          <w:bCs/>
          <w:sz w:val="32"/>
          <w:szCs w:val="32"/>
          <w:highlight w:val="none"/>
        </w:rPr>
        <w:t>民宿、危化、水域、地震、森林等）</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提升队伍综合打赢能力。</w:t>
      </w:r>
      <w:r>
        <w:rPr>
          <w:rFonts w:hint="eastAsia" w:ascii="仿宋_GB2312" w:hAnsi="仿宋_GB2312" w:eastAsia="仿宋_GB2312" w:cs="仿宋_GB2312"/>
          <w:b/>
          <w:bCs w:val="0"/>
          <w:sz w:val="32"/>
          <w:szCs w:val="32"/>
          <w:highlight w:val="none"/>
          <w:lang w:val="en-US" w:eastAsia="zh-CN"/>
        </w:rPr>
        <w:t>三是</w:t>
      </w:r>
      <w:r>
        <w:rPr>
          <w:rFonts w:hint="eastAsia" w:ascii="仿宋_GB2312" w:hAnsi="仿宋_GB2312" w:eastAsia="仿宋_GB2312" w:cs="仿宋_GB2312"/>
          <w:b w:val="0"/>
          <w:bCs/>
          <w:sz w:val="32"/>
          <w:szCs w:val="32"/>
          <w:highlight w:val="none"/>
          <w:lang w:val="en-US" w:eastAsia="zh-CN"/>
        </w:rPr>
        <w:t>指挥完成抢险救援任务。指挥完成抗旱救灾、“5.19”抗洪抢险、“1</w:t>
      </w:r>
      <w:r>
        <w:rPr>
          <w:rFonts w:hint="eastAsia" w:ascii="仿宋_GB2312" w:hAnsi="仿宋_GB2312" w:eastAsia="仿宋_GB2312" w:cs="仿宋_GB2312"/>
          <w:bCs/>
          <w:sz w:val="32"/>
          <w:szCs w:val="32"/>
          <w:highlight w:val="none"/>
          <w:lang w:val="en-US" w:eastAsia="zh-CN"/>
        </w:rPr>
        <w:t>1.30”槽罐车泄漏等一系列“急难险重”任务。</w:t>
      </w:r>
      <w:r>
        <w:rPr>
          <w:rFonts w:hint="eastAsia" w:ascii="仿宋_GB2312" w:hAnsi="仿宋_GB2312" w:eastAsia="仿宋_GB2312" w:cs="仿宋_GB2312"/>
          <w:b/>
          <w:bCs w:val="0"/>
          <w:sz w:val="32"/>
          <w:szCs w:val="32"/>
          <w:highlight w:val="none"/>
          <w:lang w:val="en-US" w:eastAsia="zh-CN"/>
        </w:rPr>
        <w:t>四是</w:t>
      </w:r>
      <w:r>
        <w:rPr>
          <w:rFonts w:hint="eastAsia" w:eastAsia="仿宋_GB2312"/>
          <w:b w:val="0"/>
          <w:bCs/>
          <w:sz w:val="32"/>
          <w:szCs w:val="32"/>
          <w:highlight w:val="none"/>
        </w:rPr>
        <w:t>构建救援力量新体系</w:t>
      </w:r>
      <w:r>
        <w:rPr>
          <w:rFonts w:hint="eastAsia" w:eastAsia="仿宋_GB2312"/>
          <w:b w:val="0"/>
          <w:bCs/>
          <w:sz w:val="32"/>
          <w:szCs w:val="32"/>
          <w:highlight w:val="none"/>
          <w:lang w:eastAsia="zh-CN"/>
        </w:rPr>
        <w:t>。</w:t>
      </w:r>
      <w:r>
        <w:rPr>
          <w:rFonts w:hint="eastAsia" w:ascii="仿宋_GB2312" w:hAnsi="仿宋_GB2312" w:eastAsia="仿宋_GB2312" w:cs="仿宋_GB2312"/>
          <w:sz w:val="32"/>
          <w:szCs w:val="32"/>
          <w:highlight w:val="none"/>
        </w:rPr>
        <w:t>率先成立山岳救援研训基地</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高速公路消防救援站，形成作战编成，打造山岳救援、雨雪冰冻灾害救援2支特色专业队，150名指战员获国际国内专业资质认证。</w:t>
      </w:r>
      <w:r>
        <w:rPr>
          <w:rFonts w:hint="eastAsia" w:ascii="仿宋_GB2312" w:hAnsi="仿宋_GB2312" w:eastAsia="仿宋_GB2312" w:cs="仿宋_GB2312"/>
          <w:b/>
          <w:bCs/>
          <w:sz w:val="32"/>
          <w:szCs w:val="32"/>
          <w:highlight w:val="none"/>
          <w:lang w:val="en-US" w:eastAsia="zh-CN"/>
        </w:rPr>
        <w:t>五是</w:t>
      </w:r>
      <w:r>
        <w:rPr>
          <w:rFonts w:hint="eastAsia" w:ascii="仿宋_GB2312" w:hAnsi="仿宋_GB2312" w:eastAsia="仿宋_GB2312" w:cs="仿宋_GB2312"/>
          <w:b w:val="0"/>
          <w:bCs w:val="0"/>
          <w:sz w:val="32"/>
          <w:szCs w:val="32"/>
          <w:highlight w:val="none"/>
          <w:lang w:val="en-US" w:eastAsia="zh-CN"/>
        </w:rPr>
        <w:t>完善物资保障建设新体系。</w:t>
      </w:r>
      <w:r>
        <w:rPr>
          <w:rFonts w:hint="eastAsia" w:ascii="仿宋_GB2312" w:hAnsi="仿宋_GB2312" w:eastAsia="仿宋_GB2312" w:cs="仿宋_GB2312"/>
          <w:sz w:val="32"/>
          <w:szCs w:val="32"/>
          <w:highlight w:val="none"/>
          <w:lang w:val="en-US" w:eastAsia="zh-CN"/>
        </w:rPr>
        <w:t>依托沐溪大道消防救援站，建成1个战勤保障消防救援站并实体化运行，现有保障人员21人，各类清洗、消毒充气设备7套，功能机器人9台，各类灭火剂共103.3吨。</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default" w:ascii="楷体_GB2312" w:hAnsi="楷体_GB2312" w:eastAsia="楷体_GB2312" w:cs="楷体_GB2312"/>
          <w:b w:val="0"/>
          <w:bCs/>
          <w:highlight w:val="none"/>
          <w:lang w:val="en-US" w:eastAsia="zh-CN"/>
        </w:rPr>
      </w:pPr>
      <w:bookmarkStart w:id="141" w:name="_Toc10520"/>
      <w:bookmarkStart w:id="142" w:name="_Toc10566"/>
      <w:bookmarkStart w:id="143" w:name="_Toc26518"/>
      <w:bookmarkStart w:id="144" w:name="_Toc27367"/>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三）消防宣传教育工作初显成效。</w:t>
      </w:r>
      <w:bookmarkEnd w:id="141"/>
      <w:bookmarkEnd w:id="142"/>
      <w:bookmarkEnd w:id="143"/>
      <w:bookmarkEnd w:id="144"/>
    </w:p>
    <w:p>
      <w:pPr>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市消防救援支队采取多项举措拓展消防宣教覆盖面和影响力，提高居民消防意识。</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rPr>
        <w:t>注重线上宣传，开发便民消防培训预约平台</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通过线上消防安全学</w:t>
      </w:r>
      <w:r>
        <w:rPr>
          <w:rFonts w:hint="eastAsia" w:ascii="仿宋_GB2312" w:hAnsi="仿宋_GB2312" w:eastAsia="仿宋_GB2312" w:cs="仿宋_GB2312"/>
          <w:sz w:val="32"/>
          <w:szCs w:val="32"/>
          <w:highlight w:val="none"/>
        </w:rPr>
        <w:t>习云平台注册学习超14万人，开展线上直播13场累计观看超55万人次，发展消防志愿者2.2万人。</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rPr>
        <w:t>注重线下宣传</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围绕“一周一主题”掀起119消防宣传月线上线下全方位宣传热潮，全年开展线下消防宣传培训活动379场。</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rPr>
        <w:t>注重品牌宣传</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rPr>
        <w:t>微博稳居市排行榜第1名、省政务排行榜第8名，全媒体矩阵发布信息阅读总量超过7千万次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“韶消宣传”品牌持续擦亮，支队新媒体矩阵效应逐渐显现。</w:t>
      </w: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leftChars="0" w:firstLine="640" w:firstLineChars="200"/>
        <w:textAlignment w:val="auto"/>
        <w:rPr>
          <w:rFonts w:hint="eastAsia" w:ascii="黑体" w:hAnsi="黑体" w:eastAsia="黑体" w:cs="黑体"/>
          <w:b w:val="0"/>
          <w:bCs/>
          <w:sz w:val="32"/>
          <w:szCs w:val="32"/>
          <w:highlight w:val="none"/>
        </w:rPr>
      </w:pPr>
      <w:bookmarkStart w:id="145" w:name="_Toc6392_WPSOffice_Level2"/>
      <w:bookmarkStart w:id="146" w:name="_Toc22094"/>
      <w:bookmarkStart w:id="147" w:name="_Toc23358"/>
      <w:bookmarkStart w:id="148" w:name="_Toc11699"/>
      <w:bookmarkStart w:id="149" w:name="_Toc5695_WPSOffice_Level2"/>
      <w:bookmarkStart w:id="150" w:name="_Toc11940"/>
      <w:bookmarkStart w:id="151" w:name="_Toc9702"/>
      <w:bookmarkStart w:id="152" w:name="_Toc17688"/>
      <w:bookmarkStart w:id="153" w:name="_Toc44169681"/>
      <w:bookmarkStart w:id="154" w:name="_Toc14138"/>
      <w:bookmarkStart w:id="155" w:name="_Toc29546"/>
      <w:bookmarkStart w:id="156" w:name="_Toc4495"/>
      <w:r>
        <w:rPr>
          <w:rFonts w:hint="eastAsia" w:ascii="黑体" w:hAnsi="黑体" w:eastAsia="黑体" w:cs="黑体"/>
          <w:b w:val="0"/>
          <w:bCs/>
          <w:sz w:val="32"/>
          <w:szCs w:val="32"/>
          <w:highlight w:val="none"/>
          <w:lang w:val="en-US" w:eastAsia="zh-CN"/>
        </w:rPr>
        <w:t>五、</w:t>
      </w:r>
      <w:r>
        <w:rPr>
          <w:rFonts w:hint="eastAsia" w:ascii="黑体" w:hAnsi="黑体" w:eastAsia="黑体" w:cs="黑体"/>
          <w:b w:val="0"/>
          <w:bCs/>
          <w:sz w:val="32"/>
          <w:szCs w:val="32"/>
          <w:highlight w:val="none"/>
        </w:rPr>
        <w:t>存在问题</w:t>
      </w:r>
      <w:bookmarkEnd w:id="145"/>
      <w:bookmarkEnd w:id="146"/>
      <w:bookmarkEnd w:id="147"/>
      <w:bookmarkEnd w:id="148"/>
      <w:bookmarkEnd w:id="149"/>
      <w:bookmarkEnd w:id="150"/>
      <w:bookmarkEnd w:id="151"/>
      <w:bookmarkEnd w:id="152"/>
      <w:bookmarkEnd w:id="153"/>
      <w:bookmarkEnd w:id="154"/>
      <w:bookmarkEnd w:id="155"/>
      <w:bookmarkEnd w:id="156"/>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default" w:ascii="楷体_GB2312" w:hAnsi="楷体_GB2312" w:eastAsia="楷体_GB2312" w:cs="楷体_GB2312"/>
          <w:b w:val="0"/>
          <w:bCs/>
          <w:highlight w:val="none"/>
          <w:lang w:val="en-US" w:eastAsia="zh-CN"/>
        </w:rPr>
      </w:pPr>
      <w:bookmarkStart w:id="157" w:name="_Toc4217"/>
      <w:bookmarkStart w:id="158" w:name="_Toc20277"/>
      <w:bookmarkStart w:id="159" w:name="_Toc11411"/>
      <w:bookmarkStart w:id="160" w:name="_Toc29437"/>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一</w:t>
      </w:r>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绩效目标约束性较弱，资金使用呈现“碎片化”。</w:t>
      </w:r>
      <w:bookmarkEnd w:id="157"/>
      <w:bookmarkEnd w:id="158"/>
      <w:bookmarkEnd w:id="159"/>
      <w:bookmarkEnd w:id="160"/>
    </w:p>
    <w:p>
      <w:pPr>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整体来看，部分项目资金投向范围较宽泛，建设意图、目标约束、资金使用三者结合不够紧密，易出现资金使用出现“撒胡椒面”的局面。</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outlineLvl w:val="9"/>
        <w:rPr>
          <w:rFonts w:hint="eastAsia" w:ascii="仿宋_GB2312" w:eastAsia="仿宋_GB2312"/>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绩效目标未能结合建设任务细化分解，系统的绩效目标和刚性制度约束不足，主要体现在：</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部分项目绩效目标表述较空泛、针对性弱，未明确所需达到的目标，预期目标的实现程度无法把控。同时，未</w:t>
      </w:r>
      <w:r>
        <w:rPr>
          <w:rFonts w:hint="eastAsia" w:ascii="仿宋_GB2312" w:hAnsi="仿宋_GB2312" w:eastAsia="仿宋_GB2312" w:cs="仿宋_GB2312"/>
          <w:b w:val="0"/>
          <w:bCs w:val="0"/>
          <w:sz w:val="32"/>
          <w:szCs w:val="32"/>
          <w:highlight w:val="none"/>
        </w:rPr>
        <w:t>针对</w:t>
      </w:r>
      <w:r>
        <w:rPr>
          <w:rFonts w:hint="eastAsia" w:ascii="仿宋_GB2312" w:hAnsi="仿宋_GB2312" w:eastAsia="仿宋_GB2312" w:cs="仿宋_GB2312"/>
          <w:b w:val="0"/>
          <w:bCs w:val="0"/>
          <w:sz w:val="32"/>
          <w:szCs w:val="32"/>
          <w:highlight w:val="none"/>
          <w:lang w:val="en-US" w:eastAsia="zh-CN"/>
        </w:rPr>
        <w:t>市消防救援支队</w:t>
      </w:r>
      <w:r>
        <w:rPr>
          <w:rFonts w:hint="eastAsia" w:ascii="仿宋_GB2312" w:hAnsi="仿宋_GB2312" w:eastAsia="仿宋_GB2312" w:cs="仿宋_GB2312"/>
          <w:b w:val="0"/>
          <w:bCs w:val="0"/>
          <w:sz w:val="32"/>
          <w:szCs w:val="32"/>
          <w:highlight w:val="none"/>
        </w:rPr>
        <w:t>实际情况制订明确的资金使用计划，支出散乱</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以</w:t>
      </w:r>
      <w:r>
        <w:rPr>
          <w:rFonts w:hint="eastAsia" w:ascii="仿宋_GB2312" w:eastAsia="仿宋_GB2312"/>
          <w:b w:val="0"/>
          <w:bCs w:val="0"/>
          <w:sz w:val="32"/>
          <w:szCs w:val="32"/>
          <w:highlight w:val="none"/>
          <w:lang w:val="en-US" w:eastAsia="zh-CN"/>
        </w:rPr>
        <w:t>正规化建设经费项目为例，绩效总目标设置为“完成正规化建设工作”，未明确具体工作内容及所需达到的效果；绩效指标中也仅设置反映基本质量要求的指标“完成正规化建设经费保障工作”、“质量合格率”、“预算收入完成率”等反映项目基本质量要求的指标，项目绩效目标指导性不强，</w:t>
      </w:r>
      <w:r>
        <w:rPr>
          <w:rFonts w:hint="eastAsia" w:ascii="仿宋_GB2312" w:hAnsi="仿宋_GB2312" w:eastAsia="仿宋_GB2312" w:cs="仿宋_GB2312"/>
          <w:b w:val="0"/>
          <w:bCs w:val="0"/>
          <w:sz w:val="32"/>
          <w:szCs w:val="32"/>
          <w:highlight w:val="none"/>
        </w:rPr>
        <w:t>支出散乱</w:t>
      </w:r>
      <w:r>
        <w:rPr>
          <w:rFonts w:hint="eastAsia" w:ascii="仿宋_GB2312" w:hAnsi="仿宋_GB2312" w:eastAsia="仿宋_GB2312" w:cs="仿宋_GB2312"/>
          <w:b w:val="0"/>
          <w:bCs w:val="0"/>
          <w:sz w:val="32"/>
          <w:szCs w:val="32"/>
          <w:highlight w:val="none"/>
          <w:lang w:eastAsia="zh-CN"/>
        </w:rPr>
        <w:t>，</w:t>
      </w:r>
      <w:r>
        <w:rPr>
          <w:rFonts w:hint="eastAsia" w:ascii="仿宋_GB2312" w:eastAsia="仿宋_GB2312"/>
          <w:b w:val="0"/>
          <w:bCs w:val="0"/>
          <w:sz w:val="32"/>
          <w:szCs w:val="32"/>
          <w:highlight w:val="none"/>
          <w:lang w:val="en-US" w:eastAsia="zh-CN"/>
        </w:rPr>
        <w:t>187.86万元</w:t>
      </w:r>
      <w:r>
        <w:rPr>
          <w:rFonts w:hint="eastAsia" w:ascii="仿宋_GB2312" w:hAnsi="仿宋_GB2312" w:eastAsia="仿宋_GB2312" w:cs="仿宋_GB2312"/>
          <w:b w:val="0"/>
          <w:bCs w:val="0"/>
          <w:sz w:val="32"/>
          <w:szCs w:val="32"/>
          <w:highlight w:val="none"/>
          <w:lang w:val="en-US" w:eastAsia="zh-CN"/>
        </w:rPr>
        <w:t>正规化建设</w:t>
      </w:r>
      <w:r>
        <w:rPr>
          <w:rFonts w:hint="eastAsia" w:ascii="仿宋_GB2312" w:eastAsia="仿宋_GB2312"/>
          <w:b w:val="0"/>
          <w:bCs w:val="0"/>
          <w:sz w:val="32"/>
          <w:szCs w:val="32"/>
          <w:highlight w:val="none"/>
          <w:lang w:val="en-US" w:eastAsia="zh-CN"/>
        </w:rPr>
        <w:t>支出中包含物业服务费32.31万元，宣传活动经费30.97万元，指挥中心、谈话室改造费用26.76万元，培训费用12.64万元，审计服务费4.9万元，绿化养护费2.49万元，空调拆装、清洗费1.77万元等</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是</w:t>
      </w:r>
      <w:r>
        <w:rPr>
          <w:rFonts w:hint="eastAsia" w:ascii="仿宋_GB2312" w:eastAsia="仿宋_GB2312"/>
          <w:b w:val="0"/>
          <w:bCs w:val="0"/>
          <w:sz w:val="32"/>
          <w:szCs w:val="32"/>
          <w:highlight w:val="none"/>
          <w:lang w:val="en-US" w:eastAsia="zh-CN"/>
        </w:rPr>
        <w:t>未制定预算绩效管理制度。据市消防救援支队反馈，目前财务管理暂行规定正在修订，将新增预算绩效管理作为章节内容。</w:t>
      </w:r>
      <w:r>
        <w:rPr>
          <w:rFonts w:hint="eastAsia" w:ascii="仿宋_GB2312" w:hAnsi="仿宋_GB2312" w:eastAsia="仿宋_GB2312" w:cs="仿宋_GB2312"/>
          <w:b/>
          <w:bCs/>
          <w:sz w:val="32"/>
          <w:szCs w:val="32"/>
          <w:highlight w:val="none"/>
          <w:lang w:val="en-US" w:eastAsia="zh-CN"/>
        </w:rPr>
        <w:t>三是</w:t>
      </w:r>
      <w:r>
        <w:rPr>
          <w:rFonts w:hint="eastAsia" w:ascii="仿宋_GB2312" w:eastAsia="仿宋_GB2312"/>
          <w:sz w:val="32"/>
          <w:szCs w:val="32"/>
          <w:highlight w:val="none"/>
        </w:rPr>
        <w:t>绩效监控时点不符合《中央绩效监控管理暂行办法》时点要求。市消防救援支队所提供的绩效监控报告对各项目的监控时点为2021年底，不符合《中央绩效监控管理暂行办法》“每年8月开展”要求，不利于及时掌握项目实施情况及存在的问题</w:t>
      </w:r>
      <w:r>
        <w:rPr>
          <w:rFonts w:hint="eastAsia" w:ascii="仿宋_GB2312" w:eastAsia="仿宋_GB2312"/>
          <w:sz w:val="32"/>
          <w:szCs w:val="32"/>
          <w:highlight w:val="none"/>
          <w:lang w:eastAsia="zh-CN"/>
        </w:rPr>
        <w:t>。</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楷体_GB2312" w:hAnsi="楷体_GB2312" w:eastAsia="楷体_GB2312" w:cs="楷体_GB2312"/>
          <w:b w:val="0"/>
          <w:bCs/>
          <w:highlight w:val="none"/>
          <w:lang w:val="en-US" w:eastAsia="zh-CN"/>
        </w:rPr>
      </w:pPr>
      <w:bookmarkStart w:id="161" w:name="_Toc9092"/>
      <w:bookmarkStart w:id="162" w:name="_Toc1440"/>
      <w:bookmarkStart w:id="163" w:name="_Toc13305"/>
      <w:bookmarkStart w:id="164" w:name="_Toc5856"/>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二）消防安全隐患较为突出，社会安全治理任务艰巨。</w:t>
      </w:r>
      <w:bookmarkEnd w:id="161"/>
      <w:bookmarkEnd w:id="162"/>
      <w:bookmarkEnd w:id="163"/>
      <w:bookmarkEnd w:id="164"/>
    </w:p>
    <w:p>
      <w:pPr>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eastAsia"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整体上看，2021年韶关市未发生较大及以上火灾，全市火灾形势基本稳定，但火灾起数和直接财产损失增长较快。</w:t>
      </w:r>
      <w:r>
        <w:rPr>
          <w:rFonts w:hint="eastAsia" w:ascii="仿宋_GB2312" w:hAnsi="仿宋_GB2312" w:eastAsia="仿宋_GB2312" w:cs="仿宋_GB2312"/>
          <w:b/>
          <w:bCs/>
          <w:sz w:val="32"/>
          <w:szCs w:val="32"/>
          <w:highlight w:val="none"/>
          <w:lang w:val="en-US" w:eastAsia="zh-CN"/>
        </w:rPr>
        <w:t>一是</w:t>
      </w:r>
      <w:r>
        <w:rPr>
          <w:rFonts w:hint="eastAsia" w:ascii="仿宋_GB2312" w:eastAsia="仿宋_GB2312"/>
          <w:b w:val="0"/>
          <w:bCs w:val="0"/>
          <w:sz w:val="32"/>
          <w:szCs w:val="32"/>
          <w:highlight w:val="none"/>
          <w:lang w:val="en-US" w:eastAsia="zh-CN"/>
        </w:rPr>
        <w:t>在火灾起数方面，韶关市2021年火灾起数增长速度较快。从纵向分析，2020、2021年韶关市火灾起数分别为820起和1902起，增长率达131.95%；横向分析来看，在粤北地区中，2021年韶关火灾增长率也较快。粤北地区五个地市火灾增长率中位数为河源2021年火灾起数增长率28.90%，而韶关市2021年火灾增长率为131.95%。</w:t>
      </w:r>
      <w:r>
        <w:rPr>
          <w:rFonts w:hint="eastAsia" w:ascii="仿宋_GB2312" w:hAnsi="仿宋_GB2312" w:eastAsia="仿宋_GB2312" w:cs="仿宋_GB2312"/>
          <w:b/>
          <w:bCs/>
          <w:sz w:val="32"/>
          <w:szCs w:val="32"/>
          <w:highlight w:val="none"/>
          <w:lang w:val="en-US" w:eastAsia="zh-CN"/>
        </w:rPr>
        <w:t>二是</w:t>
      </w:r>
      <w:r>
        <w:rPr>
          <w:rFonts w:hint="eastAsia" w:ascii="仿宋_GB2312" w:eastAsia="仿宋_GB2312"/>
          <w:b w:val="0"/>
          <w:bCs w:val="0"/>
          <w:sz w:val="32"/>
          <w:szCs w:val="32"/>
          <w:highlight w:val="none"/>
          <w:lang w:val="en-US" w:eastAsia="zh-CN"/>
        </w:rPr>
        <w:t>直接财产损失增长较快。2018-2020年韶关市直接财产损失最低值</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lang w:val="en-US" w:eastAsia="zh-CN"/>
        </w:rPr>
        <w:t>2019年）为589.49万元，中位数</w:t>
      </w:r>
      <w:r>
        <w:rPr>
          <w:rStyle w:val="21"/>
          <w:rFonts w:hint="eastAsia" w:ascii="仿宋_GB2312" w:eastAsia="仿宋_GB2312"/>
          <w:b w:val="0"/>
          <w:bCs w:val="0"/>
          <w:sz w:val="32"/>
          <w:szCs w:val="32"/>
          <w:highlight w:val="none"/>
        </w:rPr>
        <w:footnoteReference w:id="4"/>
      </w:r>
      <w:r>
        <w:rPr>
          <w:rFonts w:hint="eastAsia" w:ascii="仿宋_GB2312" w:eastAsia="仿宋_GB2312"/>
          <w:b w:val="0"/>
          <w:bCs w:val="0"/>
          <w:sz w:val="32"/>
          <w:szCs w:val="32"/>
          <w:highlight w:val="none"/>
          <w:lang w:val="en-US" w:eastAsia="zh-CN"/>
        </w:rPr>
        <w:t>为973.79万元，2021年直接财产损失增长至1,676.10万元，增长率分别为186.33%和72.12%。</w:t>
      </w:r>
    </w:p>
    <w:p>
      <w:pPr>
        <w:keepNext w:val="0"/>
        <w:keepLines w:val="0"/>
        <w:pageBreakBefore w:val="0"/>
        <w:widowControl w:val="0"/>
        <w:kinsoku w:val="0"/>
        <w:wordWrap/>
        <w:overflowPunct w:val="0"/>
        <w:topLinePunct w:val="0"/>
        <w:autoSpaceDE w:val="0"/>
        <w:autoSpaceDN w:val="0"/>
        <w:bidi w:val="0"/>
        <w:adjustRightInd/>
        <w:snapToGrid/>
        <w:spacing w:before="0" w:beforeLines="0"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进一步分析火灾起数和直接财产损失增长较快的原因，主要有以下几点：</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公众消防安全素质整体不高。2021年因居民生活用火不慎造成的火灾事故共950起，占全年火灾总数的50.1%。说明民众消防安全意识仍淡薄。</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宣传教育覆盖面不全面，家庭消防宣传仍存在薄弱环节。2021年韶关市家庭消防宣传覆盖约85万人，仅占全市家庭户人口30%左右，说明家庭消防宣传覆盖面不够全面。</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公共消防设施建设依旧薄弱。韶关市作为老牌重点工业城市，老旧企业多，因经济效益等原因，消防安全投入不足，设施老旧、电器线路老化、管理不善等问题突出。</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b w:val="0"/>
          <w:bCs w:val="0"/>
          <w:sz w:val="32"/>
          <w:szCs w:val="32"/>
          <w:highlight w:val="none"/>
          <w:lang w:val="en-US" w:eastAsia="zh-CN"/>
        </w:rPr>
        <w:t>季节性火灾隐患突出。韶关地处粤北山区，冬季气候干燥，气温极低，因用火、用电、用油、</w:t>
      </w:r>
      <w:r>
        <w:rPr>
          <w:rFonts w:hint="eastAsia" w:ascii="仿宋_GB2312" w:hAnsi="仿宋_GB2312" w:eastAsia="仿宋_GB2312" w:cs="仿宋_GB2312"/>
          <w:sz w:val="32"/>
          <w:szCs w:val="32"/>
          <w:highlight w:val="none"/>
          <w:lang w:val="en-US" w:eastAsia="zh-CN"/>
        </w:rPr>
        <w:t>用气不慎导致火灾屡有发生。据统计，冬防期间火灾发生数量最多。2021年韶关市二月共发生315起，一月281起，十二月171起，占全年火灾总数40.33%。</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楷体_GB2312" w:hAnsi="楷体_GB2312" w:eastAsia="楷体_GB2312" w:cs="楷体_GB2312"/>
          <w:b w:val="0"/>
          <w:bCs/>
          <w:highlight w:val="none"/>
          <w:lang w:val="en-US" w:eastAsia="zh-CN"/>
        </w:rPr>
      </w:pPr>
      <w:bookmarkStart w:id="165" w:name="_Toc20907"/>
      <w:bookmarkStart w:id="166" w:name="_Toc22355"/>
      <w:bookmarkStart w:id="167" w:name="_Toc24552"/>
      <w:bookmarkStart w:id="168" w:name="_Toc18400"/>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三）消防队伍素质建设不足，正规化建设存在短板。</w:t>
      </w:r>
      <w:bookmarkEnd w:id="165"/>
      <w:bookmarkEnd w:id="166"/>
      <w:bookmarkEnd w:id="167"/>
      <w:bookmarkEnd w:id="168"/>
    </w:p>
    <w:p>
      <w:pPr>
        <w:pStyle w:val="22"/>
        <w:keepNext w:val="0"/>
        <w:keepLines w:val="0"/>
        <w:pageBreakBefore w:val="0"/>
        <w:widowControl w:val="0"/>
        <w:kinsoku/>
        <w:wordWrap/>
        <w:overflowPunct/>
        <w:topLinePunct w:val="0"/>
        <w:autoSpaceDE/>
        <w:autoSpaceDN/>
        <w:bidi w:val="0"/>
        <w:adjustRightInd/>
        <w:snapToGrid/>
        <w:spacing w:beforeLines="0" w:after="0"/>
        <w:ind w:firstLine="640" w:firstLineChars="200"/>
        <w:textAlignment w:val="baseline"/>
        <w:rPr>
          <w:rFonts w:hint="default" w:ascii="仿宋_GB2312" w:eastAsia="仿宋_GB2312"/>
          <w:b w:val="0"/>
          <w:bCs w:val="0"/>
          <w:sz w:val="32"/>
          <w:szCs w:val="32"/>
          <w:highlight w:val="none"/>
          <w:lang w:val="en-US" w:eastAsia="zh-CN"/>
        </w:rPr>
      </w:pPr>
      <w:r>
        <w:rPr>
          <w:rFonts w:hint="eastAsia" w:ascii="仿宋_GB2312" w:eastAsia="仿宋_GB2312"/>
          <w:b w:val="0"/>
          <w:bCs w:val="0"/>
          <w:sz w:val="32"/>
          <w:szCs w:val="32"/>
          <w:highlight w:val="none"/>
          <w:lang w:val="en-US" w:eastAsia="zh-CN"/>
        </w:rPr>
        <w:t>目前消防队伍建设在考评优秀率、正规化建设方面暴露出一些问题，影响和制约了消防队伍的发展。</w:t>
      </w:r>
      <w:r>
        <w:rPr>
          <w:rFonts w:hint="eastAsia" w:ascii="仿宋_GB2312" w:hAnsi="仿宋_GB2312" w:eastAsia="仿宋_GB2312" w:cs="仿宋_GB2312"/>
          <w:b/>
          <w:bCs/>
          <w:sz w:val="32"/>
          <w:szCs w:val="32"/>
          <w:highlight w:val="none"/>
          <w:lang w:val="en-US" w:eastAsia="zh-CN"/>
        </w:rPr>
        <w:t>一是</w:t>
      </w:r>
      <w:r>
        <w:rPr>
          <w:rFonts w:hint="eastAsia" w:ascii="仿宋_GB2312" w:eastAsia="仿宋_GB2312"/>
          <w:b w:val="0"/>
          <w:bCs w:val="0"/>
          <w:sz w:val="32"/>
          <w:szCs w:val="32"/>
          <w:highlight w:val="none"/>
          <w:lang w:val="en-US" w:eastAsia="zh-CN"/>
        </w:rPr>
        <w:t>年度考评中</w:t>
      </w:r>
      <w:r>
        <w:rPr>
          <w:rFonts w:hint="default" w:ascii="仿宋_GB2312" w:eastAsia="仿宋_GB2312"/>
          <w:b w:val="0"/>
          <w:bCs w:val="0"/>
          <w:sz w:val="32"/>
          <w:szCs w:val="32"/>
          <w:highlight w:val="none"/>
          <w:lang w:val="en-US" w:eastAsia="zh-CN"/>
        </w:rPr>
        <w:t>消防员优秀率与上年相比有所下降。2021年220名消防员中193名消防员考核优秀，2名消防员考核良好，优秀率达87.73%，稍低于2020年优秀率88.70%。</w:t>
      </w:r>
    </w:p>
    <w:p>
      <w:pPr>
        <w:keepNext w:val="0"/>
        <w:keepLines w:val="0"/>
        <w:pageBreakBefore w:val="0"/>
        <w:widowControl w:val="0"/>
        <w:kinsoku/>
        <w:wordWrap/>
        <w:overflowPunct/>
        <w:topLinePunct w:val="0"/>
        <w:autoSpaceDE/>
        <w:autoSpaceDN/>
        <w:bidi w:val="0"/>
        <w:adjustRightInd/>
        <w:snapToGrid/>
        <w:spacing w:beforeLines="0"/>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正规化建设仍存在短板，影响综合性消防救援的全面高质量发展。202</w:t>
      </w:r>
      <w:r>
        <w:rPr>
          <w:rFonts w:hint="eastAsia" w:ascii="仿宋_GB2312" w:hAnsi="仿宋_GB2312" w:eastAsia="仿宋_GB2312" w:cs="仿宋_GB2312"/>
          <w:sz w:val="32"/>
          <w:szCs w:val="32"/>
          <w:highlight w:val="none"/>
          <w:lang w:val="en-US" w:eastAsia="zh-CN"/>
        </w:rPr>
        <w:t>1年市消防救援支队的正规化建设推进中取得了一些成果，但距离广东省消防救援总队党委的要求还有差距，重硬件轻软件、重建设轻管理、重基层轻机关、重进度轻质量、重突击轻经常“五大错误倾向”依然不容忽视，在制度运行、工作规范、亮点打造等“软件”建设方面的工作成效还需要进一步加强。如南雄大队有工业园消防救援站的新建营房，硬件基础比较好，但是在后续的功能建设中投入不够，实际效能发挥有限；曲江、乐昌、乳源大队在正规化建设工作任务实施过程中，创造性和主动性还是有所欠缺，整体抓建成效还不突出；武江大队虽然新建营房还未完工，但是在工作的全面规范方面探索较少，“软件”建设成果不够明显。上述内容均对综合性消防救援的全面高质量发展造成影响，不利于持续提升战斗力。</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楷体_GB2312" w:hAnsi="楷体_GB2312" w:eastAsia="楷体_GB2312" w:cs="楷体_GB2312"/>
          <w:b w:val="0"/>
          <w:bCs/>
          <w:highlight w:val="none"/>
          <w:lang w:eastAsia="zh-CN"/>
        </w:rPr>
      </w:pPr>
      <w:bookmarkStart w:id="169" w:name="_Toc27886"/>
      <w:bookmarkStart w:id="170" w:name="_Toc16307"/>
      <w:bookmarkStart w:id="171" w:name="_Toc17174"/>
      <w:bookmarkStart w:id="172" w:name="_Toc27426"/>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四</w:t>
      </w:r>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监管制度不够健全，资产管理存在漏洞</w:t>
      </w:r>
      <w:r>
        <w:rPr>
          <w:rFonts w:hint="eastAsia" w:ascii="楷体_GB2312" w:hAnsi="楷体_GB2312" w:eastAsia="楷体_GB2312" w:cs="楷体_GB2312"/>
          <w:b w:val="0"/>
          <w:bCs/>
          <w:highlight w:val="none"/>
          <w:lang w:eastAsia="zh-CN"/>
        </w:rPr>
        <w:t>。</w:t>
      </w:r>
      <w:bookmarkEnd w:id="169"/>
      <w:bookmarkEnd w:id="170"/>
      <w:bookmarkEnd w:id="171"/>
      <w:bookmarkEnd w:id="172"/>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固定资产内部管理及外部监督制度不健全，未针对固定资产管理的特点制定相应的规章制度，未建立固定资产购置、保管、使用、维护、调拨、报废和盘存、责任处罚等相关制度，资产管理责任不明确，资产管理不规范的问题普遍存在。主要体现在：</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由于人员的配置原因以及部门之间的分工原因等原因，单位未定期对资产进行盘点，资产家底不清。</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资产清查中发现资产损失（盘亏及报废）140.37万元。</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sz w:val="32"/>
          <w:szCs w:val="32"/>
          <w:highlight w:val="none"/>
          <w:lang w:val="en-US" w:eastAsia="zh-CN"/>
        </w:rPr>
        <w:t>已投入使用的固定资产，仍在“在建工程”核算，存在“在建工程未转固”情形，涉及资金10,774.24万元，包括公寓楼4,094.06万元、区域模拟训练设施2,500万元和韶关消防新指挥中心及消防站3,029.56万元等。</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sz w:val="32"/>
          <w:szCs w:val="32"/>
          <w:highlight w:val="none"/>
          <w:lang w:val="en-US" w:eastAsia="zh-CN"/>
        </w:rPr>
        <w:t>资产配置不合理。部分科室计算机、打印机等超标准、超数量配置。</w:t>
      </w:r>
      <w:r>
        <w:rPr>
          <w:rFonts w:hint="eastAsia" w:ascii="仿宋_GB2312" w:hAnsi="仿宋_GB2312" w:eastAsia="仿宋_GB2312" w:cs="仿宋_GB2312"/>
          <w:b/>
          <w:bCs/>
          <w:sz w:val="32"/>
          <w:szCs w:val="32"/>
          <w:highlight w:val="none"/>
          <w:lang w:val="en-US" w:eastAsia="zh-CN"/>
        </w:rPr>
        <w:t>五是</w:t>
      </w:r>
      <w:r>
        <w:rPr>
          <w:rFonts w:hint="eastAsia" w:ascii="仿宋_GB2312" w:hAnsi="仿宋_GB2312" w:eastAsia="仿宋_GB2312" w:cs="仿宋_GB2312"/>
          <w:sz w:val="32"/>
          <w:szCs w:val="32"/>
          <w:highlight w:val="none"/>
          <w:lang w:val="en-US" w:eastAsia="zh-CN"/>
        </w:rPr>
        <w:t>固定资产增减变化不严格履行规定程序。固定资产毁损、报废、调拨、变卖、转让时，未按规定及时履行审批手续，存在随意核销、处置的现象。</w:t>
      </w:r>
      <w:r>
        <w:rPr>
          <w:rFonts w:hint="eastAsia" w:ascii="仿宋_GB2312" w:hAnsi="仿宋_GB2312" w:eastAsia="仿宋_GB2312" w:cs="仿宋_GB2312"/>
          <w:b/>
          <w:bCs/>
          <w:sz w:val="32"/>
          <w:szCs w:val="32"/>
          <w:highlight w:val="none"/>
          <w:lang w:val="en-US" w:eastAsia="zh-CN"/>
        </w:rPr>
        <w:t>六是</w:t>
      </w:r>
      <w:r>
        <w:rPr>
          <w:rFonts w:hint="eastAsia" w:ascii="仿宋_GB2312" w:hAnsi="仿宋_GB2312" w:eastAsia="仿宋_GB2312" w:cs="仿宋_GB2312"/>
          <w:b w:val="0"/>
          <w:bCs w:val="0"/>
          <w:sz w:val="32"/>
          <w:szCs w:val="32"/>
          <w:highlight w:val="none"/>
          <w:lang w:val="en-US" w:eastAsia="zh-CN"/>
        </w:rPr>
        <w:t>个别队站资产摆放混乱。</w:t>
      </w:r>
      <w:r>
        <w:rPr>
          <w:rFonts w:hint="eastAsia" w:ascii="仿宋_GB2312" w:hAnsi="仿宋_GB2312" w:eastAsia="仿宋_GB2312" w:cs="仿宋_GB2312"/>
          <w:sz w:val="32"/>
          <w:szCs w:val="32"/>
          <w:highlight w:val="none"/>
          <w:lang w:val="en-US" w:eastAsia="zh-CN"/>
        </w:rPr>
        <w:t>现场评价发现，由于西联特勤站仓库改造尚未完成，目前装备器材成堆摆放在训练馆（如图5-1所示），对后续资产管理、清点核算等工作带来难度，增加固定资产损失风险。</w:t>
      </w:r>
    </w:p>
    <w:p>
      <w:pPr>
        <w:pStyle w:val="2"/>
        <w:rPr>
          <w:rFonts w:hint="eastAsia" w:ascii="仿宋_GB2312" w:hAnsi="仿宋_GB2312" w:eastAsia="仿宋_GB2312" w:cs="仿宋_GB2312"/>
          <w:sz w:val="32"/>
          <w:szCs w:val="32"/>
          <w:highlight w:val="none"/>
          <w:lang w:val="en-US" w:eastAsia="zh-CN"/>
        </w:rPr>
      </w:pPr>
      <w:r>
        <w:rPr>
          <w:sz w:val="32"/>
          <w:highlight w:val="none"/>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91440</wp:posOffset>
                </wp:positionV>
                <wp:extent cx="4683760" cy="167132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4683760" cy="1671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eastAsiaTheme="minorEastAsia"/>
                                <w:lang w:eastAsia="zh-CN"/>
                              </w:rPr>
                              <w:drawing>
                                <wp:inline distT="0" distB="0" distL="114300" distR="114300">
                                  <wp:extent cx="2078990" cy="1559560"/>
                                  <wp:effectExtent l="0" t="0" r="16510" b="2540"/>
                                  <wp:docPr id="9" name="图片 9" descr="IMG_20220721_144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IMG_20220721_144821"/>
                                          <pic:cNvPicPr>
                                            <a:picLocks noChangeAspect="true"/>
                                          </pic:cNvPicPr>
                                        </pic:nvPicPr>
                                        <pic:blipFill>
                                          <a:blip r:embed="rId11"/>
                                          <a:stretch>
                                            <a:fillRect/>
                                          </a:stretch>
                                        </pic:blipFill>
                                        <pic:spPr>
                                          <a:xfrm>
                                            <a:off x="0" y="0"/>
                                            <a:ext cx="2078990" cy="1559560"/>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2067560" cy="1551305"/>
                                  <wp:effectExtent l="0" t="0" r="8890" b="10795"/>
                                  <wp:docPr id="10" name="图片 10" descr="IMG_20220721_1449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IMG_20220721_144932"/>
                                          <pic:cNvPicPr>
                                            <a:picLocks noChangeAspect="true"/>
                                          </pic:cNvPicPr>
                                        </pic:nvPicPr>
                                        <pic:blipFill>
                                          <a:blip r:embed="rId12"/>
                                          <a:stretch>
                                            <a:fillRect/>
                                          </a:stretch>
                                        </pic:blipFill>
                                        <pic:spPr>
                                          <a:xfrm>
                                            <a:off x="0" y="0"/>
                                            <a:ext cx="2067560" cy="15513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95pt;margin-top:7.2pt;height:131.6pt;width:368.8pt;z-index:251660288;mso-width-relative:page;mso-height-relative:page;" filled="f" stroked="f" coordsize="21600,21600" o:gfxdata="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&#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3a/vc2gAAAAgBAAAPAAAAAAAAAAEAIAAAADgAAABk&#10;cnMvZG93bnJldi54bWxQSwECFAAUAAAACACHTuJAI3JglCcCAAArBAAADgAAAAAAAAABACAAAAA/&#10;AQAAZHJzL2Uyb0RvYy54bWxQSwUGAAAAAAYABgBZAQAA2AUAAAAA&#10;">
                <v:fill on="f" focussize="0,0"/>
                <v:stroke on="f" weight="0.5pt"/>
                <v:imagedata o:title=""/>
                <o:lock v:ext="edit" aspectratio="f"/>
                <v:textbox>
                  <w:txbxContent>
                    <w:p>
                      <w:pPr>
                        <w:jc w:val="center"/>
                        <w:rPr>
                          <w:rFonts w:hint="eastAsia" w:eastAsiaTheme="minorEastAsia"/>
                          <w:lang w:eastAsia="zh-CN"/>
                        </w:rPr>
                      </w:pPr>
                      <w:r>
                        <w:rPr>
                          <w:rFonts w:hint="eastAsia" w:eastAsiaTheme="minorEastAsia"/>
                          <w:lang w:eastAsia="zh-CN"/>
                        </w:rPr>
                        <w:drawing>
                          <wp:inline distT="0" distB="0" distL="114300" distR="114300">
                            <wp:extent cx="2078990" cy="1559560"/>
                            <wp:effectExtent l="0" t="0" r="16510" b="2540"/>
                            <wp:docPr id="9" name="图片 9" descr="IMG_20220721_144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IMG_20220721_144821"/>
                                    <pic:cNvPicPr>
                                      <a:picLocks noChangeAspect="true"/>
                                    </pic:cNvPicPr>
                                  </pic:nvPicPr>
                                  <pic:blipFill>
                                    <a:blip r:embed="rId11"/>
                                    <a:stretch>
                                      <a:fillRect/>
                                    </a:stretch>
                                  </pic:blipFill>
                                  <pic:spPr>
                                    <a:xfrm>
                                      <a:off x="0" y="0"/>
                                      <a:ext cx="2078990" cy="1559560"/>
                                    </a:xfrm>
                                    <a:prstGeom prst="rect">
                                      <a:avLst/>
                                    </a:prstGeom>
                                  </pic:spPr>
                                </pic:pic>
                              </a:graphicData>
                            </a:graphic>
                          </wp:inline>
                        </w:drawing>
                      </w:r>
                      <w:r>
                        <w:rPr>
                          <w:rFonts w:hint="eastAsia"/>
                          <w:lang w:val="en-US" w:eastAsia="zh-CN"/>
                        </w:rPr>
                        <w:t xml:space="preserve">  </w:t>
                      </w:r>
                      <w:r>
                        <w:rPr>
                          <w:rFonts w:hint="eastAsia" w:eastAsiaTheme="minorEastAsia"/>
                          <w:lang w:eastAsia="zh-CN"/>
                        </w:rPr>
                        <w:drawing>
                          <wp:inline distT="0" distB="0" distL="114300" distR="114300">
                            <wp:extent cx="2067560" cy="1551305"/>
                            <wp:effectExtent l="0" t="0" r="8890" b="10795"/>
                            <wp:docPr id="10" name="图片 10" descr="IMG_20220721_1449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IMG_20220721_144932"/>
                                    <pic:cNvPicPr>
                                      <a:picLocks noChangeAspect="true"/>
                                    </pic:cNvPicPr>
                                  </pic:nvPicPr>
                                  <pic:blipFill>
                                    <a:blip r:embed="rId12"/>
                                    <a:stretch>
                                      <a:fillRect/>
                                    </a:stretch>
                                  </pic:blipFill>
                                  <pic:spPr>
                                    <a:xfrm>
                                      <a:off x="0" y="0"/>
                                      <a:ext cx="2067560" cy="1551305"/>
                                    </a:xfrm>
                                    <a:prstGeom prst="rect">
                                      <a:avLst/>
                                    </a:prstGeom>
                                  </pic:spPr>
                                </pic:pic>
                              </a:graphicData>
                            </a:graphic>
                          </wp:inline>
                        </w:drawing>
                      </w:r>
                    </w:p>
                  </w:txbxContent>
                </v:textbox>
              </v:shape>
            </w:pict>
          </mc:Fallback>
        </mc:AlternateContent>
      </w:r>
    </w:p>
    <w:p>
      <w:pPr>
        <w:pStyle w:val="2"/>
        <w:rPr>
          <w:rFonts w:hint="eastAsia" w:ascii="仿宋_GB2312" w:hAnsi="仿宋_GB2312" w:eastAsia="仿宋_GB2312" w:cs="仿宋_GB2312"/>
          <w:sz w:val="32"/>
          <w:szCs w:val="32"/>
          <w:highlight w:val="none"/>
          <w:lang w:val="en-US" w:eastAsia="zh-CN"/>
        </w:rPr>
      </w:pPr>
    </w:p>
    <w:p>
      <w:pPr>
        <w:pStyle w:val="2"/>
        <w:rPr>
          <w:rFonts w:hint="eastAsia" w:ascii="仿宋_GB2312" w:hAnsi="仿宋_GB2312" w:eastAsia="仿宋_GB2312" w:cs="仿宋_GB2312"/>
          <w:sz w:val="32"/>
          <w:szCs w:val="32"/>
          <w:highlight w:val="none"/>
          <w:lang w:val="en-US" w:eastAsia="zh-CN"/>
        </w:rPr>
      </w:pPr>
    </w:p>
    <w:p>
      <w:pPr>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hint="eastAsia" w:ascii="仿宋_GB2312" w:eastAsia="仿宋_GB2312"/>
          <w:sz w:val="32"/>
          <w:szCs w:val="32"/>
          <w:highlight w:val="none"/>
          <w:lang w:val="en-US" w:eastAsia="zh-CN"/>
        </w:rPr>
      </w:pPr>
      <w:bookmarkStart w:id="173" w:name="_Toc13238"/>
      <w:bookmarkStart w:id="174" w:name="_Toc11264"/>
      <w:bookmarkStart w:id="175" w:name="_Toc6815"/>
      <w:bookmarkStart w:id="176" w:name="_Toc20383"/>
    </w:p>
    <w:p>
      <w:pPr>
        <w:pStyle w:val="2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图5-1 西联特勤站装备器材摆放情况</w:t>
      </w:r>
    </w:p>
    <w:p>
      <w:pPr>
        <w:pStyle w:val="3"/>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黑体" w:hAnsi="黑体" w:eastAsia="黑体" w:cs="黑体"/>
          <w:b w:val="0"/>
          <w:bCs/>
          <w:sz w:val="32"/>
          <w:szCs w:val="32"/>
          <w:highlight w:val="none"/>
        </w:rPr>
      </w:pPr>
      <w:bookmarkStart w:id="177" w:name="_Toc10689"/>
      <w:bookmarkStart w:id="178" w:name="_Toc23382"/>
      <w:bookmarkStart w:id="179" w:name="_Toc24216_WPSOffice_Level2"/>
      <w:bookmarkStart w:id="180" w:name="_Toc32338"/>
      <w:bookmarkStart w:id="181" w:name="_Toc17377"/>
      <w:bookmarkStart w:id="182" w:name="_Toc2002"/>
      <w:bookmarkStart w:id="183" w:name="_Toc10031"/>
      <w:bookmarkStart w:id="184" w:name="_Toc13523"/>
      <w:bookmarkStart w:id="185" w:name="_Toc44169685"/>
      <w:bookmarkStart w:id="186" w:name="_Toc7209"/>
      <w:bookmarkStart w:id="187" w:name="_Toc9793_WPSOffice_Level2"/>
      <w:bookmarkStart w:id="188" w:name="_Toc18768"/>
      <w:r>
        <w:rPr>
          <w:rFonts w:hint="eastAsia" w:ascii="黑体" w:hAnsi="黑体" w:eastAsia="黑体" w:cs="黑体"/>
          <w:b w:val="0"/>
          <w:bCs/>
          <w:sz w:val="32"/>
          <w:szCs w:val="32"/>
          <w:highlight w:val="none"/>
          <w:lang w:val="en-US" w:eastAsia="zh-CN"/>
        </w:rPr>
        <w:t>六、</w:t>
      </w:r>
      <w:r>
        <w:rPr>
          <w:rFonts w:hint="eastAsia" w:ascii="黑体" w:hAnsi="黑体" w:eastAsia="黑体" w:cs="黑体"/>
          <w:b w:val="0"/>
          <w:bCs/>
          <w:sz w:val="32"/>
          <w:szCs w:val="32"/>
          <w:highlight w:val="none"/>
        </w:rPr>
        <w:t>相关建议</w:t>
      </w:r>
      <w:bookmarkEnd w:id="177"/>
      <w:bookmarkEnd w:id="178"/>
      <w:bookmarkEnd w:id="179"/>
      <w:bookmarkEnd w:id="180"/>
      <w:bookmarkEnd w:id="181"/>
      <w:bookmarkEnd w:id="182"/>
      <w:bookmarkEnd w:id="183"/>
      <w:bookmarkEnd w:id="184"/>
      <w:bookmarkEnd w:id="185"/>
      <w:bookmarkEnd w:id="186"/>
      <w:bookmarkEnd w:id="187"/>
      <w:bookmarkEnd w:id="188"/>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楷体_GB2312" w:hAnsi="楷体_GB2312" w:eastAsia="楷体_GB2312" w:cs="楷体_GB2312"/>
          <w:b w:val="0"/>
          <w:bCs/>
          <w:highlight w:val="none"/>
          <w:lang w:val="en-US" w:eastAsia="zh-CN"/>
        </w:rPr>
      </w:pPr>
      <w:bookmarkStart w:id="189" w:name="_Toc22008"/>
      <w:bookmarkStart w:id="190" w:name="_Toc25519"/>
      <w:bookmarkStart w:id="191" w:name="_Toc21259"/>
      <w:bookmarkStart w:id="192" w:name="_Toc660"/>
      <w:bookmarkStart w:id="193" w:name="_Toc26722"/>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一</w:t>
      </w:r>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明确年度任务目标，集中财力解决突出问题</w:t>
      </w:r>
      <w:bookmarkEnd w:id="189"/>
      <w:r>
        <w:rPr>
          <w:rFonts w:hint="eastAsia" w:ascii="楷体_GB2312" w:hAnsi="楷体_GB2312" w:eastAsia="楷体_GB2312" w:cs="楷体_GB2312"/>
          <w:b w:val="0"/>
          <w:bCs/>
          <w:highlight w:val="none"/>
          <w:lang w:val="en-US" w:eastAsia="zh-CN"/>
        </w:rPr>
        <w:t>。</w:t>
      </w:r>
      <w:bookmarkEnd w:id="190"/>
      <w:bookmarkEnd w:id="191"/>
      <w:bookmarkEnd w:id="192"/>
      <w:bookmarkEnd w:id="193"/>
    </w:p>
    <w:p>
      <w:pPr>
        <w:pStyle w:val="23"/>
        <w:jc w:val="both"/>
        <w:rPr>
          <w:rFonts w:hint="default" w:ascii="仿宋_GB2312" w:hAnsi="仿宋_GB2312" w:eastAsia="仿宋_GB2312" w:cs="仿宋_GB2312"/>
          <w:kern w:val="2"/>
          <w:sz w:val="32"/>
          <w:highlight w:val="none"/>
          <w:lang w:val="en-US" w:eastAsia="zh-CN"/>
        </w:rPr>
      </w:pPr>
      <w:r>
        <w:rPr>
          <w:rFonts w:hint="eastAsia" w:ascii="仿宋_GB2312" w:hAnsi="仿宋_GB2312" w:eastAsia="仿宋_GB2312" w:cs="仿宋_GB2312"/>
          <w:b/>
          <w:bCs/>
          <w:kern w:val="2"/>
          <w:sz w:val="32"/>
          <w:highlight w:val="none"/>
          <w:lang w:val="en-US" w:eastAsia="zh-CN"/>
        </w:rPr>
        <w:t>一是</w:t>
      </w:r>
      <w:r>
        <w:rPr>
          <w:rFonts w:hint="eastAsia" w:ascii="仿宋_GB2312" w:hAnsi="仿宋_GB2312" w:eastAsia="仿宋_GB2312" w:cs="仿宋_GB2312"/>
          <w:b w:val="0"/>
          <w:bCs w:val="0"/>
          <w:kern w:val="2"/>
          <w:sz w:val="32"/>
          <w:highlight w:val="none"/>
          <w:lang w:val="en-US" w:eastAsia="zh-CN"/>
        </w:rPr>
        <w:t>建议在设置绩效目标时结合建设任务明确细化年度任务，做到有目标、有进度、有考核。</w:t>
      </w:r>
      <w:r>
        <w:rPr>
          <w:rFonts w:hint="eastAsia" w:ascii="仿宋_GB2312" w:hAnsi="仿宋_GB2312" w:eastAsia="仿宋_GB2312" w:cs="仿宋_GB2312"/>
          <w:kern w:val="2"/>
          <w:sz w:val="32"/>
          <w:highlight w:val="none"/>
          <w:lang w:val="en-US" w:eastAsia="zh-CN"/>
        </w:rPr>
        <w:t>按季度制定工作计划，明确节点目标，形成工作合力，推动工作落实落细落具体，并</w:t>
      </w:r>
      <w:r>
        <w:rPr>
          <w:rFonts w:hint="eastAsia" w:ascii="仿宋_GB2312" w:hAnsi="仿宋_GB2312" w:eastAsia="仿宋_GB2312" w:cs="仿宋_GB2312"/>
          <w:sz w:val="32"/>
          <w:szCs w:val="32"/>
          <w:highlight w:val="none"/>
        </w:rPr>
        <w:t>按照各</w:t>
      </w:r>
      <w:r>
        <w:rPr>
          <w:rFonts w:hint="eastAsia" w:ascii="仿宋_GB2312" w:hAnsi="仿宋_GB2312" w:eastAsia="仿宋_GB2312" w:cs="仿宋_GB2312"/>
          <w:sz w:val="32"/>
          <w:szCs w:val="32"/>
          <w:highlight w:val="none"/>
          <w:lang w:val="en-US" w:eastAsia="zh-CN"/>
        </w:rPr>
        <w:t>科室</w:t>
      </w:r>
      <w:r>
        <w:rPr>
          <w:rFonts w:hint="eastAsia" w:ascii="仿宋_GB2312" w:hAnsi="仿宋_GB2312" w:eastAsia="仿宋_GB2312" w:cs="仿宋_GB2312"/>
          <w:sz w:val="32"/>
          <w:szCs w:val="32"/>
          <w:highlight w:val="none"/>
        </w:rPr>
        <w:t>业务工作计划合理分解本年度内部预算的各种指标，对每项业务的预算金额、标准和具体支出方向进行初步的计划，</w:t>
      </w:r>
      <w:r>
        <w:rPr>
          <w:rFonts w:hint="eastAsia" w:ascii="仿宋_GB2312" w:hAnsi="仿宋_GB2312" w:eastAsia="仿宋_GB2312" w:cs="仿宋_GB2312"/>
          <w:kern w:val="2"/>
          <w:sz w:val="32"/>
          <w:highlight w:val="none"/>
          <w:lang w:val="en-US" w:eastAsia="zh-CN"/>
        </w:rPr>
        <w:t>充分发挥资金的聚集效应，忌“大而全”、“撒胡椒面”。</w:t>
      </w:r>
      <w:r>
        <w:rPr>
          <w:rFonts w:hint="eastAsia" w:ascii="仿宋_GB2312" w:hAnsi="仿宋_GB2312" w:eastAsia="仿宋_GB2312" w:cs="仿宋_GB2312"/>
          <w:b/>
          <w:bCs/>
          <w:kern w:val="2"/>
          <w:sz w:val="32"/>
          <w:highlight w:val="none"/>
          <w:lang w:val="en-US" w:eastAsia="zh-CN"/>
        </w:rPr>
        <w:t>二是</w:t>
      </w:r>
      <w:r>
        <w:rPr>
          <w:rFonts w:hint="eastAsia" w:ascii="仿宋_GB2312" w:hAnsi="仿宋_GB2312" w:eastAsia="仿宋_GB2312" w:cs="仿宋_GB2312"/>
          <w:b w:val="0"/>
          <w:bCs w:val="0"/>
          <w:kern w:val="2"/>
          <w:sz w:val="32"/>
          <w:highlight w:val="none"/>
          <w:lang w:val="en-US" w:eastAsia="zh-CN"/>
        </w:rPr>
        <w:t>加快预算绩效管理制度修订工作。</w:t>
      </w:r>
      <w:r>
        <w:rPr>
          <w:rFonts w:hint="eastAsia" w:ascii="仿宋_GB2312" w:hAnsi="仿宋_GB2312" w:eastAsia="仿宋_GB2312" w:cs="仿宋_GB2312"/>
          <w:kern w:val="2"/>
          <w:sz w:val="32"/>
          <w:highlight w:val="none"/>
          <w:lang w:val="en-US" w:eastAsia="zh-CN"/>
        </w:rPr>
        <w:t>完善全面实施预算绩效管理后配套制度的空缺，将绩效理念和方法深度融入预算编制、执行、监督全过程，打造“事前、事中、事后”的绩效管理链条，形成“立项有评估、编制有目标、执行有监控、完成有评价、评价有反馈、反馈有应用”的绩效管理闭环系统，加快推进市消防救援支队预算绩效管理工作。</w:t>
      </w:r>
      <w:r>
        <w:rPr>
          <w:rFonts w:hint="eastAsia" w:ascii="仿宋_GB2312" w:hAnsi="仿宋_GB2312" w:eastAsia="仿宋_GB2312" w:cs="仿宋_GB2312"/>
          <w:b/>
          <w:bCs/>
          <w:kern w:val="2"/>
          <w:sz w:val="32"/>
          <w:highlight w:val="none"/>
          <w:lang w:val="en-US" w:eastAsia="zh-CN"/>
        </w:rPr>
        <w:t>三是</w:t>
      </w:r>
      <w:r>
        <w:rPr>
          <w:rFonts w:hint="eastAsia" w:ascii="仿宋_GB2312" w:eastAsia="仿宋_GB2312"/>
          <w:b w:val="0"/>
          <w:bCs w:val="0"/>
          <w:sz w:val="32"/>
          <w:szCs w:val="32"/>
          <w:highlight w:val="none"/>
        </w:rPr>
        <w:t>落实绩效跟踪监控和评价。</w:t>
      </w:r>
      <w:r>
        <w:rPr>
          <w:rFonts w:hint="eastAsia" w:ascii="仿宋_GB2312" w:eastAsia="仿宋_GB2312"/>
          <w:sz w:val="32"/>
          <w:szCs w:val="32"/>
          <w:highlight w:val="none"/>
        </w:rPr>
        <w:t>对于专项经费，要求各</w:t>
      </w:r>
      <w:r>
        <w:rPr>
          <w:rFonts w:hint="eastAsia" w:ascii="仿宋_GB2312" w:eastAsia="仿宋_GB2312"/>
          <w:sz w:val="32"/>
          <w:szCs w:val="32"/>
          <w:highlight w:val="none"/>
          <w:lang w:val="en-US" w:eastAsia="zh-CN"/>
        </w:rPr>
        <w:t>科室</w:t>
      </w:r>
      <w:r>
        <w:rPr>
          <w:rFonts w:hint="eastAsia" w:ascii="仿宋_GB2312" w:eastAsia="仿宋_GB2312"/>
          <w:sz w:val="32"/>
          <w:szCs w:val="32"/>
          <w:highlight w:val="none"/>
        </w:rPr>
        <w:t>定期上报项目进度，及时发现问题及时沟通，进一步提高项目实施单位对任务的重视程度，推进项目实施、预算资金支出、完成绩效目标</w:t>
      </w:r>
      <w:r>
        <w:rPr>
          <w:rFonts w:hint="eastAsia" w:ascii="仿宋_GB2312" w:eastAsia="仿宋_GB2312"/>
          <w:sz w:val="32"/>
          <w:szCs w:val="32"/>
          <w:highlight w:val="none"/>
          <w:lang w:val="zh-CN"/>
        </w:rPr>
        <w:t>。</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default" w:ascii="楷体_GB2312" w:hAnsi="楷体_GB2312" w:eastAsia="楷体_GB2312" w:cs="楷体_GB2312"/>
          <w:b w:val="0"/>
          <w:bCs/>
          <w:highlight w:val="none"/>
          <w:lang w:val="en-US" w:eastAsia="zh-CN"/>
        </w:rPr>
      </w:pPr>
      <w:bookmarkStart w:id="194" w:name="_Toc32478"/>
      <w:bookmarkStart w:id="195" w:name="_Toc29389"/>
      <w:bookmarkStart w:id="196" w:name="_Toc21868"/>
      <w:bookmarkStart w:id="197" w:name="_Toc29976"/>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二）多措并举，有针对性部署落实防范举措。</w:t>
      </w:r>
      <w:bookmarkEnd w:id="194"/>
      <w:bookmarkEnd w:id="195"/>
      <w:bookmarkEnd w:id="196"/>
      <w:bookmarkEnd w:id="197"/>
    </w:p>
    <w:p>
      <w:pPr>
        <w:pageBreakBefore w:val="0"/>
        <w:widowControl w:val="0"/>
        <w:kinsoku w:val="0"/>
        <w:wordWrap/>
        <w:overflowPunct w:val="0"/>
        <w:topLinePunct w:val="0"/>
        <w:autoSpaceDE w:val="0"/>
        <w:autoSpaceDN w:val="0"/>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按照政府主导、部门协同、单位负责、社会参与的原则，逐级落实监管责任，及时化解安全风险，消除安全隐患，在宣传培</w:t>
      </w:r>
      <w:bookmarkEnd w:id="173"/>
      <w:bookmarkEnd w:id="174"/>
      <w:bookmarkEnd w:id="175"/>
      <w:bookmarkEnd w:id="176"/>
      <w:bookmarkStart w:id="198" w:name="_Toc11033"/>
      <w:r>
        <w:rPr>
          <w:rFonts w:hint="eastAsia" w:ascii="仿宋_GB2312" w:hAnsi="仿宋_GB2312" w:eastAsia="仿宋_GB2312" w:cs="仿宋_GB2312"/>
          <w:b w:val="0"/>
          <w:bCs w:val="0"/>
          <w:sz w:val="32"/>
          <w:szCs w:val="32"/>
          <w:highlight w:val="none"/>
          <w:lang w:val="en-US" w:eastAsia="zh-CN"/>
        </w:rPr>
        <w:t>训、防范火灾等方面强化工作措施，深入推进消防安全责任、火灾防控、消防安全基础建设，进一步提升消防安全治理能力，有效预防和减少火灾事故发生。</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注重消防宣传实效及方法。拓展工作思路，力求“新、准、深、异、快”。结合各个时期中心工作和消防工作的实际，找准消防宣传的最佳准入点，不断出新消防宣传手段、内容、形式，以增强宣传的吸引力。在当前的消防宣传中，突出抓好消防法制建设，并以最快捷的速度将公众关心的有关消防工作的热点信息及时传播出去，以提高全社会依法治火的意识。</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加强基层基础建设，增强城乡抗御火灾能力。大力宣贯韶关市政府出台的《韶关市微型消防站管理规定》，进一步推进村居、社区、重点单位等微型消防站建设和实体运行。</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强化风险研判，有针对性部署落实防范举措，确保冬春季节消防安全。针对研判出的安全风险，针对性对工业企业、居住场所、人员密集等重点场所火灾防范工作进行部署，并加强实地检查指导，及时发现、督促整改问题，压实安全责任。</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楷体_GB2312" w:hAnsi="楷体_GB2312" w:eastAsia="楷体_GB2312" w:cs="楷体_GB2312"/>
          <w:b w:val="0"/>
          <w:bCs/>
          <w:highlight w:val="none"/>
          <w:lang w:val="en-US" w:eastAsia="zh-CN"/>
        </w:rPr>
      </w:pPr>
      <w:bookmarkStart w:id="199" w:name="_Toc3943"/>
      <w:bookmarkStart w:id="200" w:name="_Toc8386"/>
      <w:bookmarkStart w:id="201" w:name="_Toc8023"/>
      <w:bookmarkStart w:id="202" w:name="_Toc1445"/>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三）紧抓落实，细化队伍建设措施。</w:t>
      </w:r>
      <w:bookmarkEnd w:id="199"/>
      <w:bookmarkEnd w:id="200"/>
      <w:bookmarkEnd w:id="201"/>
      <w:bookmarkEnd w:id="202"/>
    </w:p>
    <w:p>
      <w:pPr>
        <w:pageBreakBefore w:val="0"/>
        <w:widowControl w:val="0"/>
        <w:kinsoku w:val="0"/>
        <w:wordWrap/>
        <w:overflowPunct w:val="0"/>
        <w:topLinePunct w:val="0"/>
        <w:autoSpaceDE w:val="0"/>
        <w:autoSpaceDN w:val="0"/>
        <w:bidi w:val="0"/>
        <w:adjustRightInd/>
        <w:snapToGrid/>
        <w:spacing w:line="360" w:lineRule="auto"/>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进一步增强指战员的身体素质，提高队伍战斗力</w:t>
      </w:r>
      <w:r>
        <w:rPr>
          <w:rFonts w:hint="eastAsia" w:ascii="仿宋_GB2312" w:hAnsi="仿宋_GB2312" w:eastAsia="仿宋_GB2312" w:cs="仿宋_GB2312"/>
          <w:sz w:val="32"/>
          <w:szCs w:val="32"/>
          <w:highlight w:val="none"/>
          <w:lang w:val="en-US" w:eastAsia="zh-CN"/>
        </w:rPr>
        <w:t>。建议创新训练手段、丰富训练内容，坚持“练为战”的思想，抓好指战员基础体能训练科目，全面提高指战员身体素质，推进全员普训、普考，确保人人过关，全力提升队伍整体战斗力。</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紧盯正规化建设任务目标，压实责任</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建议结合自身实际，严格实施周期管理、节点把控和过程评价，确保按时完成达标创建，建议市消防救援支队</w:t>
      </w:r>
      <w:r>
        <w:rPr>
          <w:rFonts w:hint="eastAsia" w:ascii="仿宋_GB2312" w:hAnsi="仿宋_GB2312" w:eastAsia="仿宋_GB2312" w:cs="仿宋_GB2312"/>
          <w:color w:val="auto"/>
          <w:sz w:val="32"/>
          <w:szCs w:val="32"/>
          <w:highlight w:val="none"/>
          <w:lang w:val="en-US" w:eastAsia="zh-CN"/>
        </w:rPr>
        <w:t>把正规化建设纳入年终考评的重要内容，制定具体、明确的考核验收细则，对贯彻落实业务领域规范化实施意见情况进行科学评估。</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textAlignment w:val="auto"/>
        <w:rPr>
          <w:rFonts w:hint="eastAsia" w:ascii="楷体_GB2312" w:hAnsi="楷体_GB2312" w:eastAsia="楷体_GB2312" w:cs="楷体_GB2312"/>
          <w:b w:val="0"/>
          <w:bCs/>
          <w:highlight w:val="none"/>
          <w:lang w:eastAsia="zh-CN"/>
        </w:rPr>
      </w:pPr>
      <w:bookmarkStart w:id="203" w:name="_Toc8277"/>
      <w:bookmarkStart w:id="204" w:name="_Toc20477"/>
      <w:bookmarkStart w:id="205" w:name="_Toc28226"/>
      <w:bookmarkStart w:id="206" w:name="_Toc5590"/>
      <w:r>
        <w:rPr>
          <w:rFonts w:hint="eastAsia" w:ascii="楷体_GB2312" w:hAnsi="楷体_GB2312" w:eastAsia="楷体_GB2312" w:cs="楷体_GB2312"/>
          <w:b w:val="0"/>
          <w:bCs/>
          <w:highlight w:val="none"/>
          <w:lang w:eastAsia="zh-CN"/>
        </w:rPr>
        <w:t>（</w:t>
      </w:r>
      <w:r>
        <w:rPr>
          <w:rFonts w:hint="eastAsia" w:ascii="楷体_GB2312" w:hAnsi="楷体_GB2312" w:eastAsia="楷体_GB2312" w:cs="楷体_GB2312"/>
          <w:b w:val="0"/>
          <w:bCs/>
          <w:highlight w:val="none"/>
          <w:lang w:val="en-US" w:eastAsia="zh-CN"/>
        </w:rPr>
        <w:t>四）</w:t>
      </w:r>
      <w:r>
        <w:rPr>
          <w:rFonts w:hint="eastAsia" w:ascii="楷体_GB2312" w:hAnsi="楷体_GB2312" w:eastAsia="楷体_GB2312" w:cs="楷体_GB2312"/>
          <w:b w:val="0"/>
          <w:bCs/>
          <w:highlight w:val="none"/>
          <w:lang w:eastAsia="zh-CN"/>
        </w:rPr>
        <w:t>健全资产管理</w:t>
      </w:r>
      <w:r>
        <w:rPr>
          <w:rFonts w:hint="eastAsia" w:ascii="楷体_GB2312" w:hAnsi="楷体_GB2312" w:eastAsia="楷体_GB2312" w:cs="楷体_GB2312"/>
          <w:b w:val="0"/>
          <w:bCs/>
          <w:highlight w:val="none"/>
          <w:lang w:val="en-US" w:eastAsia="zh-CN"/>
        </w:rPr>
        <w:t>制度</w:t>
      </w:r>
      <w:r>
        <w:rPr>
          <w:rFonts w:hint="eastAsia" w:ascii="楷体_GB2312" w:hAnsi="楷体_GB2312" w:eastAsia="楷体_GB2312" w:cs="楷体_GB2312"/>
          <w:b w:val="0"/>
          <w:bCs/>
          <w:highlight w:val="none"/>
          <w:lang w:eastAsia="zh-CN"/>
        </w:rPr>
        <w:t>，切实扎牢资产管理笼子。</w:t>
      </w:r>
      <w:bookmarkEnd w:id="203"/>
      <w:bookmarkEnd w:id="204"/>
      <w:bookmarkEnd w:id="205"/>
      <w:bookmarkEnd w:id="206"/>
    </w:p>
    <w:p>
      <w:pPr>
        <w:topLinePunct/>
        <w:spacing w:line="360" w:lineRule="auto"/>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健全资产管理制度。对固定资产购置管理、日常管理、处置管理等进行专门规定，细化流程描述，确保资产管理工作有章可循。</w:t>
      </w:r>
      <w:r>
        <w:rPr>
          <w:rFonts w:hint="eastAsia" w:ascii="仿宋_GB2312" w:hAnsi="仿宋_GB2312" w:eastAsia="仿宋_GB2312" w:cs="仿宋_GB2312"/>
          <w:b w:val="0"/>
          <w:bCs w:val="0"/>
          <w:sz w:val="32"/>
          <w:szCs w:val="32"/>
          <w:highlight w:val="none"/>
          <w:lang w:val="zh-CN"/>
        </w:rPr>
        <w:t>把资产管理置于多重监督之下，严禁弄虚作假、严禁随意变更、严禁擅自转移资产、严禁不经批准自行处置各类资产，完善资产增加、减少、调拨、移交、报废等五个环节手续</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zh-CN"/>
        </w:rPr>
        <w:t>定期组织开展资产盘点清查。</w:t>
      </w:r>
      <w:r>
        <w:rPr>
          <w:rFonts w:hint="eastAsia" w:ascii="仿宋_GB2312" w:hAnsi="仿宋_GB2312" w:eastAsia="仿宋_GB2312" w:cs="仿宋_GB2312"/>
          <w:sz w:val="32"/>
          <w:szCs w:val="32"/>
          <w:highlight w:val="none"/>
          <w:lang w:val="zh-CN"/>
        </w:rPr>
        <w:t>按照《行政事业单位资产清查核实管理办法》规定，定期组织开展资产盘点清查工作，做到账账相符、账表相符、账实相符；不定期对资产使用情况进行分析汇总，为合理配置固定资产、提高资产使用效率提供依据。</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zh-CN"/>
        </w:rPr>
        <w:t>严格控制国有资产配置事项。</w:t>
      </w:r>
      <w:r>
        <w:rPr>
          <w:rFonts w:hint="eastAsia" w:ascii="仿宋_GB2312" w:hAnsi="仿宋_GB2312" w:eastAsia="仿宋_GB2312" w:cs="仿宋_GB2312"/>
          <w:sz w:val="32"/>
          <w:szCs w:val="32"/>
          <w:highlight w:val="none"/>
          <w:lang w:val="zh-CN"/>
        </w:rPr>
        <w:t>对</w:t>
      </w:r>
      <w:r>
        <w:rPr>
          <w:rFonts w:hint="eastAsia" w:ascii="仿宋_GB2312" w:hAnsi="仿宋_GB2312" w:eastAsia="仿宋_GB2312" w:cs="仿宋_GB2312"/>
          <w:sz w:val="32"/>
          <w:szCs w:val="32"/>
          <w:highlight w:val="none"/>
          <w:lang w:val="en-US" w:eastAsia="zh-CN"/>
        </w:rPr>
        <w:t>科室</w:t>
      </w:r>
      <w:r>
        <w:rPr>
          <w:rFonts w:hint="eastAsia" w:ascii="仿宋_GB2312" w:hAnsi="仿宋_GB2312" w:eastAsia="仿宋_GB2312" w:cs="仿宋_GB2312"/>
          <w:sz w:val="32"/>
          <w:szCs w:val="32"/>
          <w:highlight w:val="none"/>
          <w:lang w:val="zh-CN"/>
        </w:rPr>
        <w:t>提出拟购置资产，</w:t>
      </w:r>
      <w:r>
        <w:rPr>
          <w:rFonts w:hint="eastAsia" w:ascii="仿宋_GB2312" w:hAnsi="仿宋_GB2312" w:eastAsia="仿宋_GB2312" w:cs="仿宋_GB2312"/>
          <w:sz w:val="32"/>
          <w:szCs w:val="32"/>
          <w:highlight w:val="none"/>
          <w:lang w:val="en-US" w:eastAsia="zh-CN"/>
        </w:rPr>
        <w:t>需</w:t>
      </w:r>
      <w:r>
        <w:rPr>
          <w:rFonts w:hint="eastAsia" w:ascii="仿宋_GB2312" w:hAnsi="仿宋_GB2312" w:eastAsia="仿宋_GB2312" w:cs="仿宋_GB2312"/>
          <w:sz w:val="32"/>
          <w:szCs w:val="32"/>
          <w:highlight w:val="none"/>
          <w:lang w:val="zh-CN"/>
        </w:rPr>
        <w:t>严格按照年度需求计划，先行编制采购预算，经审批后，按计划申请采购。有配备标准的，严格按标准进行配置，避免资产配备的盲目性，提高资产使用效率。</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b w:val="0"/>
          <w:bCs w:val="0"/>
          <w:sz w:val="32"/>
          <w:szCs w:val="32"/>
          <w:highlight w:val="none"/>
          <w:lang w:val="zh-CN"/>
        </w:rPr>
        <w:t>科学规范国有资产处置程序。</w:t>
      </w:r>
      <w:r>
        <w:rPr>
          <w:rFonts w:hint="eastAsia" w:ascii="仿宋_GB2312" w:hAnsi="仿宋_GB2312" w:eastAsia="仿宋_GB2312" w:cs="仿宋_GB2312"/>
          <w:sz w:val="32"/>
          <w:szCs w:val="32"/>
          <w:highlight w:val="none"/>
          <w:lang w:val="zh-CN"/>
        </w:rPr>
        <w:t>严格执行国有资产处置有关规定，以“核实国有资产、盘活存量资产、实现国有收益最大化”为目标，促使国有资产处置科学规范，确保国有资产保值增值。</w:t>
      </w:r>
    </w:p>
    <w:p>
      <w:pPr>
        <w:keepNext/>
        <w:keepLines/>
        <w:pageBreakBefore w:val="0"/>
        <w:widowControl w:val="0"/>
        <w:numPr>
          <w:ilvl w:val="0"/>
          <w:numId w:val="0"/>
        </w:numPr>
        <w:kinsoku/>
        <w:wordWrap/>
        <w:overflowPunct/>
        <w:topLinePunct w:val="0"/>
        <w:autoSpaceDE/>
        <w:autoSpaceDN/>
        <w:bidi w:val="0"/>
        <w:adjustRightInd/>
        <w:snapToGrid/>
        <w:spacing w:before="326" w:beforeLines="100" w:after="0" w:line="360" w:lineRule="auto"/>
        <w:ind w:left="1598" w:leftChars="304" w:hanging="960" w:hangingChars="300"/>
        <w:textAlignment w:val="auto"/>
        <w:outlineLvl w:val="9"/>
        <w:rPr>
          <w:rFonts w:hint="eastAsia" w:ascii="仿宋_GB2312" w:hAnsi="仿宋_GB2312" w:eastAsia="仿宋_GB2312" w:cs="仿宋_GB2312"/>
          <w:sz w:val="32"/>
          <w:szCs w:val="32"/>
          <w:highlight w:val="none"/>
          <w:lang w:val="en-US" w:eastAsia="zh-CN"/>
        </w:rPr>
      </w:pPr>
      <w:bookmarkStart w:id="207" w:name="_Toc28644"/>
      <w:bookmarkStart w:id="208" w:name="_Toc11323"/>
      <w:bookmarkStart w:id="209" w:name="_Toc16574"/>
      <w:r>
        <w:rPr>
          <w:rFonts w:hint="eastAsia" w:ascii="仿宋_GB2312" w:hAnsi="仿宋_GB2312" w:eastAsia="仿宋_GB2312" w:cs="仿宋_GB2312"/>
          <w:sz w:val="32"/>
          <w:szCs w:val="32"/>
          <w:highlight w:val="none"/>
        </w:rPr>
        <w:t>附件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1.韶关市消防救援支队2021年部门整体支出绩效评分表</w:t>
      </w:r>
    </w:p>
    <w:p>
      <w:pPr>
        <w:keepNext/>
        <w:keepLines/>
        <w:pageBreakBefore w:val="0"/>
        <w:widowControl w:val="0"/>
        <w:numPr>
          <w:ilvl w:val="0"/>
          <w:numId w:val="0"/>
        </w:numPr>
        <w:kinsoku/>
        <w:wordWrap/>
        <w:overflowPunct/>
        <w:topLinePunct w:val="0"/>
        <w:autoSpaceDE/>
        <w:autoSpaceDN/>
        <w:bidi w:val="0"/>
        <w:adjustRightInd/>
        <w:snapToGrid/>
        <w:spacing w:before="0" w:beforeLines="0" w:after="0" w:line="360" w:lineRule="auto"/>
        <w:ind w:firstLine="1600" w:firstLineChars="500"/>
        <w:textAlignment w:val="auto"/>
        <w:outlineLvl w:val="9"/>
        <w:rPr>
          <w:rFonts w:hint="default" w:eastAsiaTheme="minorEastAsia"/>
          <w:highlight w:val="none"/>
          <w:lang w:val="en-US" w:eastAsia="zh-CN"/>
        </w:rPr>
      </w:pPr>
      <w:r>
        <w:rPr>
          <w:rFonts w:hint="eastAsia" w:ascii="仿宋_GB2312" w:hAnsi="仿宋_GB2312" w:eastAsia="仿宋_GB2312" w:cs="仿宋_GB2312"/>
          <w:kern w:val="2"/>
          <w:sz w:val="32"/>
          <w:szCs w:val="32"/>
          <w:highlight w:val="none"/>
          <w:lang w:val="en-US" w:eastAsia="zh-CN" w:bidi="ar-SA"/>
        </w:rPr>
        <w:t>2.评价小组成员名单</w:t>
      </w:r>
    </w:p>
    <w:p>
      <w:pPr>
        <w:pStyle w:val="22"/>
        <w:rPr>
          <w:rFonts w:hint="eastAsia" w:ascii="仿宋_GB2312" w:hAnsi="仿宋_GB2312" w:eastAsia="仿宋_GB2312" w:cs="仿宋_GB2312"/>
          <w:sz w:val="32"/>
          <w:szCs w:val="32"/>
          <w:highlight w:val="none"/>
        </w:rPr>
      </w:pPr>
    </w:p>
    <w:bookmarkEnd w:id="198"/>
    <w:bookmarkEnd w:id="207"/>
    <w:bookmarkEnd w:id="208"/>
    <w:bookmarkEnd w:id="209"/>
    <w:p>
      <w:pPr>
        <w:pStyle w:val="22"/>
        <w:rPr>
          <w:rFonts w:hint="eastAsia" w:ascii="仿宋_GB2312" w:hAnsi="仿宋_GB2312" w:eastAsia="仿宋_GB2312" w:cs="仿宋_GB2312"/>
          <w:sz w:val="32"/>
          <w:szCs w:val="32"/>
          <w:highlight w:val="none"/>
          <w:lang w:val="en-US" w:eastAsia="zh-CN"/>
        </w:rPr>
        <w:sectPr>
          <w:footerReference r:id="rId7" w:type="default"/>
          <w:pgSz w:w="11906" w:h="16838"/>
          <w:pgMar w:top="1440" w:right="1417" w:bottom="1440" w:left="1531" w:header="454" w:footer="850" w:gutter="0"/>
          <w:pgBorders>
            <w:top w:val="none" w:sz="0" w:space="0"/>
            <w:left w:val="none" w:sz="0" w:space="0"/>
            <w:bottom w:val="none" w:sz="0" w:space="0"/>
            <w:right w:val="none" w:sz="0" w:space="0"/>
          </w:pgBorders>
          <w:pgNumType w:fmt="numberInDash" w:start="1"/>
          <w:cols w:space="0" w:num="1"/>
          <w:rtlGutter w:val="0"/>
          <w:docGrid w:type="lines" w:linePitch="325" w:charSpace="0"/>
        </w:sectPr>
      </w:pPr>
    </w:p>
    <w:p>
      <w:pPr>
        <w:spacing w:line="360" w:lineRule="auto"/>
        <w:jc w:val="both"/>
        <w:outlineLvl w:val="0"/>
        <w:rPr>
          <w:rFonts w:hint="default" w:ascii="黑体" w:hAnsi="黑体" w:eastAsia="黑体" w:cs="黑体"/>
          <w:b w:val="0"/>
          <w:bCs w:val="0"/>
          <w:sz w:val="32"/>
          <w:szCs w:val="32"/>
          <w:highlight w:val="none"/>
          <w:lang w:val="en-US" w:eastAsia="zh-CN"/>
        </w:rPr>
      </w:pPr>
      <w:bookmarkStart w:id="210" w:name="_Toc1493"/>
      <w:bookmarkStart w:id="211" w:name="_Toc28470"/>
      <w:bookmarkStart w:id="212" w:name="_Toc2189"/>
      <w:bookmarkStart w:id="213" w:name="_Toc7194"/>
      <w:bookmarkStart w:id="214" w:name="_Toc7324"/>
      <w:bookmarkStart w:id="215" w:name="_Toc13660"/>
      <w:bookmarkStart w:id="216" w:name="_Toc32662"/>
      <w:r>
        <w:rPr>
          <w:rFonts w:hint="eastAsia" w:ascii="黑体" w:hAnsi="黑体" w:eastAsia="黑体" w:cs="黑体"/>
          <w:b w:val="0"/>
          <w:bCs w:val="0"/>
          <w:sz w:val="32"/>
          <w:szCs w:val="32"/>
          <w:highlight w:val="none"/>
          <w:lang w:val="en-US" w:eastAsia="zh-CN"/>
        </w:rPr>
        <w:t>附</w:t>
      </w:r>
      <w:bookmarkEnd w:id="210"/>
      <w:bookmarkEnd w:id="211"/>
      <w:r>
        <w:rPr>
          <w:rFonts w:hint="eastAsia" w:ascii="黑体" w:hAnsi="黑体" w:eastAsia="黑体" w:cs="黑体"/>
          <w:b w:val="0"/>
          <w:bCs w:val="0"/>
          <w:sz w:val="32"/>
          <w:szCs w:val="32"/>
          <w:highlight w:val="none"/>
          <w:lang w:val="en-US" w:eastAsia="zh-CN"/>
        </w:rPr>
        <w:t>件</w:t>
      </w:r>
      <w:bookmarkEnd w:id="212"/>
      <w:r>
        <w:rPr>
          <w:rFonts w:hint="eastAsia" w:ascii="黑体" w:hAnsi="黑体" w:eastAsia="黑体" w:cs="黑体"/>
          <w:b w:val="0"/>
          <w:bCs w:val="0"/>
          <w:sz w:val="32"/>
          <w:szCs w:val="32"/>
          <w:highlight w:val="none"/>
          <w:lang w:val="en-US" w:eastAsia="zh-CN"/>
        </w:rPr>
        <w:t>1</w:t>
      </w:r>
      <w:bookmarkEnd w:id="213"/>
      <w:bookmarkEnd w:id="214"/>
      <w:bookmarkEnd w:id="215"/>
      <w:bookmarkEnd w:id="216"/>
    </w:p>
    <w:p>
      <w:pPr>
        <w:spacing w:line="360" w:lineRule="auto"/>
        <w:jc w:val="center"/>
        <w:rPr>
          <w:rFonts w:hint="eastAsia" w:eastAsia="宋体"/>
          <w:highlight w:val="none"/>
          <w:lang w:eastAsia="zh-CN"/>
        </w:rPr>
      </w:pPr>
      <w:r>
        <w:rPr>
          <w:rFonts w:hint="eastAsia" w:ascii="宋体" w:hAnsi="宋体" w:eastAsia="宋体" w:cs="宋体"/>
          <w:b/>
          <w:bCs/>
          <w:sz w:val="32"/>
          <w:szCs w:val="32"/>
          <w:highlight w:val="none"/>
          <w:lang w:val="en-US" w:eastAsia="zh-CN"/>
        </w:rPr>
        <w:t>韶关市消防救援支队</w:t>
      </w:r>
      <w:r>
        <w:rPr>
          <w:rFonts w:hint="eastAsia" w:ascii="宋体" w:hAnsi="宋体" w:eastAsia="宋体" w:cs="宋体"/>
          <w:b/>
          <w:bCs/>
          <w:sz w:val="32"/>
          <w:szCs w:val="32"/>
          <w:highlight w:val="none"/>
        </w:rPr>
        <w:t>202</w:t>
      </w:r>
      <w:r>
        <w:rPr>
          <w:rFonts w:hint="eastAsia" w:ascii="宋体" w:hAnsi="宋体" w:eastAsia="宋体" w:cs="宋体"/>
          <w:b/>
          <w:bCs/>
          <w:sz w:val="32"/>
          <w:szCs w:val="32"/>
          <w:highlight w:val="none"/>
          <w:lang w:val="en-US" w:eastAsia="zh-CN"/>
        </w:rPr>
        <w:t>1</w:t>
      </w:r>
      <w:r>
        <w:rPr>
          <w:rFonts w:hint="eastAsia" w:ascii="宋体" w:hAnsi="宋体" w:eastAsia="宋体" w:cs="宋体"/>
          <w:b/>
          <w:bCs/>
          <w:sz w:val="32"/>
          <w:szCs w:val="32"/>
          <w:highlight w:val="none"/>
        </w:rPr>
        <w:t>年部门整体支出绩效评</w:t>
      </w:r>
      <w:r>
        <w:rPr>
          <w:rFonts w:hint="eastAsia" w:ascii="宋体" w:hAnsi="宋体" w:eastAsia="宋体" w:cs="宋体"/>
          <w:b/>
          <w:bCs/>
          <w:sz w:val="32"/>
          <w:szCs w:val="32"/>
          <w:highlight w:val="none"/>
          <w:lang w:eastAsia="zh-CN"/>
        </w:rPr>
        <w:t>分表</w:t>
      </w:r>
    </w:p>
    <w:tbl>
      <w:tblPr>
        <w:tblStyle w:val="15"/>
        <w:tblW w:w="15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7"/>
        <w:gridCol w:w="503"/>
        <w:gridCol w:w="590"/>
        <w:gridCol w:w="525"/>
        <w:gridCol w:w="632"/>
        <w:gridCol w:w="643"/>
        <w:gridCol w:w="889"/>
        <w:gridCol w:w="589"/>
        <w:gridCol w:w="6654"/>
        <w:gridCol w:w="675"/>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 w:hRule="atLeast"/>
          <w:tblHeader/>
        </w:trPr>
        <w:tc>
          <w:tcPr>
            <w:tcW w:w="4968" w:type="dxa"/>
            <w:gridSpan w:val="8"/>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评价指标</w:t>
            </w:r>
          </w:p>
        </w:tc>
        <w:tc>
          <w:tcPr>
            <w:tcW w:w="6654"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评分标准</w:t>
            </w:r>
          </w:p>
        </w:tc>
        <w:tc>
          <w:tcPr>
            <w:tcW w:w="675"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专家评分</w:t>
            </w:r>
          </w:p>
        </w:tc>
        <w:tc>
          <w:tcPr>
            <w:tcW w:w="3503"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blHeader/>
        </w:trPr>
        <w:tc>
          <w:tcPr>
            <w:tcW w:w="1100" w:type="dxa"/>
            <w:gridSpan w:val="2"/>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一级指标</w:t>
            </w:r>
          </w:p>
        </w:tc>
        <w:tc>
          <w:tcPr>
            <w:tcW w:w="1115" w:type="dxa"/>
            <w:gridSpan w:val="2"/>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二级指标</w:t>
            </w:r>
          </w:p>
        </w:tc>
        <w:tc>
          <w:tcPr>
            <w:tcW w:w="1275" w:type="dxa"/>
            <w:gridSpan w:val="2"/>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三级指标</w:t>
            </w:r>
          </w:p>
        </w:tc>
        <w:tc>
          <w:tcPr>
            <w:tcW w:w="1478" w:type="dxa"/>
            <w:gridSpan w:val="2"/>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四级指标</w:t>
            </w:r>
          </w:p>
        </w:tc>
        <w:tc>
          <w:tcPr>
            <w:tcW w:w="6654" w:type="dxa"/>
            <w:vMerge w:val="continue"/>
            <w:shd w:val="clear" w:color="auto" w:fill="auto"/>
            <w:vAlign w:val="center"/>
          </w:tcPr>
          <w:p>
            <w:pPr>
              <w:spacing w:line="240" w:lineRule="exact"/>
              <w:jc w:val="center"/>
              <w:rPr>
                <w:rFonts w:hint="eastAsia" w:asciiTheme="minorEastAsia" w:hAnsiTheme="minorEastAsia" w:eastAsiaTheme="minorEastAsia" w:cstheme="minorEastAsia"/>
                <w:b/>
                <w:bCs/>
                <w:i w:val="0"/>
                <w:iCs w:val="0"/>
                <w:color w:val="000000"/>
                <w:sz w:val="15"/>
                <w:szCs w:val="15"/>
                <w:highlight w:val="none"/>
                <w:u w:val="none"/>
              </w:rPr>
            </w:pPr>
          </w:p>
        </w:tc>
        <w:tc>
          <w:tcPr>
            <w:tcW w:w="675" w:type="dxa"/>
            <w:vMerge w:val="continue"/>
            <w:shd w:val="clear" w:color="auto" w:fill="auto"/>
            <w:vAlign w:val="center"/>
          </w:tcPr>
          <w:p>
            <w:pPr>
              <w:spacing w:line="240" w:lineRule="exact"/>
              <w:jc w:val="center"/>
              <w:rPr>
                <w:rFonts w:hint="eastAsia" w:asciiTheme="minorEastAsia" w:hAnsiTheme="minorEastAsia" w:eastAsiaTheme="minorEastAsia" w:cstheme="minorEastAsia"/>
                <w:b/>
                <w:bCs/>
                <w:i w:val="0"/>
                <w:iCs w:val="0"/>
                <w:color w:val="000000"/>
                <w:sz w:val="15"/>
                <w:szCs w:val="15"/>
                <w:highlight w:val="none"/>
                <w:u w:val="none"/>
              </w:rPr>
            </w:pPr>
          </w:p>
        </w:tc>
        <w:tc>
          <w:tcPr>
            <w:tcW w:w="3503" w:type="dxa"/>
            <w:vMerge w:val="continue"/>
            <w:shd w:val="clear" w:color="auto" w:fill="auto"/>
            <w:vAlign w:val="center"/>
          </w:tcPr>
          <w:p>
            <w:pPr>
              <w:spacing w:line="240" w:lineRule="exact"/>
              <w:jc w:val="center"/>
              <w:rPr>
                <w:rFonts w:hint="eastAsia" w:asciiTheme="minorEastAsia" w:hAnsiTheme="minorEastAsia" w:eastAsiaTheme="minorEastAsia" w:cstheme="minorEastAsia"/>
                <w:b/>
                <w:bCs/>
                <w:i w:val="0"/>
                <w:iCs w:val="0"/>
                <w:color w:val="000000"/>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blHeader/>
        </w:trPr>
        <w:tc>
          <w:tcPr>
            <w:tcW w:w="597"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名称</w:t>
            </w:r>
          </w:p>
        </w:tc>
        <w:tc>
          <w:tcPr>
            <w:tcW w:w="50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权重</w:t>
            </w:r>
          </w:p>
        </w:tc>
        <w:tc>
          <w:tcPr>
            <w:tcW w:w="590"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名称</w:t>
            </w:r>
          </w:p>
        </w:tc>
        <w:tc>
          <w:tcPr>
            <w:tcW w:w="525"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权重</w:t>
            </w: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名称</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权重</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名称</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权重</w:t>
            </w:r>
          </w:p>
        </w:tc>
        <w:tc>
          <w:tcPr>
            <w:tcW w:w="6654" w:type="dxa"/>
            <w:vMerge w:val="continue"/>
            <w:shd w:val="clear" w:color="auto" w:fill="auto"/>
            <w:vAlign w:val="center"/>
          </w:tcPr>
          <w:p>
            <w:pPr>
              <w:spacing w:line="240" w:lineRule="exact"/>
              <w:jc w:val="center"/>
              <w:rPr>
                <w:rFonts w:hint="eastAsia" w:asciiTheme="minorEastAsia" w:hAnsiTheme="minorEastAsia" w:eastAsiaTheme="minorEastAsia" w:cstheme="minorEastAsia"/>
                <w:b/>
                <w:bCs/>
                <w:i w:val="0"/>
                <w:iCs w:val="0"/>
                <w:color w:val="000000"/>
                <w:sz w:val="15"/>
                <w:szCs w:val="15"/>
                <w:highlight w:val="none"/>
                <w:u w:val="none"/>
              </w:rPr>
            </w:pPr>
          </w:p>
        </w:tc>
        <w:tc>
          <w:tcPr>
            <w:tcW w:w="675" w:type="dxa"/>
            <w:vMerge w:val="continue"/>
            <w:shd w:val="clear" w:color="auto" w:fill="auto"/>
            <w:vAlign w:val="center"/>
          </w:tcPr>
          <w:p>
            <w:pPr>
              <w:spacing w:line="240" w:lineRule="exact"/>
              <w:jc w:val="center"/>
              <w:rPr>
                <w:rFonts w:hint="eastAsia" w:asciiTheme="minorEastAsia" w:hAnsiTheme="minorEastAsia" w:eastAsiaTheme="minorEastAsia" w:cstheme="minorEastAsia"/>
                <w:b/>
                <w:bCs/>
                <w:i w:val="0"/>
                <w:iCs w:val="0"/>
                <w:color w:val="000000"/>
                <w:sz w:val="15"/>
                <w:szCs w:val="15"/>
                <w:highlight w:val="none"/>
                <w:u w:val="none"/>
              </w:rPr>
            </w:pPr>
          </w:p>
        </w:tc>
        <w:tc>
          <w:tcPr>
            <w:tcW w:w="3503" w:type="dxa"/>
            <w:vMerge w:val="continue"/>
            <w:shd w:val="clear" w:color="auto" w:fill="auto"/>
            <w:vAlign w:val="center"/>
          </w:tcPr>
          <w:p>
            <w:pPr>
              <w:spacing w:line="240" w:lineRule="exact"/>
              <w:jc w:val="center"/>
              <w:rPr>
                <w:rFonts w:hint="eastAsia" w:asciiTheme="minorEastAsia" w:hAnsiTheme="minorEastAsia" w:eastAsiaTheme="minorEastAsia" w:cstheme="minorEastAsia"/>
                <w:b/>
                <w:bCs/>
                <w:i w:val="0"/>
                <w:iCs w:val="0"/>
                <w:color w:val="000000"/>
                <w:sz w:val="15"/>
                <w:szCs w:val="15"/>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exact"/>
        </w:trPr>
        <w:tc>
          <w:tcPr>
            <w:tcW w:w="597"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预算</w:t>
            </w:r>
          </w:p>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编制</w:t>
            </w:r>
          </w:p>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情况</w:t>
            </w:r>
          </w:p>
        </w:tc>
        <w:tc>
          <w:tcPr>
            <w:tcW w:w="503"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15</w:t>
            </w:r>
          </w:p>
        </w:tc>
        <w:tc>
          <w:tcPr>
            <w:tcW w:w="590"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预算编制</w:t>
            </w:r>
          </w:p>
        </w:tc>
        <w:tc>
          <w:tcPr>
            <w:tcW w:w="525"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6</w:t>
            </w: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预算编制规范性</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预算编制规范性</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1.部门预算编制、分配符合本部门职责、符合市委市政府方针政策和工作要求的，得0.5分；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2.部门预算资金能根据年度工作重点，在不同项目、不同用途之间分配合理的，得0.5分；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3.专项资金编制细化程度合理，未出现因年中调剂导致部门预决算差异过大的问题，得0.5分；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4.符合市财政当年度有关预算编制的原则和要求，功能分类和经济分类编制正确的，得0.5分；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5.预算编制较为准确，年度中间无大量调剂，项目之间未频繁调剂的，得0.5分；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6.部门预算分配不固化，能根据实际情况合理调整（如不存在项目支出完成不理想但连年持续安排预算的情况等），得0.5分。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2.5</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部门预算编制与市消防救援支队职责相符，但整体来看，部分项目资金投向范围较宽泛，建设意图、目标约束、资金使用三者结合不够紧密，易出现资金使用“撒胡椒面”的局面。绩效目标未能结合建设任务细化分解，且各科室未对资金的使用进行系统性规划建设，支出散乱，如187.86万元正规化建设经费支出中包含物业服务费32.31万元，宣传活动经费30.97万元，指挥中心、谈话室改造费用26.76万元，培训费用12.64万元，审计服务费4.9万元，绿化养护费2.49万元，空调拆装、清洗费1.77万元等。该指标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25"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预算调整率</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预算调整率</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预算调整率=（预算调整数/预算数）×100%。</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预算调整率=0，本项指标得满分；每增加5%（含）扣减0.5分，直至扣完为止。</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以上统计范围不包含增资、增人、上级转移支付资金等预算编制支出因素。</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根据《2021年部门决算报表Z01 收入支出决算总表（财决01表）》，年初预算数为2,939.22万元，调整预算数为4,620.14万元，剔除绩效考核奖励经费1,640.19万元以及上级转移支付资金45万元，预算调整数为4.27万元，预算调整率为0.15%。该指标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目标设置</w:t>
            </w:r>
          </w:p>
        </w:tc>
        <w:tc>
          <w:tcPr>
            <w:tcW w:w="525"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9</w:t>
            </w: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绩效目标覆盖率</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绩效目标覆盖率</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1.比率=100%的，得2分；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2.100%＞比率≥80%的，得1.5分；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3.80%＞比率≥60%的，得1分；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4.比率＜60%的，得0分。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部门共有13个项目（除住房改革补贴、2020年度绩效考核奖励经费、住房公积金等6个基本支出项目以及上级转移支付项目外），13个项目均设置了绩效目标。绩效目标覆盖率为100%。该指标不扣分。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25"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绩效目标合理性</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绩效目标合理性</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1.绩效目标能体现部门（单位）“三定”方案规定的部门职能的和中长期规划和年度工作计划的，得1分；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2.绩效目标能分解成具体工作任务的，得1分；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3.绩效目标与本年度部门预算资金相匹配的，得1分；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4.部门申报的项目有进行可行性研究和充分论证的，得1分；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对上述4项标准，没有完全符合的，可酌情扣分。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绩效目标与部门职能具有相关性，但预算申报和自评填报的绩效目标均存在一些不足：一是绩效目标表述过于宏大与宽泛，未能描述所实施的具体内容和要达到的预期目标，不够规范；二是部分项目绩效目标表述较空泛、针对性弱，未明确所需达到的目标，预期目标的实现程度无法把控。该指标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25"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绩效指标明确性</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绩效指标明确性</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1.绩效指标中包含能够明确体现部门（单位）履职效果的社会经济效益指标的，得1分；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2.绩效指标具有清晰、可衡量的指标值的，无法量化的指标评分标准较为明确的，得1分；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3.绩效目标的目标值测算能提供相关依据或符合客观实际情况的，得1分，指标完成率高于150%的，扣1分；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对上述3项标准，没有完全符合的，可酌情扣分。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市消防救援支队围绕绩效目标设置了相应的指标名称及指标预期值，但存在以下问题：一是部分指标完成率高于150%。如“购置消防装备器材”指标值设置为“超过300件（套）”，实际采购8000余件套，超出预期值26倍；“开展消防宣传次数”指标值设置为“每月至少1次”，实际每月4.67场，超出预期值4.6倍；二是效果指标均为定性指标。如效果指标“加强消防救援队伍建设”目标值设置为“消防救援队伍建设正规化水平不断提高”，“消防宣传教育成效”目标值设置为“消防宣传成效显著，群众消防安全意识增强”等，采用“不断提高、显著、增强”等表述，可衡量性较弱，不利于后期绩效管理及评价；三是预算申报所填报指标不够全面。设置的产出指标基本为资金管理的共性指标，如预算执行率、专款专用率等指标，且未设置火灾四项指标等核心效益指标。该指标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597"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预算</w:t>
            </w:r>
          </w:p>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执行</w:t>
            </w:r>
          </w:p>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情况</w:t>
            </w:r>
          </w:p>
        </w:tc>
        <w:tc>
          <w:tcPr>
            <w:tcW w:w="503"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35</w:t>
            </w:r>
          </w:p>
        </w:tc>
        <w:tc>
          <w:tcPr>
            <w:tcW w:w="590"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资金</w:t>
            </w:r>
          </w:p>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管理</w:t>
            </w:r>
          </w:p>
        </w:tc>
        <w:tc>
          <w:tcPr>
            <w:tcW w:w="525"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17</w:t>
            </w: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部门预算支出率</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部门预算支出率</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本指标得分=本指标满分分值×全年平均支出进度。全年平均支出进度以2021年度机关绩效考核中支出进度为准。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2.1 </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根据部门所提供的《2021年预算执行情况统计表》，全年平均执行率为69.02%。按计算公式计算，该指标得2.1分，扣0.9分。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25"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结转结余率</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结转结余率</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结余结转率=1-全年支出进度。</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1.结余结转率≤10%的，得3分；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2.10%＜结余结转率≤20%的，得2分；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3.20%＜结余结转率≤30%的，得1分；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4.结余结转率＞30%的，得0分。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据部门所提供的《2021年预算执行情况统计表》，2021年市消防救援支队部门支出合计4,620.14万元，均为财政拨款支出，与单位指标金额4,648.66万元相比，财政拨款资金支出率为99.39%，结转结余率为0.61%≤10%，该指标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25"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政府采购合规性</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政府采购合规性</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1.政府采购执行率小于等于100%的，得2分；实际采购金额大于采购计划金额的，本项不得分。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（1）政府采购执行率=（实际采购金额合计数/采购计划金额合计数）×100%；</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（2）政府采购预算是指采购机关根据事业发展计划和行政任务编制的、并经过规定程序批准的年度政府采购计划。</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政府采购执行过程较为规范的，得2分；出现违反《中华人民共和国政府采购法》、《中华人民共和国政府采购法实施条例》（国务院令第658号）、《政府购买服务管理办法》（财政部令第102号）等政府采购相关管理办法的，每次扣0.5分，扣完为止。</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3.78 </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根据《2021年政府采购信息统计报表》，采购计划金额为843.15万元，实际采购金额为749.50万元。政府采购执行率为88.89%。政府采购执行过程较为规范，该指标得3.78分，扣0.22分。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25"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财务合规性</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5</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财务合规性</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5</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1.预算执行规范性1分，按规定履行调整报批手续或未发生调整的，且按事项完成进度支付资金的得满分，否则酌情扣分；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事项支出的合规性1分，资金管理、费用标准、支付符合有关制度规定的得满分，超范围、超标准支出，虚列支出，截留、挤占、挪用资金的，以及其他不符合制度规定支出的，视情节严重情况扣分，直至扣到0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3.会计核算规范性1分，规范执行会计核算制度得满分，未按规定设专账核算，或支出凭证不符合规定，或其他核算不规范的，视具体情况扣分；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4.重大项目支出经过评估论证和必要决策程序的得1分，否则酌情扣分；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5.连续两年对因业务主管部门责任印发的同一问题提出意见，或主管部门未落实相关审计和财会监督整改意见的，扣1分。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4.5</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市消防救援支队资金管理较规范，但存在一些不足：一是个别项目支出不够规范，同一事项在不同项目中列支。消防救援支队信息通信科网络安全设备采购项目余款经费28.64万元，其中25万元在信息化建设经费中列支，其余3.64万元在装备器材购置费（含特种装备维护保养经费）列支；二是部分项目支出列支范围有误。如消防救援队伍公用经费中列支“归垫合同制奖金”8.75万元，应列支在政府专职消防员人员经费项目中，据市消防救援支队反馈因经费紧张，在消防救援队伍公用经费项目列支该笔费用。综合考虑，该指标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25"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预决算信息公开</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预决算信息公开</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1.部门预算公开得分：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（1）按规定内容、在规定时限和范围内公开的，得1分。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（2）进行了公开，但未达到时限、内容或范围要求的，得0.5分。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（3）没有进行公开的，得0分。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（4）涉密部门经批准不需要公开相关信息的，计1分。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2.部门决算公开得分：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（1）按规定内容、在规定时限和范围内公开的，得1分。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（2）进行了公开，但未达到时限、内容或范围要求的，得0.5分。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（3）没有进行公开的，得0分。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（4）涉密部门经批准不需要公开相关信息的，计1分。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本指标得分=部门预算公开得分+部门决算公开得分。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市消防救援支队在2021年3月10日公开2021年预算，能按照《财政部关于印发〈地方预决算公开操作规程〉的通知》（财预〔2016〕143号）部门预决算公开时间及内容的要求，在市财政批复20日内公开部门预决算及报表，公开内容包括部门收支总体情况和财政拨款收支情况。由于2021年首次列入市级预算，故不考核2020年决算公开情况。该指标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项目</w:t>
            </w:r>
          </w:p>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管理</w:t>
            </w:r>
          </w:p>
        </w:tc>
        <w:tc>
          <w:tcPr>
            <w:tcW w:w="525"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8</w:t>
            </w: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项目实施程序</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项目实施程序</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1.重点或新增项目前期开展了可行性研究或调研，论证较为充分的，项目的设立及调整按规定履行报批程序，得2分；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2.项目招投标、建设、验收等或方案实施严格执行相关制度规定的，得2分；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4</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市消防救援支队基本能按照相应的实施方案或管理制度等规定程序实施，重大经济事项在党委会集体研究决定后实施，各项工作报批手续较完整。该指标不扣分。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25"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项目监管</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项目监管</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1.部门（单位）或基层资金管理单位建立有效管理机制，且执行情况良好的</w:t>
            </w:r>
            <w:r>
              <w:rPr>
                <w:rFonts w:hint="eastAsia" w:asciiTheme="minorEastAsia" w:hAnsiTheme="minorEastAsia" w:cstheme="minorEastAsia"/>
                <w:i w:val="0"/>
                <w:iCs w:val="0"/>
                <w:color w:val="000000"/>
                <w:kern w:val="0"/>
                <w:sz w:val="15"/>
                <w:szCs w:val="15"/>
                <w:highlight w:val="none"/>
                <w:u w:val="none"/>
                <w:lang w:val="en-US" w:eastAsia="zh-CN" w:bidi="ar"/>
              </w:rPr>
              <w:t>，</w:t>
            </w: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得2分；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各级业务主管部门按规定主管的专项资金和专项经费实施开展有效的检查、监控、督促整改的，得2分（需提供检查底稿或其他材料证明，否则不得分）；如被评价年度部门主管的省级、市级、县级专项资金绩效评价等级有低或差的，本项不得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评价时发现有项目不符合上述条件的，酌情扣分。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default" w:ascii="宋体" w:hAnsi="宋体" w:eastAsia="宋体" w:cs="宋体"/>
                <w:i w:val="0"/>
                <w:iCs w:val="0"/>
                <w:color w:val="auto"/>
                <w:sz w:val="15"/>
                <w:szCs w:val="15"/>
                <w:highlight w:val="none"/>
                <w:u w:val="none"/>
                <w:lang w:val="en-US"/>
              </w:rPr>
            </w:pPr>
            <w:r>
              <w:rPr>
                <w:rFonts w:hint="eastAsia" w:ascii="宋体" w:hAnsi="宋体" w:eastAsia="宋体" w:cs="宋体"/>
                <w:i w:val="0"/>
                <w:iCs w:val="0"/>
                <w:color w:val="000000"/>
                <w:kern w:val="0"/>
                <w:sz w:val="15"/>
                <w:szCs w:val="15"/>
                <w:highlight w:val="none"/>
                <w:u w:val="none"/>
                <w:lang w:val="en-US" w:eastAsia="zh-CN" w:bidi="ar"/>
              </w:rPr>
              <w:t>3</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市消防救援支队党委会每月对队站执勤训练和作战训练安全工作进行研究分析，并提出下一步计划。但存在一些不足：一是对各队站监管成效还有待加强。在队站执勤训练和作战训练安全方面仍存在“部分单位思想重视不够、制度落实不严、工作要求不高”等突出问题。如部分单位日常组织训练时对训练场地设施安全检查不彻底，对训练项目存在的安全隐患分析评估不充分，忽略训练前热身拉伸和训练后身体恢复，组训方式方法单一，不科学，队伍作战训练安全仍存在一定隐患。反映出市消防救援支队对各队站监管成效还有待加强。二是</w:t>
            </w:r>
            <w:r>
              <w:rPr>
                <w:rFonts w:hint="eastAsia" w:ascii="宋体" w:hAnsi="宋体" w:eastAsia="宋体" w:cs="宋体"/>
                <w:color w:val="000000"/>
                <w:kern w:val="0"/>
                <w:sz w:val="15"/>
                <w:szCs w:val="15"/>
                <w:highlight w:val="none"/>
                <w:u w:val="none"/>
                <w:lang w:bidi="ar"/>
              </w:rPr>
              <w:t>绩效监控时点不符合《中央绩效监控管理暂行办法》时点要求。市消防救援支队所提供的绩效监控报告对各项目的监控时点为2021年底，不符合《中央绩效监控管理暂行办法》“每年8月开展”要求，不利于及时掌握项目实施情况及存在的问题。</w:t>
            </w:r>
            <w:r>
              <w:rPr>
                <w:rFonts w:hint="eastAsia" w:ascii="宋体" w:hAnsi="宋体" w:eastAsia="宋体" w:cs="宋体"/>
                <w:i w:val="0"/>
                <w:iCs w:val="0"/>
                <w:color w:val="000000"/>
                <w:kern w:val="0"/>
                <w:sz w:val="15"/>
                <w:szCs w:val="15"/>
                <w:highlight w:val="none"/>
                <w:u w:val="none"/>
                <w:lang w:val="en-US" w:eastAsia="zh-CN" w:bidi="ar"/>
              </w:rPr>
              <w:t>该指标扣</w:t>
            </w:r>
            <w:r>
              <w:rPr>
                <w:rFonts w:hint="default" w:ascii="宋体" w:hAnsi="宋体" w:eastAsia="宋体" w:cs="宋体"/>
                <w:i w:val="0"/>
                <w:iCs w:val="0"/>
                <w:color w:val="000000"/>
                <w:kern w:val="0"/>
                <w:sz w:val="15"/>
                <w:szCs w:val="15"/>
                <w:highlight w:val="none"/>
                <w:u w:val="none"/>
                <w:lang w:val="en-US" w:eastAsia="zh-CN" w:bidi="ar"/>
              </w:rPr>
              <w:t>1</w:t>
            </w:r>
            <w:r>
              <w:rPr>
                <w:rFonts w:hint="eastAsia" w:ascii="宋体" w:hAnsi="宋体" w:eastAsia="宋体" w:cs="宋体"/>
                <w:i w:val="0"/>
                <w:iCs w:val="0"/>
                <w:color w:val="000000"/>
                <w:kern w:val="0"/>
                <w:sz w:val="15"/>
                <w:szCs w:val="15"/>
                <w:highlight w:val="none"/>
                <w:u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资产</w:t>
            </w:r>
          </w:p>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管理</w:t>
            </w:r>
          </w:p>
        </w:tc>
        <w:tc>
          <w:tcPr>
            <w:tcW w:w="525"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6</w:t>
            </w: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资产管理安全性</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资产管理安全性</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1.资产保存完整，并定期对固定资产进行清查，未有因管理不当发生严重资产损失和丢失情况的，得1分；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2.资产配置合理、保管完整，账实相符的，得1分；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3.及时处置报废固定资产，资产处置规范，不存在不按要求进行报批或资产不公开处置行为的，得1分；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4.资产有偿使用及处置收入及时足额上缴，得1分。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2022年7月5日市消防救援支队组织开展资产清查，发现资产损失（盘亏及报废）140.37万元，存在“在建工程未转固”情形，涉及资金10,774.24万元，包括公寓楼4,094.06万元、区域模拟训练设施2,500万元和韶关消防新指挥中心及消防站3,029.56万元等；清查报告指出市消防救援支队在制度建设、资产处置、定期清查盘点、资产配置等方面存在一些不足；另外，现场评价发现，由于西联特勤站仓库改造尚未完成，目前装备器材成堆摆放在训练馆。该指标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25"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固定资产利用率</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固定资产利用率</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1.比率≥90%的，得2分；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2.90%＞比率≥75%的，得1分；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3.75%＞比率≥60%的，得0.5分；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4.比率＜60%的，得0分。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1.90 </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根据市消防救援支队提供的《资产卡片账》，2021年资产期末数18,906.23万元，根据资产清查报告，有33项资产需报废，价值为17.47万元。固定资产利用率为99.91%。该指标扣0.1分。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制度管理</w:t>
            </w:r>
          </w:p>
        </w:tc>
        <w:tc>
          <w:tcPr>
            <w:tcW w:w="525"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w:t>
            </w: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管理制度健全性</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管理制度健全性</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1.部门制订了财政资金管理、内部财务、内部控制、预算绩效管理制度等制度的，得1分；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2.部门对于重点项目、经常性项目制定了相关管理办法、实施方案等制度的，得1分；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3.上述资金、财务和内控制度、预算绩效管理制度得到有效执行的，得1分；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4.所制定的制度或方案得到切实执行的（需有相应佐证材料，如日常检查、稽核的底稿等），得1分。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3.5</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市消防救援支队制定了《韶关市消防救援支队项目审计规程》、《韶关市消防救援支队报销指引》以及《韶关市消防救援队伍财务管理暂行规定》等制度，但未制定预算绩效管理制度。据市消防救援支队反馈，目前财务管理暂行规定正在修订，将在财务管理暂行规定部分章节新增预算绩效管理内容。该指标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exact"/>
        </w:trPr>
        <w:tc>
          <w:tcPr>
            <w:tcW w:w="597"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预算</w:t>
            </w:r>
          </w:p>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使用</w:t>
            </w:r>
          </w:p>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效益</w:t>
            </w:r>
          </w:p>
        </w:tc>
        <w:tc>
          <w:tcPr>
            <w:tcW w:w="503"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50</w:t>
            </w:r>
          </w:p>
        </w:tc>
        <w:tc>
          <w:tcPr>
            <w:tcW w:w="590"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经济</w:t>
            </w:r>
          </w:p>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性</w:t>
            </w:r>
          </w:p>
        </w:tc>
        <w:tc>
          <w:tcPr>
            <w:tcW w:w="525"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10</w:t>
            </w: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公用经费控制率</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公用经费控制率</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日常公用经费决算数≤日常公用经费调整预算数，得2分，否则不得分。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3503"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日常公用经费预算调整数为1,525.88万元，日常公用经费决算数为1,677.42万元，超出日常公用经费预算调整数151.54万元。该指标不得分。据市消防救援支队反馈，因上级部门年中临时新增工作任务，但经费不足，故部分项目支出在该科目列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25"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“三公”经费控制率</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“三公”经费控制率</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“三公”经费实际支出数≤预算安排的“三公”经费数</w:t>
            </w:r>
            <w:r>
              <w:rPr>
                <w:rFonts w:hint="eastAsia" w:asciiTheme="minorEastAsia" w:hAnsiTheme="minorEastAsia" w:cstheme="minorEastAsia"/>
                <w:i w:val="0"/>
                <w:iCs w:val="0"/>
                <w:color w:val="000000"/>
                <w:kern w:val="0"/>
                <w:sz w:val="15"/>
                <w:szCs w:val="15"/>
                <w:highlight w:val="none"/>
                <w:u w:val="none"/>
                <w:lang w:val="en-US" w:eastAsia="zh-CN" w:bidi="ar"/>
              </w:rPr>
              <w:t>，</w:t>
            </w: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得2分，否则不得分。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0</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根据2021年部门预算，公务用车运行维护费预算为30万元，实际公务用车运行维护费为34.77万元，超出公务用车运行维护费预算4.77万元。该指标不得分。据市消防救援支队反馈，原因在于车辆加油采用“预付加油卡充值”方式，实际油费未超出预算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25"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完成成本合理性</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6</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完成成本合理性</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6</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1.相关工作预算编制依据较为明确的，如经过了三方询价或依据相关行业标准进行编制的，得3分；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2.相关工作成本与市场价格、行业标准、其他地市的同类项目相比较为合理的得3分。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color w:val="000000"/>
                <w:kern w:val="0"/>
                <w:sz w:val="15"/>
                <w:szCs w:val="15"/>
                <w:highlight w:val="none"/>
                <w:u w:val="none"/>
                <w:lang w:eastAsia="zh-CN" w:bidi="ar"/>
              </w:rPr>
              <w:t>市消防救援支队</w:t>
            </w:r>
            <w:r>
              <w:rPr>
                <w:rFonts w:hint="eastAsia" w:ascii="宋体" w:hAnsi="宋体" w:eastAsia="宋体" w:cs="宋体"/>
                <w:color w:val="000000"/>
                <w:kern w:val="0"/>
                <w:sz w:val="15"/>
                <w:szCs w:val="15"/>
                <w:highlight w:val="none"/>
                <w:u w:val="none"/>
                <w:lang w:bidi="ar"/>
              </w:rPr>
              <w:t>项目工作成本与市场价格的同类项目相比，较为合理，如火灾高风险区域整治验收评估对20个区域开展验收评估共58.97万元，平均一个区域验收评估2.94万元，低于肇庆市、茂名市同类项目单价（4-5万元不等）。该指标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效率</w:t>
            </w:r>
          </w:p>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性</w:t>
            </w:r>
          </w:p>
        </w:tc>
        <w:tc>
          <w:tcPr>
            <w:tcW w:w="525"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10</w:t>
            </w: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重点工作完成率</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重点工作完成率</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本项得分由单位自行评估实际得分，按照完成实际效果自评打分。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重点工作是指党委、政府、人大、中央相关部门交办或下达的工作任务。</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2.70 </w:t>
            </w:r>
          </w:p>
        </w:tc>
        <w:tc>
          <w:tcPr>
            <w:tcW w:w="3503"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22项重点工作（包括支队攻坚任务）中18项任务已完成，1项未完成（0%），2项部分完成（60%），1项未及时完成（60%）。重点工作完成率为90%。该指标得2.7分，扣0.3分。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25"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绩效目标完成率</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绩效目标完成率</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绩效目标完成率=部门整体支出绩效目标申报表中已实现目标数/申报目标数×100%；</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本指标得分=绩效目标完成率×3；</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2.63 </w:t>
            </w:r>
          </w:p>
        </w:tc>
        <w:tc>
          <w:tcPr>
            <w:tcW w:w="3503"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除“稳定消防安全形势”指标未达到预期目标，其余7个指标均已实现。绩效目标完成率为87.50%。该指标得2.63分，扣0.37分。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25"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项目完成及时性</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项目完成及时性</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4</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所有项目均按计划时间完成的，得4分；部分项目未按计划时间完成的，本项得分=已完成项目数/未完成项目数×4。</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项目完成时间将参考年初部门预算项目的支出率进行评价。</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 xml:space="preserve">3.69 </w:t>
            </w:r>
          </w:p>
        </w:tc>
        <w:tc>
          <w:tcPr>
            <w:tcW w:w="3503"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截至2021年12月，13个项目基本按时完成，其中信息化建设经费项目支出率为89.69%，信息化建设项目进度稍有滞后，项目完成及时率为92.31%，该指标得3.69分，扣0.31分。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4"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效果性</w:t>
            </w:r>
          </w:p>
        </w:tc>
        <w:tc>
          <w:tcPr>
            <w:tcW w:w="525"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25</w:t>
            </w:r>
          </w:p>
        </w:tc>
        <w:tc>
          <w:tcPr>
            <w:tcW w:w="632"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社会经济环境效益</w:t>
            </w:r>
          </w:p>
        </w:tc>
        <w:tc>
          <w:tcPr>
            <w:tcW w:w="643"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25</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消防安全形势稳定程度</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12</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火灾起数（3分）：（1）与韶关市2018-2020年火灾起数最低值相比，2021年火灾起数下降，得1分；（2）与粤北地区2019-2021年火灾增长率情况相比，2021年韶关市火灾增长率较低，得1分；（3）与粤北地区2019-2021年万人火灾发生率（即年度火灾次数与常住人口的比值）相比，2021年韶关市万人火灾死亡率处于较低水平，得1分，否则按实际情况计算得分；2.火灾死亡人数（3分）：（1）与韶关市2018-2020年火灾死亡人数最低值相比，2021年火灾死亡人数下降，得1分；（2）年均10万人口火灾死亡率控制在0.15内，得1分；（3）与粤北地区2019-2021年年均10万人口火灾死亡率（即年度火灾死亡人数与常住人口的比值）相比，2021年韶关年均10万人口火灾死亡率处于较低水平，得1分，否则按实际情况计算得分。3.火灾受伤人数（1分）：与韶关市2018-2020年火灾受伤人数最低值相比，2021年火灾受伤人数下降，得1分。4.直接财产损失（4分）：（1）与韶关市2018-2020年直接财产损失最低值相比，2021年火灾直接财产损失下降，得1分；（2）与粤北地区2019-2021年平均火灾损失相比，2021年韶关市平均火灾损失处于较低水平，得1分，否则按实际情况计算得分；（3）与韶关市2019-2020年平均火灾损失增长率平均值3.25%，2021年平均火灾损失增长率小于3.25%，得1分；（4）与粤北地区2019-2021年平均火灾损失增长率相比，2021年韶关市平均火灾损失增长率处于较低水平，得1分，否则按实际情况计算得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5.2021年未发生较大以上火灾（较大火灾指3人以上10人以下死亡，或者10人以上50人以下重伤，或者1000万元以上5000万元以下直接财产损失的火灾），得1分。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8.4</w:t>
            </w:r>
          </w:p>
        </w:tc>
        <w:tc>
          <w:tcPr>
            <w:tcW w:w="3503" w:type="dxa"/>
            <w:shd w:val="clear" w:color="auto" w:fill="auto"/>
            <w:vAlign w:val="center"/>
          </w:tcPr>
          <w:p>
            <w:pPr>
              <w:keepNext w:val="0"/>
              <w:keepLines w:val="0"/>
              <w:widowControl/>
              <w:suppressLineNumbers w:val="0"/>
              <w:spacing w:line="240" w:lineRule="exact"/>
              <w:jc w:val="both"/>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消防安全形势基本稳定，但火灾起数和直接财产损失增长较快。一是在火灾起数方面，韶关市2021年火灾起数增长速度均较快。纵向来看，2018-2020年火灾起数最低值为820起，2021年火灾起数为1902起，增长率131.95%；从横向分析来看，粤北地区地市2021年火灾起数增长率中位数为28.90%，而韶关市2021年火灾起数增长率为131.95%，增长较快。该处扣2分。二是在火灾亡人数方面，2021年火灾死亡人数为1人，与2018-2020年火灾死亡人数最低值0人相比，稍有上升。原因在于人为放火/自焚，该处扣0.2分。三是在火灾受伤人数方面，2021年韶关市火灾受伤人数1人，比2018-2020年韶关市火灾受伤人数最低值0人稍有上升，原因在于电气火灾/电气线路故障（线路接插件、配电盘、控制装置等）/短路。该处扣0.2分。四是在直接财产损失方面，直接财产损失增长较快。2018-2020年直接财产损失最低值为589.49万元，2021年直接财产损失为1,676.10万元，增长率为186.33%。该处扣1.2分。</w:t>
            </w:r>
            <w:r>
              <w:rPr>
                <w:rFonts w:hint="eastAsia" w:ascii="宋体" w:hAnsi="宋体" w:eastAsia="宋体" w:cs="宋体"/>
                <w:i w:val="0"/>
                <w:iCs w:val="0"/>
                <w:color w:val="000000"/>
                <w:kern w:val="0"/>
                <w:sz w:val="15"/>
                <w:szCs w:val="15"/>
                <w:highlight w:val="none"/>
                <w:u w:val="none"/>
                <w:lang w:val="en-US" w:eastAsia="zh-CN" w:bidi="ar"/>
              </w:rPr>
              <w:br w:type="textWrapping"/>
            </w:r>
            <w:r>
              <w:rPr>
                <w:rFonts w:hint="eastAsia" w:ascii="宋体" w:hAnsi="宋体" w:eastAsia="宋体" w:cs="宋体"/>
                <w:i w:val="0"/>
                <w:iCs w:val="0"/>
                <w:color w:val="000000"/>
                <w:kern w:val="0"/>
                <w:sz w:val="15"/>
                <w:szCs w:val="15"/>
                <w:highlight w:val="none"/>
                <w:u w:val="none"/>
                <w:lang w:val="en-US" w:eastAsia="zh-CN" w:bidi="ar"/>
              </w:rPr>
              <w:t>该指标合计扣3.6分。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25"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32"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4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消防队伍建设成效</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8</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1.消防队员离职率：（1）对比2019-2020年消防队员离职情况，2021年离职率有所下降。得2分。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2.消防队员考核合格率：（1）消防队员考核合格率达95%，得1分；（2）以2018-2020年消防队员考核优秀率最高值88.70%作为基准值，2021年考核优秀率大于88.70%，得1分；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3.综合救援能力：分析消防队员综合救援能力情况，分优秀、良好、一般、较差四档评分，由专家根据实际情况进行评分，优秀得4分，良好得2-3分，一般得1分，较差不得分。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6.9</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消防救援支队队伍正规化建设成效良好，离职率有所下降，但存在一些不足：2021年优秀率为87.73%，稍低于上年水平88.70%；目前消防队伍建设在正规化建设方面暴露出一些问题，影响和制约了消防队伍的发展。</w:t>
            </w:r>
            <w:r>
              <w:rPr>
                <w:rFonts w:hint="eastAsia" w:ascii="宋体" w:hAnsi="宋体" w:eastAsia="宋体" w:cs="宋体"/>
                <w:color w:val="000000"/>
                <w:kern w:val="0"/>
                <w:sz w:val="15"/>
                <w:szCs w:val="15"/>
                <w:highlight w:val="none"/>
                <w:u w:val="none"/>
                <w:lang w:bidi="ar"/>
              </w:rPr>
              <w:t>2021年市消防救援支队的正规化建设推进中取得了一些成果，但距离广东省消防救援总队党委的要求还有差距，在制度运行、工作规范、亮点打造等“软件”建设方面的工作成效还需要进一步加强。</w:t>
            </w:r>
            <w:r>
              <w:rPr>
                <w:rFonts w:hint="eastAsia" w:ascii="宋体" w:hAnsi="宋体" w:eastAsia="宋体" w:cs="宋体"/>
                <w:i w:val="0"/>
                <w:iCs w:val="0"/>
                <w:color w:val="000000"/>
                <w:kern w:val="0"/>
                <w:sz w:val="15"/>
                <w:szCs w:val="15"/>
                <w:highlight w:val="none"/>
                <w:u w:val="none"/>
                <w:lang w:val="en-US" w:eastAsia="zh-CN" w:bidi="ar"/>
              </w:rPr>
              <w:t>该指标合计扣1.1分。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8"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25"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32"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4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消防宣传教育成效</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5</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通过宣传手段创新性、消防宣传影响力、全市居民消防安全常识知晓率等方面反映消防宣传教育体系建设成效。</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1.消防宣传手段创新性（2分）：分析消防宣传手段创新性，分优秀、良好、一般、较差四档评分，由专家根据实际情况进行评分，优秀得2分，良好得1分，一般得0.5分，较差不得分。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2.消防宣传影响力（2分）：（1）公众号关注人数与推文阅读量：与韶关市2019-2020年相比，2021年公众号订阅人数有所上升，得0.5分；与韶关市2019-2020年公众号推文阅读量相比，2021年阅读量有所上升，得0.5分。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（2）官方微博、抖音、今日头条阅读量：与韶关市2019-2020年相比，2021年官方微博阅读量增加率有所上升；得0.5分；与粤北地区相比，2021年韶关消防抖音、今日头条阅读量较高，得0.5分。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全市居民消防安全常识知晓率（1分）：通过发放调查问卷方式，设置10道消防安全基本知识题目，调查韶关市群众对消防基本知识的知晓情况，知晓度=Σ调查对象答题正确率。根据实际情况进行评分，优秀得1分，良好得0.5分，一般得0.2分，较低不得分。（知晓率达到90%以上为优秀，知晓率达到80%及以上为良好，知晓率达60%及以上为一般，低于60%为较低）。</w:t>
            </w:r>
          </w:p>
        </w:tc>
        <w:tc>
          <w:tcPr>
            <w:tcW w:w="675" w:type="dxa"/>
            <w:shd w:val="clear" w:color="auto" w:fill="auto"/>
            <w:vAlign w:val="center"/>
          </w:tcPr>
          <w:p>
            <w:pPr>
              <w:keepNext w:val="0"/>
              <w:keepLines w:val="0"/>
              <w:widowControl/>
              <w:suppressLineNumbers w:val="0"/>
              <w:spacing w:line="240" w:lineRule="exact"/>
              <w:jc w:val="center"/>
              <w:textAlignment w:val="center"/>
              <w:rPr>
                <w:rFonts w:hint="default" w:ascii="宋体" w:hAnsi="宋体" w:eastAsia="宋体" w:cs="宋体"/>
                <w:i w:val="0"/>
                <w:iCs w:val="0"/>
                <w:color w:val="auto"/>
                <w:sz w:val="15"/>
                <w:szCs w:val="15"/>
                <w:highlight w:val="none"/>
                <w:u w:val="none"/>
                <w:lang w:val="en-US"/>
              </w:rPr>
            </w:pPr>
            <w:r>
              <w:rPr>
                <w:rFonts w:hint="eastAsia" w:ascii="宋体" w:hAnsi="宋体" w:eastAsia="宋体" w:cs="宋体"/>
                <w:i w:val="0"/>
                <w:iCs w:val="0"/>
                <w:color w:val="000000"/>
                <w:kern w:val="0"/>
                <w:sz w:val="15"/>
                <w:szCs w:val="15"/>
                <w:highlight w:val="none"/>
                <w:u w:val="none"/>
                <w:lang w:val="en-US" w:eastAsia="zh-CN" w:bidi="ar"/>
              </w:rPr>
              <w:t>3.3</w:t>
            </w:r>
          </w:p>
        </w:tc>
        <w:tc>
          <w:tcPr>
            <w:tcW w:w="3503"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一是消防宣传手段较多样，但宣传成效存在不足。从实际效果来看，2021年因居民生活用火不慎及用火不慎造成的火灾事故共950起，占全年火灾总数50.1%，侧面反映出宣传教育成效有待加强。综合考虑，该处扣0.5分。二是在抖音和微博等新媒体宣传方面，与粤北地区相比，韶关消防新媒体宣传情况较好，但消防宣传影响力存在不足。主要体现在：在公众号宣传方面，韶关消防公众号订阅人数逐年上升，但推文阅读量有所下降；在新媒体阅读量方面，今日头条阅读量在粤北地区排名第三。与韶关市2019-2020年公众号推文阅读量平均值207.02万次相比，2021年阅读量为180.25万次，有所下降，下降12.93%。该处扣0.7分。三是整体居民消防安全知识知晓率仍有待提高。根据《2022年上半年韶关市消防安全常识知晓率调查结果》，通过设置引起火灾原因等11道题调查群众知晓率，共收集68412个样本，整体知晓率为74.42%，但考虑韶关整体知晓率在全省平均水平（69.9%）之上，该项扣0.5分。该指标合计扣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公平</w:t>
            </w:r>
          </w:p>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性</w:t>
            </w:r>
          </w:p>
        </w:tc>
        <w:tc>
          <w:tcPr>
            <w:tcW w:w="525" w:type="dxa"/>
            <w:vMerge w:val="restart"/>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5</w:t>
            </w: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群众信访办理情况</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群众信访办理情况</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1.设置了便利的群众意见反映渠道和群众意见办理回复机制的，得0.5分；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2.当年度所有群众信访意见均有回复，得0.5分，否则按比例扣分。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3.回复意见均在规定时限内的，得1分，否则按比例扣分。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群众可通过举报电话96119反映社会单位消防问题，同时也可通过市消防救援支队大厅意见箱反映消防问题，现场评价来看，市消防救援支队回复群众意见较及时。该指标不扣分。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25"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公众或服务对象满意度</w:t>
            </w:r>
          </w:p>
        </w:tc>
        <w:tc>
          <w:tcPr>
            <w:tcW w:w="64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w:t>
            </w: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公众或服务对象满意度</w:t>
            </w:r>
          </w:p>
        </w:tc>
        <w:tc>
          <w:tcPr>
            <w:tcW w:w="5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3</w:t>
            </w: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2.77</w:t>
            </w:r>
          </w:p>
        </w:tc>
        <w:tc>
          <w:tcPr>
            <w:tcW w:w="3503" w:type="dxa"/>
            <w:shd w:val="clear" w:color="auto" w:fill="auto"/>
            <w:vAlign w:val="center"/>
          </w:tcPr>
          <w:p>
            <w:pPr>
              <w:keepNext w:val="0"/>
              <w:keepLines w:val="0"/>
              <w:widowControl/>
              <w:suppressLineNumbers w:val="0"/>
              <w:spacing w:line="240" w:lineRule="exact"/>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通过电子问卷方式共回收103份群众有效问卷。针对“Q8.您对韶关消防整体满意度如何？”一题，66名群众表示非常满意，占比为64.08%；35名群众表示满意，占比为33.98%；2名群众表示一般，占比为1.94%。按照比较满意100%、满意80%、一般60%、不满意和非常不满意0%权重计算综合满意度为92.43%。该指标得分2.77分，扣0.23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trPr>
        <w:tc>
          <w:tcPr>
            <w:tcW w:w="597"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03" w:type="dxa"/>
            <w:vMerge w:val="continue"/>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590"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加减</w:t>
            </w:r>
          </w:p>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分项</w:t>
            </w:r>
          </w:p>
        </w:tc>
        <w:tc>
          <w:tcPr>
            <w:tcW w:w="525" w:type="dxa"/>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工作表现加减分指标</w:t>
            </w:r>
          </w:p>
        </w:tc>
        <w:tc>
          <w:tcPr>
            <w:tcW w:w="643" w:type="dxa"/>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889"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工作表现加减分指标</w:t>
            </w:r>
          </w:p>
        </w:tc>
        <w:tc>
          <w:tcPr>
            <w:tcW w:w="589" w:type="dxa"/>
            <w:shd w:val="clear" w:color="auto" w:fill="auto"/>
            <w:vAlign w:val="center"/>
          </w:tcPr>
          <w:p>
            <w:pPr>
              <w:spacing w:line="240" w:lineRule="exact"/>
              <w:jc w:val="center"/>
              <w:rPr>
                <w:rFonts w:hint="eastAsia" w:asciiTheme="minorEastAsia" w:hAnsiTheme="minorEastAsia" w:eastAsiaTheme="minorEastAsia" w:cstheme="minorEastAsia"/>
                <w:i w:val="0"/>
                <w:iCs w:val="0"/>
                <w:color w:val="000000"/>
                <w:sz w:val="15"/>
                <w:szCs w:val="15"/>
                <w:highlight w:val="none"/>
                <w:u w:val="none"/>
              </w:rPr>
            </w:pPr>
          </w:p>
        </w:tc>
        <w:tc>
          <w:tcPr>
            <w:tcW w:w="6654" w:type="dxa"/>
            <w:shd w:val="clear" w:color="auto" w:fill="auto"/>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kern w:val="0"/>
                <w:sz w:val="15"/>
                <w:szCs w:val="15"/>
                <w:highlight w:val="none"/>
                <w:u w:val="none"/>
                <w:lang w:val="en-US" w:eastAsia="zh-CN" w:bidi="ar"/>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1.加分项：工作获得中央或省委省政府表彰的，表彰一次加1分，同一项工作获得多次表彰的，按一次计算，累计加分最多3分，加分后总分不能超过100分；</w:t>
            </w:r>
          </w:p>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i w:val="0"/>
                <w:iCs w:val="0"/>
                <w:color w:val="000000"/>
                <w:sz w:val="15"/>
                <w:szCs w:val="15"/>
                <w:highlight w:val="none"/>
                <w:u w:val="none"/>
              </w:rPr>
            </w:pPr>
            <w:r>
              <w:rPr>
                <w:rFonts w:hint="eastAsia" w:asciiTheme="minorEastAsia" w:hAnsiTheme="minorEastAsia" w:eastAsiaTheme="minorEastAsia" w:cstheme="minorEastAsia"/>
                <w:i w:val="0"/>
                <w:iCs w:val="0"/>
                <w:color w:val="000000"/>
                <w:kern w:val="0"/>
                <w:sz w:val="15"/>
                <w:szCs w:val="15"/>
                <w:highlight w:val="none"/>
                <w:u w:val="none"/>
                <w:lang w:val="en-US" w:eastAsia="zh-CN" w:bidi="ar"/>
              </w:rPr>
              <w:t>2.减分项：在国务院大督察或人大审计、监察等监督检查时发现问题并被问责的，问责一次扣2分，同一个问题被问责多次的，按一次计算，累计减分最多6分，减分后总分不能低于0分。</w:t>
            </w:r>
          </w:p>
        </w:tc>
        <w:tc>
          <w:tcPr>
            <w:tcW w:w="675" w:type="dxa"/>
            <w:shd w:val="clear" w:color="auto" w:fill="auto"/>
            <w:vAlign w:val="center"/>
          </w:tcPr>
          <w:p>
            <w:pPr>
              <w:spacing w:line="240" w:lineRule="exact"/>
              <w:jc w:val="center"/>
              <w:rPr>
                <w:rFonts w:hint="eastAsia"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3</w:t>
            </w:r>
          </w:p>
        </w:tc>
        <w:tc>
          <w:tcPr>
            <w:tcW w:w="3503" w:type="dxa"/>
            <w:shd w:val="clear" w:color="auto" w:fill="auto"/>
            <w:vAlign w:val="center"/>
          </w:tcPr>
          <w:p>
            <w:pPr>
              <w:spacing w:line="240" w:lineRule="exact"/>
              <w:jc w:val="center"/>
              <w:rPr>
                <w:rFonts w:hint="default" w:ascii="宋体" w:hAnsi="宋体" w:eastAsia="宋体" w:cs="宋体"/>
                <w:i w:val="0"/>
                <w:iCs w:val="0"/>
                <w:color w:val="auto"/>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2021年</w:t>
            </w:r>
            <w:r>
              <w:rPr>
                <w:rFonts w:hint="eastAsia" w:ascii="宋体" w:hAnsi="宋体" w:eastAsia="宋体" w:cs="宋体"/>
                <w:i w:val="0"/>
                <w:iCs w:val="0"/>
                <w:color w:val="000000"/>
                <w:kern w:val="0"/>
                <w:sz w:val="15"/>
                <w:szCs w:val="15"/>
                <w:highlight w:val="none"/>
                <w:u w:val="none"/>
                <w:lang w:val="en-US" w:eastAsia="zh-CN" w:bidi="ar"/>
              </w:rPr>
              <w:t>市消防救援支队获得全国消防救援队伍2021年调查研究工作先进单位称号；市消防救援支队队员任泽旭、程健家庭分别获得“广东好人”、</w:t>
            </w:r>
            <w:r>
              <w:rPr>
                <w:rFonts w:hint="eastAsia" w:ascii="宋体" w:hAnsi="宋体" w:eastAsia="宋体" w:cs="宋体"/>
                <w:color w:val="000000"/>
                <w:kern w:val="0"/>
                <w:sz w:val="15"/>
                <w:szCs w:val="15"/>
                <w:highlight w:val="none"/>
                <w:u w:val="none"/>
                <w:lang w:bidi="ar"/>
              </w:rPr>
              <w:t>第十六届广东“优秀书香家庭”</w:t>
            </w:r>
            <w:r>
              <w:rPr>
                <w:rFonts w:hint="eastAsia" w:ascii="宋体" w:hAnsi="宋体" w:eastAsia="宋体" w:cs="宋体"/>
                <w:i w:val="0"/>
                <w:iCs w:val="0"/>
                <w:color w:val="000000"/>
                <w:kern w:val="0"/>
                <w:sz w:val="15"/>
                <w:szCs w:val="15"/>
                <w:highlight w:val="none"/>
                <w:u w:val="none"/>
                <w:lang w:val="en-US" w:eastAsia="zh-CN" w:bidi="ar"/>
              </w:rPr>
              <w:t>等荣誉。加3分。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97"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合计</w:t>
            </w:r>
          </w:p>
        </w:tc>
        <w:tc>
          <w:tcPr>
            <w:tcW w:w="503"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100</w:t>
            </w:r>
          </w:p>
        </w:tc>
        <w:tc>
          <w:tcPr>
            <w:tcW w:w="590"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w:t>
            </w:r>
          </w:p>
        </w:tc>
        <w:tc>
          <w:tcPr>
            <w:tcW w:w="525"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100</w:t>
            </w:r>
          </w:p>
        </w:tc>
        <w:tc>
          <w:tcPr>
            <w:tcW w:w="632"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w:t>
            </w:r>
          </w:p>
        </w:tc>
        <w:tc>
          <w:tcPr>
            <w:tcW w:w="643" w:type="dxa"/>
            <w:shd w:val="clear" w:color="auto" w:fill="auto"/>
            <w:vAlign w:val="center"/>
          </w:tcPr>
          <w:p>
            <w:pPr>
              <w:spacing w:line="240" w:lineRule="exact"/>
              <w:jc w:val="center"/>
              <w:rPr>
                <w:rFonts w:hint="eastAsia" w:asciiTheme="minorEastAsia" w:hAnsiTheme="minorEastAsia" w:eastAsiaTheme="minorEastAsia" w:cstheme="minorEastAsia"/>
                <w:b/>
                <w:bCs/>
                <w:i w:val="0"/>
                <w:iCs w:val="0"/>
                <w:color w:val="000000"/>
                <w:sz w:val="15"/>
                <w:szCs w:val="15"/>
                <w:highlight w:val="none"/>
                <w:u w:val="none"/>
              </w:rPr>
            </w:pPr>
          </w:p>
        </w:tc>
        <w:tc>
          <w:tcPr>
            <w:tcW w:w="889" w:type="dxa"/>
            <w:shd w:val="clear" w:color="auto" w:fill="auto"/>
            <w:vAlign w:val="center"/>
          </w:tcPr>
          <w:p>
            <w:pPr>
              <w:spacing w:line="240" w:lineRule="exact"/>
              <w:jc w:val="center"/>
              <w:rPr>
                <w:rFonts w:hint="eastAsia" w:asciiTheme="minorEastAsia" w:hAnsiTheme="minorEastAsia" w:eastAsiaTheme="minorEastAsia" w:cstheme="minorEastAsia"/>
                <w:b/>
                <w:bCs/>
                <w:i w:val="0"/>
                <w:iCs w:val="0"/>
                <w:color w:val="000000"/>
                <w:sz w:val="15"/>
                <w:szCs w:val="15"/>
                <w:highlight w:val="none"/>
                <w:u w:val="none"/>
              </w:rPr>
            </w:pPr>
          </w:p>
        </w:tc>
        <w:tc>
          <w:tcPr>
            <w:tcW w:w="589" w:type="dxa"/>
            <w:shd w:val="clear" w:color="auto" w:fill="auto"/>
            <w:vAlign w:val="center"/>
          </w:tcPr>
          <w:p>
            <w:pPr>
              <w:spacing w:line="240" w:lineRule="exact"/>
              <w:jc w:val="center"/>
              <w:rPr>
                <w:rFonts w:hint="eastAsia" w:asciiTheme="minorEastAsia" w:hAnsiTheme="minorEastAsia" w:eastAsiaTheme="minorEastAsia" w:cstheme="minorEastAsia"/>
                <w:b/>
                <w:bCs/>
                <w:i w:val="0"/>
                <w:iCs w:val="0"/>
                <w:color w:val="000000"/>
                <w:sz w:val="15"/>
                <w:szCs w:val="15"/>
                <w:highlight w:val="none"/>
                <w:u w:val="none"/>
              </w:rPr>
            </w:pPr>
          </w:p>
        </w:tc>
        <w:tc>
          <w:tcPr>
            <w:tcW w:w="6654" w:type="dxa"/>
            <w:shd w:val="clear" w:color="auto" w:fill="auto"/>
            <w:vAlign w:val="center"/>
          </w:tcPr>
          <w:p>
            <w:pPr>
              <w:keepNext w:val="0"/>
              <w:keepLines w:val="0"/>
              <w:widowControl/>
              <w:suppressLineNumbers w:val="0"/>
              <w:spacing w:line="240" w:lineRule="exact"/>
              <w:jc w:val="center"/>
              <w:textAlignment w:val="center"/>
              <w:rPr>
                <w:rFonts w:hint="eastAsia" w:asciiTheme="minorEastAsia" w:hAnsiTheme="minorEastAsia" w:eastAsiaTheme="minorEastAsia" w:cstheme="minorEastAsia"/>
                <w:b/>
                <w:bCs/>
                <w:i w:val="0"/>
                <w:iCs w:val="0"/>
                <w:color w:val="000000"/>
                <w:sz w:val="15"/>
                <w:szCs w:val="15"/>
                <w:highlight w:val="none"/>
                <w:u w:val="none"/>
              </w:rPr>
            </w:pPr>
            <w:r>
              <w:rPr>
                <w:rFonts w:hint="eastAsia" w:asciiTheme="minorEastAsia" w:hAnsiTheme="minorEastAsia" w:eastAsiaTheme="minorEastAsia" w:cstheme="minorEastAsia"/>
                <w:b/>
                <w:bCs/>
                <w:i w:val="0"/>
                <w:iCs w:val="0"/>
                <w:color w:val="000000"/>
                <w:kern w:val="0"/>
                <w:sz w:val="15"/>
                <w:szCs w:val="15"/>
                <w:highlight w:val="none"/>
                <w:u w:val="none"/>
                <w:lang w:val="en-US" w:eastAsia="zh-CN" w:bidi="ar"/>
              </w:rPr>
              <w:t>-</w:t>
            </w:r>
          </w:p>
        </w:tc>
        <w:tc>
          <w:tcPr>
            <w:tcW w:w="675" w:type="dxa"/>
            <w:shd w:val="clear" w:color="auto" w:fill="auto"/>
            <w:vAlign w:val="center"/>
          </w:tcPr>
          <w:p>
            <w:pPr>
              <w:keepNext w:val="0"/>
              <w:keepLines w:val="0"/>
              <w:widowControl/>
              <w:suppressLineNumbers w:val="0"/>
              <w:spacing w:line="240" w:lineRule="exact"/>
              <w:jc w:val="center"/>
              <w:textAlignment w:val="center"/>
              <w:rPr>
                <w:rFonts w:hint="eastAsia" w:ascii="宋体" w:hAnsi="宋体" w:eastAsia="宋体" w:cs="宋体"/>
                <w:b/>
                <w:bCs/>
                <w:i w:val="0"/>
                <w:iCs w:val="0"/>
                <w:color w:val="auto"/>
                <w:sz w:val="15"/>
                <w:szCs w:val="15"/>
                <w:highlight w:val="none"/>
                <w:u w:val="none"/>
              </w:rPr>
            </w:pPr>
            <w:r>
              <w:rPr>
                <w:rFonts w:hint="eastAsia" w:ascii="宋体" w:hAnsi="宋体" w:eastAsia="宋体" w:cs="宋体"/>
                <w:b/>
                <w:bCs/>
                <w:i w:val="0"/>
                <w:iCs w:val="0"/>
                <w:color w:val="000000"/>
                <w:kern w:val="0"/>
                <w:sz w:val="15"/>
                <w:szCs w:val="15"/>
                <w:highlight w:val="none"/>
                <w:u w:val="none"/>
                <w:lang w:val="en-US" w:eastAsia="zh-CN" w:bidi="ar"/>
              </w:rPr>
              <w:t xml:space="preserve">81.67 </w:t>
            </w:r>
          </w:p>
        </w:tc>
        <w:tc>
          <w:tcPr>
            <w:tcW w:w="3503" w:type="dxa"/>
            <w:shd w:val="clear" w:color="auto" w:fill="auto"/>
            <w:vAlign w:val="center"/>
          </w:tcPr>
          <w:p>
            <w:pPr>
              <w:spacing w:line="240" w:lineRule="exact"/>
              <w:jc w:val="center"/>
              <w:rPr>
                <w:rFonts w:hint="eastAsia" w:ascii="宋体" w:hAnsi="宋体" w:eastAsia="宋体" w:cs="宋体"/>
                <w:b/>
                <w:bCs/>
                <w:i w:val="0"/>
                <w:iCs w:val="0"/>
                <w:color w:val="auto"/>
                <w:sz w:val="15"/>
                <w:szCs w:val="15"/>
                <w:highlight w:val="none"/>
                <w:u w:val="none"/>
              </w:rPr>
            </w:pPr>
          </w:p>
        </w:tc>
      </w:tr>
    </w:tbl>
    <w:p>
      <w:pPr>
        <w:pStyle w:val="22"/>
        <w:rPr>
          <w:rFonts w:hint="default" w:ascii="黑体" w:hAnsi="黑体" w:eastAsia="黑体" w:cs="黑体"/>
          <w:sz w:val="32"/>
          <w:szCs w:val="32"/>
          <w:highlight w:val="none"/>
          <w:lang w:val="en-US" w:eastAsia="zh-CN"/>
        </w:rPr>
        <w:sectPr>
          <w:footerReference r:id="rId8" w:type="default"/>
          <w:pgSz w:w="16838" w:h="11906" w:orient="landscape"/>
          <w:pgMar w:top="720" w:right="720" w:bottom="720" w:left="720" w:header="851" w:footer="454" w:gutter="0"/>
          <w:pgBorders>
            <w:top w:val="none" w:sz="0" w:space="0"/>
            <w:left w:val="none" w:sz="0" w:space="0"/>
            <w:bottom w:val="none" w:sz="0" w:space="0"/>
            <w:right w:val="none" w:sz="0" w:space="0"/>
          </w:pgBorders>
          <w:pgNumType w:fmt="numberInDash"/>
          <w:cols w:space="0" w:num="1"/>
          <w:rtlGutter w:val="0"/>
          <w:docGrid w:type="lines" w:linePitch="325" w:charSpace="0"/>
        </w:sectPr>
      </w:pPr>
    </w:p>
    <w:p>
      <w:pPr>
        <w:pStyle w:val="22"/>
        <w:outlineLvl w:val="0"/>
        <w:rPr>
          <w:rFonts w:hint="eastAsia" w:ascii="黑体" w:hAnsi="黑体" w:eastAsia="黑体" w:cs="黑体"/>
          <w:sz w:val="32"/>
          <w:szCs w:val="32"/>
          <w:highlight w:val="none"/>
          <w:lang w:val="en-US" w:eastAsia="zh-CN"/>
        </w:rPr>
      </w:pPr>
      <w:bookmarkStart w:id="217" w:name="_Toc10422"/>
      <w:bookmarkStart w:id="218" w:name="_Toc15518"/>
      <w:bookmarkStart w:id="219" w:name="_Toc7357"/>
      <w:bookmarkStart w:id="220" w:name="_Toc14907"/>
      <w:r>
        <w:rPr>
          <w:rFonts w:hint="eastAsia" w:ascii="黑体" w:hAnsi="黑体" w:eastAsia="黑体" w:cs="黑体"/>
          <w:sz w:val="32"/>
          <w:szCs w:val="32"/>
          <w:highlight w:val="none"/>
          <w:lang w:val="en-US" w:eastAsia="zh-CN"/>
        </w:rPr>
        <w:t>附件2</w:t>
      </w:r>
      <w:bookmarkEnd w:id="217"/>
      <w:bookmarkEnd w:id="218"/>
      <w:bookmarkEnd w:id="219"/>
      <w:bookmarkEnd w:id="220"/>
    </w:p>
    <w:p>
      <w:pPr>
        <w:pStyle w:val="22"/>
        <w:jc w:val="center"/>
        <w:outlineLvl w:val="9"/>
        <w:rPr>
          <w:rFonts w:hint="eastAsia" w:ascii="宋体" w:hAnsi="宋体" w:eastAsia="宋体" w:cs="宋体"/>
          <w:b/>
          <w:bCs/>
          <w:kern w:val="2"/>
          <w:sz w:val="32"/>
          <w:szCs w:val="32"/>
          <w:highlight w:val="none"/>
          <w:lang w:val="en-US" w:eastAsia="zh-CN" w:bidi="ar-SA"/>
        </w:rPr>
      </w:pPr>
      <w:r>
        <w:rPr>
          <w:rFonts w:hint="eastAsia" w:ascii="宋体" w:hAnsi="宋体" w:eastAsia="宋体" w:cs="宋体"/>
          <w:b/>
          <w:bCs/>
          <w:kern w:val="2"/>
          <w:sz w:val="32"/>
          <w:szCs w:val="32"/>
          <w:highlight w:val="none"/>
          <w:lang w:val="en-US" w:eastAsia="zh-CN" w:bidi="ar-SA"/>
        </w:rPr>
        <w:t>评价小组成员名单</w:t>
      </w:r>
    </w:p>
    <w:tbl>
      <w:tblPr>
        <w:tblStyle w:val="15"/>
        <w:tblW w:w="10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66"/>
        <w:gridCol w:w="1423"/>
        <w:gridCol w:w="4641"/>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146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专家类别</w:t>
            </w:r>
          </w:p>
        </w:tc>
        <w:tc>
          <w:tcPr>
            <w:tcW w:w="142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姓名</w:t>
            </w:r>
          </w:p>
        </w:tc>
        <w:tc>
          <w:tcPr>
            <w:tcW w:w="4641"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职务/职称</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本次评价中负责工作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4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项目总负责人/财务专家</w:t>
            </w:r>
          </w:p>
        </w:tc>
        <w:tc>
          <w:tcPr>
            <w:tcW w:w="14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刘津</w:t>
            </w:r>
          </w:p>
        </w:tc>
        <w:tc>
          <w:tcPr>
            <w:tcW w:w="4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项目总监/注册会计师/税务师/资产评估师</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审核工作方案/参与现场调研/审核报告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0" w:hRule="atLeast"/>
          <w:jc w:val="center"/>
        </w:trPr>
        <w:tc>
          <w:tcPr>
            <w:tcW w:w="14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项目负责人</w:t>
            </w:r>
          </w:p>
        </w:tc>
        <w:tc>
          <w:tcPr>
            <w:tcW w:w="142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陆美惠</w:t>
            </w:r>
          </w:p>
        </w:tc>
        <w:tc>
          <w:tcPr>
            <w:tcW w:w="4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项目经理/资产评估师</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统筹评价项目工作安排/负责与市财政局、市消防救援支队日常联络/监督把控评价工作进度与质量/主导撰写绩效评价报告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4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行业专家</w:t>
            </w:r>
          </w:p>
        </w:tc>
        <w:tc>
          <w:tcPr>
            <w:tcW w:w="1423" w:type="dxa"/>
            <w:shd w:val="clear" w:color="auto" w:fill="auto"/>
            <w:vAlign w:val="center"/>
          </w:tcPr>
          <w:p>
            <w:pPr>
              <w:jc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王安军</w:t>
            </w:r>
          </w:p>
        </w:tc>
        <w:tc>
          <w:tcPr>
            <w:tcW w:w="4641" w:type="dxa"/>
            <w:shd w:val="clear" w:color="auto" w:fill="auto"/>
            <w:vAlign w:val="center"/>
          </w:tcPr>
          <w:p>
            <w:pPr>
              <w:jc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广东省消防救援总队</w:t>
            </w:r>
            <w:r>
              <w:rPr>
                <w:rFonts w:hint="eastAsia" w:ascii="宋体" w:hAnsi="宋体" w:eastAsia="宋体" w:cs="宋体"/>
                <w:i w:val="0"/>
                <w:iCs w:val="0"/>
                <w:color w:val="000000"/>
                <w:sz w:val="21"/>
                <w:szCs w:val="21"/>
                <w:highlight w:val="none"/>
                <w:u w:val="none"/>
              </w:rPr>
              <w:t>二级督导员/会计师</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审核绩效指标体系/初审项目材料/参与现场调研工作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146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项目实施人员</w:t>
            </w:r>
          </w:p>
        </w:tc>
        <w:tc>
          <w:tcPr>
            <w:tcW w:w="1423"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李吉霞</w:t>
            </w:r>
          </w:p>
        </w:tc>
        <w:tc>
          <w:tcPr>
            <w:tcW w:w="4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评审工作人员</w:t>
            </w:r>
          </w:p>
        </w:tc>
        <w:tc>
          <w:tcPr>
            <w:tcW w:w="315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整理分类材料/参与现场调研/参与撰写评价工作总结报告</w:t>
            </w:r>
          </w:p>
        </w:tc>
      </w:tr>
    </w:tbl>
    <w:p>
      <w:pPr>
        <w:pStyle w:val="22"/>
        <w:rPr>
          <w:rFonts w:hint="default" w:ascii="黑体" w:hAnsi="黑体" w:eastAsia="黑体" w:cs="黑体"/>
          <w:sz w:val="32"/>
          <w:szCs w:val="32"/>
          <w:highlight w:val="none"/>
          <w:lang w:val="en-US" w:eastAsia="zh-CN"/>
        </w:rPr>
      </w:pPr>
    </w:p>
    <w:p>
      <w:pPr>
        <w:rPr>
          <w:highlight w:val="none"/>
        </w:rPr>
      </w:pPr>
    </w:p>
    <w:sectPr>
      <w:pgSz w:w="11906" w:h="16838"/>
      <w:pgMar w:top="720" w:right="720" w:bottom="720" w:left="720" w:header="851" w:footer="454" w:gutter="0"/>
      <w:pgBorders>
        <w:top w:val="none" w:sz="0" w:space="0"/>
        <w:left w:val="none" w:sz="0" w:space="0"/>
        <w:bottom w:val="none" w:sz="0" w:space="0"/>
        <w:right w:val="none" w:sz="0" w:space="0"/>
      </w:pgBorders>
      <w:pgNumType w:fmt="numberInDash"/>
      <w:cols w:space="0" w:num="1"/>
      <w:rtlGutter w:val="0"/>
      <w:docGrid w:type="lines" w:linePitch="32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Droid Sans">
    <w:altName w:val="Noto Serif CJK JP"/>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footnote>
  <w:footnote w:type="continuationSeparator" w:id="11">
    <w:p/>
  </w:footnote>
  <w:footnote w:id="0">
    <w:p>
      <w:pPr>
        <w:pStyle w:val="12"/>
        <w:snapToGrid w:val="0"/>
        <w:rPr>
          <w:rFonts w:hint="eastAsia" w:ascii="仿宋_GB2312" w:hAnsi="仿宋_GB2312" w:eastAsia="仿宋_GB2312" w:cs="仿宋_GB2312"/>
          <w:lang w:val="en-US" w:eastAsia="zh-CN"/>
        </w:rPr>
      </w:pPr>
      <w:r>
        <w:rPr>
          <w:rStyle w:val="21"/>
        </w:rPr>
        <w:footnoteRef/>
      </w:r>
      <w:r>
        <w:rPr>
          <w:rFonts w:hint="eastAsia" w:ascii="仿宋_GB2312" w:hAnsi="仿宋_GB2312" w:cs="仿宋_GB2312"/>
        </w:rPr>
        <w:t xml:space="preserve"> </w:t>
      </w:r>
      <w:r>
        <w:rPr>
          <w:rFonts w:hint="eastAsia" w:ascii="仿宋_GB2312" w:hAnsi="仿宋_GB2312" w:cs="仿宋_GB2312"/>
          <w:lang w:val="en-US" w:eastAsia="zh-CN"/>
        </w:rPr>
        <w:t>每季度支出金额分别为200.18万元、1,920.52万元、2,663.45万元和4,620.14万元。</w:t>
      </w:r>
    </w:p>
  </w:footnote>
  <w:footnote w:id="1">
    <w:p>
      <w:pPr>
        <w:pStyle w:val="12"/>
        <w:snapToGrid w:val="0"/>
        <w:rPr>
          <w:rFonts w:hint="default" w:eastAsia="仿宋_GB2312"/>
          <w:lang w:val="en-US" w:eastAsia="zh-CN"/>
        </w:rPr>
      </w:pPr>
      <w:r>
        <w:rPr>
          <w:rStyle w:val="21"/>
        </w:rPr>
        <w:footnoteRef/>
      </w:r>
      <w:r>
        <w:t xml:space="preserve"> </w:t>
      </w:r>
      <w:r>
        <w:rPr>
          <w:rFonts w:hint="eastAsia"/>
          <w:lang w:val="en-US" w:eastAsia="zh-CN"/>
        </w:rPr>
        <w:t>资产总额包含</w:t>
      </w:r>
      <w:r>
        <w:rPr>
          <w:rFonts w:hint="eastAsia"/>
        </w:rPr>
        <w:t>中央和地方经费</w:t>
      </w:r>
      <w:r>
        <w:rPr>
          <w:rFonts w:hint="eastAsia"/>
          <w:lang w:val="en-US" w:eastAsia="zh-CN"/>
        </w:rPr>
        <w:t>所购置的资产。</w:t>
      </w:r>
    </w:p>
  </w:footnote>
  <w:footnote w:id="2">
    <w:p>
      <w:pPr>
        <w:pStyle w:val="12"/>
        <w:snapToGrid w:val="0"/>
        <w:rPr>
          <w:rFonts w:hint="default" w:eastAsia="仿宋_GB2312"/>
          <w:lang w:val="en-US" w:eastAsia="zh-CN"/>
        </w:rPr>
      </w:pPr>
      <w:r>
        <w:rPr>
          <w:rStyle w:val="21"/>
        </w:rPr>
        <w:footnoteRef/>
      </w:r>
      <w:r>
        <w:t xml:space="preserve"> </w:t>
      </w:r>
      <w:r>
        <w:rPr>
          <w:rFonts w:hint="eastAsia"/>
          <w:lang w:val="en-US" w:eastAsia="zh-CN"/>
        </w:rPr>
        <w:t>考虑市消防救援支队特殊性，项目支出多数也为日常公用运转类，该处数据包括基本支出和项目支出公用经费。</w:t>
      </w:r>
    </w:p>
  </w:footnote>
  <w:footnote w:id="3">
    <w:p>
      <w:pPr>
        <w:pStyle w:val="12"/>
        <w:snapToGrid w:val="0"/>
        <w:rPr>
          <w:rFonts w:hint="eastAsia" w:ascii="仿宋_GB2312" w:hAnsi="仿宋_GB2312" w:eastAsia="仿宋_GB2312" w:cs="仿宋_GB2312"/>
          <w:lang w:val="en-US" w:eastAsia="zh-CN"/>
        </w:rPr>
      </w:pPr>
      <w:r>
        <w:rPr>
          <w:rStyle w:val="21"/>
          <w:rFonts w:hint="eastAsia" w:ascii="仿宋_GB2312" w:hAnsi="仿宋_GB2312" w:cs="仿宋_GB2312"/>
        </w:rPr>
        <w:footnoteRef/>
      </w:r>
      <w:r>
        <w:rPr>
          <w:rFonts w:hint="eastAsia" w:ascii="仿宋_GB2312" w:hAnsi="仿宋_GB2312" w:cs="仿宋_GB2312"/>
        </w:rPr>
        <w:t xml:space="preserve"> </w:t>
      </w:r>
      <w:r>
        <w:rPr>
          <w:rFonts w:hint="eastAsia" w:ascii="仿宋_GB2312" w:hAnsi="仿宋_GB2312" w:cs="仿宋_GB2312"/>
          <w:lang w:val="en-US" w:eastAsia="zh-CN"/>
        </w:rPr>
        <w:t>重点工作完成率=18/22+1/22*0%+2/22*60%+1/22*60%=90%</w:t>
      </w:r>
    </w:p>
  </w:footnote>
  <w:footnote w:id="4">
    <w:p>
      <w:pPr>
        <w:pStyle w:val="12"/>
        <w:snapToGrid w:val="0"/>
        <w:rPr>
          <w:rFonts w:hint="eastAsia" w:ascii="仿宋_GB2312" w:hAnsi="仿宋_GB2312" w:eastAsia="仿宋_GB2312" w:cs="仿宋_GB2312"/>
          <w:lang w:val="en-US" w:eastAsia="zh-CN"/>
        </w:rPr>
      </w:pPr>
      <w:r>
        <w:rPr>
          <w:rStyle w:val="21"/>
          <w:rFonts w:hint="eastAsia" w:ascii="仿宋_GB2312" w:hAnsi="仿宋_GB2312" w:cs="仿宋_GB2312"/>
        </w:rPr>
        <w:footnoteRef/>
      </w:r>
      <w:r>
        <w:rPr>
          <w:rFonts w:hint="eastAsia" w:ascii="仿宋_GB2312" w:hAnsi="仿宋_GB2312" w:cs="仿宋_GB2312"/>
        </w:rPr>
        <w:t xml:space="preserve"> 2018、2020年直接财产损失</w:t>
      </w:r>
      <w:r>
        <w:rPr>
          <w:rFonts w:hint="eastAsia" w:ascii="仿宋_GB2312" w:hAnsi="仿宋_GB2312" w:cs="仿宋_GB2312"/>
          <w:lang w:val="en-US" w:eastAsia="zh-CN"/>
        </w:rPr>
        <w:t>分别为842.20万元和1,105.38万元，</w:t>
      </w:r>
      <w:r>
        <w:rPr>
          <w:rFonts w:hint="eastAsia" w:ascii="仿宋_GB2312" w:hAnsi="仿宋_GB2312" w:cs="仿宋_GB2312"/>
        </w:rPr>
        <w:t>平均值</w:t>
      </w:r>
      <w:r>
        <w:rPr>
          <w:rFonts w:hint="eastAsia" w:ascii="仿宋_GB2312" w:hAnsi="仿宋_GB2312" w:cs="仿宋_GB2312"/>
          <w:lang w:val="en-US" w:eastAsia="zh-CN"/>
        </w:rPr>
        <w:t>为973.79万元。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62"/>
  <w:displayHorizontalDrawingGridEvery w:val="1"/>
  <w:displayVerticalDrawingGridEvery w:val="1"/>
  <w:noPunctuationKerning w:val="true"/>
  <w:characterSpacingControl w:val="compressPunctuation"/>
  <w:footnotePr>
    <w:footnote w:id="10"/>
    <w:footnote w:id="1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OWFlMjcwMjlhN2RiZjQ0YzQ0YWJjZDYwYmMwOGYifQ=="/>
  </w:docVars>
  <w:rsids>
    <w:rsidRoot w:val="7EB72085"/>
    <w:rsid w:val="000C0884"/>
    <w:rsid w:val="00B82CEC"/>
    <w:rsid w:val="00E70FAA"/>
    <w:rsid w:val="0224427E"/>
    <w:rsid w:val="02B54AFC"/>
    <w:rsid w:val="02E60F9B"/>
    <w:rsid w:val="03714588"/>
    <w:rsid w:val="0495080F"/>
    <w:rsid w:val="0500227D"/>
    <w:rsid w:val="05051CEF"/>
    <w:rsid w:val="05566518"/>
    <w:rsid w:val="056F3671"/>
    <w:rsid w:val="0600764C"/>
    <w:rsid w:val="06B34CED"/>
    <w:rsid w:val="06DC00A4"/>
    <w:rsid w:val="06E046ED"/>
    <w:rsid w:val="06F834E1"/>
    <w:rsid w:val="0733175B"/>
    <w:rsid w:val="07510FCB"/>
    <w:rsid w:val="088A1E0E"/>
    <w:rsid w:val="088E008F"/>
    <w:rsid w:val="08BD69F0"/>
    <w:rsid w:val="09D37CB2"/>
    <w:rsid w:val="0AB8308E"/>
    <w:rsid w:val="0AC54753"/>
    <w:rsid w:val="0BF5302C"/>
    <w:rsid w:val="0CE73B93"/>
    <w:rsid w:val="0DC56955"/>
    <w:rsid w:val="0E8004E8"/>
    <w:rsid w:val="0E90238A"/>
    <w:rsid w:val="0E9D3A94"/>
    <w:rsid w:val="0F207902"/>
    <w:rsid w:val="0F7279A6"/>
    <w:rsid w:val="102D7720"/>
    <w:rsid w:val="10B26CBA"/>
    <w:rsid w:val="11205B89"/>
    <w:rsid w:val="112B72EB"/>
    <w:rsid w:val="11761DF9"/>
    <w:rsid w:val="11EA1FF9"/>
    <w:rsid w:val="133A151B"/>
    <w:rsid w:val="14375906"/>
    <w:rsid w:val="15282C23"/>
    <w:rsid w:val="15A24B3A"/>
    <w:rsid w:val="160E258B"/>
    <w:rsid w:val="168416E0"/>
    <w:rsid w:val="16983AB9"/>
    <w:rsid w:val="16DA0960"/>
    <w:rsid w:val="17076516"/>
    <w:rsid w:val="175D3B6A"/>
    <w:rsid w:val="179A1DDC"/>
    <w:rsid w:val="185B7983"/>
    <w:rsid w:val="189C111D"/>
    <w:rsid w:val="18CE5C46"/>
    <w:rsid w:val="18D96FF7"/>
    <w:rsid w:val="18F320F2"/>
    <w:rsid w:val="18FE1AE5"/>
    <w:rsid w:val="19D05064"/>
    <w:rsid w:val="1AC13CB4"/>
    <w:rsid w:val="1B7B1A18"/>
    <w:rsid w:val="1B8226DF"/>
    <w:rsid w:val="1CE763D8"/>
    <w:rsid w:val="1D170865"/>
    <w:rsid w:val="1D2D6A47"/>
    <w:rsid w:val="1D7801D3"/>
    <w:rsid w:val="1DCF10B6"/>
    <w:rsid w:val="1E310863"/>
    <w:rsid w:val="1E403668"/>
    <w:rsid w:val="1E6402C2"/>
    <w:rsid w:val="1EE469B9"/>
    <w:rsid w:val="204E0321"/>
    <w:rsid w:val="21FD24D1"/>
    <w:rsid w:val="22187BF6"/>
    <w:rsid w:val="237348FA"/>
    <w:rsid w:val="23AE6ABD"/>
    <w:rsid w:val="248B0764"/>
    <w:rsid w:val="24C96C36"/>
    <w:rsid w:val="2610789E"/>
    <w:rsid w:val="261D45BE"/>
    <w:rsid w:val="27166024"/>
    <w:rsid w:val="27932431"/>
    <w:rsid w:val="27AF6C5E"/>
    <w:rsid w:val="27B06358"/>
    <w:rsid w:val="27FC5CE7"/>
    <w:rsid w:val="28556108"/>
    <w:rsid w:val="286B15D4"/>
    <w:rsid w:val="28813C95"/>
    <w:rsid w:val="28A51A90"/>
    <w:rsid w:val="28B3647F"/>
    <w:rsid w:val="28B66E1B"/>
    <w:rsid w:val="28BD36C6"/>
    <w:rsid w:val="28E514B5"/>
    <w:rsid w:val="29012120"/>
    <w:rsid w:val="2A782E12"/>
    <w:rsid w:val="2B51167C"/>
    <w:rsid w:val="2BCA5280"/>
    <w:rsid w:val="2C362090"/>
    <w:rsid w:val="2C496C6B"/>
    <w:rsid w:val="2C8B2374"/>
    <w:rsid w:val="2CBF1284"/>
    <w:rsid w:val="2CEA421B"/>
    <w:rsid w:val="2D821E04"/>
    <w:rsid w:val="2DB41456"/>
    <w:rsid w:val="2E210FF1"/>
    <w:rsid w:val="2EBF5B79"/>
    <w:rsid w:val="2FE46AC5"/>
    <w:rsid w:val="2FFB66D8"/>
    <w:rsid w:val="303F6EFB"/>
    <w:rsid w:val="30565C51"/>
    <w:rsid w:val="305B66F7"/>
    <w:rsid w:val="31863318"/>
    <w:rsid w:val="322F37A1"/>
    <w:rsid w:val="328A6305"/>
    <w:rsid w:val="32987847"/>
    <w:rsid w:val="32F250C4"/>
    <w:rsid w:val="332302C4"/>
    <w:rsid w:val="33D07633"/>
    <w:rsid w:val="33E06E94"/>
    <w:rsid w:val="34EA1C52"/>
    <w:rsid w:val="36723CB3"/>
    <w:rsid w:val="37384447"/>
    <w:rsid w:val="379960DD"/>
    <w:rsid w:val="380E329C"/>
    <w:rsid w:val="38D42523"/>
    <w:rsid w:val="39576DE8"/>
    <w:rsid w:val="3A8E0B23"/>
    <w:rsid w:val="3AFA36DF"/>
    <w:rsid w:val="3B2A004C"/>
    <w:rsid w:val="3BCB0446"/>
    <w:rsid w:val="3BF65D8A"/>
    <w:rsid w:val="3CD033FC"/>
    <w:rsid w:val="3D2739C8"/>
    <w:rsid w:val="3DD10684"/>
    <w:rsid w:val="3DF5485D"/>
    <w:rsid w:val="3E6622F9"/>
    <w:rsid w:val="3EB17390"/>
    <w:rsid w:val="3EDE4DC2"/>
    <w:rsid w:val="3F426DBF"/>
    <w:rsid w:val="40672885"/>
    <w:rsid w:val="41337738"/>
    <w:rsid w:val="41ED4193"/>
    <w:rsid w:val="41F677F9"/>
    <w:rsid w:val="42875147"/>
    <w:rsid w:val="43622053"/>
    <w:rsid w:val="437218FD"/>
    <w:rsid w:val="438E52C4"/>
    <w:rsid w:val="43AD74F4"/>
    <w:rsid w:val="456D6721"/>
    <w:rsid w:val="45717940"/>
    <w:rsid w:val="45843980"/>
    <w:rsid w:val="45AB6E8D"/>
    <w:rsid w:val="475C32D4"/>
    <w:rsid w:val="47822D1E"/>
    <w:rsid w:val="481813C6"/>
    <w:rsid w:val="4A0A7788"/>
    <w:rsid w:val="4BFB3CCF"/>
    <w:rsid w:val="4CE26FEC"/>
    <w:rsid w:val="4CE31B88"/>
    <w:rsid w:val="4D2C4D77"/>
    <w:rsid w:val="4D6945E9"/>
    <w:rsid w:val="4DE44862"/>
    <w:rsid w:val="4E1D0738"/>
    <w:rsid w:val="4E622175"/>
    <w:rsid w:val="4F163943"/>
    <w:rsid w:val="4FDF7053"/>
    <w:rsid w:val="50C33BCB"/>
    <w:rsid w:val="50C47B30"/>
    <w:rsid w:val="50D94B90"/>
    <w:rsid w:val="50F97914"/>
    <w:rsid w:val="513B3E05"/>
    <w:rsid w:val="51D91A20"/>
    <w:rsid w:val="52BB30A8"/>
    <w:rsid w:val="52C52B2E"/>
    <w:rsid w:val="52D27B05"/>
    <w:rsid w:val="52E209E3"/>
    <w:rsid w:val="53A61D7A"/>
    <w:rsid w:val="53C63FC0"/>
    <w:rsid w:val="555818F7"/>
    <w:rsid w:val="55581E8F"/>
    <w:rsid w:val="55C27CC0"/>
    <w:rsid w:val="56076C39"/>
    <w:rsid w:val="56A809A5"/>
    <w:rsid w:val="56B3048E"/>
    <w:rsid w:val="56F00C22"/>
    <w:rsid w:val="58494595"/>
    <w:rsid w:val="58E121C7"/>
    <w:rsid w:val="5973188A"/>
    <w:rsid w:val="59950925"/>
    <w:rsid w:val="5A85572C"/>
    <w:rsid w:val="5A872BE3"/>
    <w:rsid w:val="5A924B63"/>
    <w:rsid w:val="5AC05F72"/>
    <w:rsid w:val="5B1619FE"/>
    <w:rsid w:val="5B21162A"/>
    <w:rsid w:val="5B3F648F"/>
    <w:rsid w:val="5C611522"/>
    <w:rsid w:val="5CB762E9"/>
    <w:rsid w:val="5CC5383F"/>
    <w:rsid w:val="5D4E17A0"/>
    <w:rsid w:val="5D796643"/>
    <w:rsid w:val="5DEA1E32"/>
    <w:rsid w:val="5E32590B"/>
    <w:rsid w:val="5EB1382B"/>
    <w:rsid w:val="5F2C3B94"/>
    <w:rsid w:val="5FF05A6E"/>
    <w:rsid w:val="604832BD"/>
    <w:rsid w:val="61F70A88"/>
    <w:rsid w:val="62123CB5"/>
    <w:rsid w:val="62B23B6C"/>
    <w:rsid w:val="635C0F13"/>
    <w:rsid w:val="648E3B40"/>
    <w:rsid w:val="64CB3841"/>
    <w:rsid w:val="64F02101"/>
    <w:rsid w:val="652B6DC0"/>
    <w:rsid w:val="658137B1"/>
    <w:rsid w:val="658C1D98"/>
    <w:rsid w:val="660B2C49"/>
    <w:rsid w:val="666606D6"/>
    <w:rsid w:val="66666A8A"/>
    <w:rsid w:val="66D333E8"/>
    <w:rsid w:val="670D5600"/>
    <w:rsid w:val="673B05AD"/>
    <w:rsid w:val="674C08E0"/>
    <w:rsid w:val="678241B6"/>
    <w:rsid w:val="679E3E90"/>
    <w:rsid w:val="684D58C8"/>
    <w:rsid w:val="68766D33"/>
    <w:rsid w:val="6902021C"/>
    <w:rsid w:val="691C7D63"/>
    <w:rsid w:val="69EE5D11"/>
    <w:rsid w:val="6A17088F"/>
    <w:rsid w:val="6A245CDD"/>
    <w:rsid w:val="6C377ED7"/>
    <w:rsid w:val="6C5117A4"/>
    <w:rsid w:val="6C6E1B57"/>
    <w:rsid w:val="6CA6053D"/>
    <w:rsid w:val="6EC312D7"/>
    <w:rsid w:val="6ED05D9B"/>
    <w:rsid w:val="6F8A37EA"/>
    <w:rsid w:val="706C184A"/>
    <w:rsid w:val="70A47445"/>
    <w:rsid w:val="70DD5B9B"/>
    <w:rsid w:val="72A06747"/>
    <w:rsid w:val="72D2623F"/>
    <w:rsid w:val="72D40C58"/>
    <w:rsid w:val="736B123F"/>
    <w:rsid w:val="74604CCB"/>
    <w:rsid w:val="759D1695"/>
    <w:rsid w:val="76DE43A6"/>
    <w:rsid w:val="76EC75C5"/>
    <w:rsid w:val="776A18AF"/>
    <w:rsid w:val="77725321"/>
    <w:rsid w:val="77CE4AA6"/>
    <w:rsid w:val="77FC27D9"/>
    <w:rsid w:val="78542BE7"/>
    <w:rsid w:val="78F93D4A"/>
    <w:rsid w:val="7B32179E"/>
    <w:rsid w:val="7B822759"/>
    <w:rsid w:val="7C380BA0"/>
    <w:rsid w:val="7CC74CF3"/>
    <w:rsid w:val="7D327672"/>
    <w:rsid w:val="7DA67B5F"/>
    <w:rsid w:val="7E0039B9"/>
    <w:rsid w:val="7E0C42A6"/>
    <w:rsid w:val="7EB72085"/>
    <w:rsid w:val="B9EDF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9"/>
    <w:pPr>
      <w:spacing w:line="360" w:lineRule="auto"/>
      <w:ind w:firstLine="1040" w:firstLineChars="200"/>
      <w:jc w:val="left"/>
      <w:outlineLvl w:val="2"/>
    </w:pPr>
    <w:rPr>
      <w:rFonts w:hint="eastAsia" w:ascii="仿宋_GB2312" w:hAnsi="仿宋_GB2312" w:eastAsia="仿宋_GB2312"/>
      <w:b/>
      <w:kern w:val="0"/>
      <w:sz w:val="32"/>
      <w:szCs w:val="27"/>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qFormat/>
    <w:uiPriority w:val="1"/>
    <w:pPr>
      <w:ind w:left="400"/>
    </w:pPr>
    <w:rPr>
      <w:rFonts w:ascii="仿宋" w:hAnsi="仿宋" w:eastAsia="仿宋" w:cs="仿宋"/>
      <w:sz w:val="32"/>
      <w:szCs w:val="32"/>
      <w:lang w:val="zh-CN" w:bidi="zh-CN"/>
    </w:rPr>
  </w:style>
  <w:style w:type="paragraph" w:styleId="8">
    <w:name w:val="Body Text Indent"/>
    <w:basedOn w:val="1"/>
    <w:qFormat/>
    <w:uiPriority w:val="0"/>
    <w:pPr>
      <w:spacing w:line="360" w:lineRule="auto"/>
      <w:ind w:firstLine="480" w:firstLineChars="200"/>
    </w:pPr>
    <w:rPr>
      <w:rFonts w:ascii="仿宋_GB2312" w:hAnsi="仿宋_GB2312" w:eastAsia="仿宋_GB2312" w:cs="仿宋_GB2312"/>
      <w:sz w:val="32"/>
      <w:szCs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spacing w:before="120" w:after="120"/>
      <w:jc w:val="left"/>
    </w:pPr>
    <w:rPr>
      <w:rFonts w:ascii="Calibri" w:hAnsi="Calibri"/>
      <w:b/>
      <w:bCs/>
      <w:caps/>
      <w:sz w:val="20"/>
      <w:szCs w:val="20"/>
    </w:rPr>
  </w:style>
  <w:style w:type="paragraph" w:styleId="12">
    <w:name w:val="footnote text"/>
    <w:basedOn w:val="1"/>
    <w:qFormat/>
    <w:uiPriority w:val="0"/>
    <w:pPr>
      <w:snapToGrid w:val="0"/>
      <w:jc w:val="left"/>
    </w:pPr>
    <w:rPr>
      <w:rFonts w:ascii="Droid Sans" w:hAnsi="Droid Sans" w:eastAsia="仿宋_GB2312"/>
    </w:rPr>
  </w:style>
  <w:style w:type="paragraph" w:styleId="13">
    <w:name w:val="toc 2"/>
    <w:basedOn w:val="1"/>
    <w:next w:val="1"/>
    <w:qFormat/>
    <w:uiPriority w:val="0"/>
    <w:pPr>
      <w:ind w:left="420" w:leftChars="200"/>
    </w:pPr>
  </w:style>
  <w:style w:type="paragraph" w:styleId="14">
    <w:name w:val="Body Text 2"/>
    <w:basedOn w:val="1"/>
    <w:unhideWhenUsed/>
    <w:qFormat/>
    <w:uiPriority w:val="99"/>
    <w:pPr>
      <w:spacing w:after="120" w:line="480" w:lineRule="auto"/>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FollowedHyperlink"/>
    <w:basedOn w:val="17"/>
    <w:qFormat/>
    <w:uiPriority w:val="0"/>
    <w:rPr>
      <w:color w:val="333333"/>
      <w:u w:val="none"/>
    </w:rPr>
  </w:style>
  <w:style w:type="character" w:styleId="20">
    <w:name w:val="Hyperlink"/>
    <w:basedOn w:val="17"/>
    <w:qFormat/>
    <w:uiPriority w:val="0"/>
    <w:rPr>
      <w:color w:val="333333"/>
      <w:u w:val="none"/>
    </w:rPr>
  </w:style>
  <w:style w:type="character" w:styleId="21">
    <w:name w:val="footnote reference"/>
    <w:qFormat/>
    <w:uiPriority w:val="0"/>
    <w:rPr>
      <w:vertAlign w:val="superscript"/>
    </w:rPr>
  </w:style>
  <w:style w:type="paragraph" w:customStyle="1" w:styleId="22">
    <w:name w:val="BodyText"/>
    <w:basedOn w:val="1"/>
    <w:qFormat/>
    <w:uiPriority w:val="0"/>
    <w:pPr>
      <w:spacing w:after="120"/>
      <w:textAlignment w:val="baseline"/>
    </w:pPr>
    <w:rPr>
      <w:rFonts w:ascii="Calibri" w:hAnsi="Calibri"/>
    </w:rPr>
  </w:style>
  <w:style w:type="paragraph" w:customStyle="1" w:styleId="23">
    <w:name w:val="Normal Indent1"/>
    <w:basedOn w:val="1"/>
    <w:qFormat/>
    <w:uiPriority w:val="0"/>
    <w:pPr>
      <w:ind w:firstLine="200" w:firstLineChars="200"/>
    </w:p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 w:type="paragraph" w:customStyle="1" w:styleId="25">
    <w:name w:val="WPSOffice手动目录 2"/>
    <w:qFormat/>
    <w:uiPriority w:val="0"/>
    <w:pPr>
      <w:ind w:leftChars="200"/>
    </w:pPr>
    <w:rPr>
      <w:rFonts w:asciiTheme="minorHAnsi" w:hAnsiTheme="minorHAnsi" w:eastAsiaTheme="minorEastAsia" w:cstheme="minorBidi"/>
      <w:sz w:val="20"/>
      <w:szCs w:val="20"/>
    </w:rPr>
  </w:style>
  <w:style w:type="character" w:customStyle="1" w:styleId="26">
    <w:name w:val="font91"/>
    <w:basedOn w:val="17"/>
    <w:qFormat/>
    <w:uiPriority w:val="0"/>
    <w:rPr>
      <w:rFonts w:hint="eastAsia" w:ascii="宋体" w:hAnsi="宋体" w:eastAsia="宋体" w:cs="宋体"/>
      <w:color w:val="000000"/>
      <w:sz w:val="28"/>
      <w:szCs w:val="28"/>
      <w:u w:val="none"/>
    </w:rPr>
  </w:style>
  <w:style w:type="character" w:customStyle="1" w:styleId="27">
    <w:name w:val="font21"/>
    <w:basedOn w:val="17"/>
    <w:qFormat/>
    <w:uiPriority w:val="0"/>
    <w:rPr>
      <w:rFonts w:hint="eastAsia" w:ascii="宋体" w:hAnsi="宋体" w:eastAsia="宋体" w:cs="宋体"/>
      <w:b/>
      <w:bCs/>
      <w:color w:val="000000"/>
      <w:sz w:val="18"/>
      <w:szCs w:val="18"/>
      <w:u w:val="none"/>
    </w:rPr>
  </w:style>
  <w:style w:type="character" w:customStyle="1" w:styleId="28">
    <w:name w:val="font31"/>
    <w:basedOn w:val="17"/>
    <w:qFormat/>
    <w:uiPriority w:val="0"/>
    <w:rPr>
      <w:rFonts w:hint="eastAsia" w:ascii="宋体" w:hAnsi="宋体" w:eastAsia="宋体" w:cs="宋体"/>
      <w:color w:val="000000"/>
      <w:sz w:val="18"/>
      <w:szCs w:val="18"/>
      <w:u w:val="none"/>
    </w:rPr>
  </w:style>
  <w:style w:type="character" w:customStyle="1" w:styleId="29">
    <w:name w:val="font51"/>
    <w:basedOn w:val="17"/>
    <w:qFormat/>
    <w:uiPriority w:val="0"/>
    <w:rPr>
      <w:rFonts w:hint="eastAsia" w:ascii="宋体" w:hAnsi="宋体" w:eastAsia="宋体" w:cs="宋体"/>
      <w:color w:val="FF0000"/>
      <w:sz w:val="18"/>
      <w:szCs w:val="18"/>
      <w:u w:val="none"/>
    </w:rPr>
  </w:style>
  <w:style w:type="character" w:customStyle="1" w:styleId="30">
    <w:name w:val="font01"/>
    <w:basedOn w:val="17"/>
    <w:qFormat/>
    <w:uiPriority w:val="0"/>
    <w:rPr>
      <w:rFonts w:hint="eastAsia" w:ascii="宋体" w:hAnsi="宋体" w:eastAsia="宋体" w:cs="宋体"/>
      <w:color w:val="000000"/>
      <w:sz w:val="22"/>
      <w:szCs w:val="22"/>
      <w:u w:val="none"/>
    </w:rPr>
  </w:style>
  <w:style w:type="paragraph" w:customStyle="1" w:styleId="31">
    <w:name w:val="PlainText"/>
    <w:qFormat/>
    <w:uiPriority w:val="0"/>
    <w:pPr>
      <w:widowControl w:val="0"/>
      <w:spacing w:line="240" w:lineRule="auto"/>
      <w:jc w:val="both"/>
      <w:textAlignment w:val="baseline"/>
    </w:pPr>
    <w:rPr>
      <w:rFonts w:ascii="宋体" w:hAnsi="Courier New" w:eastAsia="宋体" w:cs="Times New Roman"/>
      <w:kern w:val="2"/>
      <w:sz w:val="21"/>
      <w:lang w:val="en-US" w:eastAsia="zh-CN" w:bidi="ar-SA"/>
    </w:rPr>
  </w:style>
  <w:style w:type="character" w:customStyle="1" w:styleId="32">
    <w:name w:val="font11"/>
    <w:basedOn w:val="1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6700;&#38754;\175276306_0_&#20851;&#20110;&#23545;&#38902;&#20851;&#28040;&#38450;&#25937;&#25588;&#25903;&#38431;&#37096;&#38376;&#25972;&#20307;&#28385;&#24847;&#24230;&#35843;&#26597;&#38382;&#21367;_103_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spPr>
            <a:gradFill>
              <a:gsLst>
                <a:gs pos="0">
                  <a:schemeClr val="accent1"/>
                </a:gs>
                <a:gs pos="100000">
                  <a:schemeClr val="accent1">
                    <a:lumMod val="84000"/>
                  </a:schemeClr>
                </a:gs>
              </a:gsLst>
              <a:lin ang="5400000" scaled="true"/>
            </a:gradFill>
            <a:ln>
              <a:noFill/>
            </a:ln>
            <a:effectLst>
              <a:outerShdw blurRad="76200" dir="18900000" sy="23000" kx="-1200000" algn="bl" rotWithShape="0">
                <a:prstClr val="black">
                  <a:alpha val="20000"/>
                </a:prstClr>
              </a:outerShdw>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1" i="0" u="none" strike="noStrike" kern="1200" baseline="0">
                    <a:solidFill>
                      <a:sysClr val="windowText" lastClr="000000"/>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[175276306_0_关于对韶关消防救援支队部门整体满意度调查问卷_103_103.xlsx]Sheet2!$B$6:$B$8</c:f>
              <c:strCache>
                <c:ptCount val="3"/>
                <c:pt idx="0">
                  <c:v>比较满意</c:v>
                </c:pt>
                <c:pt idx="1">
                  <c:v>满意</c:v>
                </c:pt>
                <c:pt idx="2">
                  <c:v>一般</c:v>
                </c:pt>
              </c:strCache>
            </c:strRef>
          </c:cat>
          <c:val>
            <c:numRef>
              <c:f>[175276306_0_关于对韶关消防救援支队部门整体满意度调查问卷_103_103.xlsx]Sheet2!$D$6:$D$8</c:f>
              <c:numCache>
                <c:formatCode>0.00%</c:formatCode>
                <c:ptCount val="3"/>
                <c:pt idx="0">
                  <c:v>0.640776699029126</c:v>
                </c:pt>
                <c:pt idx="1">
                  <c:v>0.339805825242718</c:v>
                </c:pt>
                <c:pt idx="2">
                  <c:v>0.0194174757281553</c:v>
                </c:pt>
              </c:numCache>
            </c:numRef>
          </c:val>
        </c:ser>
        <c:dLbls>
          <c:showLegendKey val="false"/>
          <c:showVal val="true"/>
          <c:showCatName val="false"/>
          <c:showSerName val="false"/>
          <c:showPercent val="false"/>
          <c:showBubbleSize val="false"/>
        </c:dLbls>
        <c:gapWidth val="41"/>
        <c:overlap val="0"/>
        <c:axId val="617926023"/>
        <c:axId val="730165552"/>
      </c:barChart>
      <c:catAx>
        <c:axId val="617926023"/>
        <c:scaling>
          <c:orientation val="minMax"/>
        </c:scaling>
        <c:delete val="false"/>
        <c:axPos val="b"/>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dk1">
                    <a:lumMod val="65000"/>
                    <a:lumOff val="35000"/>
                  </a:schemeClr>
                </a:solidFill>
                <a:effectLst/>
                <a:latin typeface="+mn-lt"/>
                <a:ea typeface="+mn-ea"/>
                <a:cs typeface="+mn-cs"/>
              </a:defRPr>
            </a:pPr>
          </a:p>
        </c:txPr>
        <c:crossAx val="730165552"/>
        <c:crosses val="autoZero"/>
        <c:auto val="true"/>
        <c:lblAlgn val="ctr"/>
        <c:lblOffset val="100"/>
        <c:noMultiLvlLbl val="false"/>
      </c:catAx>
      <c:valAx>
        <c:axId val="730165552"/>
        <c:scaling>
          <c:orientation val="minMax"/>
        </c:scaling>
        <c:delete val="true"/>
        <c:axPos val="l"/>
        <c:numFmt formatCode="0.00%"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dk1">
                    <a:lumMod val="65000"/>
                    <a:lumOff val="35000"/>
                  </a:schemeClr>
                </a:solidFill>
                <a:latin typeface="+mn-lt"/>
                <a:ea typeface="+mn-ea"/>
                <a:cs typeface="+mn-cs"/>
              </a:defRPr>
            </a:pPr>
          </a:p>
        </c:txPr>
        <c:crossAx val="617926023"/>
        <c:crosses val="autoZero"/>
        <c:crossBetween val="between"/>
      </c:valAx>
      <c:spPr>
        <a:noFill/>
        <a:ln>
          <a:noFill/>
        </a:ln>
        <a:effectLst/>
      </c:spPr>
    </c:plotArea>
    <c:plotVisOnly val="true"/>
    <c:dispBlanksAs val="gap"/>
    <c:showDLblsOverMax val="false"/>
  </c:chart>
  <c:spPr>
    <a:gradFill flip="none" rotWithShape="true">
      <a:gsLst>
        <a:gs pos="0">
          <a:schemeClr val="lt1"/>
        </a:gs>
        <a:gs pos="68000">
          <a:schemeClr val="lt1">
            <a:lumMod val="85000"/>
          </a:schemeClr>
        </a:gs>
        <a:gs pos="100000">
          <a:schemeClr val="lt1"/>
        </a:gs>
      </a:gsLst>
      <a:lin ang="5400000" scaled="true"/>
    </a:gradFill>
    <a:ln w="9525" cap="flat" cmpd="sng" algn="ctr">
      <a:solidFill>
        <a:schemeClr val="dk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true">
        <a:gsLst>
          <a:gs pos="0">
            <a:schemeClr val="lt1"/>
          </a:gs>
          <a:gs pos="68000">
            <a:schemeClr val="lt1">
              <a:lumMod val="85000"/>
            </a:schemeClr>
          </a:gs>
          <a:gs pos="100000">
            <a:schemeClr val="lt1"/>
          </a:gs>
        </a:gsLst>
        <a:lin ang="5400000" scaled="true"/>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true">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true"/>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true"/>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true"/>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true"/>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23770</Words>
  <Characters>26299</Characters>
  <Lines>1</Lines>
  <Paragraphs>1</Paragraphs>
  <TotalTime>15</TotalTime>
  <ScaleCrop>false</ScaleCrop>
  <LinksUpToDate>false</LinksUpToDate>
  <CharactersWithSpaces>26400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2019-12-26T17:26:00Z</dcterms:created>
  <dc:creator>xiaofei li</dc:creator>
  <cp:lastModifiedBy>user</cp:lastModifiedBy>
  <cp:lastPrinted>2022-12-15T17:26:00Z</cp:lastPrinted>
  <dcterms:modified xsi:type="dcterms:W3CDTF">2023-02-15T16:41:22Z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0E808B55423547848481348C4E937DAC</vt:lpwstr>
  </property>
  <property fmtid="{D5CDD505-2E9C-101B-9397-08002B2CF9AE}" pid="4" name="commondata">
    <vt:lpwstr>eyJoZGlkIjoiMzIzMTA0ZDNmYWMzYmMzNWUyNjIzZDAyOTkyNTFjYTYifQ==</vt:lpwstr>
  </property>
  <property fmtid="{D5CDD505-2E9C-101B-9397-08002B2CF9AE}" pid="5" name="ribbonExt">
    <vt:lpwstr>{"WPSExtOfficeTab":{"OnGetEnabled":false,"OnGetVisible":false}}</vt:lpwstr>
  </property>
</Properties>
</file>