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640"/>
        <w:rPr>
          <w:rFonts w:ascii="仿宋_GB2312" w:hAnsi="仿宋"/>
          <w:sz w:val="28"/>
          <w:szCs w:val="28"/>
        </w:rPr>
      </w:pPr>
    </w:p>
    <w:p>
      <w:pPr>
        <w:widowControl w:val="0"/>
        <w:spacing w:line="240" w:lineRule="auto"/>
        <w:ind w:firstLine="0" w:firstLineChars="0"/>
        <w:jc w:val="both"/>
        <w:rPr>
          <w:rFonts w:hint="eastAsia" w:ascii="黑体" w:hAnsi="黑体" w:eastAsia="黑体" w:cs="黑体"/>
          <w:color w:val="auto"/>
          <w:kern w:val="2"/>
          <w:szCs w:val="28"/>
          <w:lang w:eastAsia="zh-CN"/>
        </w:rPr>
      </w:pPr>
      <w:r>
        <w:rPr>
          <w:rFonts w:hint="eastAsia" w:ascii="黑体" w:hAnsi="黑体" w:eastAsia="黑体" w:cs="黑体"/>
          <w:color w:val="auto"/>
          <w:kern w:val="2"/>
          <w:szCs w:val="28"/>
          <w:lang w:eastAsia="zh-CN"/>
        </w:rPr>
        <w:t>附件</w:t>
      </w:r>
    </w:p>
    <w:p>
      <w:pPr>
        <w:snapToGrid w:val="0"/>
        <w:ind w:firstLine="640"/>
        <w:rPr>
          <w:rFonts w:cs="Times New Roman" w:eastAsiaTheme="minorEastAsia"/>
          <w:bCs/>
          <w:szCs w:val="32"/>
        </w:rPr>
      </w:pPr>
    </w:p>
    <w:p>
      <w:pPr>
        <w:snapToGrid w:val="0"/>
        <w:ind w:firstLine="640"/>
        <w:rPr>
          <w:rFonts w:cs="Times New Roman" w:eastAsiaTheme="minorEastAsia"/>
          <w:bCs/>
          <w:szCs w:val="32"/>
        </w:rPr>
      </w:pPr>
    </w:p>
    <w:p>
      <w:pPr>
        <w:snapToGrid w:val="0"/>
        <w:ind w:firstLine="640"/>
        <w:rPr>
          <w:rFonts w:cs="Times New Roman" w:eastAsiaTheme="minorEastAsia"/>
          <w:bCs/>
          <w:szCs w:val="32"/>
        </w:rPr>
      </w:pPr>
    </w:p>
    <w:p>
      <w:pPr>
        <w:pStyle w:val="24"/>
        <w:rPr>
          <w:rFonts w:cs="Times New Roman" w:eastAsiaTheme="minorEastAsia"/>
          <w:bCs/>
          <w:szCs w:val="32"/>
        </w:rPr>
      </w:pPr>
    </w:p>
    <w:p/>
    <w:p>
      <w:pPr>
        <w:adjustRightInd w:val="0"/>
        <w:snapToGrid w:val="0"/>
        <w:spacing w:line="360" w:lineRule="auto"/>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韶关市残疾人联合会2021年度</w:t>
      </w:r>
    </w:p>
    <w:p>
      <w:pPr>
        <w:adjustRightInd w:val="0"/>
        <w:snapToGrid w:val="0"/>
        <w:spacing w:line="360" w:lineRule="auto"/>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部门整体支出绩效评价报告</w:t>
      </w:r>
    </w:p>
    <w:p>
      <w:pPr>
        <w:widowControl w:val="0"/>
        <w:ind w:firstLine="0" w:firstLineChars="0"/>
        <w:rPr>
          <w:rFonts w:cs="Times New Roman"/>
          <w:kern w:val="2"/>
          <w:szCs w:val="28"/>
        </w:rPr>
      </w:pPr>
    </w:p>
    <w:p>
      <w:pPr>
        <w:widowControl w:val="0"/>
        <w:ind w:firstLine="0" w:firstLineChars="0"/>
        <w:rPr>
          <w:rFonts w:cs="Times New Roman"/>
          <w:kern w:val="2"/>
          <w:szCs w:val="28"/>
        </w:rPr>
      </w:pPr>
    </w:p>
    <w:p>
      <w:pPr>
        <w:pStyle w:val="11"/>
        <w:ind w:firstLine="640"/>
        <w:rPr>
          <w:rFonts w:cs="Times New Roman"/>
          <w:kern w:val="2"/>
          <w:szCs w:val="28"/>
        </w:rPr>
      </w:pPr>
      <w:bookmarkStart w:id="241" w:name="_GoBack"/>
      <w:bookmarkEnd w:id="241"/>
    </w:p>
    <w:p>
      <w:pPr>
        <w:pStyle w:val="11"/>
        <w:ind w:firstLine="640"/>
        <w:rPr>
          <w:rFonts w:cs="Times New Roman"/>
          <w:kern w:val="2"/>
          <w:szCs w:val="28"/>
        </w:rPr>
      </w:pPr>
    </w:p>
    <w:p>
      <w:pPr>
        <w:pStyle w:val="11"/>
        <w:ind w:firstLine="0" w:firstLineChars="0"/>
        <w:rPr>
          <w:rFonts w:cs="Times New Roman"/>
          <w:kern w:val="2"/>
          <w:szCs w:val="28"/>
        </w:rPr>
      </w:pPr>
    </w:p>
    <w:p>
      <w:pPr>
        <w:widowControl w:val="0"/>
        <w:ind w:firstLine="0" w:firstLineChars="0"/>
        <w:rPr>
          <w:rFonts w:cs="Times New Roman"/>
          <w:kern w:val="2"/>
          <w:szCs w:val="28"/>
        </w:rPr>
      </w:pPr>
    </w:p>
    <w:p>
      <w:pPr>
        <w:pStyle w:val="2"/>
      </w:pPr>
    </w:p>
    <w:p>
      <w:pPr>
        <w:widowControl w:val="0"/>
        <w:ind w:firstLine="0" w:firstLineChars="0"/>
        <w:rPr>
          <w:rFonts w:cs="Times New Roman"/>
          <w:kern w:val="2"/>
          <w:szCs w:val="28"/>
        </w:rPr>
      </w:pPr>
    </w:p>
    <w:p>
      <w:pPr>
        <w:snapToGrid w:val="0"/>
        <w:ind w:firstLine="640"/>
        <w:rPr>
          <w:rFonts w:cs="Times New Roman" w:eastAsiaTheme="minorEastAsia"/>
          <w:bCs/>
          <w:szCs w:val="32"/>
        </w:rPr>
      </w:pPr>
      <w:r>
        <w:rPr>
          <w:rFonts w:cs="Times New Roman" w:eastAsiaTheme="minorEastAsia"/>
          <w:bCs/>
          <w:szCs w:val="32"/>
        </w:rPr>
        <w:t>评价机构：</w:t>
      </w:r>
      <w:bookmarkStart w:id="0" w:name="_Hlk45031114"/>
      <w:r>
        <w:rPr>
          <w:rFonts w:cs="Times New Roman" w:eastAsiaTheme="minorEastAsia"/>
          <w:bCs/>
          <w:szCs w:val="32"/>
        </w:rPr>
        <w:t>广东中大管理咨询集团股份有限公司</w:t>
      </w:r>
      <w:bookmarkEnd w:id="0"/>
    </w:p>
    <w:p>
      <w:pPr>
        <w:snapToGrid w:val="0"/>
        <w:ind w:firstLine="643" w:firstLineChars="0"/>
        <w:rPr>
          <w:rFonts w:cs="Times New Roman" w:eastAsiaTheme="minorEastAsia"/>
          <w:bCs/>
          <w:szCs w:val="32"/>
        </w:rPr>
      </w:pPr>
      <w:r>
        <w:rPr>
          <w:rFonts w:cs="Times New Roman" w:eastAsiaTheme="minorEastAsia"/>
          <w:bCs/>
          <w:szCs w:val="32"/>
        </w:rPr>
        <w:t>机构负责人：吴少华</w:t>
      </w:r>
    </w:p>
    <w:p>
      <w:pPr>
        <w:snapToGrid w:val="0"/>
        <w:ind w:firstLine="640"/>
        <w:rPr>
          <w:rFonts w:cs="Times New Roman" w:eastAsiaTheme="minorEastAsia"/>
          <w:bCs/>
          <w:szCs w:val="32"/>
        </w:rPr>
      </w:pPr>
      <w:r>
        <w:rPr>
          <w:rFonts w:cs="Times New Roman" w:eastAsiaTheme="minorEastAsia"/>
          <w:bCs/>
          <w:szCs w:val="32"/>
        </w:rPr>
        <w:t>项目负责人：邓    瑶</w:t>
      </w:r>
    </w:p>
    <w:p>
      <w:pPr>
        <w:pStyle w:val="24"/>
      </w:pPr>
    </w:p>
    <w:p>
      <w:pPr>
        <w:pStyle w:val="27"/>
        <w:rPr>
          <w:rFonts w:cs="Times New Roman"/>
          <w:color w:val="000000" w:themeColor="text1"/>
          <w:sz w:val="32"/>
          <w:szCs w:val="32"/>
          <w:shd w:val="clear" w:color="auto" w:fill="FFFFFF"/>
          <w14:textFill>
            <w14:solidFill>
              <w14:schemeClr w14:val="tx1"/>
            </w14:solidFill>
          </w14:textFill>
        </w:rPr>
        <w:sectPr>
          <w:headerReference r:id="rId4" w:type="default"/>
          <w:footerReference r:id="rId5" w:type="default"/>
          <w:pgSz w:w="11906" w:h="16838"/>
          <w:pgMar w:top="1440" w:right="1418" w:bottom="1440" w:left="1531" w:header="851" w:footer="992" w:gutter="0"/>
          <w:pgNumType w:fmt="numberInDash" w:start="1"/>
          <w:cols w:space="425" w:num="1"/>
          <w:docGrid w:type="lines" w:linePitch="435" w:charSpace="0"/>
        </w:sectPr>
      </w:pPr>
      <w:bookmarkStart w:id="1" w:name="_Toc106890094"/>
      <w:bookmarkStart w:id="2" w:name="_Toc80308174"/>
      <w:bookmarkStart w:id="3" w:name="_Toc79466291"/>
      <w:bookmarkStart w:id="4" w:name="_Toc78791021"/>
      <w:bookmarkStart w:id="5" w:name="_Toc77840582"/>
    </w:p>
    <w:p>
      <w:pPr>
        <w:pStyle w:val="27"/>
        <w:keepNext w:val="0"/>
        <w:keepLines w:val="0"/>
        <w:pageBreakBefore w:val="0"/>
        <w:widowControl/>
        <w:kinsoku/>
        <w:wordWrap/>
        <w:overflowPunct/>
        <w:topLinePunct w:val="0"/>
        <w:autoSpaceDE/>
        <w:autoSpaceDN/>
        <w:bidi w:val="0"/>
        <w:adjustRightInd/>
        <w:snapToGrid/>
        <w:spacing w:before="0" w:after="0"/>
        <w:textAlignment w:val="auto"/>
        <w:outlineLvl w:val="9"/>
        <w:rPr>
          <w:rFonts w:cs="Times New Roman"/>
          <w:color w:val="000000" w:themeColor="text1"/>
          <w:sz w:val="32"/>
          <w:szCs w:val="32"/>
          <w:shd w:val="clear" w:color="auto" w:fill="FFFFFF"/>
          <w14:textFill>
            <w14:solidFill>
              <w14:schemeClr w14:val="tx1"/>
            </w14:solidFill>
          </w14:textFill>
        </w:rPr>
      </w:pPr>
      <w:r>
        <w:rPr>
          <w:rFonts w:cs="Times New Roman"/>
          <w:color w:val="000000" w:themeColor="text1"/>
          <w:sz w:val="32"/>
          <w:szCs w:val="32"/>
          <w:shd w:val="clear" w:color="auto" w:fill="FFFFFF"/>
          <w14:textFill>
            <w14:solidFill>
              <w14:schemeClr w14:val="tx1"/>
            </w14:solidFill>
          </w14:textFill>
        </w:rPr>
        <w:t>摘  要</w:t>
      </w:r>
      <w:bookmarkEnd w:id="1"/>
      <w:bookmarkEnd w:id="2"/>
      <w:bookmarkEnd w:id="3"/>
      <w:bookmarkEnd w:id="4"/>
      <w:bookmarkEnd w:id="5"/>
    </w:p>
    <w:p>
      <w:pPr>
        <w:ind w:firstLine="64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受韶关市财政局委托，</w:t>
      </w:r>
      <w:r>
        <w:rPr>
          <w:rFonts w:cs="Times New Roman"/>
          <w:bCs/>
          <w:szCs w:val="32"/>
        </w:rPr>
        <w:t>广东中大管理咨询集团股份有限公司</w:t>
      </w:r>
      <w:r>
        <w:rPr>
          <w:rFonts w:cs="Times New Roman"/>
          <w:color w:val="000000" w:themeColor="text1"/>
          <w14:textFill>
            <w14:solidFill>
              <w14:schemeClr w14:val="tx1"/>
            </w14:solidFill>
          </w14:textFill>
        </w:rPr>
        <w:t>于2022年5-8月，</w:t>
      </w:r>
      <w:r>
        <w:rPr>
          <w:rStyle w:val="141"/>
          <w:rFonts w:ascii="Times New Roman" w:hAnsi="Times New Roman" w:cs="Times New Roman"/>
        </w:rPr>
        <w:t>按照“绩效目标导向，兼顾过程与结果，定量为主定性为辅，坚持客观性与公正性”的原则，</w:t>
      </w:r>
      <w:r>
        <w:rPr>
          <w:rFonts w:cs="Times New Roman"/>
          <w:color w:val="000000" w:themeColor="text1"/>
          <w14:textFill>
            <w14:solidFill>
              <w14:schemeClr w14:val="tx1"/>
            </w14:solidFill>
          </w14:textFill>
        </w:rPr>
        <w:t>组织专业力量</w:t>
      </w:r>
      <w:r>
        <w:rPr>
          <w:rStyle w:val="141"/>
          <w:rFonts w:ascii="Times New Roman" w:hAnsi="Times New Roman" w:cs="Times New Roman"/>
        </w:rPr>
        <w:t>，制定了绩效评价指标体系，并通过对自评材料审核、座谈交流、实地核查和现场评价等方式，</w:t>
      </w:r>
      <w:r>
        <w:rPr>
          <w:rFonts w:cs="Times New Roman"/>
          <w:color w:val="000000" w:themeColor="text1"/>
          <w14:textFill>
            <w14:solidFill>
              <w14:schemeClr w14:val="tx1"/>
            </w14:solidFill>
          </w14:textFill>
        </w:rPr>
        <w:t>对韶关市残疾人联合会</w:t>
      </w:r>
      <w:r>
        <w:rPr>
          <w:rFonts w:cs="Times New Roman"/>
          <w:szCs w:val="32"/>
        </w:rPr>
        <w:t>（以下简称市残联）</w:t>
      </w:r>
      <w:r>
        <w:rPr>
          <w:rFonts w:cs="Times New Roman"/>
          <w:color w:val="000000" w:themeColor="text1"/>
          <w14:textFill>
            <w14:solidFill>
              <w14:schemeClr w14:val="tx1"/>
            </w14:solidFill>
          </w14:textFill>
        </w:rPr>
        <w:t>2021年度整体支出的预算绩效管理情况进行绩效评价。经综合评定，评价结果为</w:t>
      </w:r>
      <w:r>
        <w:rPr>
          <w:rFonts w:hint="eastAsia" w:cs="Times New Roman"/>
          <w:color w:val="000000" w:themeColor="text1"/>
          <w:lang w:eastAsia="zh-CN"/>
          <w14:textFill>
            <w14:solidFill>
              <w14:schemeClr w14:val="tx1"/>
            </w14:solidFill>
          </w14:textFill>
        </w:rPr>
        <w:t>84.76</w:t>
      </w:r>
      <w:r>
        <w:rPr>
          <w:rFonts w:cs="Times New Roman"/>
          <w:color w:val="000000" w:themeColor="text1"/>
          <w14:textFill>
            <w14:solidFill>
              <w14:schemeClr w14:val="tx1"/>
            </w14:solidFill>
          </w14:textFill>
        </w:rPr>
        <w:t>分。</w:t>
      </w:r>
    </w:p>
    <w:p>
      <w:pPr>
        <w:ind w:firstLine="640"/>
        <w:jc w:val="both"/>
        <w:rPr>
          <w:rFonts w:cs="Times New Roman"/>
          <w:color w:val="000000" w:themeColor="text1"/>
          <w14:textFill>
            <w14:solidFill>
              <w14:schemeClr w14:val="tx1"/>
            </w14:solidFill>
          </w14:textFill>
        </w:rPr>
      </w:pPr>
      <w:r>
        <w:rPr>
          <w:rFonts w:hint="eastAsia" w:cs="Times New Roman"/>
          <w:szCs w:val="32"/>
        </w:rPr>
        <w:t>市残联</w:t>
      </w:r>
      <w:r>
        <w:rPr>
          <w:rFonts w:cs="Times New Roman"/>
          <w:color w:val="000000" w:themeColor="text1"/>
          <w14:textFill>
            <w14:solidFill>
              <w14:schemeClr w14:val="tx1"/>
            </w14:solidFill>
          </w14:textFill>
        </w:rPr>
        <w:t>部门整体支出年初预算为</w:t>
      </w:r>
      <w:r>
        <w:rPr>
          <w:rFonts w:cs="Times New Roman"/>
          <w:szCs w:val="32"/>
        </w:rPr>
        <w:t>1916.00万</w:t>
      </w:r>
      <w:r>
        <w:rPr>
          <w:rFonts w:cs="Times New Roman"/>
          <w:color w:val="000000" w:themeColor="text1"/>
          <w14:textFill>
            <w14:solidFill>
              <w14:schemeClr w14:val="tx1"/>
            </w14:solidFill>
          </w14:textFill>
        </w:rPr>
        <w:t>元，经年中预算调整，该部门调整后预算数为1605.77万元，预算调整率为16.19%；年终决算部门整体实际支出1605.77万元，部门整体支出率为100%。</w:t>
      </w:r>
    </w:p>
    <w:p>
      <w:pPr>
        <w:ind w:firstLine="64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2021年度，</w:t>
      </w:r>
      <w:r>
        <w:rPr>
          <w:rFonts w:cs="Times New Roman"/>
          <w:szCs w:val="32"/>
        </w:rPr>
        <w:t>市残联围绕提升残疾人康复水平、加大就业培训力度、做好残疾人权益保障</w:t>
      </w:r>
      <w:r>
        <w:rPr>
          <w:rFonts w:cs="Times New Roman"/>
          <w:color w:val="000000" w:themeColor="text1"/>
          <w14:textFill>
            <w14:solidFill>
              <w14:schemeClr w14:val="tx1"/>
            </w14:solidFill>
          </w14:textFill>
        </w:rPr>
        <w:t>等发展目标部署部门工作，总体而言有4项工作目标和31项关键任务指标。经评价，部门年度绩效完成情况基本符合预期，31项关键任务指标均完成，部门履职在实施精准康复、加强残疾人就业和培训、发挥残疾人协会作用等方面上取得了较好成效。</w:t>
      </w:r>
    </w:p>
    <w:p>
      <w:pPr>
        <w:ind w:firstLine="640"/>
        <w:jc w:val="both"/>
        <w:rPr>
          <w:rFonts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但</w:t>
      </w:r>
      <w:r>
        <w:rPr>
          <w:rFonts w:cs="Times New Roman"/>
          <w:color w:val="000000" w:themeColor="text1"/>
          <w14:textFill>
            <w14:solidFill>
              <w14:schemeClr w14:val="tx1"/>
            </w14:solidFill>
          </w14:textFill>
        </w:rPr>
        <w:t>部门在政府采购预算编制、固定资产管理、绩效目标管理和残疾人权益保障工作等方面上仍有待加强。具体体现在四个方面：一是</w:t>
      </w:r>
      <w:r>
        <w:rPr>
          <w:rFonts w:hint="eastAsia" w:cs="Times New Roman"/>
          <w:color w:val="000000" w:themeColor="text1"/>
          <w14:textFill>
            <w14:solidFill>
              <w14:schemeClr w14:val="tx1"/>
            </w14:solidFill>
          </w14:textFill>
        </w:rPr>
        <w:t>预算</w:t>
      </w:r>
      <w:r>
        <w:rPr>
          <w:rFonts w:cs="Times New Roman"/>
          <w:color w:val="000000" w:themeColor="text1"/>
          <w14:textFill>
            <w14:solidFill>
              <w14:schemeClr w14:val="tx1"/>
            </w14:solidFill>
          </w14:textFill>
        </w:rPr>
        <w:t>编制准确性不足，</w:t>
      </w:r>
      <w:r>
        <w:rPr>
          <w:rFonts w:hint="eastAsia" w:cs="Times New Roman"/>
          <w:color w:val="000000" w:themeColor="text1"/>
          <w14:textFill>
            <w14:solidFill>
              <w14:schemeClr w14:val="tx1"/>
            </w14:solidFill>
          </w14:textFill>
        </w:rPr>
        <w:t>政府</w:t>
      </w:r>
      <w:r>
        <w:rPr>
          <w:rFonts w:cs="Times New Roman"/>
          <w:color w:val="000000" w:themeColor="text1"/>
          <w14:textFill>
            <w14:solidFill>
              <w14:schemeClr w14:val="tx1"/>
            </w14:solidFill>
          </w14:textFill>
        </w:rPr>
        <w:t>采购预算的单价和实际采购的单价差异较大，不利于</w:t>
      </w:r>
      <w:r>
        <w:rPr>
          <w:rFonts w:hint="eastAsia" w:cs="Times New Roman"/>
          <w:color w:val="000000" w:themeColor="text1"/>
          <w:lang w:eastAsia="zh-CN"/>
          <w14:textFill>
            <w14:solidFill>
              <w14:schemeClr w14:val="tx1"/>
            </w14:solidFill>
          </w14:textFill>
        </w:rPr>
        <w:t>盘活</w:t>
      </w:r>
      <w:r>
        <w:rPr>
          <w:rFonts w:cs="Times New Roman"/>
          <w:color w:val="000000" w:themeColor="text1"/>
          <w14:textFill>
            <w14:solidFill>
              <w14:schemeClr w14:val="tx1"/>
            </w14:solidFill>
          </w14:textFill>
        </w:rPr>
        <w:t>财政资金；二是资产管理会计信息规范性不足，存在各个固定资产信息表中固定资产净值不一致的情况，不利于固定资产管理；三是部门项目工作方式有待改进，残疾人的宣传活动等受益面还有待扩大，项目资金支出的合理性不足，难以保障项目实施质量和效果；四是部门绩效目标设置</w:t>
      </w:r>
      <w:r>
        <w:rPr>
          <w:rFonts w:hint="eastAsia" w:cs="Times New Roman"/>
          <w:color w:val="000000" w:themeColor="text1"/>
          <w14:textFill>
            <w14:solidFill>
              <w14:schemeClr w14:val="tx1"/>
            </w14:solidFill>
          </w14:textFill>
        </w:rPr>
        <w:t>合理性</w:t>
      </w:r>
      <w:r>
        <w:rPr>
          <w:rFonts w:cs="Times New Roman"/>
          <w:color w:val="000000" w:themeColor="text1"/>
          <w14:textFill>
            <w14:solidFill>
              <w14:schemeClr w14:val="tx1"/>
            </w14:solidFill>
          </w14:textFill>
        </w:rPr>
        <w:t>有待提升，指标值设置偏低。</w:t>
      </w:r>
    </w:p>
    <w:p>
      <w:pPr>
        <w:ind w:firstLine="640"/>
        <w:jc w:val="both"/>
        <w:rPr>
          <w:rFonts w:cs="Times New Roman"/>
          <w:color w:val="000000" w:themeColor="text1"/>
          <w14:textFill>
            <w14:solidFill>
              <w14:schemeClr w14:val="tx1"/>
            </w14:solidFill>
          </w14:textFill>
        </w:rPr>
        <w:sectPr>
          <w:footerReference r:id="rId6" w:type="default"/>
          <w:pgSz w:w="11906" w:h="16838"/>
          <w:pgMar w:top="1440" w:right="1418" w:bottom="1440" w:left="1531" w:header="851" w:footer="992" w:gutter="0"/>
          <w:pgNumType w:fmt="numberInDash" w:start="1"/>
          <w:cols w:space="425" w:num="1"/>
          <w:docGrid w:type="lines" w:linePitch="435" w:charSpace="0"/>
        </w:sectPr>
      </w:pPr>
      <w:r>
        <w:rPr>
          <w:rFonts w:cs="Times New Roman"/>
          <w:color w:val="000000" w:themeColor="text1"/>
          <w14:textFill>
            <w14:solidFill>
              <w14:schemeClr w14:val="tx1"/>
            </w14:solidFill>
          </w14:textFill>
        </w:rPr>
        <w:t>针对不足，本报告建议：一是充分做好政府采购前期统筹管理工作，加强资金使用计划与具体采购工作安排在内容相符性，提升预算编制准确性和采购经济性；二是加强固定资产盘点和账务管理工作，加强会计人员的培训和学习，保障固定资产账账相符和账实相符；三是加大重点工作力度，优化宣传工作方式，建立项目跟踪考核机制，发挥部门在残疾人康复和就业方面的统筹协调作用，以进一步提升部门履职效益；四是加强对绩效指标的理解，完善预算绩效指标设置和绩效管理制度，提升部门的预算绩效管理水平。</w:t>
      </w:r>
    </w:p>
    <w:p>
      <w:pPr>
        <w:pStyle w:val="24"/>
        <w:ind w:firstLine="402"/>
        <w:rPr>
          <w:rFonts w:ascii="Times New Roman" w:hAnsi="Times New Roman"/>
        </w:rPr>
      </w:pPr>
    </w:p>
    <w:p>
      <w:pPr>
        <w:ind w:firstLine="640"/>
        <w:rPr>
          <w:rFonts w:cs="Times New Roman"/>
          <w:color w:val="000000" w:themeColor="text1"/>
          <w14:textFill>
            <w14:solidFill>
              <w14:schemeClr w14:val="tx1"/>
            </w14:solidFill>
          </w14:textFill>
        </w:rPr>
        <w:sectPr>
          <w:footerReference r:id="rId7" w:type="default"/>
          <w:type w:val="continuous"/>
          <w:pgSz w:w="11906" w:h="16838"/>
          <w:pgMar w:top="1440" w:right="1800" w:bottom="1440" w:left="1800" w:header="851" w:footer="992" w:gutter="0"/>
          <w:cols w:space="425" w:num="1"/>
          <w:docGrid w:type="lines" w:linePitch="312" w:charSpace="0"/>
        </w:sectPr>
      </w:pPr>
    </w:p>
    <w:sdt>
      <w:sdtPr>
        <w:rPr>
          <w:rFonts w:ascii="黑体" w:hAnsi="黑体" w:eastAsia="宋体" w:cs="Times New Roman"/>
          <w:b/>
          <w:bCs/>
          <w:smallCaps/>
          <w:sz w:val="44"/>
          <w:szCs w:val="44"/>
        </w:rPr>
        <w:id w:val="147480539"/>
        <w15:color w:val="DBDBDB"/>
        <w:docPartObj>
          <w:docPartGallery w:val="Table of Contents"/>
          <w:docPartUnique/>
        </w:docPartObj>
      </w:sdtPr>
      <w:sdtEndPr>
        <w:rPr>
          <w:rFonts w:ascii="黑体" w:hAnsi="黑体" w:eastAsia="仿宋_GB2312" w:cs="Times New Roman"/>
          <w:b/>
          <w:bCs/>
          <w:smallCaps/>
          <w:color w:val="0000FF"/>
          <w:spacing w:val="5"/>
          <w:kern w:val="28"/>
          <w:sz w:val="44"/>
          <w:szCs w:val="28"/>
        </w:rPr>
      </w:sdtEndPr>
      <w:sdtContent>
        <w:p>
          <w:pPr>
            <w:spacing w:line="240" w:lineRule="auto"/>
            <w:ind w:firstLine="0" w:firstLineChars="0"/>
            <w:jc w:val="center"/>
            <w:rPr>
              <w:rFonts w:eastAsia="宋体" w:cs="Times New Roman"/>
              <w:b/>
              <w:bCs/>
              <w:sz w:val="44"/>
              <w:szCs w:val="44"/>
            </w:rPr>
          </w:pPr>
          <w:r>
            <w:rPr>
              <w:rFonts w:eastAsia="宋体" w:cs="Times New Roman"/>
              <w:b/>
              <w:bCs/>
              <w:smallCaps/>
              <w:sz w:val="44"/>
              <w:szCs w:val="44"/>
            </w:rPr>
            <w:t>目  录</w:t>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_Toc16666 </w:instrText>
          </w:r>
          <w:r>
            <w:rPr>
              <w:rFonts w:hint="eastAsia" w:ascii="宋体" w:hAnsi="宋体" w:eastAsia="宋体" w:cs="宋体"/>
              <w:sz w:val="28"/>
              <w:szCs w:val="28"/>
            </w:rPr>
            <w:fldChar w:fldCharType="separate"/>
          </w:r>
          <w:r>
            <w:rPr>
              <w:rFonts w:hint="eastAsia" w:ascii="宋体" w:hAnsi="宋体" w:eastAsia="宋体" w:cs="宋体"/>
              <w:kern w:val="44"/>
              <w:sz w:val="28"/>
              <w:szCs w:val="28"/>
            </w:rPr>
            <w:t>一、部门基本情况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_Toc16666 \h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_Toc130 </w:instrText>
          </w:r>
          <w:r>
            <w:rPr>
              <w:rFonts w:hint="eastAsia" w:ascii="宋体" w:hAnsi="宋体" w:eastAsia="宋体" w:cs="宋体"/>
              <w:sz w:val="28"/>
              <w:szCs w:val="28"/>
            </w:rPr>
            <w:fldChar w:fldCharType="separate"/>
          </w:r>
          <w:r>
            <w:rPr>
              <w:rFonts w:hint="eastAsia" w:ascii="宋体" w:hAnsi="宋体" w:eastAsia="宋体" w:cs="宋体"/>
              <w:sz w:val="28"/>
              <w:szCs w:val="28"/>
            </w:rPr>
            <w:t>（一）部门概要。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 \h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_Toc9887 </w:instrText>
          </w:r>
          <w:r>
            <w:rPr>
              <w:rFonts w:hint="eastAsia" w:ascii="宋体" w:hAnsi="宋体" w:eastAsia="宋体" w:cs="宋体"/>
              <w:sz w:val="28"/>
              <w:szCs w:val="28"/>
            </w:rPr>
            <w:fldChar w:fldCharType="separate"/>
          </w:r>
          <w:r>
            <w:rPr>
              <w:rFonts w:hint="eastAsia" w:ascii="宋体" w:hAnsi="宋体" w:eastAsia="宋体" w:cs="宋体"/>
              <w:sz w:val="28"/>
              <w:szCs w:val="28"/>
            </w:rPr>
            <w:t>（二）年度总体工作及重点工作任务。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_Toc9887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_Toc24378 </w:instrText>
          </w:r>
          <w:r>
            <w:rPr>
              <w:rFonts w:hint="eastAsia" w:ascii="宋体" w:hAnsi="宋体" w:eastAsia="宋体" w:cs="宋体"/>
              <w:sz w:val="28"/>
              <w:szCs w:val="28"/>
            </w:rPr>
            <w:fldChar w:fldCharType="separate"/>
          </w:r>
          <w:r>
            <w:rPr>
              <w:rFonts w:hint="eastAsia" w:ascii="宋体" w:hAnsi="宋体" w:eastAsia="宋体" w:cs="宋体"/>
              <w:sz w:val="28"/>
              <w:szCs w:val="28"/>
            </w:rPr>
            <w:t>（三）部门整体支出绩效目标。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_Toc24378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_Toc27849 </w:instrText>
          </w:r>
          <w:r>
            <w:rPr>
              <w:rFonts w:hint="eastAsia" w:ascii="宋体" w:hAnsi="宋体" w:eastAsia="宋体" w:cs="宋体"/>
              <w:sz w:val="28"/>
              <w:szCs w:val="28"/>
            </w:rPr>
            <w:fldChar w:fldCharType="separate"/>
          </w:r>
          <w:r>
            <w:rPr>
              <w:rFonts w:hint="eastAsia" w:ascii="宋体" w:hAnsi="宋体" w:eastAsia="宋体" w:cs="宋体"/>
              <w:sz w:val="28"/>
              <w:szCs w:val="28"/>
            </w:rPr>
            <w:t>（四）部门整体收支情况。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_Toc27849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_Toc13678 </w:instrText>
          </w:r>
          <w:r>
            <w:rPr>
              <w:rFonts w:hint="eastAsia" w:ascii="宋体" w:hAnsi="宋体" w:eastAsia="宋体" w:cs="宋体"/>
              <w:sz w:val="28"/>
              <w:szCs w:val="28"/>
            </w:rPr>
            <w:fldChar w:fldCharType="separate"/>
          </w:r>
          <w:r>
            <w:rPr>
              <w:rFonts w:hint="eastAsia" w:ascii="宋体" w:hAnsi="宋体" w:eastAsia="宋体" w:cs="宋体"/>
              <w:kern w:val="44"/>
              <w:sz w:val="28"/>
              <w:szCs w:val="28"/>
            </w:rPr>
            <w:t>二、绩效评价指标分析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_Toc13678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 </w:instrText>
          </w:r>
          <w:r>
            <w:rPr>
              <w:rFonts w:hint="eastAsia" w:ascii="宋体" w:hAnsi="宋体" w:eastAsia="宋体" w:cs="宋体"/>
              <w:sz w:val="28"/>
              <w:szCs w:val="28"/>
            </w:rPr>
            <w:fldChar w:fldCharType="separate"/>
          </w:r>
          <w:r>
            <w:rPr>
              <w:rFonts w:hint="eastAsia" w:ascii="宋体" w:hAnsi="宋体" w:eastAsia="宋体" w:cs="宋体"/>
              <w:sz w:val="28"/>
              <w:szCs w:val="28"/>
            </w:rPr>
            <w:t>（一）年度工作任务及绩效目标完成情况。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_Toc32681 </w:instrText>
          </w:r>
          <w:r>
            <w:rPr>
              <w:rFonts w:hint="eastAsia" w:ascii="宋体" w:hAnsi="宋体" w:eastAsia="宋体" w:cs="宋体"/>
              <w:sz w:val="28"/>
              <w:szCs w:val="28"/>
            </w:rPr>
            <w:fldChar w:fldCharType="separate"/>
          </w:r>
          <w:r>
            <w:rPr>
              <w:rFonts w:hint="eastAsia" w:ascii="宋体" w:hAnsi="宋体" w:eastAsia="宋体" w:cs="宋体"/>
              <w:sz w:val="28"/>
              <w:szCs w:val="28"/>
            </w:rPr>
            <w:t>（二）指标分析。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_Toc32681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_Toc9766 </w:instrText>
          </w:r>
          <w:r>
            <w:rPr>
              <w:rFonts w:hint="eastAsia" w:ascii="宋体" w:hAnsi="宋体" w:eastAsia="宋体" w:cs="宋体"/>
              <w:sz w:val="28"/>
              <w:szCs w:val="28"/>
            </w:rPr>
            <w:fldChar w:fldCharType="separate"/>
          </w:r>
          <w:r>
            <w:rPr>
              <w:rFonts w:hint="eastAsia" w:ascii="宋体" w:hAnsi="宋体" w:eastAsia="宋体" w:cs="宋体"/>
              <w:kern w:val="44"/>
              <w:sz w:val="28"/>
              <w:szCs w:val="28"/>
            </w:rPr>
            <w:t>三、 评价结论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_Toc9766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_Toc14230 </w:instrText>
          </w:r>
          <w:r>
            <w:rPr>
              <w:rFonts w:hint="eastAsia" w:ascii="宋体" w:hAnsi="宋体" w:eastAsia="宋体" w:cs="宋体"/>
              <w:sz w:val="28"/>
              <w:szCs w:val="28"/>
            </w:rPr>
            <w:fldChar w:fldCharType="separate"/>
          </w:r>
          <w:r>
            <w:rPr>
              <w:rFonts w:hint="eastAsia" w:ascii="宋体" w:hAnsi="宋体" w:eastAsia="宋体" w:cs="宋体"/>
              <w:kern w:val="44"/>
              <w:sz w:val="28"/>
              <w:szCs w:val="28"/>
            </w:rPr>
            <w:t>四、 主要绩效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_Toc14230 \h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_Toc30012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（一）精准实施残疾人康复工作，不断提高康复服务效果。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_Toc30012 \h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_Toc9302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（二）加强残疾人教育就业培训，全面提升就业创业能力。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_Toc9302 \h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_Toc25878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（三）切实维护残疾人合法权益，丰富精神文化体育生活。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_Toc25878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_Toc26144 </w:instrText>
          </w:r>
          <w:r>
            <w:rPr>
              <w:rFonts w:hint="eastAsia" w:ascii="宋体" w:hAnsi="宋体" w:eastAsia="宋体" w:cs="宋体"/>
              <w:sz w:val="28"/>
              <w:szCs w:val="28"/>
            </w:rPr>
            <w:fldChar w:fldCharType="separate"/>
          </w:r>
          <w:r>
            <w:rPr>
              <w:rFonts w:hint="eastAsia" w:ascii="宋体" w:hAnsi="宋体" w:eastAsia="宋体" w:cs="宋体"/>
              <w:kern w:val="44"/>
              <w:sz w:val="28"/>
              <w:szCs w:val="28"/>
            </w:rPr>
            <w:t>五、存在问题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_Toc26144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_Toc20692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（一）部门年初预算编制合理性不足，不利于盘活财政资金。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_Toc20692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_Toc24628 </w:instrText>
          </w:r>
          <w:r>
            <w:rPr>
              <w:rFonts w:hint="eastAsia" w:ascii="宋体" w:hAnsi="宋体" w:eastAsia="宋体" w:cs="宋体"/>
              <w:sz w:val="28"/>
              <w:szCs w:val="28"/>
            </w:rPr>
            <w:fldChar w:fldCharType="separate"/>
          </w:r>
          <w:r>
            <w:rPr>
              <w:rFonts w:hint="eastAsia" w:ascii="宋体" w:hAnsi="宋体" w:eastAsia="宋体" w:cs="宋体"/>
              <w:sz w:val="28"/>
              <w:szCs w:val="28"/>
            </w:rPr>
            <w:t>（二）固定资产信息规范性待改进，不利于保障资产安全。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_Toc24628 \h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_Toc14544 </w:instrText>
          </w:r>
          <w:r>
            <w:rPr>
              <w:rFonts w:hint="eastAsia" w:ascii="宋体" w:hAnsi="宋体" w:eastAsia="宋体" w:cs="宋体"/>
              <w:sz w:val="28"/>
              <w:szCs w:val="28"/>
            </w:rPr>
            <w:fldChar w:fldCharType="separate"/>
          </w:r>
          <w:r>
            <w:rPr>
              <w:rFonts w:hint="eastAsia" w:ascii="宋体" w:hAnsi="宋体" w:eastAsia="宋体" w:cs="宋体"/>
              <w:sz w:val="28"/>
              <w:szCs w:val="28"/>
            </w:rPr>
            <w:t>（三）部分项目工作方式存在不足，影响项目的效益发挥。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_Toc14544 \h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_Toc31540 </w:instrText>
          </w:r>
          <w:r>
            <w:rPr>
              <w:rFonts w:hint="eastAsia" w:ascii="宋体" w:hAnsi="宋体" w:eastAsia="宋体" w:cs="宋体"/>
              <w:sz w:val="28"/>
              <w:szCs w:val="28"/>
            </w:rPr>
            <w:fldChar w:fldCharType="separate"/>
          </w:r>
          <w:r>
            <w:rPr>
              <w:rFonts w:hint="eastAsia" w:ascii="宋体" w:hAnsi="宋体" w:eastAsia="宋体" w:cs="宋体"/>
              <w:sz w:val="28"/>
              <w:szCs w:val="28"/>
            </w:rPr>
            <w:t>（四）绩效目标设置合理性待提升，指标计划值设置偏低。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_Toc31540 \h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_Toc28176 </w:instrText>
          </w:r>
          <w:r>
            <w:rPr>
              <w:rFonts w:hint="eastAsia" w:ascii="宋体" w:hAnsi="宋体" w:eastAsia="宋体" w:cs="宋体"/>
              <w:sz w:val="28"/>
              <w:szCs w:val="28"/>
            </w:rPr>
            <w:fldChar w:fldCharType="separate"/>
          </w:r>
          <w:r>
            <w:rPr>
              <w:rFonts w:hint="eastAsia" w:ascii="宋体" w:hAnsi="宋体" w:eastAsia="宋体" w:cs="宋体"/>
              <w:kern w:val="44"/>
              <w:sz w:val="28"/>
              <w:szCs w:val="28"/>
            </w:rPr>
            <w:t>六、相关建议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_Toc28176 \h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_Toc19283 </w:instrText>
          </w:r>
          <w:r>
            <w:rPr>
              <w:rFonts w:hint="eastAsia" w:ascii="宋体" w:hAnsi="宋体" w:eastAsia="宋体" w:cs="宋体"/>
              <w:sz w:val="28"/>
              <w:szCs w:val="28"/>
            </w:rPr>
            <w:fldChar w:fldCharType="separate"/>
          </w:r>
          <w:r>
            <w:rPr>
              <w:rFonts w:hint="eastAsia" w:ascii="宋体" w:hAnsi="宋体" w:eastAsia="宋体" w:cs="宋体"/>
              <w:sz w:val="28"/>
              <w:szCs w:val="28"/>
            </w:rPr>
            <w:t>（一）充分做好前期准备工作，优化采购预算编制工作。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_Toc19283 \h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_Toc9780 </w:instrText>
          </w:r>
          <w:r>
            <w:rPr>
              <w:rFonts w:hint="eastAsia" w:ascii="宋体" w:hAnsi="宋体" w:eastAsia="宋体" w:cs="宋体"/>
              <w:sz w:val="28"/>
              <w:szCs w:val="28"/>
            </w:rPr>
            <w:fldChar w:fldCharType="separate"/>
          </w:r>
          <w:r>
            <w:rPr>
              <w:rFonts w:hint="eastAsia" w:ascii="宋体" w:hAnsi="宋体" w:eastAsia="宋体" w:cs="宋体"/>
              <w:sz w:val="28"/>
              <w:szCs w:val="28"/>
            </w:rPr>
            <w:t>（二）加强财务人员培训工作，提升财务会计信息质量。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_Toc9780 \h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_Toc16643 </w:instrText>
          </w:r>
          <w:r>
            <w:rPr>
              <w:rFonts w:hint="eastAsia" w:ascii="宋体" w:hAnsi="宋体" w:eastAsia="宋体" w:cs="宋体"/>
              <w:sz w:val="28"/>
              <w:szCs w:val="28"/>
            </w:rPr>
            <w:fldChar w:fldCharType="separate"/>
          </w:r>
          <w:r>
            <w:rPr>
              <w:rFonts w:hint="eastAsia" w:ascii="宋体" w:hAnsi="宋体" w:eastAsia="宋体" w:cs="宋体"/>
              <w:sz w:val="28"/>
              <w:szCs w:val="28"/>
            </w:rPr>
            <w:t>（三）优化项目工作方式方法，提升项目实施社会效益。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_Toc16643 \h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_Toc9202 </w:instrText>
          </w:r>
          <w:r>
            <w:rPr>
              <w:rFonts w:hint="eastAsia" w:ascii="宋体" w:hAnsi="宋体" w:eastAsia="宋体" w:cs="宋体"/>
              <w:sz w:val="28"/>
              <w:szCs w:val="28"/>
            </w:rPr>
            <w:fldChar w:fldCharType="separate"/>
          </w:r>
          <w:r>
            <w:rPr>
              <w:rFonts w:hint="eastAsia" w:ascii="宋体" w:hAnsi="宋体" w:eastAsia="宋体" w:cs="宋体"/>
              <w:sz w:val="28"/>
              <w:szCs w:val="28"/>
            </w:rPr>
            <w:t>（四）加强对绩效目标的理解，提高绩效指标合理性。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_Toc9202 \h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附件1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 \h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958"/>
              <w:tab w:val="clear" w:pos="8297"/>
            </w:tabs>
            <w:spacing w:before="0" w:after="0" w:line="44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_Toc16479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附件2</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_Toc16479 \h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4"/>
            <w:tabs>
              <w:tab w:val="right" w:leader="dot" w:pos="8958"/>
              <w:tab w:val="clear" w:pos="8297"/>
            </w:tabs>
            <w:spacing w:line="440" w:lineRule="exact"/>
            <w:ind w:left="0"/>
            <w:rPr>
              <w:b/>
              <w:bCs/>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_Toc6152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附件3</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_Toc6152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- 39 -</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307"/>
              <w:tab w:val="clear" w:pos="8297"/>
            </w:tabs>
            <w:spacing w:line="400" w:lineRule="exact"/>
            <w:ind w:firstLine="402"/>
            <w:jc w:val="both"/>
            <w:rPr>
              <w:rFonts w:ascii="Times New Roman" w:hAnsi="Times New Roman" w:eastAsia="仿宋_GB2312"/>
              <w:b/>
              <w:bCs/>
              <w:color w:val="0000FF"/>
              <w:sz w:val="28"/>
              <w:szCs w:val="28"/>
            </w:rPr>
            <w:sectPr>
              <w:headerReference r:id="rId8" w:type="default"/>
              <w:footerReference r:id="rId9" w:type="default"/>
              <w:type w:val="continuous"/>
              <w:pgSz w:w="11907" w:h="16839"/>
              <w:pgMar w:top="1440" w:right="1418" w:bottom="1440" w:left="1531" w:header="720" w:footer="720" w:gutter="0"/>
              <w:pgNumType w:fmt="upperRoman" w:start="1"/>
              <w:cols w:space="720" w:num="1"/>
              <w:docGrid w:linePitch="435" w:charSpace="0"/>
            </w:sectPr>
          </w:pPr>
          <w:r>
            <w:rPr>
              <w:rFonts w:ascii="Times New Roman" w:hAnsi="Times New Roman"/>
            </w:rPr>
            <w:fldChar w:fldCharType="end"/>
          </w:r>
        </w:p>
      </w:sdtContent>
    </w:sdt>
    <w:p>
      <w:pPr>
        <w:pStyle w:val="3"/>
        <w:widowControl w:val="0"/>
        <w:spacing w:before="0" w:beforeLines="0" w:after="0" w:afterLines="0" w:line="360" w:lineRule="auto"/>
        <w:ind w:firstLine="640"/>
        <w:jc w:val="both"/>
        <w:rPr>
          <w:rFonts w:eastAsia="黑体" w:cs="Times New Roman"/>
          <w:b w:val="0"/>
          <w:kern w:val="44"/>
          <w:szCs w:val="20"/>
        </w:rPr>
      </w:pPr>
      <w:bookmarkStart w:id="6" w:name="_Toc510902979"/>
      <w:bookmarkStart w:id="7" w:name="_Toc10727"/>
      <w:bookmarkStart w:id="8" w:name="_Toc20470106"/>
      <w:bookmarkStart w:id="9" w:name="_Toc23695"/>
      <w:bookmarkStart w:id="10" w:name="_Toc52124750"/>
      <w:bookmarkStart w:id="11" w:name="_Toc16666"/>
      <w:bookmarkStart w:id="12" w:name="_Toc7765"/>
      <w:bookmarkStart w:id="13" w:name="_Toc12104"/>
      <w:bookmarkStart w:id="14" w:name="_Toc52124780"/>
      <w:r>
        <w:rPr>
          <w:rFonts w:eastAsia="黑体" w:cs="Times New Roman"/>
          <w:b w:val="0"/>
          <w:kern w:val="44"/>
          <w:szCs w:val="20"/>
        </w:rPr>
        <w:t>一、部门</w:t>
      </w:r>
      <w:bookmarkEnd w:id="6"/>
      <w:r>
        <w:rPr>
          <w:rFonts w:eastAsia="黑体" w:cs="Times New Roman"/>
          <w:b w:val="0"/>
          <w:kern w:val="44"/>
          <w:szCs w:val="20"/>
        </w:rPr>
        <w:t>基本情况</w:t>
      </w:r>
      <w:bookmarkEnd w:id="7"/>
      <w:bookmarkEnd w:id="8"/>
      <w:bookmarkEnd w:id="9"/>
      <w:bookmarkEnd w:id="10"/>
      <w:bookmarkEnd w:id="11"/>
      <w:bookmarkEnd w:id="12"/>
      <w:bookmarkEnd w:id="13"/>
      <w:r>
        <w:rPr>
          <w:rFonts w:eastAsia="黑体" w:cs="Times New Roman"/>
          <w:b w:val="0"/>
          <w:kern w:val="44"/>
          <w:szCs w:val="20"/>
        </w:rPr>
        <w:t xml:space="preserve"> </w:t>
      </w:r>
    </w:p>
    <w:p>
      <w:pPr>
        <w:ind w:firstLine="640"/>
        <w:outlineLvl w:val="1"/>
        <w:rPr>
          <w:rFonts w:eastAsia="楷体_GB2312" w:cs="Times New Roman"/>
          <w:szCs w:val="32"/>
        </w:rPr>
      </w:pPr>
      <w:bookmarkStart w:id="15" w:name="_Toc114664776"/>
      <w:bookmarkStart w:id="16" w:name="_Toc112424044"/>
      <w:bookmarkStart w:id="17" w:name="_Toc20603"/>
      <w:bookmarkStart w:id="18" w:name="_Toc289"/>
      <w:bookmarkStart w:id="19" w:name="_Toc5110"/>
      <w:bookmarkStart w:id="20" w:name="_Toc130"/>
      <w:bookmarkStart w:id="21" w:name="_Hlk43729757"/>
      <w:r>
        <w:rPr>
          <w:rFonts w:eastAsia="楷体_GB2312" w:cs="Times New Roman"/>
          <w:szCs w:val="32"/>
        </w:rPr>
        <w:t>（一）部门概要。</w:t>
      </w:r>
      <w:bookmarkEnd w:id="15"/>
      <w:bookmarkEnd w:id="16"/>
      <w:bookmarkEnd w:id="17"/>
      <w:bookmarkEnd w:id="18"/>
      <w:bookmarkEnd w:id="19"/>
      <w:bookmarkEnd w:id="20"/>
    </w:p>
    <w:p>
      <w:pPr>
        <w:ind w:firstLine="643"/>
        <w:outlineLvl w:val="2"/>
        <w:rPr>
          <w:rFonts w:cs="Times New Roman"/>
          <w:b/>
          <w:bCs/>
          <w:szCs w:val="32"/>
        </w:rPr>
      </w:pPr>
      <w:bookmarkStart w:id="22" w:name="_Toc114664777"/>
      <w:bookmarkStart w:id="23" w:name="_Toc112424045"/>
      <w:r>
        <w:rPr>
          <w:rFonts w:cs="Times New Roman"/>
          <w:b/>
          <w:bCs/>
          <w:szCs w:val="32"/>
        </w:rPr>
        <w:t>1.部门主要职能</w:t>
      </w:r>
      <w:bookmarkEnd w:id="22"/>
      <w:bookmarkEnd w:id="23"/>
    </w:p>
    <w:p>
      <w:pPr>
        <w:widowControl w:val="0"/>
        <w:ind w:firstLine="640"/>
        <w:jc w:val="both"/>
        <w:rPr>
          <w:rFonts w:cs="Times New Roman"/>
          <w:kern w:val="2"/>
        </w:rPr>
      </w:pPr>
      <w:r>
        <w:rPr>
          <w:rFonts w:cs="Times New Roman"/>
          <w:szCs w:val="32"/>
        </w:rPr>
        <w:t>市残联是中国残疾人联合会的地方组织，是将残疾人自身代表组织、社会福利团体和事业管理机构融为一体的残疾人事业团</w:t>
      </w:r>
      <w:r>
        <w:rPr>
          <w:rFonts w:hint="eastAsia" w:cs="Times New Roman"/>
          <w:szCs w:val="32"/>
        </w:rPr>
        <w:t>体</w:t>
      </w:r>
      <w:r>
        <w:rPr>
          <w:rFonts w:cs="Times New Roman"/>
          <w:szCs w:val="32"/>
        </w:rPr>
        <w:t>，由市政府领导，业务上接受省残疾人联合会指导</w:t>
      </w:r>
      <w:r>
        <w:rPr>
          <w:rStyle w:val="32"/>
          <w:rFonts w:cs="Times New Roman"/>
        </w:rPr>
        <w:t>，</w:t>
      </w:r>
      <w:r>
        <w:rPr>
          <w:rFonts w:cs="Times New Roman"/>
          <w:szCs w:val="32"/>
        </w:rPr>
        <w:t>是全市各类残疾人的统一组织，具有代表、服务、管理职能。</w:t>
      </w:r>
      <w:r>
        <w:rPr>
          <w:rFonts w:cs="Times New Roman"/>
          <w:kern w:val="2"/>
        </w:rPr>
        <w:t>其宗旨为：弘扬人道主义思想，</w:t>
      </w:r>
      <w:bookmarkStart w:id="24" w:name="_Hlk116999897"/>
      <w:r>
        <w:rPr>
          <w:rFonts w:cs="Times New Roman"/>
          <w:kern w:val="2"/>
        </w:rPr>
        <w:t>发展残疾人事业，促进残疾人平等</w:t>
      </w:r>
      <w:r>
        <w:rPr>
          <w:rFonts w:hint="eastAsia" w:cs="Times New Roman"/>
          <w:kern w:val="2"/>
        </w:rPr>
        <w:t>，</w:t>
      </w:r>
      <w:r>
        <w:rPr>
          <w:rFonts w:cs="Times New Roman"/>
          <w:kern w:val="2"/>
        </w:rPr>
        <w:t>充分参与社会生活</w:t>
      </w:r>
      <w:bookmarkEnd w:id="24"/>
      <w:r>
        <w:rPr>
          <w:rFonts w:cs="Times New Roman"/>
          <w:kern w:val="2"/>
        </w:rPr>
        <w:t>，共享社会物质文化成果。</w:t>
      </w:r>
      <w:bookmarkEnd w:id="21"/>
    </w:p>
    <w:p>
      <w:pPr>
        <w:widowControl w:val="0"/>
        <w:ind w:firstLine="640"/>
        <w:jc w:val="both"/>
        <w:rPr>
          <w:rFonts w:cs="Times New Roman"/>
          <w:szCs w:val="32"/>
        </w:rPr>
      </w:pPr>
      <w:r>
        <w:rPr>
          <w:rFonts w:cs="Times New Roman"/>
          <w:szCs w:val="32"/>
        </w:rPr>
        <w:t>根据《韶关市残疾人联合会机关职能配置、内设机构和人员编制规定》（韶办发〔2021〕3号），在职权范围内，市残联主要职责包括10项，如表1-1所示。</w:t>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表1-1  市残联主要职责</w:t>
      </w:r>
    </w:p>
    <w:tbl>
      <w:tblPr>
        <w:tblStyle w:val="34"/>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b/>
                <w:bCs/>
                <w:color w:val="000000"/>
                <w:sz w:val="18"/>
                <w:szCs w:val="18"/>
              </w:rPr>
            </w:pPr>
            <w:r>
              <w:rPr>
                <w:rFonts w:eastAsia="宋体" w:cs="Times New Roman"/>
                <w:b/>
                <w:bCs/>
                <w:color w:val="000000"/>
                <w:sz w:val="18"/>
                <w:szCs w:val="18"/>
              </w:rPr>
              <w:t>序号</w:t>
            </w:r>
          </w:p>
        </w:tc>
        <w:tc>
          <w:tcPr>
            <w:tcW w:w="9021" w:type="dxa"/>
            <w:shd w:val="clear" w:color="auto" w:fill="auto"/>
            <w:vAlign w:val="bottom"/>
          </w:tcPr>
          <w:p>
            <w:pPr>
              <w:spacing w:line="240" w:lineRule="auto"/>
              <w:ind w:firstLine="0" w:firstLineChars="0"/>
              <w:jc w:val="center"/>
              <w:rPr>
                <w:rFonts w:eastAsia="宋体" w:cs="Times New Roman"/>
                <w:b/>
                <w:bCs/>
                <w:color w:val="000000"/>
                <w:sz w:val="18"/>
                <w:szCs w:val="18"/>
              </w:rPr>
            </w:pPr>
            <w:r>
              <w:rPr>
                <w:rFonts w:eastAsia="宋体" w:cs="Times New Roman"/>
                <w:b/>
                <w:bCs/>
                <w:color w:val="000000"/>
                <w:sz w:val="18"/>
                <w:szCs w:val="18"/>
              </w:rPr>
              <w:t>具体职能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1</w:t>
            </w:r>
          </w:p>
        </w:tc>
        <w:tc>
          <w:tcPr>
            <w:tcW w:w="9021" w:type="dxa"/>
            <w:shd w:val="clear" w:color="auto" w:fill="auto"/>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贯彻执行党和国家有关残疾人工作的方针政策和法律法规，参与研究、制定和实施残疾人事业的规范性文件、政策、规划和计划，参与残疾人事业社会管理和公共服务。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2</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宣传贯彻《中华人民共和国残疾人保障法》，维护残疾人在政治、经济、文化、社会等方面平等的公民权利，密切联系残疾人，听取残疾人意见，反映残疾人需求，全心全意为残疾人服务。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3</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团结、激励残疾人自尊、自信、自强、自立，履行应尽的义务，践行社会主义核心价值观，为建设富强民主文明和谐美丽的社会主义现代化强国、实现中华民族伟大复兴的中国梦贡献力量。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4</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促进残疾人康复、教育、劳动就业、扶贫、托养、维权、文化体育、科研、辅助器具服务、社会保障、无障碍环境建设、科技信息化应用和残疾预防等工作，改善残疾人参与社会生活的环境和条件，扶助残疾人平等参与社会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5</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沟通党和政府、社会与残疾人之间的联系，宣传残疾人事业，动员社会理解、尊重、关心、帮助残疾人，消除歧视、偏见和障碍。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6</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联系和指导全市各类残疾人社会组织，培养残疾人工作者。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7</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开展与省内外残疾人事业的交流互动与合作。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8</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承担市政府残疾人工作委员会的日常工作。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9</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完成市委、市政府和广东省残疾人联合会交办的其他任务。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7" w:type="dxa"/>
            <w:shd w:val="clear" w:color="auto" w:fill="auto"/>
            <w:vAlign w:val="center"/>
          </w:tcPr>
          <w:p>
            <w:pPr>
              <w:spacing w:line="240" w:lineRule="auto"/>
              <w:ind w:firstLine="0" w:firstLineChars="0"/>
              <w:jc w:val="center"/>
              <w:rPr>
                <w:rFonts w:eastAsia="宋体" w:cs="Times New Roman"/>
                <w:color w:val="000000"/>
                <w:sz w:val="18"/>
                <w:szCs w:val="18"/>
              </w:rPr>
            </w:pPr>
            <w:r>
              <w:rPr>
                <w:rFonts w:eastAsia="宋体" w:cs="Times New Roman"/>
                <w:color w:val="000000"/>
                <w:sz w:val="18"/>
                <w:szCs w:val="18"/>
              </w:rPr>
              <w:t>10</w:t>
            </w:r>
          </w:p>
        </w:tc>
        <w:tc>
          <w:tcPr>
            <w:tcW w:w="9021" w:type="dxa"/>
            <w:shd w:val="clear" w:color="auto" w:fill="auto"/>
            <w:vAlign w:val="bottom"/>
          </w:tcPr>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职能转变</w:t>
            </w:r>
            <w:r>
              <w:rPr>
                <w:rStyle w:val="33"/>
                <w:rFonts w:eastAsia="宋体" w:cs="Times New Roman"/>
                <w:color w:val="000000"/>
                <w:sz w:val="18"/>
                <w:szCs w:val="18"/>
              </w:rPr>
              <w:footnoteReference w:id="0"/>
            </w:r>
            <w:r>
              <w:rPr>
                <w:rFonts w:eastAsia="宋体" w:cs="Times New Roman"/>
                <w:color w:val="000000"/>
                <w:sz w:val="18"/>
                <w:szCs w:val="18"/>
              </w:rPr>
              <w:t>。</w:t>
            </w:r>
          </w:p>
          <w:p>
            <w:pPr>
              <w:spacing w:line="240" w:lineRule="auto"/>
              <w:ind w:firstLine="0" w:firstLineChars="0"/>
              <w:jc w:val="both"/>
              <w:rPr>
                <w:rFonts w:eastAsia="宋体" w:cs="Times New Roman"/>
                <w:color w:val="000000"/>
                <w:sz w:val="18"/>
                <w:szCs w:val="18"/>
              </w:rPr>
            </w:pPr>
            <w:r>
              <w:rPr>
                <w:rFonts w:eastAsia="宋体" w:cs="Times New Roman"/>
                <w:color w:val="000000"/>
                <w:sz w:val="18"/>
                <w:szCs w:val="18"/>
              </w:rPr>
              <w:t>1.强化基层服务。加强专门协会建设和基层残疾人组织建设，夯实残疾人工作基础，指导基层依法依章程进一步健全和规范残联组织，实现残疾人联系服务全覆盖。依托现有资源建设综合性服务平台,推动基层残疾人综合服务设施建设；</w:t>
            </w:r>
            <w:r>
              <w:rPr>
                <w:rFonts w:eastAsia="宋体" w:cs="Times New Roman"/>
                <w:color w:val="000000"/>
                <w:sz w:val="18"/>
                <w:szCs w:val="18"/>
              </w:rPr>
              <w:br w:type="textWrapping"/>
            </w:r>
            <w:r>
              <w:rPr>
                <w:rFonts w:eastAsia="宋体" w:cs="Times New Roman"/>
                <w:color w:val="000000"/>
                <w:sz w:val="18"/>
                <w:szCs w:val="18"/>
              </w:rPr>
              <w:t>2.创新工作载体。结合“数字政府”建设，打造“智慧残联”，实现数据共享、互联互通。依托广东政务服务网、“粤省事”、网上“残疾人之家”等平台实现助残服务项目网上办理，形成“互联网＋残联”工作新格局，增强与残疾人的黏合度；</w:t>
            </w:r>
            <w:r>
              <w:rPr>
                <w:rFonts w:eastAsia="宋体" w:cs="Times New Roman"/>
                <w:color w:val="000000"/>
                <w:sz w:val="18"/>
                <w:szCs w:val="18"/>
              </w:rPr>
              <w:br w:type="textWrapping"/>
            </w:r>
            <w:r>
              <w:rPr>
                <w:rFonts w:eastAsia="宋体" w:cs="Times New Roman"/>
                <w:color w:val="000000"/>
                <w:sz w:val="18"/>
                <w:szCs w:val="18"/>
              </w:rPr>
              <w:t>3.拓展工作方式。建立健全财务管理、审计公开和信息公开制度，接受社会监督。拓展社会化工作方式，广泛动员各类社会组织、社会工作者、志愿者队伍等力量参与和支持残疾人事业发展，健全政府购买助残服务政策措施，积极培育示范性助残社会组织和服务机构，发展助残志愿服务组织和残疾人互助组织。</w:t>
            </w:r>
          </w:p>
        </w:tc>
      </w:tr>
    </w:tbl>
    <w:p>
      <w:pPr>
        <w:keepNext w:val="0"/>
        <w:keepLines w:val="0"/>
        <w:pageBreakBefore w:val="0"/>
        <w:widowControl/>
        <w:kinsoku/>
        <w:wordWrap/>
        <w:overflowPunct/>
        <w:topLinePunct w:val="0"/>
        <w:autoSpaceDE/>
        <w:autoSpaceDN/>
        <w:bidi w:val="0"/>
        <w:adjustRightInd/>
        <w:snapToGrid/>
        <w:spacing w:before="219" w:beforeLines="50"/>
        <w:ind w:firstLine="643"/>
        <w:textAlignment w:val="auto"/>
        <w:outlineLvl w:val="2"/>
        <w:rPr>
          <w:rFonts w:cs="Times New Roman"/>
          <w:b/>
          <w:bCs/>
          <w:szCs w:val="32"/>
        </w:rPr>
      </w:pPr>
      <w:bookmarkStart w:id="25" w:name="_Toc112424046"/>
      <w:bookmarkStart w:id="26" w:name="_Toc114664778"/>
      <w:bookmarkStart w:id="27" w:name="_Hlk19540859"/>
      <w:r>
        <w:rPr>
          <w:rFonts w:cs="Times New Roman"/>
          <w:b/>
          <w:bCs/>
          <w:szCs w:val="32"/>
        </w:rPr>
        <w:t>2.部门机构设置</w:t>
      </w:r>
      <w:bookmarkEnd w:id="25"/>
      <w:bookmarkEnd w:id="26"/>
      <w:r>
        <w:rPr>
          <w:rFonts w:cs="Times New Roman"/>
          <w:b/>
          <w:bCs/>
          <w:szCs w:val="32"/>
        </w:rPr>
        <w:t>和人员情况</w:t>
      </w:r>
    </w:p>
    <w:p>
      <w:pPr>
        <w:pStyle w:val="26"/>
        <w:spacing w:before="0" w:beforeAutospacing="0" w:after="0" w:afterAutospacing="0" w:line="360" w:lineRule="auto"/>
        <w:ind w:firstLine="640" w:firstLineChars="200"/>
        <w:jc w:val="both"/>
        <w:rPr>
          <w:rFonts w:eastAsia="仿宋_GB2312"/>
          <w:szCs w:val="32"/>
        </w:rPr>
      </w:pPr>
      <w:r>
        <w:rPr>
          <w:rFonts w:eastAsia="仿宋_GB2312"/>
          <w:szCs w:val="32"/>
        </w:rPr>
        <w:t>市残联内设3个职能科室、下设2个事业单位。其中，3个内设科室分别是办公室、康复科和教育就业科，2个事业单位分别为韶关市残疾人综合服务中心和广东省残疾人粤北就业培训中心</w:t>
      </w:r>
      <w:r>
        <w:rPr>
          <w:rFonts w:hint="eastAsia" w:eastAsia="仿宋_GB2312"/>
          <w:szCs w:val="32"/>
        </w:rPr>
        <w:t>，</w:t>
      </w:r>
      <w:r>
        <w:rPr>
          <w:rFonts w:eastAsia="仿宋_GB2312"/>
          <w:szCs w:val="32"/>
        </w:rPr>
        <w:t>相关内设机构和职能具体如表1-2所示。</w:t>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表1-2  市残联内设机构及相关职能</w:t>
      </w:r>
    </w:p>
    <w:tbl>
      <w:tblPr>
        <w:tblStyle w:val="34"/>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3"/>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574" w:type="dxa"/>
            <w:shd w:val="clear" w:color="auto" w:fill="auto"/>
            <w:vAlign w:val="center"/>
          </w:tcPr>
          <w:p>
            <w:pPr>
              <w:spacing w:line="240" w:lineRule="auto"/>
              <w:ind w:firstLine="0" w:firstLineChars="0"/>
              <w:jc w:val="center"/>
              <w:textAlignment w:val="center"/>
              <w:rPr>
                <w:rFonts w:eastAsia="宋体" w:cs="Times New Roman"/>
                <w:b/>
                <w:bCs/>
                <w:color w:val="000000"/>
                <w:sz w:val="18"/>
                <w:szCs w:val="18"/>
              </w:rPr>
            </w:pPr>
            <w:r>
              <w:rPr>
                <w:rFonts w:eastAsia="宋体" w:cs="Times New Roman"/>
                <w:b/>
                <w:bCs/>
                <w:color w:val="000000"/>
                <w:sz w:val="18"/>
                <w:szCs w:val="18"/>
                <w:lang w:bidi="ar"/>
              </w:rPr>
              <w:t>序号</w:t>
            </w:r>
          </w:p>
        </w:tc>
        <w:tc>
          <w:tcPr>
            <w:tcW w:w="1033" w:type="dxa"/>
            <w:shd w:val="clear" w:color="auto" w:fill="auto"/>
          </w:tcPr>
          <w:p>
            <w:pPr>
              <w:spacing w:line="240" w:lineRule="auto"/>
              <w:ind w:firstLine="0" w:firstLineChars="0"/>
              <w:jc w:val="center"/>
              <w:textAlignment w:val="top"/>
              <w:rPr>
                <w:rFonts w:eastAsia="宋体" w:cs="Times New Roman"/>
                <w:b/>
                <w:bCs/>
                <w:color w:val="000000"/>
                <w:sz w:val="18"/>
                <w:szCs w:val="18"/>
              </w:rPr>
            </w:pPr>
            <w:r>
              <w:rPr>
                <w:rFonts w:eastAsia="宋体" w:cs="Times New Roman"/>
                <w:b/>
                <w:bCs/>
                <w:color w:val="000000"/>
                <w:sz w:val="18"/>
                <w:szCs w:val="18"/>
                <w:lang w:bidi="ar"/>
              </w:rPr>
              <w:t>内设机构名称</w:t>
            </w:r>
          </w:p>
        </w:tc>
        <w:tc>
          <w:tcPr>
            <w:tcW w:w="7933" w:type="dxa"/>
            <w:shd w:val="clear" w:color="auto" w:fill="auto"/>
            <w:vAlign w:val="center"/>
          </w:tcPr>
          <w:p>
            <w:pPr>
              <w:spacing w:line="240" w:lineRule="auto"/>
              <w:ind w:firstLine="0" w:firstLineChars="0"/>
              <w:jc w:val="center"/>
              <w:textAlignment w:val="top"/>
              <w:rPr>
                <w:rFonts w:eastAsia="宋体" w:cs="Times New Roman"/>
                <w:b/>
                <w:bCs/>
                <w:color w:val="000000"/>
                <w:sz w:val="18"/>
                <w:szCs w:val="18"/>
              </w:rPr>
            </w:pPr>
            <w:r>
              <w:rPr>
                <w:rFonts w:eastAsia="宋体" w:cs="Times New Roman"/>
                <w:b/>
                <w:bCs/>
                <w:color w:val="000000"/>
                <w:sz w:val="18"/>
                <w:szCs w:val="18"/>
                <w:lang w:bidi="ar"/>
              </w:rPr>
              <w:t>相关职能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574" w:type="dxa"/>
            <w:shd w:val="clear" w:color="auto" w:fill="auto"/>
            <w:vAlign w:val="center"/>
          </w:tcPr>
          <w:p>
            <w:pPr>
              <w:spacing w:line="240" w:lineRule="auto"/>
              <w:ind w:firstLine="0" w:firstLineChars="0"/>
              <w:jc w:val="center"/>
              <w:textAlignment w:val="center"/>
              <w:rPr>
                <w:rFonts w:eastAsia="宋体" w:cs="Times New Roman"/>
                <w:color w:val="000000"/>
                <w:sz w:val="18"/>
                <w:szCs w:val="18"/>
              </w:rPr>
            </w:pPr>
            <w:r>
              <w:rPr>
                <w:rFonts w:eastAsia="宋体" w:cs="Times New Roman"/>
                <w:color w:val="000000"/>
                <w:sz w:val="18"/>
                <w:szCs w:val="18"/>
                <w:lang w:bidi="ar"/>
              </w:rPr>
              <w:t>1</w:t>
            </w:r>
          </w:p>
        </w:tc>
        <w:tc>
          <w:tcPr>
            <w:tcW w:w="1033" w:type="dxa"/>
            <w:shd w:val="clear" w:color="auto" w:fill="auto"/>
            <w:vAlign w:val="center"/>
          </w:tcPr>
          <w:p>
            <w:pPr>
              <w:spacing w:line="240" w:lineRule="auto"/>
              <w:ind w:firstLine="0" w:firstLineChars="0"/>
              <w:jc w:val="center"/>
              <w:textAlignment w:val="center"/>
              <w:rPr>
                <w:rFonts w:eastAsia="宋体" w:cs="Times New Roman"/>
                <w:color w:val="000000"/>
                <w:sz w:val="18"/>
                <w:szCs w:val="18"/>
              </w:rPr>
            </w:pPr>
            <w:r>
              <w:rPr>
                <w:rFonts w:eastAsia="宋体" w:cs="Times New Roman"/>
                <w:color w:val="000000"/>
                <w:sz w:val="18"/>
                <w:szCs w:val="18"/>
                <w:lang w:bidi="ar"/>
              </w:rPr>
              <w:t>办公室</w:t>
            </w:r>
          </w:p>
        </w:tc>
        <w:tc>
          <w:tcPr>
            <w:tcW w:w="7933" w:type="dxa"/>
            <w:shd w:val="clear" w:color="auto" w:fill="auto"/>
            <w:vAlign w:val="center"/>
          </w:tcPr>
          <w:p>
            <w:pPr>
              <w:spacing w:line="240" w:lineRule="auto"/>
              <w:ind w:firstLine="0" w:firstLineChars="0"/>
              <w:textAlignment w:val="center"/>
              <w:rPr>
                <w:rFonts w:eastAsia="宋体" w:cs="Times New Roman"/>
                <w:color w:val="000000"/>
                <w:sz w:val="18"/>
                <w:szCs w:val="18"/>
              </w:rPr>
            </w:pPr>
            <w:r>
              <w:rPr>
                <w:rFonts w:eastAsia="宋体" w:cs="Times New Roman"/>
                <w:color w:val="000000"/>
                <w:sz w:val="18"/>
                <w:szCs w:val="18"/>
                <w:lang w:bidi="ar"/>
              </w:rPr>
              <w:t>负责机关综合协调、文秘、会议、信息、机要、保密、档案、财务管理、后勤等日常工作，承担固定资产管理、政府采购、信息化等工作。负责机关和指导所属单位的干部人事、机构编制、教育培训、党群、离退休人员服务等工作。组织统筹向社会开展为残疾人事业募捐活动。配合有关部门开展相关规范性文件拟订、法律工作人员培训、普法宣传等工作，为残疾人提供法律救助、援助和服务，配合有关方面对法律法规执行情况进行检查。组织开展残疾人事业政策研究工作。负责残疾人工作领域人大代表、政协委员推荐、联络，协助人大代表、政协委员处理有关残疾人的建议、议案和提案。承担市政府残疾人工作委员会日常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574" w:type="dxa"/>
            <w:shd w:val="clear" w:color="auto" w:fill="auto"/>
            <w:vAlign w:val="center"/>
          </w:tcPr>
          <w:p>
            <w:pPr>
              <w:spacing w:line="240" w:lineRule="auto"/>
              <w:ind w:firstLine="0" w:firstLineChars="0"/>
              <w:jc w:val="center"/>
              <w:textAlignment w:val="center"/>
              <w:rPr>
                <w:rFonts w:eastAsia="宋体" w:cs="Times New Roman"/>
                <w:color w:val="000000"/>
                <w:sz w:val="18"/>
                <w:szCs w:val="18"/>
              </w:rPr>
            </w:pPr>
            <w:r>
              <w:rPr>
                <w:rFonts w:eastAsia="宋体" w:cs="Times New Roman"/>
                <w:color w:val="000000"/>
                <w:sz w:val="18"/>
                <w:szCs w:val="18"/>
                <w:lang w:bidi="ar"/>
              </w:rPr>
              <w:t>2</w:t>
            </w:r>
          </w:p>
        </w:tc>
        <w:tc>
          <w:tcPr>
            <w:tcW w:w="1033" w:type="dxa"/>
            <w:shd w:val="clear" w:color="auto" w:fill="auto"/>
            <w:vAlign w:val="center"/>
          </w:tcPr>
          <w:p>
            <w:pPr>
              <w:spacing w:line="240" w:lineRule="auto"/>
              <w:ind w:firstLine="0" w:firstLineChars="0"/>
              <w:jc w:val="center"/>
              <w:textAlignment w:val="center"/>
              <w:rPr>
                <w:rFonts w:eastAsia="宋体" w:cs="Times New Roman"/>
                <w:color w:val="000000"/>
                <w:sz w:val="18"/>
                <w:szCs w:val="18"/>
              </w:rPr>
            </w:pPr>
            <w:r>
              <w:rPr>
                <w:rFonts w:eastAsia="宋体" w:cs="Times New Roman"/>
                <w:color w:val="000000"/>
                <w:sz w:val="18"/>
                <w:szCs w:val="18"/>
                <w:lang w:bidi="ar"/>
              </w:rPr>
              <w:t>康复科</w:t>
            </w:r>
          </w:p>
        </w:tc>
        <w:tc>
          <w:tcPr>
            <w:tcW w:w="7933" w:type="dxa"/>
            <w:shd w:val="clear" w:color="auto" w:fill="auto"/>
          </w:tcPr>
          <w:p>
            <w:pPr>
              <w:spacing w:line="240" w:lineRule="auto"/>
              <w:ind w:firstLine="0" w:firstLineChars="0"/>
              <w:textAlignment w:val="top"/>
              <w:rPr>
                <w:rFonts w:eastAsia="宋体" w:cs="Times New Roman"/>
                <w:color w:val="000000"/>
                <w:sz w:val="18"/>
                <w:szCs w:val="18"/>
              </w:rPr>
            </w:pPr>
            <w:r>
              <w:rPr>
                <w:rFonts w:eastAsia="宋体" w:cs="Times New Roman"/>
                <w:color w:val="000000"/>
                <w:sz w:val="18"/>
                <w:szCs w:val="18"/>
                <w:lang w:bidi="ar"/>
              </w:rPr>
              <w:t>组织制定和实施残疾人康复工作计划。会同有关部门指导和协调残疾人康复机构的业务工作。指导残疾人康复辅助器具开发、供应、适配服务，推广高新科技成果在康复领域的应用。开展残疾预防，组织康复人才培训，协调评残医生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4" w:type="dxa"/>
            <w:shd w:val="clear" w:color="auto" w:fill="auto"/>
            <w:vAlign w:val="center"/>
          </w:tcPr>
          <w:p>
            <w:pPr>
              <w:spacing w:line="240" w:lineRule="auto"/>
              <w:ind w:firstLine="0" w:firstLineChars="0"/>
              <w:jc w:val="center"/>
              <w:textAlignment w:val="center"/>
              <w:rPr>
                <w:rFonts w:eastAsia="宋体" w:cs="Times New Roman"/>
                <w:color w:val="000000"/>
                <w:sz w:val="18"/>
                <w:szCs w:val="18"/>
              </w:rPr>
            </w:pPr>
            <w:r>
              <w:rPr>
                <w:rFonts w:eastAsia="宋体" w:cs="Times New Roman"/>
                <w:color w:val="000000"/>
                <w:sz w:val="18"/>
                <w:szCs w:val="18"/>
                <w:lang w:bidi="ar"/>
              </w:rPr>
              <w:t>3</w:t>
            </w:r>
          </w:p>
        </w:tc>
        <w:tc>
          <w:tcPr>
            <w:tcW w:w="1033" w:type="dxa"/>
            <w:shd w:val="clear" w:color="auto" w:fill="auto"/>
            <w:vAlign w:val="center"/>
          </w:tcPr>
          <w:p>
            <w:pPr>
              <w:spacing w:line="240" w:lineRule="auto"/>
              <w:ind w:firstLine="0" w:firstLineChars="0"/>
              <w:jc w:val="center"/>
              <w:textAlignment w:val="center"/>
              <w:rPr>
                <w:rFonts w:eastAsia="宋体" w:cs="Times New Roman"/>
                <w:color w:val="000000"/>
                <w:sz w:val="18"/>
                <w:szCs w:val="18"/>
              </w:rPr>
            </w:pPr>
            <w:r>
              <w:rPr>
                <w:rFonts w:eastAsia="宋体" w:cs="Times New Roman"/>
                <w:color w:val="000000"/>
                <w:sz w:val="18"/>
                <w:szCs w:val="18"/>
                <w:lang w:bidi="ar"/>
              </w:rPr>
              <w:t>教育就业科</w:t>
            </w:r>
          </w:p>
        </w:tc>
        <w:tc>
          <w:tcPr>
            <w:tcW w:w="7933" w:type="dxa"/>
            <w:shd w:val="clear" w:color="auto" w:fill="auto"/>
          </w:tcPr>
          <w:p>
            <w:pPr>
              <w:spacing w:line="240" w:lineRule="auto"/>
              <w:ind w:firstLine="0" w:firstLineChars="0"/>
              <w:textAlignment w:val="top"/>
              <w:rPr>
                <w:rFonts w:eastAsia="宋体" w:cs="Times New Roman"/>
                <w:color w:val="000000"/>
                <w:sz w:val="18"/>
                <w:szCs w:val="18"/>
              </w:rPr>
            </w:pPr>
            <w:r>
              <w:rPr>
                <w:rFonts w:eastAsia="宋体" w:cs="Times New Roman"/>
                <w:color w:val="000000"/>
                <w:sz w:val="18"/>
                <w:szCs w:val="18"/>
                <w:lang w:bidi="ar"/>
              </w:rPr>
              <w:t>协助有关部门组织制定和实施残疾人教育工作计划、方案。促进残疾人教育，开展残疾人职业培训。负责盲文、手语的研究与推广。协助有关部门制定残疾人劳动就业工作计划，组织实施残疾人按比例就业。扶持残疾人个体和组织就业。指导残疾人劳动就业服务网络的建设与工作。组织实施残疾人扶贫相关工作。协助有关部门开展残疾人社会保障工作。推进残疾人托养工作。</w:t>
            </w:r>
          </w:p>
        </w:tc>
      </w:tr>
    </w:tbl>
    <w:p>
      <w:pPr>
        <w:pStyle w:val="26"/>
        <w:spacing w:before="0" w:beforeAutospacing="0" w:after="0" w:afterAutospacing="0" w:line="360" w:lineRule="auto"/>
        <w:ind w:firstLine="640" w:firstLineChars="200"/>
        <w:jc w:val="both"/>
        <w:rPr>
          <w:rFonts w:eastAsia="仿宋_GB2312"/>
          <w:szCs w:val="32"/>
        </w:rPr>
      </w:pPr>
      <w:r>
        <w:rPr>
          <w:rFonts w:eastAsia="仿宋_GB2312"/>
          <w:szCs w:val="32"/>
        </w:rPr>
        <w:t>根据《韶关市残疾人联合会机关职能配置、内设机构和人员编制规定》（韶办发〔2021〕3号）文件，市残联机关事业编制10名。设理事长1名，副理事长2名。正科级领导职数3名，副科级领导职数1名</w:t>
      </w:r>
      <w:r>
        <w:rPr>
          <w:rFonts w:hint="eastAsia" w:eastAsia="仿宋_GB2312"/>
          <w:szCs w:val="32"/>
        </w:rPr>
        <w:t>，</w:t>
      </w:r>
      <w:r>
        <w:rPr>
          <w:rFonts w:eastAsia="仿宋_GB2312"/>
          <w:szCs w:val="32"/>
        </w:rPr>
        <w:t>另设1名兼职副理事长。</w:t>
      </w:r>
    </w:p>
    <w:bookmarkEnd w:id="27"/>
    <w:p>
      <w:pPr>
        <w:ind w:firstLine="640"/>
        <w:jc w:val="both"/>
        <w:outlineLvl w:val="1"/>
        <w:rPr>
          <w:rFonts w:eastAsia="楷体_GB2312" w:cs="Times New Roman"/>
          <w:szCs w:val="32"/>
        </w:rPr>
      </w:pPr>
      <w:bookmarkStart w:id="28" w:name="_Toc30416"/>
      <w:bookmarkStart w:id="29" w:name="_Toc112424047"/>
      <w:bookmarkStart w:id="30" w:name="_Toc9887"/>
      <w:bookmarkStart w:id="31" w:name="_Toc28763"/>
      <w:bookmarkStart w:id="32" w:name="_Toc114664779"/>
      <w:bookmarkStart w:id="33" w:name="_Toc22223"/>
      <w:bookmarkStart w:id="34" w:name="_Toc103363771"/>
      <w:bookmarkStart w:id="35" w:name="_Toc74500557"/>
      <w:bookmarkStart w:id="36" w:name="_Toc1888"/>
      <w:bookmarkStart w:id="37" w:name="_Toc22839"/>
      <w:bookmarkStart w:id="38" w:name="_Toc510902982"/>
      <w:r>
        <w:rPr>
          <w:rFonts w:eastAsia="楷体_GB2312" w:cs="Times New Roman"/>
          <w:szCs w:val="32"/>
        </w:rPr>
        <w:t>（二）年度总体工作及重点工作任务。</w:t>
      </w:r>
      <w:bookmarkEnd w:id="28"/>
      <w:bookmarkEnd w:id="29"/>
      <w:bookmarkEnd w:id="30"/>
      <w:bookmarkEnd w:id="31"/>
      <w:bookmarkEnd w:id="32"/>
      <w:bookmarkEnd w:id="33"/>
    </w:p>
    <w:bookmarkEnd w:id="34"/>
    <w:bookmarkEnd w:id="35"/>
    <w:bookmarkEnd w:id="36"/>
    <w:bookmarkEnd w:id="37"/>
    <w:p>
      <w:pPr>
        <w:pStyle w:val="26"/>
        <w:spacing w:before="0" w:beforeAutospacing="0" w:after="0" w:afterAutospacing="0" w:line="360" w:lineRule="auto"/>
        <w:ind w:firstLine="640" w:firstLineChars="200"/>
        <w:jc w:val="both"/>
        <w:rPr>
          <w:rFonts w:eastAsia="仿宋_GB2312"/>
          <w:szCs w:val="32"/>
        </w:rPr>
      </w:pPr>
      <w:r>
        <w:rPr>
          <w:rFonts w:eastAsia="仿宋_GB2312"/>
          <w:szCs w:val="32"/>
        </w:rPr>
        <w:t>根据部门工作计划，市残联2021年度部门年度总体工作为4个方面：一是市委、市政府确定的年度重点工作，二是开展残疾人文化宣传体育工作</w:t>
      </w:r>
      <w:r>
        <w:rPr>
          <w:rFonts w:hint="eastAsia" w:eastAsia="仿宋_GB2312"/>
          <w:szCs w:val="32"/>
        </w:rPr>
        <w:t>，</w:t>
      </w:r>
      <w:r>
        <w:rPr>
          <w:rFonts w:eastAsia="仿宋_GB2312"/>
          <w:szCs w:val="32"/>
        </w:rPr>
        <w:t>三是0-6周岁残疾儿童的康复救助及残疾人辅具适配工作，四是开展残疾人职业培训工作等。市残联2021年部门年度重点工作任务</w:t>
      </w:r>
      <w:r>
        <w:rPr>
          <w:rFonts w:hint="eastAsia" w:eastAsia="仿宋_GB2312"/>
          <w:szCs w:val="32"/>
        </w:rPr>
        <w:t>及</w:t>
      </w:r>
      <w:r>
        <w:rPr>
          <w:rFonts w:eastAsia="仿宋_GB2312"/>
          <w:szCs w:val="32"/>
        </w:rPr>
        <w:t>主要内容如表1-</w:t>
      </w:r>
      <w:r>
        <w:rPr>
          <w:rFonts w:hint="eastAsia" w:eastAsia="仿宋_GB2312"/>
          <w:szCs w:val="32"/>
        </w:rPr>
        <w:t>3</w:t>
      </w:r>
      <w:r>
        <w:rPr>
          <w:rFonts w:eastAsia="仿宋_GB2312"/>
          <w:szCs w:val="32"/>
        </w:rPr>
        <w:t>所示。</w:t>
      </w:r>
    </w:p>
    <w:p>
      <w:pPr>
        <w:widowControl w:val="0"/>
        <w:ind w:firstLine="0" w:firstLineChars="0"/>
        <w:jc w:val="center"/>
        <w:rPr>
          <w:rFonts w:cs="Times New Roman"/>
          <w:b/>
          <w:sz w:val="28"/>
          <w:szCs w:val="28"/>
        </w:rPr>
      </w:pPr>
      <w:r>
        <w:rPr>
          <w:rFonts w:eastAsia="宋体" w:cs="Times New Roman"/>
          <w:b/>
          <w:bCs/>
          <w:kern w:val="2"/>
          <w:sz w:val="28"/>
          <w:szCs w:val="28"/>
        </w:rPr>
        <w:t>表1-</w:t>
      </w:r>
      <w:r>
        <w:rPr>
          <w:rFonts w:hint="eastAsia" w:eastAsia="宋体" w:cs="Times New Roman"/>
          <w:b/>
          <w:bCs/>
          <w:kern w:val="2"/>
          <w:sz w:val="28"/>
          <w:szCs w:val="28"/>
        </w:rPr>
        <w:t>3</w:t>
      </w:r>
      <w:r>
        <w:rPr>
          <w:rFonts w:eastAsia="宋体" w:cs="Times New Roman"/>
          <w:b/>
          <w:bCs/>
          <w:kern w:val="2"/>
          <w:sz w:val="28"/>
          <w:szCs w:val="28"/>
        </w:rPr>
        <w:t xml:space="preserve"> 市残联2021年度部门整体支出绩效目标表</w:t>
      </w:r>
    </w:p>
    <w:tbl>
      <w:tblPr>
        <w:tblStyle w:val="34"/>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72"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任务</w:t>
            </w:r>
          </w:p>
        </w:tc>
        <w:tc>
          <w:tcPr>
            <w:tcW w:w="6901"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72"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任务1：市委、市政府确定的年度重点工作。</w:t>
            </w:r>
          </w:p>
        </w:tc>
        <w:tc>
          <w:tcPr>
            <w:tcW w:w="6901"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加强脱贫人口疑似残疾人的评残办证工作，配合民政部门落实残疾人两项补贴政策，开展残疾人就业服务工作，进行残疾人家庭无障碍改造，动员社会力量参与乡村振兴工作。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72"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任务2：开展残疾人文化宣传体育工作。</w:t>
            </w:r>
          </w:p>
        </w:tc>
        <w:tc>
          <w:tcPr>
            <w:tcW w:w="6901"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开展对残疾人事业的宣传报道，通过全国助残日、国际残疾人日等开展有益残疾人身心的各类活动。做好残疾人运动员筛选工作，组织残疾人运动员开展田径、游泳、羽毛球等项目的集训，积极备战省残运会。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72"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任务3：0-6周岁残疾儿童的康复救助及残疾人辅具适配工作。</w:t>
            </w:r>
          </w:p>
        </w:tc>
        <w:tc>
          <w:tcPr>
            <w:tcW w:w="6901"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做好残疾儿童康复数据统计，残疾儿童康复满意度调查，召开残疾人康复业务培训班。开展残疾人假肢、矫形器制作，辅具器具评估、适配工作。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72"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任务4：开展残疾人职业培训。</w:t>
            </w:r>
          </w:p>
        </w:tc>
        <w:tc>
          <w:tcPr>
            <w:tcW w:w="6901" w:type="dxa"/>
            <w:shd w:val="clear" w:color="auto" w:fill="auto"/>
            <w:vAlign w:val="center"/>
          </w:tcPr>
          <w:p>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以集中培训和送教下乡的方式，免费为韶关市就业年龄段的残疾人提供职业技能培训，帮助残疾人掌握一技之长。</w:t>
            </w:r>
          </w:p>
        </w:tc>
      </w:tr>
    </w:tbl>
    <w:p>
      <w:pPr>
        <w:keepNext w:val="0"/>
        <w:keepLines w:val="0"/>
        <w:pageBreakBefore w:val="0"/>
        <w:widowControl/>
        <w:kinsoku/>
        <w:wordWrap/>
        <w:overflowPunct/>
        <w:topLinePunct w:val="0"/>
        <w:autoSpaceDE/>
        <w:autoSpaceDN/>
        <w:bidi w:val="0"/>
        <w:adjustRightInd/>
        <w:snapToGrid/>
        <w:spacing w:before="219" w:beforeLines="50"/>
        <w:ind w:firstLine="640"/>
        <w:textAlignment w:val="auto"/>
        <w:outlineLvl w:val="1"/>
        <w:rPr>
          <w:rFonts w:eastAsia="楷体_GB2312" w:cs="Times New Roman"/>
          <w:szCs w:val="32"/>
        </w:rPr>
      </w:pPr>
      <w:bookmarkStart w:id="39" w:name="_Toc28446"/>
      <w:bookmarkStart w:id="40" w:name="_Toc114664780"/>
      <w:bookmarkStart w:id="41" w:name="_Toc25924"/>
      <w:bookmarkStart w:id="42" w:name="_Toc24378"/>
      <w:bookmarkStart w:id="43" w:name="_Toc112424048"/>
      <w:bookmarkStart w:id="44" w:name="_Toc22779"/>
      <w:r>
        <w:rPr>
          <w:rFonts w:eastAsia="楷体_GB2312" w:cs="Times New Roman"/>
          <w:szCs w:val="32"/>
        </w:rPr>
        <w:t>（三）部门整体支出绩效目标。</w:t>
      </w:r>
      <w:bookmarkEnd w:id="39"/>
      <w:bookmarkEnd w:id="40"/>
      <w:bookmarkEnd w:id="41"/>
      <w:bookmarkEnd w:id="42"/>
      <w:bookmarkEnd w:id="43"/>
      <w:bookmarkEnd w:id="44"/>
    </w:p>
    <w:p>
      <w:pPr>
        <w:ind w:firstLine="640"/>
        <w:jc w:val="both"/>
        <w:rPr>
          <w:rFonts w:cs="Times New Roman"/>
          <w:szCs w:val="32"/>
        </w:rPr>
      </w:pPr>
      <w:r>
        <w:rPr>
          <w:rFonts w:cs="Times New Roman"/>
          <w:szCs w:val="32"/>
        </w:rPr>
        <w:t>围绕年度重点工作任务，市残联确定了2021年部门整体支出总体绩效目标：围绕残疾人康复救助和残疾人辅具适配、职业培训、文体宣传、权益保障等方面开展相关工作</w:t>
      </w:r>
      <w:r>
        <w:rPr>
          <w:rFonts w:hint="eastAsia" w:cs="Times New Roman"/>
          <w:szCs w:val="32"/>
        </w:rPr>
        <w:t>。2021年度部门整体绩效</w:t>
      </w:r>
      <w:r>
        <w:rPr>
          <w:rFonts w:cs="Times New Roman"/>
          <w:szCs w:val="32"/>
        </w:rPr>
        <w:t>目标为</w:t>
      </w:r>
      <w:r>
        <w:rPr>
          <w:rFonts w:hint="eastAsia" w:cs="Times New Roman"/>
          <w:szCs w:val="32"/>
        </w:rPr>
        <w:t>：</w:t>
      </w:r>
      <w:r>
        <w:rPr>
          <w:rFonts w:cs="Times New Roman"/>
          <w:szCs w:val="32"/>
        </w:rPr>
        <w:t>扎实做好精准康复，提高康复服务水平</w:t>
      </w:r>
      <w:r>
        <w:rPr>
          <w:rFonts w:hint="eastAsia" w:cs="Times New Roman"/>
          <w:szCs w:val="32"/>
        </w:rPr>
        <w:t>，</w:t>
      </w:r>
      <w:r>
        <w:rPr>
          <w:rFonts w:cs="Times New Roman"/>
          <w:szCs w:val="32"/>
        </w:rPr>
        <w:t>抓好残疾人就业培训工作</w:t>
      </w:r>
      <w:r>
        <w:rPr>
          <w:rFonts w:hint="eastAsia" w:cs="Times New Roman"/>
          <w:szCs w:val="32"/>
        </w:rPr>
        <w:t>，</w:t>
      </w:r>
      <w:r>
        <w:rPr>
          <w:rFonts w:cs="Times New Roman"/>
          <w:szCs w:val="32"/>
        </w:rPr>
        <w:t>协助做好残疾人教育工作</w:t>
      </w:r>
      <w:r>
        <w:rPr>
          <w:rFonts w:hint="eastAsia" w:cs="Times New Roman"/>
          <w:szCs w:val="32"/>
        </w:rPr>
        <w:t>，</w:t>
      </w:r>
      <w:r>
        <w:rPr>
          <w:rFonts w:cs="Times New Roman"/>
          <w:szCs w:val="32"/>
        </w:rPr>
        <w:t>维护残疾人合法权益，丰富残疾人（文化、体育）生活等。</w:t>
      </w:r>
      <w:bookmarkStart w:id="45" w:name="_Toc5796"/>
      <w:bookmarkStart w:id="46" w:name="_Toc29532"/>
    </w:p>
    <w:p>
      <w:pPr>
        <w:ind w:firstLine="640"/>
        <w:jc w:val="both"/>
        <w:rPr>
          <w:rFonts w:cs="Times New Roman"/>
          <w:szCs w:val="32"/>
        </w:rPr>
      </w:pPr>
      <w:r>
        <w:rPr>
          <w:rFonts w:cs="Times New Roman"/>
          <w:szCs w:val="32"/>
        </w:rPr>
        <w:t>根据部门整体预算申报材料，市残联填报2021年度部门整体支出绩效指标如表1-</w:t>
      </w:r>
      <w:r>
        <w:rPr>
          <w:rFonts w:hint="eastAsia" w:cs="Times New Roman"/>
          <w:szCs w:val="32"/>
        </w:rPr>
        <w:t>4</w:t>
      </w:r>
      <w:r>
        <w:rPr>
          <w:rFonts w:cs="Times New Roman"/>
          <w:szCs w:val="32"/>
        </w:rPr>
        <w:t>所示，在进行部门整体支出绩效自评时，市残联对绩效指标进行了完善修改，具体指标如表1-</w:t>
      </w:r>
      <w:r>
        <w:rPr>
          <w:rFonts w:hint="eastAsia" w:cs="Times New Roman"/>
          <w:szCs w:val="32"/>
        </w:rPr>
        <w:t>5</w:t>
      </w:r>
      <w:r>
        <w:rPr>
          <w:rFonts w:cs="Times New Roman"/>
          <w:szCs w:val="32"/>
        </w:rPr>
        <w:t>所示。</w:t>
      </w:r>
    </w:p>
    <w:p>
      <w:pPr>
        <w:pStyle w:val="24"/>
      </w:pPr>
    </w:p>
    <w:p>
      <w:pPr>
        <w:pStyle w:val="11"/>
        <w:ind w:firstLine="643"/>
      </w:pPr>
      <w:r>
        <w:rPr>
          <w:rFonts w:cs="Times New Roman" w:eastAsiaTheme="minorEastAsia"/>
          <w:b/>
          <w:szCs w:val="36"/>
        </w:rPr>
        <w:t>表1-</w:t>
      </w:r>
      <w:r>
        <w:rPr>
          <w:rFonts w:hint="eastAsia" w:cs="Times New Roman" w:eastAsiaTheme="minorEastAsia"/>
          <w:b/>
          <w:szCs w:val="36"/>
        </w:rPr>
        <w:t xml:space="preserve">4  </w:t>
      </w:r>
      <w:r>
        <w:rPr>
          <w:rFonts w:hint="eastAsia" w:eastAsia="宋体"/>
          <w:b/>
          <w:bCs/>
          <w:sz w:val="28"/>
          <w:szCs w:val="28"/>
        </w:rPr>
        <w:t>2021年度部门整体支出绩效具体指标（预算申报）</w:t>
      </w:r>
    </w:p>
    <w:tbl>
      <w:tblPr>
        <w:tblStyle w:val="34"/>
        <w:tblW w:w="9399"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35"/>
        <w:gridCol w:w="3195"/>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指标类型</w:t>
            </w:r>
          </w:p>
        </w:tc>
        <w:tc>
          <w:tcPr>
            <w:tcW w:w="735"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3195"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指标名称</w:t>
            </w:r>
          </w:p>
        </w:tc>
        <w:tc>
          <w:tcPr>
            <w:tcW w:w="4467"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本年度计划完成水平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产出指标</w:t>
            </w: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配置辅助器具残疾人人数</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520人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参赛项目数（个）</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补助对象数量</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中等学校就读学生143人，高等学校就读学生111人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计划开展培训人数</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bidi="ar"/>
              </w:rPr>
              <w:t>160</w:t>
            </w:r>
            <w:r>
              <w:rPr>
                <w:rFonts w:hint="eastAsia" w:ascii="宋体" w:hAnsi="宋体" w:eastAsia="宋体" w:cs="宋体"/>
                <w:sz w:val="18"/>
                <w:szCs w:val="18"/>
                <w:lang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改造户数</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610户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残疾人职业技能培训人数达标率(%)</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改造完成及时性</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2021年11月31日前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项目资金完成率（%）</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计划开展培训完成时间</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0-6岁儿童康复经费补助标准</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非公办机构配套0.4万元每人每年，公办机构配套0.2万元每人每年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扶残助学发放标准</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bidi="ar"/>
              </w:rPr>
              <w:t>中等学校600元/人，高等学校800元/人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效果指标</w:t>
            </w: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为市残联机关提供法律服务</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聘请法律顾问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关心、理解、支持残疾人的社会氛围</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参与培训人员满意度</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满意度</w:t>
            </w:r>
          </w:p>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w:t>
            </w: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受助对象或家属对项目补助的满意度</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vMerge w:val="continue"/>
            <w:vAlign w:val="center"/>
          </w:tcPr>
          <w:p>
            <w:pPr>
              <w:spacing w:line="240" w:lineRule="auto"/>
              <w:ind w:firstLine="0" w:firstLineChars="0"/>
              <w:rPr>
                <w:rFonts w:hint="eastAsia" w:ascii="宋体" w:hAnsi="宋体" w:eastAsia="宋体" w:cs="宋体"/>
                <w:b/>
                <w:bCs/>
                <w:sz w:val="18"/>
                <w:szCs w:val="18"/>
              </w:rPr>
            </w:pPr>
          </w:p>
        </w:tc>
        <w:tc>
          <w:tcPr>
            <w:tcW w:w="73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195"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残疾人满意率</w:t>
            </w:r>
          </w:p>
        </w:tc>
        <w:tc>
          <w:tcPr>
            <w:tcW w:w="4467" w:type="dxa"/>
            <w:shd w:val="clear" w:color="auto" w:fill="auto"/>
            <w:vAlign w:val="center"/>
          </w:tcPr>
          <w:p>
            <w:pPr>
              <w:spacing w:line="240" w:lineRule="auto"/>
              <w:ind w:firstLine="0" w:firstLineChars="0"/>
              <w:jc w:val="center"/>
              <w:rPr>
                <w:rFonts w:hint="eastAsia" w:ascii="宋体" w:hAnsi="宋体" w:eastAsia="宋体" w:cs="宋体"/>
                <w:sz w:val="18"/>
                <w:szCs w:val="18"/>
                <w:lang w:bidi="ar"/>
              </w:rPr>
            </w:pPr>
            <w:r>
              <w:rPr>
                <w:rFonts w:hint="eastAsia" w:ascii="宋体" w:hAnsi="宋体" w:eastAsia="宋体" w:cs="宋体"/>
                <w:sz w:val="18"/>
                <w:szCs w:val="18"/>
                <w:lang w:bidi="ar"/>
              </w:rPr>
              <w:t>80%</w:t>
            </w:r>
          </w:p>
        </w:tc>
      </w:tr>
    </w:tbl>
    <w:p>
      <w:pPr>
        <w:keepNext w:val="0"/>
        <w:keepLines w:val="0"/>
        <w:pageBreakBefore w:val="0"/>
        <w:widowControl w:val="0"/>
        <w:kinsoku/>
        <w:wordWrap/>
        <w:overflowPunct/>
        <w:topLinePunct w:val="0"/>
        <w:autoSpaceDE/>
        <w:autoSpaceDN/>
        <w:bidi w:val="0"/>
        <w:adjustRightInd/>
        <w:snapToGrid/>
        <w:spacing w:before="219" w:beforeLines="50"/>
        <w:ind w:firstLine="0" w:firstLineChars="0"/>
        <w:jc w:val="center"/>
        <w:textAlignment w:val="auto"/>
        <w:outlineLvl w:val="9"/>
        <w:rPr>
          <w:rFonts w:cs="Times New Roman"/>
          <w:szCs w:val="32"/>
        </w:rPr>
      </w:pPr>
      <w:r>
        <w:rPr>
          <w:rFonts w:cs="Times New Roman" w:eastAsiaTheme="minorEastAsia"/>
          <w:b/>
          <w:szCs w:val="36"/>
        </w:rPr>
        <w:t>表1-</w:t>
      </w:r>
      <w:r>
        <w:rPr>
          <w:rFonts w:hint="eastAsia" w:cs="Times New Roman" w:eastAsiaTheme="minorEastAsia"/>
          <w:b/>
          <w:szCs w:val="36"/>
        </w:rPr>
        <w:t xml:space="preserve">5  </w:t>
      </w:r>
      <w:r>
        <w:rPr>
          <w:rFonts w:hint="eastAsia" w:eastAsia="宋体"/>
          <w:b/>
          <w:bCs/>
          <w:sz w:val="28"/>
          <w:szCs w:val="28"/>
        </w:rPr>
        <w:t xml:space="preserve"> 2021年度部门整体支出绩效具体指标（自评填报）</w:t>
      </w:r>
    </w:p>
    <w:tbl>
      <w:tblPr>
        <w:tblStyle w:val="34"/>
        <w:tblW w:w="9399"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40"/>
        <w:gridCol w:w="556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blHeader/>
        </w:trPr>
        <w:tc>
          <w:tcPr>
            <w:tcW w:w="1061"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指标类型</w:t>
            </w:r>
          </w:p>
        </w:tc>
        <w:tc>
          <w:tcPr>
            <w:tcW w:w="840"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565"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指标名称</w:t>
            </w:r>
          </w:p>
        </w:tc>
        <w:tc>
          <w:tcPr>
            <w:tcW w:w="1933"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本年度计划完成水平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产出指标</w:t>
            </w: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残疾人辅助器具适配数</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残疾人辅助器具适配率（%）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接受康复救助的残疾儿童数量（人）</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全市残疾人事业的规范性文件、政策、规划和计划方案拟定完成率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起草残疾人事业的规范性文件、政策、规划和计划数量</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精准康复服务率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无障碍改造项目验收合格率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康复项目完成率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宣传执行率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残疾人基本服务状况和需求信息数据收集覆盖率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残疾人补助发放及时率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就业活动场次</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新增残疾人就业人数</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567人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残疾人工作者培训场次</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残疾人工作者培训完成率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残疾人职业技能培训完成率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技能培训人次</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重点工作计划完成率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信访问题及时处理率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接受农村实用技术培训的残疾人掌握的生产技能数量</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21</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人工耳蜗补助标准</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1.5万元/例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效果指标</w:t>
            </w: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残疾儿童基本康复服务水平</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维护残疾人合法权益次数</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调查和动态更新率</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提高残疾人辅具适配服务水平（是/否）</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提高残疾人康复服务水平（是/否）</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提高受助残疾人生活自理和社会参与能力（是/否）</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满意度</w:t>
            </w:r>
          </w:p>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w:t>
            </w: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残疾人及其家属对残疾人辅具适配服务的满意度（%）</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残疾人及其家属对残疾人康复服务的满意度（%）</w:t>
            </w:r>
          </w:p>
        </w:tc>
        <w:tc>
          <w:tcPr>
            <w:tcW w:w="1933"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培训人员满意度</w:t>
            </w:r>
          </w:p>
        </w:tc>
        <w:tc>
          <w:tcPr>
            <w:tcW w:w="1933" w:type="dxa"/>
            <w:tcBorders>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1" w:type="dxa"/>
            <w:vMerge w:val="continue"/>
            <w:vAlign w:val="center"/>
          </w:tcPr>
          <w:p>
            <w:pPr>
              <w:spacing w:line="240" w:lineRule="auto"/>
              <w:ind w:firstLine="0" w:firstLineChars="0"/>
              <w:rPr>
                <w:rFonts w:hint="eastAsia" w:ascii="宋体" w:hAnsi="宋体" w:eastAsia="宋体" w:cs="宋体"/>
                <w:b/>
                <w:bCs/>
                <w:sz w:val="18"/>
                <w:szCs w:val="18"/>
              </w:rPr>
            </w:pPr>
          </w:p>
        </w:tc>
        <w:tc>
          <w:tcPr>
            <w:tcW w:w="840"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5565"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受助残疾人满意度</w:t>
            </w:r>
          </w:p>
        </w:tc>
        <w:tc>
          <w:tcPr>
            <w:tcW w:w="1933" w:type="dxa"/>
            <w:tcBorders>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≥80%</w:t>
            </w:r>
          </w:p>
        </w:tc>
      </w:tr>
    </w:tbl>
    <w:p>
      <w:pPr>
        <w:keepNext w:val="0"/>
        <w:keepLines w:val="0"/>
        <w:pageBreakBefore w:val="0"/>
        <w:widowControl/>
        <w:kinsoku/>
        <w:wordWrap/>
        <w:overflowPunct/>
        <w:topLinePunct w:val="0"/>
        <w:autoSpaceDE/>
        <w:autoSpaceDN/>
        <w:bidi w:val="0"/>
        <w:adjustRightInd/>
        <w:snapToGrid/>
        <w:spacing w:before="219" w:beforeLines="50"/>
        <w:ind w:firstLine="640"/>
        <w:textAlignment w:val="auto"/>
        <w:outlineLvl w:val="1"/>
        <w:rPr>
          <w:rFonts w:eastAsia="楷体_GB2312" w:cs="Times New Roman"/>
          <w:szCs w:val="32"/>
        </w:rPr>
      </w:pPr>
      <w:bookmarkStart w:id="47" w:name="_Toc27849"/>
      <w:bookmarkStart w:id="48" w:name="_Toc25198"/>
      <w:bookmarkStart w:id="49" w:name="_Toc8368"/>
      <w:bookmarkStart w:id="50" w:name="_Toc22482"/>
      <w:bookmarkStart w:id="51" w:name="_Toc114664781"/>
      <w:bookmarkStart w:id="52" w:name="_Toc112424049"/>
      <w:r>
        <w:rPr>
          <w:rFonts w:eastAsia="楷体_GB2312" w:cs="Times New Roman"/>
          <w:szCs w:val="32"/>
        </w:rPr>
        <w:t>（四）部门整体收支情况。</w:t>
      </w:r>
      <w:bookmarkEnd w:id="47"/>
      <w:bookmarkEnd w:id="48"/>
      <w:bookmarkEnd w:id="49"/>
      <w:bookmarkEnd w:id="50"/>
      <w:bookmarkEnd w:id="51"/>
      <w:bookmarkEnd w:id="52"/>
    </w:p>
    <w:bookmarkEnd w:id="38"/>
    <w:bookmarkEnd w:id="45"/>
    <w:bookmarkEnd w:id="46"/>
    <w:p>
      <w:pPr>
        <w:widowControl w:val="0"/>
        <w:ind w:firstLine="640"/>
        <w:jc w:val="both"/>
        <w:rPr>
          <w:rFonts w:cs="Times New Roman"/>
          <w:kern w:val="2"/>
        </w:rPr>
      </w:pPr>
      <w:r>
        <w:rPr>
          <w:rFonts w:cs="Times New Roman"/>
          <w:kern w:val="2"/>
        </w:rPr>
        <w:t>根据部门决算，市残联2021年度整体收入预算数为1</w:t>
      </w:r>
      <w:r>
        <w:rPr>
          <w:rFonts w:hint="eastAsia" w:cs="Times New Roman"/>
          <w:kern w:val="2"/>
        </w:rPr>
        <w:t>,</w:t>
      </w:r>
      <w:r>
        <w:rPr>
          <w:rFonts w:cs="Times New Roman"/>
          <w:kern w:val="2"/>
        </w:rPr>
        <w:t>916</w:t>
      </w:r>
      <w:r>
        <w:rPr>
          <w:rFonts w:hint="eastAsia" w:cs="Times New Roman"/>
          <w:kern w:val="2"/>
        </w:rPr>
        <w:t>.00万</w:t>
      </w:r>
      <w:r>
        <w:rPr>
          <w:rFonts w:cs="Times New Roman"/>
          <w:kern w:val="2"/>
        </w:rPr>
        <w:t>元，全部为一般公共预算财政拨款收入。预算调整数为1</w:t>
      </w:r>
      <w:r>
        <w:rPr>
          <w:rFonts w:hint="eastAsia" w:cs="Times New Roman"/>
          <w:kern w:val="2"/>
        </w:rPr>
        <w:t>,</w:t>
      </w:r>
      <w:r>
        <w:rPr>
          <w:rFonts w:cs="Times New Roman"/>
          <w:kern w:val="2"/>
        </w:rPr>
        <w:t>606</w:t>
      </w:r>
      <w:r>
        <w:rPr>
          <w:rFonts w:hint="eastAsia" w:cs="Times New Roman"/>
          <w:kern w:val="2"/>
        </w:rPr>
        <w:t>.</w:t>
      </w:r>
      <w:r>
        <w:rPr>
          <w:rFonts w:cs="Times New Roman"/>
          <w:kern w:val="2"/>
        </w:rPr>
        <w:t>7</w:t>
      </w:r>
      <w:r>
        <w:rPr>
          <w:rFonts w:hint="eastAsia" w:cs="Times New Roman"/>
          <w:kern w:val="2"/>
        </w:rPr>
        <w:t>5万</w:t>
      </w:r>
      <w:r>
        <w:rPr>
          <w:rFonts w:cs="Times New Roman"/>
          <w:kern w:val="2"/>
        </w:rPr>
        <w:t>元，决算数为1</w:t>
      </w:r>
      <w:r>
        <w:rPr>
          <w:rFonts w:hint="eastAsia" w:cs="Times New Roman"/>
          <w:kern w:val="2"/>
        </w:rPr>
        <w:t>,</w:t>
      </w:r>
      <w:r>
        <w:rPr>
          <w:rFonts w:cs="Times New Roman"/>
          <w:kern w:val="2"/>
        </w:rPr>
        <w:t>606</w:t>
      </w:r>
      <w:r>
        <w:rPr>
          <w:rFonts w:hint="eastAsia" w:cs="Times New Roman"/>
          <w:kern w:val="2"/>
        </w:rPr>
        <w:t>.</w:t>
      </w:r>
      <w:r>
        <w:rPr>
          <w:rFonts w:cs="Times New Roman"/>
          <w:kern w:val="2"/>
        </w:rPr>
        <w:t>7</w:t>
      </w:r>
      <w:r>
        <w:rPr>
          <w:rFonts w:hint="eastAsia" w:cs="Times New Roman"/>
          <w:kern w:val="2"/>
        </w:rPr>
        <w:t>5万</w:t>
      </w:r>
      <w:r>
        <w:rPr>
          <w:rFonts w:cs="Times New Roman"/>
          <w:kern w:val="2"/>
        </w:rPr>
        <w:t>元。部门整体支出年初预算数为1</w:t>
      </w:r>
      <w:r>
        <w:rPr>
          <w:rFonts w:hint="eastAsia" w:cs="Times New Roman"/>
          <w:kern w:val="2"/>
        </w:rPr>
        <w:t>,</w:t>
      </w:r>
      <w:r>
        <w:rPr>
          <w:rFonts w:cs="Times New Roman"/>
          <w:kern w:val="2"/>
        </w:rPr>
        <w:t>916</w:t>
      </w:r>
      <w:r>
        <w:rPr>
          <w:rFonts w:hint="eastAsia" w:cs="Times New Roman"/>
          <w:kern w:val="2"/>
        </w:rPr>
        <w:t>.00万</w:t>
      </w:r>
      <w:r>
        <w:rPr>
          <w:rFonts w:cs="Times New Roman"/>
          <w:kern w:val="2"/>
        </w:rPr>
        <w:t>元，包括基本支出预算为847</w:t>
      </w:r>
      <w:r>
        <w:rPr>
          <w:rFonts w:hint="eastAsia" w:cs="Times New Roman"/>
          <w:kern w:val="2"/>
        </w:rPr>
        <w:t>.</w:t>
      </w:r>
      <w:r>
        <w:rPr>
          <w:rFonts w:cs="Times New Roman"/>
          <w:kern w:val="2"/>
        </w:rPr>
        <w:t>64</w:t>
      </w:r>
      <w:r>
        <w:rPr>
          <w:rFonts w:hint="eastAsia" w:cs="Times New Roman"/>
          <w:kern w:val="2"/>
        </w:rPr>
        <w:t>万</w:t>
      </w:r>
      <w:r>
        <w:rPr>
          <w:rFonts w:cs="Times New Roman"/>
          <w:kern w:val="2"/>
        </w:rPr>
        <w:t>元（占比44.22%），项目支出预算</w:t>
      </w:r>
      <w:r>
        <w:rPr>
          <w:rFonts w:hint="eastAsia" w:cs="Times New Roman"/>
          <w:kern w:val="2"/>
        </w:rPr>
        <w:t>1068.84万元</w:t>
      </w:r>
      <w:r>
        <w:rPr>
          <w:rFonts w:cs="Times New Roman"/>
          <w:kern w:val="2"/>
        </w:rPr>
        <w:t>（占比55.78%）。部门整体支出预算调整数为1</w:t>
      </w:r>
      <w:r>
        <w:rPr>
          <w:rFonts w:hint="eastAsia" w:cs="Times New Roman"/>
          <w:kern w:val="2"/>
        </w:rPr>
        <w:t>,</w:t>
      </w:r>
      <w:r>
        <w:rPr>
          <w:rFonts w:cs="Times New Roman"/>
          <w:kern w:val="2"/>
        </w:rPr>
        <w:t>606</w:t>
      </w:r>
      <w:r>
        <w:rPr>
          <w:rFonts w:hint="eastAsia" w:cs="Times New Roman"/>
          <w:kern w:val="2"/>
        </w:rPr>
        <w:t>.</w:t>
      </w:r>
      <w:r>
        <w:rPr>
          <w:rFonts w:cs="Times New Roman"/>
          <w:kern w:val="2"/>
        </w:rPr>
        <w:t>7</w:t>
      </w:r>
      <w:r>
        <w:rPr>
          <w:rFonts w:hint="eastAsia" w:cs="Times New Roman"/>
          <w:kern w:val="2"/>
        </w:rPr>
        <w:t>5万</w:t>
      </w:r>
      <w:r>
        <w:rPr>
          <w:rFonts w:cs="Times New Roman"/>
          <w:kern w:val="2"/>
        </w:rPr>
        <w:t>元。部门整体支出决算数1</w:t>
      </w:r>
      <w:r>
        <w:rPr>
          <w:rFonts w:hint="eastAsia" w:cs="Times New Roman"/>
          <w:kern w:val="2"/>
        </w:rPr>
        <w:t>,</w:t>
      </w:r>
      <w:r>
        <w:rPr>
          <w:rFonts w:cs="Times New Roman"/>
          <w:kern w:val="2"/>
        </w:rPr>
        <w:t>606</w:t>
      </w:r>
      <w:r>
        <w:rPr>
          <w:rFonts w:hint="eastAsia" w:cs="Times New Roman"/>
          <w:kern w:val="2"/>
        </w:rPr>
        <w:t>.</w:t>
      </w:r>
      <w:r>
        <w:rPr>
          <w:rFonts w:cs="Times New Roman"/>
          <w:kern w:val="2"/>
        </w:rPr>
        <w:t>7</w:t>
      </w:r>
      <w:r>
        <w:rPr>
          <w:rFonts w:hint="eastAsia" w:cs="Times New Roman"/>
          <w:kern w:val="2"/>
        </w:rPr>
        <w:t>5万</w:t>
      </w:r>
      <w:r>
        <w:rPr>
          <w:rFonts w:cs="Times New Roman"/>
          <w:kern w:val="2"/>
        </w:rPr>
        <w:t>元，包括基本支出决算</w:t>
      </w:r>
      <w:r>
        <w:rPr>
          <w:rFonts w:hint="eastAsia" w:cs="Times New Roman"/>
          <w:kern w:val="2"/>
        </w:rPr>
        <w:t>823.49万元</w:t>
      </w:r>
      <w:r>
        <w:rPr>
          <w:rFonts w:cs="Times New Roman"/>
          <w:kern w:val="2"/>
        </w:rPr>
        <w:t>(占比49.26%)，项目支出</w:t>
      </w:r>
      <w:r>
        <w:rPr>
          <w:rFonts w:hint="eastAsia" w:cs="Times New Roman"/>
          <w:kern w:val="2"/>
        </w:rPr>
        <w:t>782.28万</w:t>
      </w:r>
      <w:r>
        <w:rPr>
          <w:rFonts w:cs="Times New Roman"/>
          <w:kern w:val="2"/>
        </w:rPr>
        <w:t>元（占比50.74%）。部门整体支出预算资金安排</w:t>
      </w:r>
      <w:r>
        <w:rPr>
          <w:rFonts w:hint="eastAsia" w:cs="Times New Roman"/>
          <w:kern w:val="2"/>
        </w:rPr>
        <w:t>及执行</w:t>
      </w:r>
      <w:r>
        <w:rPr>
          <w:rFonts w:cs="Times New Roman"/>
          <w:kern w:val="2"/>
        </w:rPr>
        <w:t>情况详见表1-6。</w:t>
      </w:r>
    </w:p>
    <w:p>
      <w:pPr>
        <w:widowControl w:val="0"/>
        <w:spacing w:line="240" w:lineRule="auto"/>
        <w:ind w:firstLine="0" w:firstLineChars="0"/>
        <w:jc w:val="center"/>
        <w:rPr>
          <w:rFonts w:eastAsia="宋体" w:cs="Times New Roman"/>
          <w:b/>
          <w:bCs/>
          <w:color w:val="000000"/>
          <w:kern w:val="2"/>
          <w:szCs w:val="28"/>
        </w:rPr>
      </w:pPr>
      <w:r>
        <w:rPr>
          <w:rFonts w:eastAsia="宋体" w:cs="Times New Roman"/>
          <w:b/>
          <w:bCs/>
          <w:color w:val="000000"/>
          <w:kern w:val="2"/>
          <w:szCs w:val="28"/>
        </w:rPr>
        <w:t>表1-6  市残联2021年部门整体支出</w:t>
      </w:r>
      <w:r>
        <w:rPr>
          <w:rFonts w:hint="eastAsia" w:eastAsia="宋体" w:cs="Times New Roman"/>
          <w:b/>
          <w:bCs/>
          <w:color w:val="000000"/>
          <w:kern w:val="2"/>
          <w:szCs w:val="28"/>
        </w:rPr>
        <w:t>预算及执行情况表</w:t>
      </w:r>
    </w:p>
    <w:p>
      <w:pPr>
        <w:widowControl w:val="0"/>
        <w:spacing w:line="240" w:lineRule="auto"/>
        <w:ind w:firstLine="0" w:firstLineChars="0"/>
        <w:jc w:val="right"/>
        <w:rPr>
          <w:rFonts w:cs="Times New Roman" w:eastAsiaTheme="minorEastAsia"/>
          <w:color w:val="000000"/>
          <w:kern w:val="2"/>
          <w:sz w:val="21"/>
          <w:szCs w:val="21"/>
        </w:rPr>
      </w:pPr>
      <w:r>
        <w:rPr>
          <w:rFonts w:cs="Times New Roman" w:eastAsiaTheme="minorEastAsia"/>
          <w:color w:val="000000"/>
          <w:kern w:val="2"/>
          <w:sz w:val="21"/>
          <w:szCs w:val="21"/>
        </w:rPr>
        <w:t>单位：</w:t>
      </w:r>
      <w:r>
        <w:rPr>
          <w:rFonts w:hint="eastAsia" w:cs="Times New Roman" w:eastAsiaTheme="minorEastAsia"/>
          <w:color w:val="000000"/>
          <w:kern w:val="2"/>
          <w:sz w:val="21"/>
          <w:szCs w:val="21"/>
        </w:rPr>
        <w:t>万</w:t>
      </w:r>
      <w:r>
        <w:rPr>
          <w:rFonts w:cs="Times New Roman" w:eastAsiaTheme="minorEastAsia"/>
          <w:color w:val="000000"/>
          <w:kern w:val="2"/>
          <w:sz w:val="21"/>
          <w:szCs w:val="21"/>
        </w:rPr>
        <w:t>元</w:t>
      </w:r>
    </w:p>
    <w:tbl>
      <w:tblPr>
        <w:tblStyle w:val="34"/>
        <w:tblW w:w="9170" w:type="dxa"/>
        <w:tblInd w:w="0" w:type="dxa"/>
        <w:tblLayout w:type="fixed"/>
        <w:tblCellMar>
          <w:top w:w="0" w:type="dxa"/>
          <w:left w:w="108" w:type="dxa"/>
          <w:bottom w:w="0" w:type="dxa"/>
          <w:right w:w="108" w:type="dxa"/>
        </w:tblCellMar>
      </w:tblPr>
      <w:tblGrid>
        <w:gridCol w:w="1164"/>
        <w:gridCol w:w="1740"/>
        <w:gridCol w:w="1740"/>
        <w:gridCol w:w="1046"/>
        <w:gridCol w:w="1740"/>
        <w:gridCol w:w="1740"/>
      </w:tblGrid>
      <w:tr>
        <w:tblPrEx>
          <w:tblLayout w:type="fixed"/>
          <w:tblCellMar>
            <w:top w:w="0" w:type="dxa"/>
            <w:left w:w="108" w:type="dxa"/>
            <w:bottom w:w="0" w:type="dxa"/>
            <w:right w:w="108" w:type="dxa"/>
          </w:tblCellMar>
        </w:tblPrEx>
        <w:trPr>
          <w:trHeight w:val="288"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类型</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年初预算数</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预算调整</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调整预算数</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决算数</w:t>
            </w:r>
          </w:p>
        </w:tc>
      </w:tr>
      <w:tr>
        <w:tblPrEx>
          <w:tblLayout w:type="fixed"/>
          <w:tblCellMar>
            <w:top w:w="0" w:type="dxa"/>
            <w:left w:w="108" w:type="dxa"/>
            <w:bottom w:w="0" w:type="dxa"/>
            <w:right w:w="108" w:type="dxa"/>
          </w:tblCellMar>
        </w:tblPrEx>
        <w:trPr>
          <w:trHeight w:val="288"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2"/>
              <w:jc w:val="center"/>
              <w:rPr>
                <w:rFonts w:hint="eastAsia" w:ascii="宋体" w:hAnsi="宋体" w:eastAsia="宋体" w:cs="宋体"/>
                <w:b/>
                <w:bCs/>
                <w:color w:val="000000"/>
                <w:sz w:val="18"/>
                <w:szCs w:val="18"/>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2"/>
              <w:jc w:val="center"/>
              <w:rPr>
                <w:rFonts w:hint="eastAsia" w:ascii="宋体" w:hAnsi="宋体" w:eastAsia="宋体" w:cs="宋体"/>
                <w:b/>
                <w:bCs/>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调整金额</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调整率</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2"/>
              <w:jc w:val="center"/>
              <w:rPr>
                <w:rFonts w:hint="eastAsia" w:ascii="宋体" w:hAnsi="宋体" w:eastAsia="宋体" w:cs="宋体"/>
                <w:b/>
                <w:bCs/>
                <w:color w:val="000000"/>
                <w:sz w:val="18"/>
                <w:szCs w:val="18"/>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2"/>
              <w:jc w:val="center"/>
              <w:rPr>
                <w:rFonts w:hint="eastAsia"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288"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基本支出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847.16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-23.67</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-2.79%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823.49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823.49</w:t>
            </w:r>
          </w:p>
        </w:tc>
      </w:tr>
      <w:tr>
        <w:tblPrEx>
          <w:tblLayout w:type="fixed"/>
          <w:tblCellMar>
            <w:top w:w="0" w:type="dxa"/>
            <w:left w:w="108" w:type="dxa"/>
            <w:bottom w:w="0" w:type="dxa"/>
            <w:right w:w="108" w:type="dxa"/>
          </w:tblCellMar>
        </w:tblPrEx>
        <w:trPr>
          <w:trHeight w:val="288"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项目支出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1068.84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-286.56</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-26.81%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782.28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782.28</w:t>
            </w:r>
          </w:p>
        </w:tc>
      </w:tr>
      <w:tr>
        <w:tblPrEx>
          <w:tblLayout w:type="fixed"/>
          <w:tblCellMar>
            <w:top w:w="0" w:type="dxa"/>
            <w:left w:w="108" w:type="dxa"/>
            <w:bottom w:w="0" w:type="dxa"/>
            <w:right w:w="108" w:type="dxa"/>
          </w:tblCellMar>
        </w:tblPrEx>
        <w:trPr>
          <w:trHeight w:val="288"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合计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1916.00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-309.26</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-16.14%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1606.75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bottom"/>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1606.75</w:t>
            </w:r>
          </w:p>
        </w:tc>
      </w:tr>
    </w:tbl>
    <w:p>
      <w:pPr>
        <w:widowControl w:val="0"/>
        <w:ind w:firstLine="0" w:firstLineChars="0"/>
        <w:rPr>
          <w:rFonts w:cs="Times New Roman" w:eastAsiaTheme="minorEastAsia"/>
          <w:color w:val="000000"/>
          <w:kern w:val="2"/>
          <w:sz w:val="21"/>
          <w:szCs w:val="21"/>
        </w:rPr>
      </w:pPr>
      <w:r>
        <w:rPr>
          <w:rFonts w:cs="Times New Roman" w:eastAsiaTheme="minorEastAsia"/>
          <w:color w:val="000000"/>
          <w:kern w:val="2"/>
          <w:sz w:val="21"/>
          <w:szCs w:val="21"/>
        </w:rPr>
        <w:t>数据来源：《韶关市残疾人联合会2021年度部门决算报表收入支出决算总表（财决01表）》。</w:t>
      </w:r>
    </w:p>
    <w:p>
      <w:pPr>
        <w:pStyle w:val="3"/>
        <w:widowControl w:val="0"/>
        <w:spacing w:before="0" w:beforeLines="0" w:after="0" w:afterLines="0" w:line="360" w:lineRule="auto"/>
        <w:ind w:firstLine="640"/>
        <w:jc w:val="both"/>
        <w:rPr>
          <w:rFonts w:eastAsia="黑体" w:cs="Times New Roman"/>
          <w:b w:val="0"/>
          <w:kern w:val="44"/>
          <w:szCs w:val="20"/>
        </w:rPr>
      </w:pPr>
      <w:bookmarkStart w:id="53" w:name="_Toc30165"/>
      <w:bookmarkStart w:id="54" w:name="_Toc10415"/>
      <w:bookmarkStart w:id="55" w:name="_Toc20429"/>
      <w:bookmarkStart w:id="56" w:name="_Toc13678"/>
      <w:bookmarkStart w:id="57" w:name="_Toc4127"/>
      <w:r>
        <w:rPr>
          <w:rFonts w:eastAsia="黑体" w:cs="Times New Roman"/>
          <w:b w:val="0"/>
          <w:kern w:val="44"/>
          <w:szCs w:val="20"/>
        </w:rPr>
        <w:t>二、绩效评价指标分析</w:t>
      </w:r>
      <w:bookmarkEnd w:id="53"/>
      <w:bookmarkEnd w:id="54"/>
      <w:bookmarkEnd w:id="55"/>
      <w:bookmarkEnd w:id="56"/>
      <w:bookmarkEnd w:id="57"/>
    </w:p>
    <w:p>
      <w:pPr>
        <w:ind w:firstLine="640"/>
        <w:outlineLvl w:val="1"/>
        <w:rPr>
          <w:rFonts w:eastAsia="楷体_GB2312" w:cs="Times New Roman"/>
          <w:szCs w:val="32"/>
        </w:rPr>
      </w:pPr>
      <w:bookmarkStart w:id="58" w:name="_Toc27847"/>
      <w:bookmarkStart w:id="59" w:name="_Toc112424051"/>
      <w:bookmarkStart w:id="60" w:name="_Toc309"/>
      <w:bookmarkStart w:id="61" w:name="_Toc114664783"/>
      <w:bookmarkStart w:id="62" w:name="_Toc7362"/>
      <w:bookmarkStart w:id="63" w:name="_Toc26719"/>
      <w:bookmarkStart w:id="64" w:name="_Hlk50353350"/>
      <w:r>
        <w:rPr>
          <w:rFonts w:eastAsia="楷体_GB2312" w:cs="Times New Roman"/>
          <w:szCs w:val="32"/>
        </w:rPr>
        <w:t>（一）年度工作任务及绩效目标完成情况。</w:t>
      </w:r>
      <w:bookmarkEnd w:id="58"/>
      <w:bookmarkEnd w:id="59"/>
      <w:bookmarkEnd w:id="60"/>
      <w:bookmarkEnd w:id="61"/>
      <w:bookmarkEnd w:id="62"/>
      <w:bookmarkEnd w:id="63"/>
    </w:p>
    <w:p>
      <w:pPr>
        <w:pStyle w:val="24"/>
        <w:ind w:left="0" w:firstLine="640" w:firstLineChars="200"/>
        <w:jc w:val="both"/>
        <w:rPr>
          <w:rFonts w:ascii="Times New Roman" w:hAnsi="Times New Roman" w:eastAsia="仿宋_GB2312"/>
          <w:sz w:val="32"/>
          <w:szCs w:val="32"/>
        </w:rPr>
      </w:pPr>
      <w:r>
        <w:rPr>
          <w:rFonts w:ascii="Times New Roman" w:hAnsi="Times New Roman" w:eastAsia="仿宋_GB2312"/>
          <w:sz w:val="32"/>
          <w:szCs w:val="32"/>
        </w:rPr>
        <w:t>2021年度</w:t>
      </w:r>
      <w:r>
        <w:rPr>
          <w:rFonts w:hint="eastAsia" w:ascii="Times New Roman" w:hAnsi="Times New Roman" w:eastAsia="仿宋_GB2312"/>
          <w:sz w:val="32"/>
          <w:szCs w:val="32"/>
        </w:rPr>
        <w:t>市残联</w:t>
      </w:r>
      <w:r>
        <w:rPr>
          <w:rFonts w:ascii="Times New Roman" w:hAnsi="Times New Roman" w:eastAsia="仿宋_GB2312"/>
          <w:sz w:val="32"/>
          <w:szCs w:val="32"/>
        </w:rPr>
        <w:t>各项年度工作任务完成情况较好，年初各项绩效目标均已完成，表现为提高康复服务水平、残疾人就业培训与教育工作、丰富残疾人文体生活与残疾人权益保障四个方面。</w:t>
      </w:r>
      <w:r>
        <w:rPr>
          <w:rFonts w:hint="eastAsia" w:ascii="Times New Roman" w:hAnsi="Times New Roman" w:eastAsia="仿宋_GB2312"/>
          <w:sz w:val="32"/>
          <w:szCs w:val="32"/>
        </w:rPr>
        <w:t>具体而言，市残联</w:t>
      </w:r>
      <w:r>
        <w:rPr>
          <w:rFonts w:ascii="Times New Roman" w:hAnsi="Times New Roman" w:eastAsia="仿宋_GB2312"/>
          <w:sz w:val="32"/>
          <w:szCs w:val="32"/>
        </w:rPr>
        <w:t>部门</w:t>
      </w:r>
      <w:r>
        <w:rPr>
          <w:rFonts w:hint="eastAsia" w:ascii="Times New Roman" w:hAnsi="Times New Roman" w:eastAsia="仿宋_GB2312"/>
          <w:sz w:val="32"/>
          <w:szCs w:val="32"/>
        </w:rPr>
        <w:t>整体</w:t>
      </w:r>
      <w:r>
        <w:rPr>
          <w:rFonts w:ascii="Times New Roman" w:hAnsi="Times New Roman" w:eastAsia="仿宋_GB2312"/>
          <w:sz w:val="32"/>
          <w:szCs w:val="32"/>
        </w:rPr>
        <w:t>的31项</w:t>
      </w:r>
      <w:r>
        <w:rPr>
          <w:rFonts w:hint="eastAsia" w:ascii="Times New Roman" w:hAnsi="Times New Roman" w:eastAsia="仿宋_GB2312"/>
          <w:sz w:val="32"/>
          <w:szCs w:val="32"/>
        </w:rPr>
        <w:t>绩效</w:t>
      </w:r>
      <w:r>
        <w:rPr>
          <w:rFonts w:ascii="Times New Roman" w:hAnsi="Times New Roman" w:eastAsia="仿宋_GB2312"/>
          <w:sz w:val="32"/>
          <w:szCs w:val="32"/>
        </w:rPr>
        <w:t>指标均已全部完成，其中包括21项产出指标，6项效果指标，4项满意度指标，部门整体支出绩效指标及完成情况如表2-1所示。</w:t>
      </w:r>
    </w:p>
    <w:tbl>
      <w:tblPr>
        <w:tblStyle w:val="34"/>
        <w:tblpPr w:leftFromText="180" w:rightFromText="180" w:vertAnchor="text" w:horzAnchor="page" w:tblpX="1226" w:tblpY="512"/>
        <w:tblOverlap w:val="never"/>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578"/>
        <w:gridCol w:w="5527"/>
        <w:gridCol w:w="127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指标类型</w:t>
            </w:r>
          </w:p>
        </w:tc>
        <w:tc>
          <w:tcPr>
            <w:tcW w:w="578"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527"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指标名称</w:t>
            </w:r>
          </w:p>
        </w:tc>
        <w:tc>
          <w:tcPr>
            <w:tcW w:w="1271"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本年度计划完成水平</w:t>
            </w:r>
          </w:p>
        </w:tc>
        <w:tc>
          <w:tcPr>
            <w:tcW w:w="1318" w:type="dxa"/>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本年度实际完成水平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产出指标</w:t>
            </w: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残疾人辅助器具适配数</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520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残疾人辅助器具适配率（%）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接受康复救助的残疾儿童数量（人）</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全市残疾人事业的规范性文件、政策、规划和计划方案拟定完成率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起草残疾人事业的规范性文件、政策、规划和计划数量</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1份</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精准康复服务率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无障碍改造项目验收合格率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康复项目完成率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宣传执行率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残疾人基本服务状况和需求信息数据收集覆盖率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残疾人补助发放及时率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就业活动场次</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3次</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新增残疾人就业人数</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567人</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1267人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残疾人工作者培训场次</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1场</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残疾人工作者培训完成率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残疾人职业技能培训完成率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技能培训人次</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300人次</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365人次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重点工作计划完成率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信访问题及时处理率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接受农村实用技术培训的残疾人掌握的生产技能数量</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21</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人工耳蜗补助标准</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1.5万元/例</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1.5万元/例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效果指标</w:t>
            </w: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残疾儿童基本康复服务水平</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明显提高</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维护残疾人合法权益次数</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10次（件）</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18次（件）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调查和动态更新率</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提高残疾人辅具适配服务水平（是/否）</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提高残疾人康复服务水平（是/否）</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提高受助残疾人生活自理和社会参与能力（是/否）</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restart"/>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满意度指标</w:t>
            </w: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残疾人及其家属对残疾人辅具适配服务的满意度（%）</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w:t>
            </w:r>
          </w:p>
        </w:tc>
        <w:tc>
          <w:tcPr>
            <w:tcW w:w="131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残疾人及其家属对残疾人康复服务的满意度（%）</w:t>
            </w:r>
          </w:p>
        </w:tc>
        <w:tc>
          <w:tcPr>
            <w:tcW w:w="1271"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≥80%</w:t>
            </w:r>
          </w:p>
        </w:tc>
        <w:tc>
          <w:tcPr>
            <w:tcW w:w="1318" w:type="dxa"/>
            <w:tcBorders>
              <w:bottom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培训人员满意度</w:t>
            </w:r>
          </w:p>
        </w:tc>
        <w:tc>
          <w:tcPr>
            <w:tcW w:w="1271" w:type="dxa"/>
            <w:tcBorders>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c>
          <w:tcPr>
            <w:tcW w:w="1318"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95</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0" w:type="dxa"/>
            <w:vMerge w:val="continue"/>
            <w:vAlign w:val="center"/>
          </w:tcPr>
          <w:p>
            <w:pPr>
              <w:spacing w:line="240" w:lineRule="auto"/>
              <w:ind w:firstLine="0" w:firstLineChars="0"/>
              <w:rPr>
                <w:rFonts w:hint="eastAsia" w:ascii="宋体" w:hAnsi="宋体" w:eastAsia="宋体" w:cs="宋体"/>
                <w:b/>
                <w:bCs/>
                <w:sz w:val="18"/>
                <w:szCs w:val="18"/>
              </w:rPr>
            </w:pPr>
          </w:p>
        </w:tc>
        <w:tc>
          <w:tcPr>
            <w:tcW w:w="578"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5527" w:type="dxa"/>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受助残疾人满意度</w:t>
            </w:r>
          </w:p>
        </w:tc>
        <w:tc>
          <w:tcPr>
            <w:tcW w:w="1271" w:type="dxa"/>
            <w:tcBorders>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≥80%</w:t>
            </w:r>
          </w:p>
        </w:tc>
        <w:tc>
          <w:tcPr>
            <w:tcW w:w="1318"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95</w:t>
            </w:r>
            <w:r>
              <w:rPr>
                <w:rFonts w:hint="eastAsia" w:ascii="宋体" w:hAnsi="宋体" w:eastAsia="宋体" w:cs="宋体"/>
                <w:sz w:val="18"/>
                <w:szCs w:val="18"/>
              </w:rPr>
              <w:t>%</w:t>
            </w:r>
          </w:p>
        </w:tc>
      </w:tr>
    </w:tbl>
    <w:p>
      <w:pPr>
        <w:widowControl w:val="0"/>
        <w:spacing w:line="540" w:lineRule="exact"/>
        <w:ind w:firstLine="0" w:firstLineChars="0"/>
        <w:jc w:val="center"/>
        <w:rPr>
          <w:rFonts w:eastAsia="宋体" w:cs="Times New Roman"/>
          <w:bCs/>
          <w:sz w:val="28"/>
          <w:szCs w:val="28"/>
        </w:rPr>
      </w:pPr>
      <w:r>
        <w:rPr>
          <w:rFonts w:eastAsia="宋体" w:cs="Times New Roman"/>
          <w:b/>
          <w:sz w:val="28"/>
          <w:szCs w:val="28"/>
        </w:rPr>
        <w:t>表2-1 市残联2021年度部门整体支出绩效指标</w:t>
      </w:r>
      <w:r>
        <w:rPr>
          <w:rFonts w:hint="eastAsia" w:eastAsia="宋体" w:cs="Times New Roman"/>
          <w:b/>
          <w:sz w:val="28"/>
          <w:szCs w:val="28"/>
        </w:rPr>
        <w:t>表</w:t>
      </w:r>
    </w:p>
    <w:p>
      <w:pPr>
        <w:ind w:firstLine="640"/>
        <w:jc w:val="both"/>
        <w:outlineLvl w:val="1"/>
        <w:rPr>
          <w:rFonts w:eastAsia="楷体_GB2312" w:cs="Times New Roman"/>
          <w:szCs w:val="32"/>
        </w:rPr>
      </w:pPr>
      <w:bookmarkStart w:id="65" w:name="_Toc114664784"/>
      <w:bookmarkStart w:id="66" w:name="_Toc112424052"/>
      <w:bookmarkStart w:id="67" w:name="_Toc30118"/>
      <w:bookmarkStart w:id="68" w:name="_Toc32681"/>
      <w:bookmarkStart w:id="69" w:name="_Toc20198"/>
      <w:bookmarkStart w:id="70" w:name="_Toc29503"/>
      <w:r>
        <w:rPr>
          <w:rFonts w:eastAsia="楷体_GB2312" w:cs="Times New Roman"/>
          <w:szCs w:val="32"/>
        </w:rPr>
        <w:t>（二）指标分析。</w:t>
      </w:r>
      <w:bookmarkEnd w:id="65"/>
      <w:bookmarkEnd w:id="66"/>
      <w:bookmarkEnd w:id="67"/>
      <w:bookmarkEnd w:id="68"/>
      <w:bookmarkEnd w:id="69"/>
      <w:bookmarkEnd w:id="70"/>
    </w:p>
    <w:bookmarkEnd w:id="64"/>
    <w:p>
      <w:pPr>
        <w:pStyle w:val="5"/>
        <w:ind w:firstLine="643"/>
        <w:rPr>
          <w:rFonts w:cs="Times New Roman"/>
        </w:rPr>
      </w:pPr>
      <w:bookmarkStart w:id="71" w:name="_Toc29882"/>
      <w:bookmarkStart w:id="72" w:name="_Toc52124759"/>
      <w:bookmarkStart w:id="73" w:name="_Toc20470111"/>
      <w:r>
        <w:rPr>
          <w:rFonts w:cs="Times New Roman"/>
        </w:rPr>
        <w:t>1.预算编制情况</w:t>
      </w:r>
      <w:bookmarkEnd w:id="71"/>
      <w:bookmarkEnd w:id="72"/>
      <w:bookmarkEnd w:id="73"/>
      <w:r>
        <w:rPr>
          <w:rFonts w:cs="Times New Roman"/>
        </w:rPr>
        <w:t>分析</w:t>
      </w:r>
    </w:p>
    <w:p>
      <w:pPr>
        <w:ind w:firstLine="640"/>
        <w:rPr>
          <w:rFonts w:cs="Times New Roman"/>
          <w:kern w:val="2"/>
        </w:rPr>
      </w:pPr>
      <w:bookmarkStart w:id="74" w:name="_Toc14567"/>
      <w:bookmarkStart w:id="75" w:name="_Toc50292610"/>
      <w:bookmarkStart w:id="76" w:name="_Toc52124760"/>
      <w:bookmarkStart w:id="77" w:name="_Toc5528"/>
      <w:r>
        <w:rPr>
          <w:rFonts w:cs="Times New Roman"/>
          <w:kern w:val="2"/>
        </w:rPr>
        <w:t>预算编制三级指标得分率如图2-1所示。</w:t>
      </w:r>
    </w:p>
    <w:p>
      <w:pPr>
        <w:ind w:firstLine="0" w:firstLineChars="0"/>
        <w:jc w:val="center"/>
        <w:rPr>
          <w:rFonts w:eastAsia="黑体" w:cs="Times New Roman"/>
          <w:color w:val="0000FF"/>
          <w:kern w:val="2"/>
        </w:rPr>
      </w:pPr>
      <w:r>
        <w:rPr>
          <w:rFonts w:cs="Times New Roman"/>
        </w:rPr>
        <w:drawing>
          <wp:inline distT="0" distB="0" distL="114300" distR="114300">
            <wp:extent cx="4996180" cy="1168400"/>
            <wp:effectExtent l="4445" t="4445" r="9525" b="825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val="0"/>
        <w:ind w:firstLine="0" w:firstLineChars="0"/>
        <w:jc w:val="center"/>
        <w:rPr>
          <w:rFonts w:eastAsia="宋体" w:cs="Times New Roman"/>
          <w:b/>
          <w:bCs/>
          <w:kern w:val="2"/>
          <w:sz w:val="28"/>
          <w:szCs w:val="28"/>
        </w:rPr>
      </w:pPr>
      <w:r>
        <w:rPr>
          <w:rFonts w:eastAsia="宋体" w:cs="Times New Roman"/>
          <w:b/>
          <w:bCs/>
          <w:kern w:val="2"/>
          <w:sz w:val="28"/>
          <w:szCs w:val="28"/>
        </w:rPr>
        <w:t>图2-1 预算编制三级指标得分率</w:t>
      </w:r>
    </w:p>
    <w:p>
      <w:pPr>
        <w:pStyle w:val="6"/>
        <w:spacing w:before="0" w:after="0" w:line="360" w:lineRule="auto"/>
        <w:ind w:firstLine="640"/>
        <w:rPr>
          <w:rFonts w:ascii="Times New Roman" w:hAnsi="Times New Roman" w:cs="Times New Roman"/>
        </w:rPr>
      </w:pPr>
      <w:r>
        <w:rPr>
          <w:rFonts w:ascii="Times New Roman" w:hAnsi="Times New Roman" w:cs="Times New Roman"/>
        </w:rPr>
        <w:t>（1）</w:t>
      </w:r>
      <w:bookmarkStart w:id="78" w:name="_Toc28182588"/>
      <w:r>
        <w:rPr>
          <w:rFonts w:ascii="Times New Roman" w:hAnsi="Times New Roman" w:cs="Times New Roman"/>
        </w:rPr>
        <w:t>预算编制（得4.39分）</w:t>
      </w:r>
      <w:bookmarkEnd w:id="74"/>
      <w:bookmarkEnd w:id="75"/>
      <w:bookmarkEnd w:id="76"/>
      <w:bookmarkEnd w:id="77"/>
      <w:bookmarkEnd w:id="78"/>
    </w:p>
    <w:p>
      <w:pPr>
        <w:widowControl w:val="0"/>
        <w:ind w:firstLine="640"/>
        <w:jc w:val="both"/>
        <w:rPr>
          <w:rFonts w:cs="Times New Roman"/>
          <w:kern w:val="2"/>
        </w:rPr>
      </w:pPr>
      <w:r>
        <w:rPr>
          <w:rFonts w:cs="Times New Roman"/>
          <w:szCs w:val="32"/>
        </w:rPr>
        <w:t>①预算编制规范性。市残联2021年度预算编制总体较为合理规范，资金支出符合部门履职需要，项目资金分配与</w:t>
      </w:r>
      <w:r>
        <w:rPr>
          <w:rFonts w:cs="Times New Roman"/>
          <w:kern w:val="2"/>
        </w:rPr>
        <w:t>部门年度重点工作任务相切合。预算编制符合财政有关预算编制的原则和要求，功能分类和经济分类编制正确</w:t>
      </w:r>
      <w:r>
        <w:rPr>
          <w:rFonts w:hint="eastAsia" w:cs="Times New Roman"/>
          <w:kern w:val="2"/>
        </w:rPr>
        <w:t>。该指标</w:t>
      </w:r>
      <w:r>
        <w:rPr>
          <w:rFonts w:cs="Times New Roman"/>
          <w:kern w:val="2"/>
        </w:rPr>
        <w:t>不扣分。</w:t>
      </w:r>
    </w:p>
    <w:p>
      <w:pPr>
        <w:widowControl w:val="0"/>
        <w:ind w:firstLine="640"/>
        <w:jc w:val="both"/>
        <w:rPr>
          <w:rFonts w:cs="Times New Roman"/>
          <w:kern w:val="2"/>
        </w:rPr>
      </w:pPr>
      <w:r>
        <w:rPr>
          <w:rFonts w:cs="Times New Roman"/>
          <w:kern w:val="2"/>
        </w:rPr>
        <w:t>②预算调整率。根据市残联2021年部门决算报表（财决01报表），2021年市残联预算调整数为1</w:t>
      </w:r>
      <w:r>
        <w:rPr>
          <w:rFonts w:hint="eastAsia" w:cs="Times New Roman"/>
          <w:kern w:val="2"/>
          <w:lang w:val="en-US" w:eastAsia="zh-CN"/>
        </w:rPr>
        <w:t>,</w:t>
      </w:r>
      <w:r>
        <w:rPr>
          <w:rFonts w:cs="Times New Roman"/>
          <w:kern w:val="2"/>
        </w:rPr>
        <w:t>606</w:t>
      </w:r>
      <w:r>
        <w:rPr>
          <w:rFonts w:hint="eastAsia" w:cs="Times New Roman"/>
          <w:kern w:val="2"/>
          <w:lang w:val="en-US" w:eastAsia="zh-CN"/>
        </w:rPr>
        <w:t>.</w:t>
      </w:r>
      <w:r>
        <w:rPr>
          <w:rFonts w:cs="Times New Roman"/>
          <w:kern w:val="2"/>
        </w:rPr>
        <w:t>7</w:t>
      </w:r>
      <w:r>
        <w:rPr>
          <w:rFonts w:hint="eastAsia" w:cs="Times New Roman"/>
          <w:kern w:val="2"/>
          <w:lang w:val="en-US" w:eastAsia="zh-CN"/>
        </w:rPr>
        <w:t>5万</w:t>
      </w:r>
      <w:r>
        <w:rPr>
          <w:rFonts w:cs="Times New Roman"/>
          <w:kern w:val="2"/>
        </w:rPr>
        <w:t>元，预算数为1</w:t>
      </w:r>
      <w:r>
        <w:rPr>
          <w:rFonts w:hint="eastAsia" w:cs="Times New Roman"/>
          <w:kern w:val="2"/>
          <w:lang w:val="en-US" w:eastAsia="zh-CN"/>
        </w:rPr>
        <w:t>,</w:t>
      </w:r>
      <w:r>
        <w:rPr>
          <w:rFonts w:cs="Times New Roman"/>
          <w:kern w:val="2"/>
        </w:rPr>
        <w:t>916</w:t>
      </w:r>
      <w:r>
        <w:rPr>
          <w:rFonts w:hint="eastAsia" w:cs="Times New Roman"/>
          <w:kern w:val="2"/>
          <w:lang w:val="en-US" w:eastAsia="zh-CN"/>
        </w:rPr>
        <w:t>.</w:t>
      </w:r>
      <w:r>
        <w:rPr>
          <w:rFonts w:cs="Times New Roman"/>
          <w:kern w:val="2"/>
        </w:rPr>
        <w:t>0</w:t>
      </w:r>
      <w:r>
        <w:rPr>
          <w:rFonts w:hint="eastAsia" w:cs="Times New Roman"/>
          <w:kern w:val="2"/>
          <w:lang w:val="en-US" w:eastAsia="zh-CN"/>
        </w:rPr>
        <w:t>0万</w:t>
      </w:r>
      <w:r>
        <w:rPr>
          <w:rFonts w:cs="Times New Roman"/>
          <w:kern w:val="2"/>
        </w:rPr>
        <w:t>元，部门预算调整率为16.14%</w:t>
      </w:r>
      <w:r>
        <w:rPr>
          <w:rStyle w:val="33"/>
          <w:rFonts w:cs="Times New Roman"/>
          <w:kern w:val="2"/>
        </w:rPr>
        <w:footnoteReference w:id="1"/>
      </w:r>
      <w:r>
        <w:rPr>
          <w:rFonts w:cs="Times New Roman"/>
          <w:kern w:val="2"/>
        </w:rPr>
        <w:t>。</w:t>
      </w:r>
      <w:r>
        <w:rPr>
          <w:rFonts w:hint="eastAsia" w:cs="Times New Roman"/>
          <w:kern w:val="2"/>
        </w:rPr>
        <w:t>因此，该指标扣</w:t>
      </w:r>
      <w:r>
        <w:rPr>
          <w:rFonts w:cs="Times New Roman"/>
          <w:kern w:val="2"/>
        </w:rPr>
        <w:t>1.61分，得1.39分。</w:t>
      </w:r>
    </w:p>
    <w:p>
      <w:pPr>
        <w:pStyle w:val="6"/>
        <w:spacing w:before="0" w:after="0" w:line="360" w:lineRule="auto"/>
        <w:ind w:firstLine="640"/>
        <w:rPr>
          <w:rFonts w:ascii="Times New Roman" w:hAnsi="Times New Roman" w:cs="Times New Roman"/>
        </w:rPr>
      </w:pPr>
      <w:bookmarkStart w:id="79" w:name="_Toc50292611"/>
      <w:bookmarkStart w:id="80" w:name="_Toc26042"/>
      <w:bookmarkStart w:id="81" w:name="_Toc28182589"/>
      <w:bookmarkStart w:id="82" w:name="_Toc52124761"/>
      <w:bookmarkStart w:id="83" w:name="_Toc9044"/>
      <w:r>
        <w:rPr>
          <w:rFonts w:ascii="Times New Roman" w:hAnsi="Times New Roman" w:cs="Times New Roman"/>
        </w:rPr>
        <w:t>（2）目标设置</w:t>
      </w:r>
      <w:bookmarkStart w:id="84" w:name="_Hlk50291475"/>
      <w:r>
        <w:rPr>
          <w:rFonts w:ascii="Times New Roman" w:hAnsi="Times New Roman" w:cs="Times New Roman"/>
        </w:rPr>
        <w:t>（得7分）</w:t>
      </w:r>
      <w:bookmarkEnd w:id="79"/>
      <w:bookmarkEnd w:id="80"/>
      <w:bookmarkEnd w:id="81"/>
      <w:bookmarkEnd w:id="82"/>
      <w:bookmarkEnd w:id="83"/>
      <w:bookmarkEnd w:id="84"/>
    </w:p>
    <w:p>
      <w:pPr>
        <w:widowControl w:val="0"/>
        <w:ind w:firstLine="640"/>
        <w:jc w:val="both"/>
        <w:rPr>
          <w:rFonts w:cs="Times New Roman"/>
          <w:kern w:val="2"/>
        </w:rPr>
      </w:pPr>
      <w:r>
        <w:rPr>
          <w:rFonts w:cs="Times New Roman"/>
          <w:kern w:val="2"/>
        </w:rPr>
        <w:t>目标设置三级指标得分率如图2-2所示。</w:t>
      </w:r>
    </w:p>
    <w:p>
      <w:pPr>
        <w:pStyle w:val="24"/>
        <w:ind w:left="0"/>
        <w:jc w:val="center"/>
        <w:rPr>
          <w:rFonts w:ascii="Times New Roman" w:hAnsi="Times New Roman"/>
          <w:color w:val="0000FF"/>
          <w:kern w:val="2"/>
          <w:sz w:val="32"/>
        </w:rPr>
      </w:pPr>
      <w:r>
        <w:rPr>
          <w:rFonts w:ascii="Times New Roman" w:hAnsi="Times New Roman"/>
        </w:rPr>
        <w:drawing>
          <wp:inline distT="0" distB="0" distL="114300" distR="114300">
            <wp:extent cx="4857750" cy="1445260"/>
            <wp:effectExtent l="4445" t="4445" r="14605" b="1714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after="219"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图2-2 目标设置三级指标得分率</w:t>
      </w:r>
    </w:p>
    <w:p>
      <w:pPr>
        <w:widowControl w:val="0"/>
        <w:ind w:firstLine="640"/>
        <w:jc w:val="both"/>
        <w:rPr>
          <w:rFonts w:cs="Times New Roman"/>
          <w:kern w:val="2"/>
        </w:rPr>
      </w:pPr>
      <w:bookmarkStart w:id="85" w:name="_Hlk116999816"/>
      <w:r>
        <w:rPr>
          <w:rFonts w:cs="Times New Roman"/>
          <w:kern w:val="2"/>
        </w:rPr>
        <w:t>①绩效目标覆盖率。部门整体绩效目标基本覆盖了部门年度的重点工作任务，部门2021年度共38个支出项目，均设置了相应的绩效目标，绩效目标覆盖率为100%。</w:t>
      </w:r>
      <w:r>
        <w:rPr>
          <w:rFonts w:hint="eastAsia" w:cs="Times New Roman"/>
          <w:kern w:val="2"/>
        </w:rPr>
        <w:t>该指标</w:t>
      </w:r>
      <w:r>
        <w:rPr>
          <w:rFonts w:cs="Times New Roman"/>
          <w:kern w:val="2"/>
        </w:rPr>
        <w:t>不扣分，得2分。</w:t>
      </w:r>
    </w:p>
    <w:bookmarkEnd w:id="85"/>
    <w:p>
      <w:pPr>
        <w:widowControl w:val="0"/>
        <w:ind w:firstLine="640"/>
        <w:jc w:val="both"/>
        <w:rPr>
          <w:rFonts w:cs="Times New Roman"/>
          <w:szCs w:val="32"/>
        </w:rPr>
      </w:pPr>
      <w:r>
        <w:rPr>
          <w:rFonts w:cs="Times New Roman"/>
          <w:kern w:val="2"/>
        </w:rPr>
        <w:t>②绩效目标合理性。</w:t>
      </w:r>
      <w:r>
        <w:rPr>
          <w:rFonts w:hint="eastAsia" w:cs="Times New Roman"/>
          <w:kern w:val="2"/>
        </w:rPr>
        <w:t>部门整体支出绩效目标能体现部门（单位）“三定”方案规定的部门职能，</w:t>
      </w:r>
      <w:r>
        <w:rPr>
          <w:rFonts w:cs="Times New Roman"/>
          <w:kern w:val="2"/>
        </w:rPr>
        <w:t>与本年度部门预算资金</w:t>
      </w:r>
      <w:r>
        <w:rPr>
          <w:rFonts w:hint="eastAsia" w:cs="Times New Roman"/>
          <w:kern w:val="2"/>
        </w:rPr>
        <w:t>较为</w:t>
      </w:r>
      <w:r>
        <w:rPr>
          <w:rFonts w:cs="Times New Roman"/>
          <w:kern w:val="2"/>
        </w:rPr>
        <w:t>匹配</w:t>
      </w:r>
      <w:r>
        <w:rPr>
          <w:rFonts w:hint="eastAsia" w:cs="Times New Roman"/>
          <w:kern w:val="2"/>
        </w:rPr>
        <w:t>，</w:t>
      </w:r>
      <w:r>
        <w:rPr>
          <w:rFonts w:cs="Times New Roman"/>
          <w:szCs w:val="32"/>
        </w:rPr>
        <w:t>可细分至具体</w:t>
      </w:r>
      <w:r>
        <w:rPr>
          <w:rFonts w:hint="eastAsia" w:cs="Times New Roman"/>
          <w:szCs w:val="32"/>
        </w:rPr>
        <w:t>4项</w:t>
      </w:r>
      <w:r>
        <w:rPr>
          <w:rFonts w:cs="Times New Roman"/>
          <w:szCs w:val="32"/>
        </w:rPr>
        <w:t>工作任务。</w:t>
      </w:r>
    </w:p>
    <w:p>
      <w:pPr>
        <w:widowControl w:val="0"/>
        <w:ind w:firstLine="640"/>
        <w:jc w:val="both"/>
        <w:rPr>
          <w:rFonts w:cs="Times New Roman"/>
          <w:kern w:val="2"/>
        </w:rPr>
      </w:pPr>
      <w:r>
        <w:rPr>
          <w:rFonts w:hint="eastAsia" w:cs="Times New Roman"/>
          <w:szCs w:val="32"/>
        </w:rPr>
        <w:t>存在的问题：</w:t>
      </w:r>
      <w:r>
        <w:rPr>
          <w:rFonts w:cs="Times New Roman"/>
          <w:szCs w:val="32"/>
        </w:rPr>
        <w:t>指标值设置</w:t>
      </w:r>
      <w:r>
        <w:rPr>
          <w:rFonts w:hint="eastAsia" w:cs="Times New Roman"/>
          <w:szCs w:val="32"/>
        </w:rPr>
        <w:t>合理性有待增强</w:t>
      </w:r>
      <w:r>
        <w:rPr>
          <w:rFonts w:cs="Times New Roman"/>
          <w:szCs w:val="32"/>
        </w:rPr>
        <w:t>。</w:t>
      </w:r>
      <w:r>
        <w:rPr>
          <w:rFonts w:hint="eastAsia" w:cs="Times New Roman"/>
          <w:kern w:val="2"/>
        </w:rPr>
        <w:t>一是据调研了解，</w:t>
      </w:r>
      <w:r>
        <w:rPr>
          <w:rFonts w:cs="Times New Roman"/>
          <w:kern w:val="2"/>
        </w:rPr>
        <w:t>部门设置的绩效指标值主要依据</w:t>
      </w:r>
      <w:r>
        <w:rPr>
          <w:rFonts w:hint="eastAsia" w:cs="Times New Roman"/>
          <w:kern w:val="2"/>
        </w:rPr>
        <w:t>上</w:t>
      </w:r>
      <w:r>
        <w:rPr>
          <w:rFonts w:cs="Times New Roman"/>
          <w:kern w:val="2"/>
        </w:rPr>
        <w:t>年的绩效完成情况进行设定，前期未对所申报项目</w:t>
      </w:r>
      <w:r>
        <w:rPr>
          <w:rFonts w:hint="eastAsia" w:cs="Times New Roman"/>
          <w:kern w:val="2"/>
        </w:rPr>
        <w:t>进行</w:t>
      </w:r>
      <w:r>
        <w:rPr>
          <w:rFonts w:cs="Times New Roman"/>
          <w:kern w:val="2"/>
        </w:rPr>
        <w:t>调研和论证，了解</w:t>
      </w:r>
      <w:r>
        <w:rPr>
          <w:rFonts w:hint="eastAsia" w:cs="Times New Roman"/>
          <w:kern w:val="2"/>
        </w:rPr>
        <w:t>项目实际需求及</w:t>
      </w:r>
      <w:r>
        <w:rPr>
          <w:rFonts w:cs="Times New Roman"/>
          <w:kern w:val="2"/>
        </w:rPr>
        <w:t>项目应该达到的产出和效益。</w:t>
      </w:r>
      <w:r>
        <w:rPr>
          <w:rFonts w:hint="eastAsia" w:cs="Times New Roman"/>
          <w:kern w:val="2"/>
        </w:rPr>
        <w:t>二是存在指标分类错误的情况，如部门整体支出绩效目标表中将“改造户数”列为产出质量指标，建议设为产出数量指标。如将“参与培训人员满意度”误列为社会效益指标，建议设为满意度指标。三是</w:t>
      </w:r>
      <w:r>
        <w:rPr>
          <w:rFonts w:cs="Times New Roman"/>
          <w:kern w:val="2"/>
        </w:rPr>
        <w:t>部门整体绩效指标中有4个指标完成率超过150%，存在绩效指标设置偏低的情况。</w:t>
      </w:r>
      <w:r>
        <w:rPr>
          <w:rFonts w:hint="eastAsia" w:cs="Times New Roman"/>
          <w:kern w:val="2"/>
        </w:rPr>
        <w:t>因此，该指标扣</w:t>
      </w:r>
      <w:r>
        <w:rPr>
          <w:rFonts w:cs="Times New Roman"/>
          <w:kern w:val="2"/>
        </w:rPr>
        <w:t>1分，得3分。</w:t>
      </w:r>
    </w:p>
    <w:p>
      <w:pPr>
        <w:widowControl w:val="0"/>
        <w:ind w:firstLine="640"/>
        <w:jc w:val="both"/>
        <w:rPr>
          <w:rFonts w:cs="Times New Roman"/>
          <w:kern w:val="2"/>
        </w:rPr>
      </w:pPr>
      <w:r>
        <w:rPr>
          <w:rFonts w:cs="Times New Roman"/>
          <w:kern w:val="2"/>
        </w:rPr>
        <w:t>③绩效目标明确性。绩效指标中包含能够明确体现部门履职效果的社会效益指标，大部分绩效指标具有清晰、可衡量的指标值，可量化的指标值运用数值表示。</w:t>
      </w:r>
    </w:p>
    <w:p>
      <w:pPr>
        <w:widowControl w:val="0"/>
        <w:ind w:firstLine="640"/>
        <w:jc w:val="both"/>
        <w:rPr>
          <w:rFonts w:cs="Times New Roman"/>
          <w:kern w:val="2"/>
        </w:rPr>
      </w:pPr>
      <w:r>
        <w:rPr>
          <w:rFonts w:cs="Times New Roman"/>
          <w:kern w:val="2"/>
        </w:rPr>
        <w:t>存在的问题：部门整体支出绩效指标中个别指标的指标值的量化程度不高，可衡量性不足，如部门整体绩效目标申报表中</w:t>
      </w:r>
      <w:r>
        <w:rPr>
          <w:rFonts w:hint="eastAsia" w:cs="Times New Roman"/>
          <w:kern w:val="2"/>
        </w:rPr>
        <w:t>社会效益的</w:t>
      </w:r>
      <w:r>
        <w:rPr>
          <w:rFonts w:cs="Times New Roman"/>
          <w:kern w:val="2"/>
        </w:rPr>
        <w:t>“为市残联机关提供法律服务”的指标值为“聘请法律顾问”，量化程度不足。</w:t>
      </w:r>
      <w:r>
        <w:rPr>
          <w:rFonts w:hint="eastAsia" w:cs="Times New Roman"/>
          <w:kern w:val="2"/>
        </w:rPr>
        <w:t>因此，该指标扣</w:t>
      </w:r>
      <w:r>
        <w:rPr>
          <w:rFonts w:cs="Times New Roman"/>
          <w:kern w:val="2"/>
        </w:rPr>
        <w:t>1分，得2分。</w:t>
      </w:r>
    </w:p>
    <w:p>
      <w:pPr>
        <w:pStyle w:val="5"/>
        <w:ind w:firstLine="643"/>
        <w:rPr>
          <w:rFonts w:cs="Times New Roman"/>
        </w:rPr>
      </w:pPr>
      <w:bookmarkStart w:id="86" w:name="_Toc52124762"/>
      <w:bookmarkStart w:id="87" w:name="_Toc22624"/>
      <w:bookmarkStart w:id="88" w:name="_Toc20470112"/>
      <w:r>
        <w:rPr>
          <w:rFonts w:cs="Times New Roman"/>
        </w:rPr>
        <w:t>2.预算执行情况</w:t>
      </w:r>
      <w:bookmarkEnd w:id="86"/>
      <w:bookmarkEnd w:id="87"/>
      <w:bookmarkEnd w:id="88"/>
      <w:r>
        <w:rPr>
          <w:rFonts w:cs="Times New Roman"/>
        </w:rPr>
        <w:t>分析</w:t>
      </w:r>
    </w:p>
    <w:p>
      <w:pPr>
        <w:pStyle w:val="6"/>
        <w:spacing w:before="0" w:after="0" w:line="360" w:lineRule="auto"/>
        <w:ind w:firstLine="640"/>
        <w:rPr>
          <w:rFonts w:ascii="Times New Roman" w:hAnsi="Times New Roman" w:cs="Times New Roman"/>
        </w:rPr>
      </w:pPr>
      <w:bookmarkStart w:id="89" w:name="_Toc20661"/>
      <w:bookmarkStart w:id="90" w:name="_Toc50292613"/>
      <w:bookmarkStart w:id="91" w:name="_Toc1514"/>
      <w:bookmarkStart w:id="92" w:name="_Toc52124763"/>
      <w:r>
        <w:rPr>
          <w:rFonts w:ascii="Times New Roman" w:hAnsi="Times New Roman" w:cs="Times New Roman"/>
        </w:rPr>
        <w:t>（1）资金管理（得14.12分）</w:t>
      </w:r>
      <w:bookmarkEnd w:id="89"/>
      <w:bookmarkEnd w:id="90"/>
      <w:bookmarkEnd w:id="91"/>
      <w:bookmarkEnd w:id="92"/>
    </w:p>
    <w:p>
      <w:pPr>
        <w:widowControl w:val="0"/>
        <w:ind w:firstLine="640"/>
        <w:jc w:val="both"/>
        <w:rPr>
          <w:rFonts w:cs="Times New Roman"/>
          <w:kern w:val="2"/>
        </w:rPr>
      </w:pPr>
      <w:r>
        <w:rPr>
          <w:rFonts w:cs="Times New Roman"/>
          <w:kern w:val="2"/>
        </w:rPr>
        <w:t>资金管理三级指标得分率如图2-3所示。</w:t>
      </w:r>
    </w:p>
    <w:p>
      <w:pPr>
        <w:pStyle w:val="24"/>
        <w:ind w:left="0"/>
        <w:jc w:val="center"/>
        <w:rPr>
          <w:rFonts w:ascii="Times New Roman" w:hAnsi="Times New Roman"/>
          <w:color w:val="0000FF"/>
          <w:kern w:val="2"/>
          <w:sz w:val="32"/>
        </w:rPr>
      </w:pPr>
      <w:r>
        <w:rPr>
          <w:rFonts w:ascii="Times New Roman" w:hAnsi="Times New Roman"/>
        </w:rPr>
        <w:drawing>
          <wp:inline distT="0" distB="0" distL="114300" distR="114300">
            <wp:extent cx="5093970" cy="1390015"/>
            <wp:effectExtent l="4445" t="4445" r="6985" b="1524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after="219"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图2-3 资金管理三级指标得分率</w:t>
      </w:r>
    </w:p>
    <w:p>
      <w:pPr>
        <w:widowControl w:val="0"/>
        <w:ind w:firstLine="640"/>
        <w:jc w:val="both"/>
        <w:rPr>
          <w:rFonts w:cs="Times New Roman"/>
          <w:kern w:val="2"/>
        </w:rPr>
      </w:pPr>
      <w:r>
        <w:rPr>
          <w:rFonts w:cs="Times New Roman"/>
          <w:kern w:val="2"/>
        </w:rPr>
        <w:t>①部门预算资金支出率。</w:t>
      </w:r>
      <w:r>
        <w:rPr>
          <w:rFonts w:hint="eastAsia" w:cs="Times New Roman"/>
          <w:kern w:val="2"/>
        </w:rPr>
        <w:t>根据部门决算报表，部门的调整后预算为</w:t>
      </w:r>
      <w:r>
        <w:rPr>
          <w:rFonts w:cs="Times New Roman"/>
          <w:kern w:val="2"/>
        </w:rPr>
        <w:t>1</w:t>
      </w:r>
      <w:r>
        <w:rPr>
          <w:rFonts w:hint="eastAsia" w:cs="Times New Roman"/>
          <w:kern w:val="2"/>
          <w:lang w:val="en-US" w:eastAsia="zh-CN"/>
        </w:rPr>
        <w:t>,</w:t>
      </w:r>
      <w:r>
        <w:rPr>
          <w:rFonts w:cs="Times New Roman"/>
          <w:kern w:val="2"/>
        </w:rPr>
        <w:t>606</w:t>
      </w:r>
      <w:r>
        <w:rPr>
          <w:rFonts w:hint="eastAsia" w:cs="Times New Roman"/>
          <w:kern w:val="2"/>
          <w:lang w:val="en-US" w:eastAsia="zh-CN"/>
        </w:rPr>
        <w:t>.</w:t>
      </w:r>
      <w:r>
        <w:rPr>
          <w:rFonts w:cs="Times New Roman"/>
          <w:kern w:val="2"/>
        </w:rPr>
        <w:t>7</w:t>
      </w:r>
      <w:r>
        <w:rPr>
          <w:rFonts w:hint="eastAsia" w:cs="Times New Roman"/>
          <w:kern w:val="2"/>
          <w:lang w:val="en-US" w:eastAsia="zh-CN"/>
        </w:rPr>
        <w:t>5万</w:t>
      </w:r>
      <w:r>
        <w:rPr>
          <w:rFonts w:hint="eastAsia" w:cs="Times New Roman"/>
          <w:kern w:val="2"/>
        </w:rPr>
        <w:t>元，实际支出为</w:t>
      </w:r>
      <w:r>
        <w:rPr>
          <w:rFonts w:cs="Times New Roman"/>
          <w:kern w:val="2"/>
        </w:rPr>
        <w:t>1</w:t>
      </w:r>
      <w:r>
        <w:rPr>
          <w:rFonts w:hint="eastAsia" w:cs="Times New Roman"/>
          <w:kern w:val="2"/>
          <w:lang w:val="en-US" w:eastAsia="zh-CN"/>
        </w:rPr>
        <w:t>,</w:t>
      </w:r>
      <w:r>
        <w:rPr>
          <w:rFonts w:cs="Times New Roman"/>
          <w:kern w:val="2"/>
        </w:rPr>
        <w:t>606</w:t>
      </w:r>
      <w:r>
        <w:rPr>
          <w:rFonts w:hint="eastAsia" w:cs="Times New Roman"/>
          <w:kern w:val="2"/>
          <w:lang w:val="en-US" w:eastAsia="zh-CN"/>
        </w:rPr>
        <w:t>.</w:t>
      </w:r>
      <w:r>
        <w:rPr>
          <w:rFonts w:cs="Times New Roman"/>
          <w:kern w:val="2"/>
        </w:rPr>
        <w:t>7</w:t>
      </w:r>
      <w:r>
        <w:rPr>
          <w:rFonts w:hint="eastAsia" w:cs="Times New Roman"/>
          <w:kern w:val="2"/>
          <w:lang w:val="en-US" w:eastAsia="zh-CN"/>
        </w:rPr>
        <w:t>5万</w:t>
      </w:r>
      <w:r>
        <w:rPr>
          <w:rFonts w:hint="eastAsia" w:cs="Times New Roman"/>
          <w:kern w:val="2"/>
        </w:rPr>
        <w:t>元，支出率为100%。但</w:t>
      </w:r>
      <w:r>
        <w:rPr>
          <w:rFonts w:cs="Times New Roman"/>
          <w:kern w:val="2"/>
        </w:rPr>
        <w:t>根据韶关市财政局发布的《2021年财政预算支出进度、财政预决算公开、预算绩效管理考核结果登记表》，</w:t>
      </w:r>
      <w:r>
        <w:rPr>
          <w:rFonts w:hint="eastAsia" w:cs="Times New Roman"/>
          <w:kern w:val="2"/>
        </w:rPr>
        <w:t>市残联资金支付进度没有达到序时进度，第一、二季度仅为7.35%和35.9%。因此，该</w:t>
      </w:r>
      <w:r>
        <w:rPr>
          <w:rFonts w:cs="Times New Roman"/>
          <w:kern w:val="2"/>
        </w:rPr>
        <w:t>项指标扣0.88分，得2.12分。</w:t>
      </w:r>
    </w:p>
    <w:p>
      <w:pPr>
        <w:widowControl w:val="0"/>
        <w:ind w:firstLine="640"/>
        <w:jc w:val="both"/>
        <w:rPr>
          <w:rFonts w:cs="Times New Roman"/>
          <w:kern w:val="2"/>
        </w:rPr>
      </w:pPr>
      <w:r>
        <w:rPr>
          <w:rFonts w:cs="Times New Roman"/>
          <w:kern w:val="2"/>
        </w:rPr>
        <w:t>②部门结转结余率。根据部门决算，市残联2021年度财政拨款结转结余额为9,731.04元，财政拨款总额为16,067,480.17元，部门结转结余率为0.06%，结转结余控制情况较好。</w:t>
      </w:r>
      <w:r>
        <w:rPr>
          <w:rFonts w:hint="eastAsia" w:cs="Times New Roman"/>
          <w:kern w:val="2"/>
        </w:rPr>
        <w:t>该指标</w:t>
      </w:r>
      <w:r>
        <w:rPr>
          <w:rFonts w:cs="Times New Roman"/>
          <w:kern w:val="2"/>
        </w:rPr>
        <w:t>不扣分，得3分。</w:t>
      </w:r>
    </w:p>
    <w:p>
      <w:pPr>
        <w:ind w:firstLine="640"/>
        <w:jc w:val="both"/>
        <w:rPr>
          <w:rFonts w:cs="Times New Roman"/>
          <w:kern w:val="2"/>
        </w:rPr>
      </w:pPr>
      <w:r>
        <w:rPr>
          <w:rFonts w:cs="Times New Roman"/>
          <w:kern w:val="2"/>
        </w:rPr>
        <w:t>③政府采购合规性。经核查，部门采购金额较小，未达到公开招标的条件，均通过三方询价，定点采购等方式进行，采购过程合理，符合政府采购法相关规定。</w:t>
      </w:r>
    </w:p>
    <w:p>
      <w:pPr>
        <w:ind w:firstLine="640"/>
        <w:jc w:val="both"/>
        <w:rPr>
          <w:rFonts w:cs="Times New Roman"/>
          <w:kern w:val="2"/>
        </w:rPr>
      </w:pPr>
      <w:r>
        <w:rPr>
          <w:rFonts w:cs="Times New Roman"/>
          <w:kern w:val="2"/>
        </w:rPr>
        <w:t>存在的问题：部门政府采购计划安排不足。一是政府采购单价和实际采购单价差额较大，主要原因是未通过充分调研询价等，年初预算较实际预算偏高</w:t>
      </w:r>
      <w:r>
        <w:rPr>
          <w:rFonts w:hint="eastAsia" w:cs="Times New Roman"/>
          <w:kern w:val="2"/>
        </w:rPr>
        <w:t>。</w:t>
      </w:r>
      <w:r>
        <w:rPr>
          <w:rFonts w:cs="Times New Roman"/>
          <w:kern w:val="2"/>
        </w:rPr>
        <w:t>例如，项目单位计划采购一台笔记本电脑，预算金额为8000元，实际执行过程中由于实行省代理集中采购，实际支出仅为5596元；二是年初计划采购的数量与实际采购的数量存在差额，导致部门政府采购执行率偏低。</w:t>
      </w:r>
      <w:r>
        <w:rPr>
          <w:rFonts w:hint="eastAsia" w:cs="Times New Roman"/>
          <w:kern w:val="2"/>
        </w:rPr>
        <w:t>因此，该指标</w:t>
      </w:r>
      <w:r>
        <w:rPr>
          <w:rFonts w:cs="Times New Roman"/>
          <w:kern w:val="2"/>
        </w:rPr>
        <w:t>扣2分，得2分。</w:t>
      </w:r>
    </w:p>
    <w:p>
      <w:pPr>
        <w:ind w:firstLine="640"/>
        <w:jc w:val="both"/>
        <w:rPr>
          <w:rFonts w:cs="Times New Roman"/>
          <w:kern w:val="2"/>
        </w:rPr>
      </w:pPr>
      <w:r>
        <w:rPr>
          <w:rFonts w:cs="Times New Roman"/>
          <w:kern w:val="2"/>
        </w:rPr>
        <w:t>④财务合规性。</w:t>
      </w:r>
      <w:r>
        <w:rPr>
          <w:rFonts w:hint="eastAsia" w:cs="Times New Roman"/>
          <w:kern w:val="2"/>
        </w:rPr>
        <w:t>部门财务</w:t>
      </w:r>
      <w:r>
        <w:rPr>
          <w:rFonts w:cs="Times New Roman"/>
          <w:kern w:val="2"/>
        </w:rPr>
        <w:t>事项支出符合相关规定，</w:t>
      </w:r>
      <w:r>
        <w:rPr>
          <w:rFonts w:hint="eastAsia" w:cs="Times New Roman"/>
          <w:kern w:val="2"/>
        </w:rPr>
        <w:t>未</w:t>
      </w:r>
      <w:r>
        <w:rPr>
          <w:rFonts w:cs="Times New Roman"/>
          <w:kern w:val="2"/>
        </w:rPr>
        <w:t>出现超范围、超标准支出等情况，支出事项履行了重大支出的事前决策审批程序。经抽查2021年12月16日支付残疾人文学创作经费30万元业务，相关的各项原始凭证留存完整，项目单位的支出流程、内部审批流程规范、清晰、完整；没有证据表明存在截留、挤占、挪用项目资金的情况。</w:t>
      </w:r>
      <w:r>
        <w:rPr>
          <w:rFonts w:hint="eastAsia" w:cs="Times New Roman"/>
          <w:kern w:val="2"/>
        </w:rPr>
        <w:t>该指标</w:t>
      </w:r>
      <w:r>
        <w:rPr>
          <w:rFonts w:cs="Times New Roman"/>
          <w:kern w:val="2"/>
        </w:rPr>
        <w:t>不扣分，得5分。</w:t>
      </w:r>
    </w:p>
    <w:p>
      <w:pPr>
        <w:widowControl w:val="0"/>
        <w:ind w:firstLine="640"/>
        <w:jc w:val="both"/>
        <w:rPr>
          <w:rFonts w:cs="Times New Roman"/>
          <w:kern w:val="2"/>
        </w:rPr>
      </w:pPr>
      <w:r>
        <w:rPr>
          <w:rFonts w:cs="Times New Roman"/>
          <w:kern w:val="2"/>
        </w:rPr>
        <w:t>⑤部门预决算公开。部门于2021年2月25日在韶关市残疾人联合会官网公开预算信息，内容和范围较全、公开时限符合规范，但截至评价基准日，部门2021年决算暂时未公开。</w:t>
      </w:r>
      <w:r>
        <w:rPr>
          <w:rFonts w:hint="eastAsia" w:cs="Times New Roman"/>
          <w:kern w:val="2"/>
        </w:rPr>
        <w:t>该指标</w:t>
      </w:r>
      <w:r>
        <w:rPr>
          <w:rFonts w:cs="Times New Roman"/>
          <w:kern w:val="2"/>
        </w:rPr>
        <w:t>不扣分，得2分。</w:t>
      </w:r>
    </w:p>
    <w:p>
      <w:pPr>
        <w:pStyle w:val="6"/>
        <w:spacing w:before="0" w:after="0" w:line="360" w:lineRule="auto"/>
        <w:ind w:firstLine="640"/>
        <w:rPr>
          <w:rFonts w:ascii="Times New Roman" w:hAnsi="Times New Roman" w:cs="Times New Roman"/>
        </w:rPr>
      </w:pPr>
      <w:bookmarkStart w:id="93" w:name="_Toc50292614"/>
      <w:bookmarkStart w:id="94" w:name="_Toc6715"/>
      <w:bookmarkStart w:id="95" w:name="_Toc52124764"/>
      <w:bookmarkStart w:id="96" w:name="_Toc1018"/>
      <w:r>
        <w:rPr>
          <w:rFonts w:ascii="Times New Roman" w:hAnsi="Times New Roman" w:cs="Times New Roman"/>
        </w:rPr>
        <w:t>（2）项目管理（得5分）</w:t>
      </w:r>
      <w:bookmarkEnd w:id="93"/>
      <w:bookmarkEnd w:id="94"/>
      <w:bookmarkEnd w:id="95"/>
      <w:bookmarkEnd w:id="96"/>
    </w:p>
    <w:p>
      <w:pPr>
        <w:widowControl w:val="0"/>
        <w:ind w:firstLine="640"/>
        <w:jc w:val="both"/>
        <w:rPr>
          <w:rFonts w:cs="Times New Roman"/>
          <w:kern w:val="2"/>
        </w:rPr>
      </w:pPr>
      <w:r>
        <w:rPr>
          <w:rFonts w:cs="Times New Roman"/>
          <w:kern w:val="2"/>
        </w:rPr>
        <w:t>项目管理三级指标得分率如图2-4所示。</w:t>
      </w:r>
    </w:p>
    <w:p>
      <w:pPr>
        <w:pStyle w:val="24"/>
        <w:ind w:left="0"/>
        <w:jc w:val="center"/>
        <w:rPr>
          <w:rFonts w:ascii="Times New Roman" w:hAnsi="Times New Roman"/>
          <w:color w:val="0000FF"/>
          <w:kern w:val="2"/>
          <w:sz w:val="32"/>
        </w:rPr>
      </w:pPr>
      <w:r>
        <w:rPr>
          <w:rFonts w:ascii="Times New Roman" w:hAnsi="Times New Roman"/>
        </w:rPr>
        <w:drawing>
          <wp:inline distT="0" distB="0" distL="114300" distR="114300">
            <wp:extent cx="4940300" cy="1206500"/>
            <wp:effectExtent l="4445" t="4445" r="8255" b="82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kinsoku/>
        <w:wordWrap/>
        <w:overflowPunct/>
        <w:topLinePunct w:val="0"/>
        <w:autoSpaceDE/>
        <w:autoSpaceDN/>
        <w:bidi w:val="0"/>
        <w:adjustRightInd/>
        <w:snapToGrid/>
        <w:spacing w:after="219"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图2-4 项目管理三级指标得分率</w:t>
      </w:r>
    </w:p>
    <w:p>
      <w:pPr>
        <w:ind w:firstLine="640"/>
        <w:jc w:val="both"/>
        <w:rPr>
          <w:rFonts w:cs="Times New Roman"/>
          <w:kern w:val="2"/>
        </w:rPr>
      </w:pPr>
      <w:r>
        <w:rPr>
          <w:rFonts w:cs="Times New Roman"/>
          <w:kern w:val="2"/>
        </w:rPr>
        <w:t>①项目实施程序。项目的设立及调整按规定履行报批程序，项目基本按照相关标准</w:t>
      </w:r>
      <w:r>
        <w:rPr>
          <w:rFonts w:hint="eastAsia" w:cs="Times New Roman"/>
          <w:kern w:val="2"/>
        </w:rPr>
        <w:t>签订合同、</w:t>
      </w:r>
      <w:r>
        <w:rPr>
          <w:rFonts w:cs="Times New Roman"/>
          <w:kern w:val="2"/>
        </w:rPr>
        <w:t>建设和验收等，实施程序较为规范。</w:t>
      </w:r>
    </w:p>
    <w:p>
      <w:pPr>
        <w:ind w:firstLine="640"/>
        <w:jc w:val="both"/>
        <w:rPr>
          <w:rFonts w:cs="Times New Roman"/>
          <w:kern w:val="2"/>
        </w:rPr>
      </w:pPr>
      <w:r>
        <w:rPr>
          <w:rFonts w:cs="Times New Roman"/>
          <w:kern w:val="2"/>
        </w:rPr>
        <w:t>存在的主要问题：项目实施过程中，个别项目合同相关实施条款制定</w:t>
      </w:r>
      <w:r>
        <w:rPr>
          <w:rFonts w:hint="eastAsia" w:cs="Times New Roman"/>
          <w:kern w:val="2"/>
        </w:rPr>
        <w:t>环节</w:t>
      </w:r>
      <w:r>
        <w:rPr>
          <w:rFonts w:cs="Times New Roman"/>
          <w:kern w:val="2"/>
        </w:rPr>
        <w:t>等仍有改善空间。例如，“残疾人文学创作经费”的相关协议中未明确乙方提供作品的具体时间及质量要求、验收程序及标准等，且将创作款项一次性支付给乙方，对于作品质量的控制可能会产生不利影响。</w:t>
      </w:r>
      <w:r>
        <w:rPr>
          <w:rFonts w:hint="eastAsia" w:cs="Times New Roman"/>
          <w:kern w:val="2"/>
        </w:rPr>
        <w:t>因此，该指标扣</w:t>
      </w:r>
      <w:r>
        <w:rPr>
          <w:rFonts w:cs="Times New Roman"/>
          <w:kern w:val="2"/>
        </w:rPr>
        <w:t>1分，得3分。</w:t>
      </w:r>
    </w:p>
    <w:p>
      <w:pPr>
        <w:ind w:firstLine="640"/>
        <w:jc w:val="both"/>
        <w:rPr>
          <w:rFonts w:cs="Times New Roman"/>
          <w:kern w:val="2"/>
        </w:rPr>
      </w:pPr>
      <w:r>
        <w:rPr>
          <w:rFonts w:cs="Times New Roman"/>
          <w:kern w:val="2"/>
        </w:rPr>
        <w:t>②项目监管。部门提供了</w:t>
      </w:r>
      <w:r>
        <w:rPr>
          <w:rFonts w:hint="eastAsia" w:cs="Times New Roman"/>
          <w:kern w:val="2"/>
        </w:rPr>
        <w:t>项目实施参照的</w:t>
      </w:r>
      <w:r>
        <w:rPr>
          <w:rFonts w:cs="Times New Roman"/>
          <w:kern w:val="2"/>
        </w:rPr>
        <w:t>国家和省的实施方案或实施办法，具体实施</w:t>
      </w:r>
      <w:r>
        <w:rPr>
          <w:rFonts w:hint="eastAsia" w:cs="Times New Roman"/>
          <w:kern w:val="2"/>
        </w:rPr>
        <w:t>过程</w:t>
      </w:r>
      <w:r>
        <w:rPr>
          <w:rFonts w:cs="Times New Roman"/>
          <w:kern w:val="2"/>
        </w:rPr>
        <w:t>中也参照上述方案和办法来</w:t>
      </w:r>
      <w:r>
        <w:rPr>
          <w:rFonts w:hint="eastAsia" w:cs="Times New Roman"/>
          <w:kern w:val="2"/>
        </w:rPr>
        <w:t>进行</w:t>
      </w:r>
      <w:r>
        <w:rPr>
          <w:rFonts w:cs="Times New Roman"/>
          <w:kern w:val="2"/>
        </w:rPr>
        <w:t>开展。</w:t>
      </w:r>
    </w:p>
    <w:p>
      <w:pPr>
        <w:ind w:firstLine="640"/>
        <w:jc w:val="both"/>
        <w:rPr>
          <w:rFonts w:cs="Times New Roman"/>
          <w:kern w:val="2"/>
        </w:rPr>
      </w:pPr>
      <w:r>
        <w:rPr>
          <w:rFonts w:hint="eastAsia" w:cs="Times New Roman"/>
          <w:kern w:val="2"/>
        </w:rPr>
        <w:t>存在的主要问题：</w:t>
      </w:r>
      <w:r>
        <w:rPr>
          <w:rFonts w:cs="Times New Roman"/>
          <w:kern w:val="2"/>
        </w:rPr>
        <w:t>从整体上看，项目单位没有针对项目制定相应的监管制度。从现场访谈及工作实施内容来看，未提供针对专项资金和专项经费开展的检查、监控、督促整改等材料，实际工作中存在可能已经开展但未进行记录的情况。</w:t>
      </w:r>
      <w:r>
        <w:rPr>
          <w:rFonts w:hint="eastAsia" w:cs="Times New Roman"/>
          <w:kern w:val="2"/>
        </w:rPr>
        <w:t>因此，该指标</w:t>
      </w:r>
      <w:r>
        <w:rPr>
          <w:rFonts w:cs="Times New Roman"/>
          <w:kern w:val="2"/>
        </w:rPr>
        <w:t>扣2分，得2分。</w:t>
      </w:r>
    </w:p>
    <w:p>
      <w:pPr>
        <w:pStyle w:val="6"/>
        <w:spacing w:before="0" w:after="0" w:line="360" w:lineRule="auto"/>
        <w:ind w:firstLine="640"/>
        <w:rPr>
          <w:rFonts w:ascii="Times New Roman" w:hAnsi="Times New Roman" w:cs="Times New Roman"/>
        </w:rPr>
      </w:pPr>
      <w:bookmarkStart w:id="97" w:name="_Toc52124765"/>
      <w:bookmarkStart w:id="98" w:name="_Toc11596"/>
      <w:bookmarkStart w:id="99" w:name="_Toc50292615"/>
      <w:bookmarkStart w:id="100" w:name="_Toc15953"/>
      <w:r>
        <w:rPr>
          <w:rFonts w:ascii="Times New Roman" w:hAnsi="Times New Roman" w:cs="Times New Roman"/>
        </w:rPr>
        <w:t>（3）资产管理（得5分）</w:t>
      </w:r>
      <w:bookmarkEnd w:id="97"/>
      <w:bookmarkEnd w:id="98"/>
      <w:bookmarkEnd w:id="99"/>
      <w:bookmarkEnd w:id="100"/>
    </w:p>
    <w:p>
      <w:pPr>
        <w:widowControl w:val="0"/>
        <w:ind w:firstLine="640"/>
        <w:jc w:val="both"/>
        <w:rPr>
          <w:rFonts w:cs="Times New Roman"/>
          <w:kern w:val="2"/>
        </w:rPr>
      </w:pPr>
      <w:r>
        <w:rPr>
          <w:rFonts w:cs="Times New Roman"/>
          <w:kern w:val="2"/>
        </w:rPr>
        <w:t>资产管理三级指标得分率如图2-5所示。</w:t>
      </w:r>
    </w:p>
    <w:p>
      <w:pPr>
        <w:pStyle w:val="24"/>
        <w:ind w:left="0"/>
        <w:jc w:val="center"/>
        <w:rPr>
          <w:rFonts w:ascii="Times New Roman" w:hAnsi="Times New Roman"/>
          <w:color w:val="0000FF"/>
          <w:kern w:val="2"/>
          <w:sz w:val="32"/>
        </w:rPr>
      </w:pPr>
      <w:r>
        <w:rPr>
          <w:rFonts w:ascii="Times New Roman" w:hAnsi="Times New Roman"/>
        </w:rPr>
        <w:drawing>
          <wp:inline distT="0" distB="0" distL="114300" distR="114300">
            <wp:extent cx="4949190" cy="1322705"/>
            <wp:effectExtent l="4445" t="4445" r="18415" b="63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spacing w:after="219"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图2-5 资产管理三级指标得分率</w:t>
      </w:r>
    </w:p>
    <w:p>
      <w:pPr>
        <w:widowControl w:val="0"/>
        <w:ind w:firstLine="640"/>
        <w:jc w:val="both"/>
        <w:rPr>
          <w:rFonts w:cs="Times New Roman"/>
          <w:kern w:val="2"/>
        </w:rPr>
      </w:pPr>
      <w:r>
        <w:rPr>
          <w:rFonts w:cs="Times New Roman"/>
          <w:kern w:val="2"/>
        </w:rPr>
        <w:t>①资产管理安全性。资产保存完整，单位定期对固定资产进行清查，未有因管理不当发生严重资产损失和丢失情况。</w:t>
      </w:r>
      <w:r>
        <w:rPr>
          <w:rFonts w:hint="eastAsia" w:cs="Times New Roman"/>
          <w:kern w:val="2"/>
        </w:rPr>
        <w:t>2021年度无固定资产报废处置项目，不存在不按要求进行报批或资产不公开处置的行为。</w:t>
      </w:r>
    </w:p>
    <w:p>
      <w:pPr>
        <w:widowControl w:val="0"/>
        <w:ind w:firstLine="640"/>
        <w:jc w:val="both"/>
        <w:rPr>
          <w:rFonts w:cs="Times New Roman"/>
          <w:kern w:val="2"/>
        </w:rPr>
      </w:pPr>
      <w:r>
        <w:rPr>
          <w:rFonts w:hint="eastAsia" w:cs="Times New Roman"/>
          <w:kern w:val="2"/>
        </w:rPr>
        <w:t>主要存在的问题：</w:t>
      </w:r>
      <w:r>
        <w:rPr>
          <w:rFonts w:cs="Times New Roman"/>
          <w:kern w:val="2"/>
        </w:rPr>
        <w:t>固定资产会计信息质量待提升。根据核查相关资料，市残联本级单位、培训中心及康复中心的年末固定资产净值合计24,061,790.25元，与（汇总）决算报表之“预算支出相关信息表（财决附01表）中固定资产年末净值不一致，相差48,905.74元。</w:t>
      </w:r>
      <w:r>
        <w:rPr>
          <w:rFonts w:hint="eastAsia" w:cs="Times New Roman"/>
          <w:kern w:val="2"/>
        </w:rPr>
        <w:t>因此，该指标扣</w:t>
      </w:r>
      <w:r>
        <w:rPr>
          <w:rFonts w:cs="Times New Roman"/>
          <w:kern w:val="2"/>
        </w:rPr>
        <w:t>1分，得3分。</w:t>
      </w:r>
    </w:p>
    <w:p>
      <w:pPr>
        <w:widowControl w:val="0"/>
        <w:ind w:firstLine="640"/>
        <w:jc w:val="both"/>
        <w:rPr>
          <w:rFonts w:cs="Times New Roman"/>
        </w:rPr>
      </w:pPr>
      <w:r>
        <w:rPr>
          <w:rFonts w:cs="Times New Roman"/>
        </w:rPr>
        <w:t>②固定资产利用率。</w:t>
      </w:r>
      <w:r>
        <w:rPr>
          <w:rFonts w:hint="eastAsia" w:cs="Times New Roman"/>
        </w:rPr>
        <w:t>经核查固定资产报表，2021年底</w:t>
      </w:r>
      <w:r>
        <w:rPr>
          <w:rFonts w:cs="Times New Roman"/>
        </w:rPr>
        <w:t>部门实际在用固定资产总额与所有固定资产总额</w:t>
      </w:r>
      <w:r>
        <w:rPr>
          <w:rFonts w:hint="eastAsia" w:cs="Times New Roman"/>
        </w:rPr>
        <w:t>均为</w:t>
      </w:r>
      <w:r>
        <w:rPr>
          <w:rFonts w:cs="Times New Roman"/>
        </w:rPr>
        <w:t>5,075,749</w:t>
      </w:r>
      <w:r>
        <w:rPr>
          <w:rFonts w:hint="eastAsia" w:cs="Times New Roman"/>
        </w:rPr>
        <w:t>元，</w:t>
      </w:r>
      <w:r>
        <w:rPr>
          <w:rFonts w:cs="Times New Roman"/>
        </w:rPr>
        <w:t>固定资产使用率达100%</w:t>
      </w:r>
      <w:r>
        <w:rPr>
          <w:rFonts w:hint="eastAsia" w:cs="Times New Roman"/>
        </w:rPr>
        <w:t>。</w:t>
      </w:r>
      <w:r>
        <w:rPr>
          <w:rFonts w:cs="Times New Roman"/>
        </w:rPr>
        <w:t>经现场核查</w:t>
      </w:r>
      <w:r>
        <w:rPr>
          <w:rFonts w:hint="eastAsia" w:cs="Times New Roman"/>
        </w:rPr>
        <w:t>，部门</w:t>
      </w:r>
      <w:r>
        <w:rPr>
          <w:rFonts w:cs="Times New Roman"/>
        </w:rPr>
        <w:t>固定资产均为在用状态。</w:t>
      </w:r>
      <w:r>
        <w:rPr>
          <w:rFonts w:hint="eastAsia" w:cs="Times New Roman"/>
        </w:rPr>
        <w:t>该指标</w:t>
      </w:r>
      <w:r>
        <w:rPr>
          <w:rFonts w:cs="Times New Roman"/>
        </w:rPr>
        <w:t>不扣分，得2分。</w:t>
      </w:r>
    </w:p>
    <w:p>
      <w:pPr>
        <w:pStyle w:val="6"/>
        <w:spacing w:before="0" w:after="0" w:line="360" w:lineRule="auto"/>
        <w:ind w:firstLine="640"/>
        <w:jc w:val="both"/>
        <w:rPr>
          <w:rFonts w:ascii="Times New Roman" w:hAnsi="Times New Roman" w:cs="Times New Roman"/>
        </w:rPr>
      </w:pPr>
      <w:bookmarkStart w:id="101" w:name="_Toc50292617"/>
      <w:bookmarkStart w:id="102" w:name="_Toc20900"/>
      <w:bookmarkStart w:id="103" w:name="_Toc24614"/>
      <w:bookmarkStart w:id="104" w:name="_Toc52124767"/>
      <w:r>
        <w:rPr>
          <w:rFonts w:ascii="Times New Roman" w:hAnsi="Times New Roman" w:cs="Times New Roman"/>
        </w:rPr>
        <w:t>（4）制度管理（得3分）</w:t>
      </w:r>
      <w:bookmarkEnd w:id="101"/>
      <w:bookmarkEnd w:id="102"/>
      <w:bookmarkEnd w:id="103"/>
      <w:bookmarkEnd w:id="104"/>
    </w:p>
    <w:p>
      <w:pPr>
        <w:widowControl w:val="0"/>
        <w:ind w:firstLine="640"/>
        <w:jc w:val="both"/>
        <w:rPr>
          <w:rFonts w:cs="Times New Roman"/>
          <w:kern w:val="2"/>
        </w:rPr>
      </w:pPr>
      <w:r>
        <w:rPr>
          <w:rFonts w:cs="Times New Roman"/>
          <w:kern w:val="2"/>
        </w:rPr>
        <w:t>部门制定了预算绩效管理制度、财务管理制度等制度，一定程度上能够保障部门资金使用的安全性</w:t>
      </w:r>
      <w:r>
        <w:rPr>
          <w:rFonts w:hint="eastAsia" w:cs="Times New Roman"/>
          <w:kern w:val="2"/>
        </w:rPr>
        <w:t>。</w:t>
      </w:r>
    </w:p>
    <w:p>
      <w:pPr>
        <w:widowControl w:val="0"/>
        <w:ind w:firstLine="640"/>
        <w:jc w:val="both"/>
        <w:rPr>
          <w:rFonts w:cs="Times New Roman"/>
          <w:kern w:val="2"/>
        </w:rPr>
      </w:pPr>
      <w:r>
        <w:rPr>
          <w:rFonts w:hint="eastAsia" w:cs="Times New Roman"/>
          <w:kern w:val="2"/>
        </w:rPr>
        <w:t>存在的问题：</w:t>
      </w:r>
      <w:r>
        <w:rPr>
          <w:rFonts w:cs="Times New Roman"/>
          <w:kern w:val="2"/>
        </w:rPr>
        <w:t>市残联在开展专项资金和经费检查、监控、督促整改时，</w:t>
      </w:r>
      <w:r>
        <w:rPr>
          <w:rFonts w:hint="eastAsia" w:cs="Times New Roman"/>
          <w:kern w:val="2"/>
        </w:rPr>
        <w:t>未能</w:t>
      </w:r>
      <w:r>
        <w:rPr>
          <w:rFonts w:cs="Times New Roman"/>
          <w:kern w:val="2"/>
        </w:rPr>
        <w:t>记录相关内容，让项目的日常监管更加制度化。</w:t>
      </w:r>
      <w:r>
        <w:rPr>
          <w:rFonts w:hint="eastAsia" w:cs="Times New Roman"/>
          <w:kern w:val="2"/>
        </w:rPr>
        <w:t>因此，该指标扣</w:t>
      </w:r>
      <w:r>
        <w:rPr>
          <w:rFonts w:cs="Times New Roman"/>
          <w:kern w:val="2"/>
        </w:rPr>
        <w:t>1分，得3分。</w:t>
      </w:r>
    </w:p>
    <w:p>
      <w:pPr>
        <w:pStyle w:val="5"/>
        <w:ind w:firstLine="643"/>
        <w:rPr>
          <w:rFonts w:cs="Times New Roman"/>
        </w:rPr>
      </w:pPr>
      <w:bookmarkStart w:id="105" w:name="_Toc52124768"/>
      <w:bookmarkStart w:id="106" w:name="_Toc4763"/>
      <w:r>
        <w:rPr>
          <w:rFonts w:cs="Times New Roman"/>
        </w:rPr>
        <w:t>3.预算使用效益</w:t>
      </w:r>
      <w:bookmarkEnd w:id="105"/>
      <w:bookmarkEnd w:id="106"/>
      <w:r>
        <w:rPr>
          <w:rFonts w:cs="Times New Roman"/>
        </w:rPr>
        <w:t>分析</w:t>
      </w:r>
    </w:p>
    <w:p>
      <w:pPr>
        <w:ind w:firstLine="640"/>
        <w:jc w:val="both"/>
        <w:rPr>
          <w:rFonts w:cs="Times New Roman"/>
        </w:rPr>
      </w:pPr>
      <w:r>
        <w:rPr>
          <w:rFonts w:cs="Times New Roman"/>
          <w:kern w:val="2"/>
        </w:rPr>
        <w:t>财政预算使用效益情况主要从经济性、效率性、效果性、公平性四方面进行考核，以评价财政资的使用效益。预算使用效益总体表现尚可，得分率为</w:t>
      </w:r>
      <w:r>
        <w:rPr>
          <w:rFonts w:hint="eastAsia" w:cs="Times New Roman"/>
          <w:kern w:val="2"/>
          <w:lang w:val="en-US" w:eastAsia="zh-CN"/>
        </w:rPr>
        <w:t>90</w:t>
      </w:r>
      <w:r>
        <w:rPr>
          <w:rFonts w:cs="Times New Roman"/>
          <w:kern w:val="2"/>
        </w:rPr>
        <w:t>.50%。</w:t>
      </w:r>
    </w:p>
    <w:p>
      <w:pPr>
        <w:pStyle w:val="6"/>
        <w:spacing w:before="0" w:after="0" w:line="360" w:lineRule="auto"/>
        <w:ind w:firstLine="640"/>
        <w:rPr>
          <w:rFonts w:ascii="Times New Roman" w:hAnsi="Times New Roman" w:cs="Times New Roman"/>
        </w:rPr>
      </w:pPr>
      <w:bookmarkStart w:id="107" w:name="_Toc50292619"/>
      <w:bookmarkStart w:id="108" w:name="_Toc21474"/>
      <w:bookmarkStart w:id="109" w:name="_Toc52124769"/>
      <w:bookmarkStart w:id="110" w:name="_Toc16341"/>
      <w:r>
        <w:rPr>
          <w:rFonts w:ascii="Times New Roman" w:hAnsi="Times New Roman" w:cs="Times New Roman"/>
        </w:rPr>
        <w:t>（1）经济性（得10分）</w:t>
      </w:r>
      <w:bookmarkEnd w:id="107"/>
      <w:bookmarkEnd w:id="108"/>
      <w:bookmarkEnd w:id="109"/>
      <w:bookmarkEnd w:id="110"/>
    </w:p>
    <w:p>
      <w:pPr>
        <w:widowControl w:val="0"/>
        <w:ind w:firstLine="640"/>
        <w:jc w:val="both"/>
        <w:rPr>
          <w:rFonts w:cs="Times New Roman"/>
          <w:kern w:val="2"/>
        </w:rPr>
      </w:pPr>
      <w:bookmarkStart w:id="111" w:name="_Hlk52119646"/>
      <w:r>
        <w:rPr>
          <w:rFonts w:cs="Times New Roman"/>
          <w:kern w:val="2"/>
        </w:rPr>
        <w:t>经济性三级指标得分率如图2-6所示。</w:t>
      </w:r>
    </w:p>
    <w:p>
      <w:pPr>
        <w:pStyle w:val="24"/>
        <w:ind w:left="0"/>
        <w:jc w:val="center"/>
        <w:rPr>
          <w:rFonts w:ascii="Times New Roman" w:hAnsi="Times New Roman"/>
        </w:rPr>
      </w:pPr>
      <w:r>
        <w:drawing>
          <wp:inline distT="0" distB="0" distL="114300" distR="114300">
            <wp:extent cx="5394325" cy="1429385"/>
            <wp:effectExtent l="4445" t="4445" r="11430" b="1397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after="219"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图2-6 经济性三级指标得分率</w:t>
      </w:r>
    </w:p>
    <w:p>
      <w:pPr>
        <w:widowControl w:val="0"/>
        <w:ind w:firstLine="640"/>
        <w:jc w:val="both"/>
        <w:rPr>
          <w:rFonts w:cs="Times New Roman"/>
          <w:kern w:val="2"/>
        </w:rPr>
      </w:pPr>
      <w:r>
        <w:rPr>
          <w:rFonts w:cs="Times New Roman"/>
          <w:kern w:val="2"/>
        </w:rPr>
        <w:t>①日常公用经费控制</w:t>
      </w:r>
      <w:r>
        <w:rPr>
          <w:rFonts w:hint="eastAsia" w:cs="Times New Roman"/>
          <w:kern w:val="2"/>
        </w:rPr>
        <w:t>率</w:t>
      </w:r>
      <w:r>
        <w:rPr>
          <w:rFonts w:cs="Times New Roman"/>
          <w:kern w:val="2"/>
        </w:rPr>
        <w:t>。日常公用经费决算数80.55万元小于</w:t>
      </w:r>
      <w:r>
        <w:rPr>
          <w:rFonts w:hint="eastAsia" w:cs="Times New Roman"/>
          <w:kern w:val="2"/>
        </w:rPr>
        <w:t>其</w:t>
      </w:r>
      <w:r>
        <w:rPr>
          <w:rFonts w:cs="Times New Roman"/>
          <w:kern w:val="2"/>
        </w:rPr>
        <w:t>调整预算数104.24万元。</w:t>
      </w:r>
      <w:r>
        <w:rPr>
          <w:rFonts w:hint="eastAsia" w:cs="Times New Roman"/>
          <w:kern w:val="2"/>
        </w:rPr>
        <w:t>该指标</w:t>
      </w:r>
      <w:r>
        <w:rPr>
          <w:rFonts w:cs="Times New Roman"/>
          <w:kern w:val="2"/>
        </w:rPr>
        <w:t>不扣分，得2分。</w:t>
      </w:r>
    </w:p>
    <w:p>
      <w:pPr>
        <w:widowControl w:val="0"/>
        <w:ind w:firstLine="640"/>
        <w:jc w:val="both"/>
        <w:rPr>
          <w:rFonts w:cs="Times New Roman"/>
          <w:kern w:val="2"/>
        </w:rPr>
      </w:pPr>
      <w:r>
        <w:rPr>
          <w:rFonts w:cs="Times New Roman"/>
          <w:kern w:val="2"/>
        </w:rPr>
        <w:t>②三公经费控制</w:t>
      </w:r>
      <w:r>
        <w:rPr>
          <w:rFonts w:hint="eastAsia" w:cs="Times New Roman"/>
          <w:kern w:val="2"/>
        </w:rPr>
        <w:t>率</w:t>
      </w:r>
      <w:r>
        <w:rPr>
          <w:rFonts w:cs="Times New Roman"/>
          <w:kern w:val="2"/>
        </w:rPr>
        <w:t>。“三公”经费</w:t>
      </w:r>
      <w:r>
        <w:rPr>
          <w:rFonts w:hint="eastAsia" w:cs="Times New Roman"/>
          <w:kern w:val="2"/>
        </w:rPr>
        <w:t>决算</w:t>
      </w:r>
      <w:r>
        <w:rPr>
          <w:rFonts w:cs="Times New Roman"/>
          <w:kern w:val="2"/>
        </w:rPr>
        <w:t>数6.58万元小于</w:t>
      </w:r>
      <w:r>
        <w:rPr>
          <w:rFonts w:hint="eastAsia" w:cs="Times New Roman"/>
          <w:kern w:val="2"/>
        </w:rPr>
        <w:t>其</w:t>
      </w:r>
      <w:r>
        <w:rPr>
          <w:rFonts w:cs="Times New Roman"/>
          <w:kern w:val="2"/>
        </w:rPr>
        <w:t>预算数11.70万元。</w:t>
      </w:r>
      <w:r>
        <w:rPr>
          <w:rFonts w:hint="eastAsia" w:cs="Times New Roman"/>
          <w:kern w:val="2"/>
        </w:rPr>
        <w:t>该指标</w:t>
      </w:r>
      <w:r>
        <w:rPr>
          <w:rFonts w:cs="Times New Roman"/>
          <w:kern w:val="2"/>
        </w:rPr>
        <w:t>不扣分，得2分。</w:t>
      </w:r>
    </w:p>
    <w:bookmarkEnd w:id="111"/>
    <w:p>
      <w:pPr>
        <w:widowControl w:val="0"/>
        <w:ind w:firstLine="640"/>
        <w:jc w:val="both"/>
        <w:rPr>
          <w:rFonts w:cs="Times New Roman"/>
          <w:kern w:val="2"/>
        </w:rPr>
      </w:pPr>
      <w:r>
        <w:rPr>
          <w:rFonts w:cs="Times New Roman"/>
          <w:kern w:val="2"/>
        </w:rPr>
        <w:t>③完成成本合理性。</w:t>
      </w:r>
      <w:r>
        <w:rPr>
          <w:rFonts w:hint="eastAsia" w:cs="Times New Roman"/>
          <w:kern w:val="2"/>
        </w:rPr>
        <w:t>部门工作预算编制依据较为明确，康复救助标准符合《广东省残疾儿童康复救助实施办法》等相关标准要求。现场调研中了解到，项目单位在财政资金有限的情况下，通过外部赞助等方式积极开展工作，用较少的财政资金投入实现了超预期的产出，体现了项目完成的经济性</w:t>
      </w:r>
      <w:r>
        <w:rPr>
          <w:rFonts w:hint="eastAsia" w:cs="Times New Roman"/>
          <w:kern w:val="2"/>
          <w:lang w:eastAsia="zh-CN"/>
        </w:rPr>
        <w:t>。</w:t>
      </w:r>
      <w:r>
        <w:rPr>
          <w:rFonts w:hint="eastAsia" w:cs="Times New Roman"/>
          <w:kern w:val="2"/>
        </w:rPr>
        <w:t>该指标</w:t>
      </w:r>
      <w:r>
        <w:rPr>
          <w:rFonts w:cs="Times New Roman"/>
          <w:kern w:val="2"/>
        </w:rPr>
        <w:t>不扣分，</w:t>
      </w:r>
      <w:r>
        <w:rPr>
          <w:rFonts w:hint="eastAsia" w:cs="Times New Roman"/>
          <w:kern w:val="2"/>
        </w:rPr>
        <w:t>得6分。</w:t>
      </w:r>
    </w:p>
    <w:p>
      <w:pPr>
        <w:pStyle w:val="6"/>
        <w:spacing w:before="0" w:after="0" w:line="360" w:lineRule="auto"/>
        <w:ind w:firstLine="640"/>
        <w:rPr>
          <w:rFonts w:ascii="Times New Roman" w:hAnsi="Times New Roman" w:cs="Times New Roman"/>
        </w:rPr>
      </w:pPr>
      <w:bookmarkStart w:id="112" w:name="_Toc6405"/>
      <w:bookmarkStart w:id="113" w:name="_Toc52124770"/>
      <w:bookmarkStart w:id="114" w:name="_Toc50292620"/>
      <w:bookmarkStart w:id="115" w:name="_Toc25721"/>
      <w:r>
        <w:rPr>
          <w:rFonts w:ascii="Times New Roman" w:hAnsi="Times New Roman" w:cs="Times New Roman"/>
        </w:rPr>
        <w:t>（2）效率性（得10分）</w:t>
      </w:r>
      <w:bookmarkEnd w:id="112"/>
      <w:bookmarkEnd w:id="113"/>
      <w:bookmarkEnd w:id="114"/>
      <w:bookmarkEnd w:id="115"/>
    </w:p>
    <w:p>
      <w:pPr>
        <w:widowControl w:val="0"/>
        <w:ind w:firstLine="640"/>
        <w:jc w:val="both"/>
        <w:rPr>
          <w:rFonts w:cs="Times New Roman"/>
          <w:kern w:val="2"/>
        </w:rPr>
      </w:pPr>
      <w:r>
        <w:rPr>
          <w:rFonts w:cs="Times New Roman"/>
          <w:kern w:val="2"/>
        </w:rPr>
        <w:t>经济性三级指标得分率如图2-</w:t>
      </w:r>
      <w:r>
        <w:rPr>
          <w:rFonts w:hint="eastAsia" w:cs="Times New Roman"/>
          <w:kern w:val="2"/>
          <w:lang w:val="en-US" w:eastAsia="zh-CN"/>
        </w:rPr>
        <w:t>7</w:t>
      </w:r>
      <w:r>
        <w:rPr>
          <w:rFonts w:cs="Times New Roman"/>
          <w:kern w:val="2"/>
        </w:rPr>
        <w:t>所示。</w:t>
      </w:r>
    </w:p>
    <w:p>
      <w:pPr>
        <w:pStyle w:val="24"/>
        <w:jc w:val="center"/>
      </w:pPr>
      <w:r>
        <w:drawing>
          <wp:inline distT="0" distB="0" distL="114300" distR="114300">
            <wp:extent cx="5285105" cy="1515745"/>
            <wp:effectExtent l="4445" t="4445" r="6350" b="22860"/>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widowControl w:val="0"/>
        <w:spacing w:line="360" w:lineRule="auto"/>
        <w:ind w:firstLine="0" w:firstLineChars="0"/>
        <w:jc w:val="center"/>
        <w:rPr>
          <w:rFonts w:eastAsia="宋体" w:cs="Times New Roman"/>
          <w:b/>
          <w:bCs/>
          <w:kern w:val="2"/>
          <w:sz w:val="28"/>
          <w:szCs w:val="28"/>
        </w:rPr>
      </w:pPr>
      <w:r>
        <w:rPr>
          <w:rFonts w:eastAsia="宋体" w:cs="Times New Roman"/>
          <w:b/>
          <w:bCs/>
          <w:kern w:val="2"/>
          <w:sz w:val="28"/>
          <w:szCs w:val="28"/>
        </w:rPr>
        <w:t>图2-</w:t>
      </w:r>
      <w:r>
        <w:rPr>
          <w:rFonts w:hint="eastAsia" w:eastAsia="宋体" w:cs="Times New Roman"/>
          <w:b/>
          <w:bCs/>
          <w:kern w:val="2"/>
          <w:sz w:val="28"/>
          <w:szCs w:val="28"/>
          <w:lang w:val="en-US" w:eastAsia="zh-CN"/>
        </w:rPr>
        <w:t>7</w:t>
      </w:r>
      <w:r>
        <w:rPr>
          <w:rFonts w:eastAsia="宋体" w:cs="Times New Roman"/>
          <w:b/>
          <w:bCs/>
          <w:kern w:val="2"/>
          <w:sz w:val="28"/>
          <w:szCs w:val="28"/>
        </w:rPr>
        <w:t xml:space="preserve"> </w:t>
      </w:r>
      <w:r>
        <w:rPr>
          <w:rFonts w:hint="eastAsia" w:eastAsia="宋体" w:cs="Times New Roman"/>
          <w:b/>
          <w:bCs/>
          <w:kern w:val="2"/>
          <w:sz w:val="28"/>
          <w:szCs w:val="28"/>
          <w:lang w:val="en-US" w:eastAsia="zh-CN"/>
        </w:rPr>
        <w:t>效率</w:t>
      </w:r>
      <w:r>
        <w:rPr>
          <w:rFonts w:eastAsia="宋体" w:cs="Times New Roman"/>
          <w:b/>
          <w:bCs/>
          <w:kern w:val="2"/>
          <w:sz w:val="28"/>
          <w:szCs w:val="28"/>
        </w:rPr>
        <w:t>性三级指标得分率</w:t>
      </w:r>
    </w:p>
    <w:p>
      <w:pPr>
        <w:widowControl w:val="0"/>
        <w:numPr>
          <w:ilvl w:val="255"/>
          <w:numId w:val="0"/>
        </w:numPr>
        <w:ind w:firstLine="640" w:firstLineChars="200"/>
        <w:jc w:val="both"/>
        <w:rPr>
          <w:rFonts w:cs="Times New Roman"/>
          <w:szCs w:val="28"/>
        </w:rPr>
      </w:pPr>
      <w:r>
        <w:rPr>
          <w:rFonts w:cs="Times New Roman"/>
          <w:kern w:val="2"/>
        </w:rPr>
        <w:t>①</w:t>
      </w:r>
      <w:r>
        <w:rPr>
          <w:rFonts w:hint="eastAsia" w:cs="Times New Roman"/>
          <w:kern w:val="2"/>
        </w:rPr>
        <w:t>重点工作完成率。</w:t>
      </w:r>
      <w:r>
        <w:rPr>
          <w:rFonts w:cs="Times New Roman"/>
          <w:kern w:val="2"/>
        </w:rPr>
        <w:t>部门较好地完成了市委市政府确定的4项重点工作任务：加强脱贫人口疑似残疾人的评残办证工作，配合民政部门落实残疾人两项补贴政策，开展残疾人就业服务工作，进行残疾人家庭无障碍改造，动员社会力量参与乡村振兴工作。</w:t>
      </w:r>
      <w:r>
        <w:rPr>
          <w:rFonts w:hint="eastAsia" w:cs="Times New Roman"/>
          <w:kern w:val="2"/>
        </w:rPr>
        <w:t>该指标</w:t>
      </w:r>
      <w:r>
        <w:rPr>
          <w:rFonts w:cs="Times New Roman"/>
          <w:kern w:val="2"/>
        </w:rPr>
        <w:t>不扣分，得3分。</w:t>
      </w:r>
    </w:p>
    <w:p>
      <w:pPr>
        <w:widowControl w:val="0"/>
        <w:ind w:firstLine="640"/>
        <w:jc w:val="both"/>
        <w:rPr>
          <w:rFonts w:cs="Times New Roman"/>
          <w:kern w:val="2"/>
        </w:rPr>
      </w:pPr>
      <w:r>
        <w:rPr>
          <w:rFonts w:cs="Times New Roman"/>
          <w:kern w:val="2"/>
        </w:rPr>
        <w:t>②</w:t>
      </w:r>
      <w:r>
        <w:rPr>
          <w:rFonts w:hint="eastAsia" w:cs="Times New Roman"/>
          <w:kern w:val="2"/>
        </w:rPr>
        <w:t>绩效目标完成率。</w:t>
      </w:r>
      <w:r>
        <w:rPr>
          <w:rFonts w:cs="Times New Roman"/>
          <w:kern w:val="2"/>
        </w:rPr>
        <w:t>残联会部门整体2021年度申报31个目标</w:t>
      </w:r>
      <w:r>
        <w:rPr>
          <w:rFonts w:hint="eastAsia" w:cs="Times New Roman"/>
          <w:kern w:val="2"/>
        </w:rPr>
        <w:t>均</w:t>
      </w:r>
      <w:r>
        <w:rPr>
          <w:rFonts w:cs="Times New Roman"/>
          <w:kern w:val="2"/>
        </w:rPr>
        <w:t>已实现，绩效目标完成率为100%。</w:t>
      </w:r>
      <w:r>
        <w:rPr>
          <w:rFonts w:hint="eastAsia" w:cs="Times New Roman"/>
          <w:kern w:val="2"/>
        </w:rPr>
        <w:t>该指标</w:t>
      </w:r>
      <w:r>
        <w:rPr>
          <w:rFonts w:cs="Times New Roman"/>
          <w:kern w:val="2"/>
        </w:rPr>
        <w:t>不扣分，得3分。</w:t>
      </w:r>
    </w:p>
    <w:p>
      <w:pPr>
        <w:widowControl w:val="0"/>
        <w:ind w:firstLine="640"/>
        <w:jc w:val="both"/>
        <w:rPr>
          <w:rFonts w:cs="Times New Roman"/>
          <w:color w:val="0000FF"/>
          <w:kern w:val="2"/>
        </w:rPr>
      </w:pPr>
      <w:r>
        <w:rPr>
          <w:rFonts w:cs="Times New Roman"/>
          <w:kern w:val="2"/>
        </w:rPr>
        <w:t>③项目完成及时性。从项目完成个数来看，市残联部门2021年项目总数为38个，经核实，38个项目均已及时完成。</w:t>
      </w:r>
      <w:r>
        <w:rPr>
          <w:rFonts w:hint="eastAsia" w:cs="Times New Roman"/>
          <w:kern w:val="2"/>
        </w:rPr>
        <w:t>该指标</w:t>
      </w:r>
      <w:r>
        <w:rPr>
          <w:rFonts w:cs="Times New Roman"/>
          <w:kern w:val="2"/>
        </w:rPr>
        <w:t>不扣分，得4分。</w:t>
      </w:r>
    </w:p>
    <w:p>
      <w:pPr>
        <w:pStyle w:val="6"/>
        <w:spacing w:before="0" w:after="0" w:line="360" w:lineRule="auto"/>
        <w:ind w:firstLine="640"/>
        <w:rPr>
          <w:rFonts w:ascii="Times New Roman" w:hAnsi="Times New Roman" w:cs="Times New Roman"/>
        </w:rPr>
      </w:pPr>
      <w:bookmarkStart w:id="116" w:name="_Toc52124771"/>
      <w:bookmarkStart w:id="117" w:name="_Toc15236"/>
      <w:bookmarkStart w:id="118" w:name="_Toc50292621"/>
      <w:bookmarkStart w:id="119" w:name="_Toc13795"/>
      <w:r>
        <w:rPr>
          <w:rFonts w:ascii="Times New Roman" w:hAnsi="Times New Roman" w:cs="Times New Roman"/>
        </w:rPr>
        <w:t>（3）效果性（得2</w:t>
      </w:r>
      <w:r>
        <w:rPr>
          <w:rFonts w:hint="eastAsia" w:ascii="Times New Roman" w:hAnsi="Times New Roman" w:cs="Times New Roman"/>
          <w:lang w:val="en-US" w:eastAsia="zh-CN"/>
        </w:rPr>
        <w:t>2</w:t>
      </w:r>
      <w:r>
        <w:rPr>
          <w:rFonts w:ascii="Times New Roman" w:hAnsi="Times New Roman" w:cs="Times New Roman"/>
        </w:rPr>
        <w:t>.5分）</w:t>
      </w:r>
      <w:bookmarkEnd w:id="116"/>
      <w:bookmarkEnd w:id="117"/>
      <w:bookmarkEnd w:id="118"/>
      <w:bookmarkEnd w:id="119"/>
    </w:p>
    <w:p>
      <w:pPr>
        <w:widowControl w:val="0"/>
        <w:ind w:firstLine="640"/>
        <w:jc w:val="both"/>
        <w:rPr>
          <w:rFonts w:cs="Times New Roman"/>
          <w:kern w:val="2"/>
        </w:rPr>
      </w:pPr>
      <w:r>
        <w:rPr>
          <w:rFonts w:cs="Times New Roman"/>
          <w:kern w:val="2"/>
        </w:rPr>
        <w:t>效果性三级指标得分率如图</w:t>
      </w:r>
      <w:r>
        <w:rPr>
          <w:rFonts w:cs="Times New Roman"/>
          <w:kern w:val="2"/>
          <w:highlight w:val="none"/>
        </w:rPr>
        <w:t>2-</w:t>
      </w:r>
      <w:r>
        <w:rPr>
          <w:rFonts w:hint="eastAsia" w:cs="Times New Roman"/>
          <w:kern w:val="2"/>
          <w:highlight w:val="none"/>
          <w:lang w:eastAsia="zh-CN"/>
        </w:rPr>
        <w:t>8</w:t>
      </w:r>
      <w:r>
        <w:rPr>
          <w:rFonts w:cs="Times New Roman"/>
          <w:kern w:val="2"/>
        </w:rPr>
        <w:t>所示。</w:t>
      </w:r>
    </w:p>
    <w:p>
      <w:pPr>
        <w:widowControl w:val="0"/>
        <w:ind w:firstLine="0" w:firstLineChars="0"/>
        <w:jc w:val="both"/>
        <w:rPr>
          <w:rFonts w:cs="Times New Roman"/>
        </w:rPr>
      </w:pPr>
      <w:r>
        <w:drawing>
          <wp:inline distT="0" distB="0" distL="114300" distR="114300">
            <wp:extent cx="5701030" cy="1983740"/>
            <wp:effectExtent l="4445" t="4445" r="9525"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val="0"/>
        <w:keepLines w:val="0"/>
        <w:pageBreakBefore w:val="0"/>
        <w:widowControl w:val="0"/>
        <w:kinsoku/>
        <w:wordWrap/>
        <w:overflowPunct/>
        <w:topLinePunct w:val="0"/>
        <w:autoSpaceDE/>
        <w:autoSpaceDN/>
        <w:bidi w:val="0"/>
        <w:adjustRightInd/>
        <w:snapToGrid/>
        <w:spacing w:after="219"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w:t>
      </w:r>
      <w:r>
        <w:rPr>
          <w:rFonts w:eastAsia="宋体" w:cs="Times New Roman"/>
          <w:b/>
          <w:bCs/>
          <w:kern w:val="2"/>
          <w:sz w:val="28"/>
          <w:szCs w:val="28"/>
          <w:highlight w:val="none"/>
        </w:rPr>
        <w:t>2-</w:t>
      </w:r>
      <w:r>
        <w:rPr>
          <w:rFonts w:hint="eastAsia" w:eastAsia="宋体" w:cs="Times New Roman"/>
          <w:b/>
          <w:bCs/>
          <w:kern w:val="2"/>
          <w:sz w:val="28"/>
          <w:szCs w:val="28"/>
          <w:highlight w:val="none"/>
          <w:lang w:eastAsia="zh-CN"/>
        </w:rPr>
        <w:t>8</w:t>
      </w:r>
      <w:r>
        <w:rPr>
          <w:rFonts w:eastAsia="宋体" w:cs="Times New Roman"/>
          <w:b/>
          <w:bCs/>
          <w:kern w:val="2"/>
          <w:sz w:val="28"/>
          <w:szCs w:val="28"/>
        </w:rPr>
        <w:t>效果性三级指标得分率</w:t>
      </w:r>
    </w:p>
    <w:p>
      <w:pPr>
        <w:widowControl w:val="0"/>
        <w:ind w:firstLine="640"/>
        <w:jc w:val="both"/>
        <w:rPr>
          <w:rFonts w:cs="Times New Roman"/>
          <w:kern w:val="2"/>
        </w:rPr>
      </w:pPr>
      <w:r>
        <w:rPr>
          <w:rFonts w:cs="Times New Roman"/>
          <w:kern w:val="2"/>
        </w:rPr>
        <w:t>①残疾人康复工作。</w:t>
      </w:r>
      <w:r>
        <w:rPr>
          <w:rFonts w:hint="eastAsia" w:cs="Times New Roman"/>
          <w:kern w:val="2"/>
        </w:rPr>
        <w:t>韶关市实际有康复需求人数为13201，得到康复服务人数为13195，康复服务率为99.95%。韶关市有辅具需求人数为3030人，实际得到辅具服务人数为3021，辅具服务率为99.70%。</w:t>
      </w:r>
    </w:p>
    <w:p>
      <w:pPr>
        <w:widowControl w:val="0"/>
        <w:ind w:firstLine="640"/>
        <w:jc w:val="both"/>
        <w:rPr>
          <w:rFonts w:cs="Times New Roman"/>
          <w:kern w:val="2"/>
        </w:rPr>
      </w:pPr>
      <w:r>
        <w:rPr>
          <w:rFonts w:hint="eastAsia" w:cs="Times New Roman"/>
          <w:kern w:val="2"/>
        </w:rPr>
        <w:t>存在的问题：一是</w:t>
      </w:r>
      <w:r>
        <w:rPr>
          <w:rFonts w:cs="Times New Roman"/>
          <w:kern w:val="2"/>
        </w:rPr>
        <w:t>残疾儿童救治率为99.79%，未达目标100%；</w:t>
      </w:r>
      <w:r>
        <w:rPr>
          <w:rFonts w:hint="eastAsia" w:cs="Times New Roman"/>
          <w:kern w:val="2"/>
        </w:rPr>
        <w:t>二是</w:t>
      </w:r>
      <w:r>
        <w:rPr>
          <w:rFonts w:cs="Times New Roman"/>
          <w:kern w:val="2"/>
        </w:rPr>
        <w:t>在科普</w:t>
      </w:r>
      <w:r>
        <w:rPr>
          <w:rFonts w:hint="eastAsia" w:cs="Times New Roman"/>
          <w:kern w:val="2"/>
        </w:rPr>
        <w:t>康复</w:t>
      </w:r>
      <w:r>
        <w:rPr>
          <w:rFonts w:cs="Times New Roman"/>
          <w:kern w:val="2"/>
        </w:rPr>
        <w:t>宣传方面，目前还主要是</w:t>
      </w:r>
      <w:r>
        <w:rPr>
          <w:rFonts w:hint="eastAsia" w:cs="Times New Roman"/>
          <w:kern w:val="2"/>
        </w:rPr>
        <w:t>通过</w:t>
      </w:r>
      <w:r>
        <w:rPr>
          <w:rFonts w:cs="Times New Roman"/>
          <w:kern w:val="2"/>
        </w:rPr>
        <w:t>印发宣传材料来开展，但鉴于残疾人分布相对分散，印发宣效果有一定的局限性。</w:t>
      </w:r>
      <w:r>
        <w:rPr>
          <w:rFonts w:hint="eastAsia" w:cs="Times New Roman"/>
          <w:kern w:val="2"/>
        </w:rPr>
        <w:t>因此，该指标扣</w:t>
      </w:r>
      <w:r>
        <w:rPr>
          <w:rFonts w:cs="Times New Roman"/>
          <w:kern w:val="2"/>
        </w:rPr>
        <w:t>1.5分，得4.5分。</w:t>
      </w:r>
    </w:p>
    <w:p>
      <w:pPr>
        <w:widowControl w:val="0"/>
        <w:ind w:firstLine="640"/>
        <w:jc w:val="both"/>
        <w:rPr>
          <w:rFonts w:cs="Times New Roman"/>
          <w:kern w:val="2"/>
        </w:rPr>
      </w:pPr>
      <w:r>
        <w:rPr>
          <w:rFonts w:cs="Times New Roman"/>
          <w:kern w:val="2"/>
        </w:rPr>
        <w:t>②残疾人教育工作。2021年度未入学适龄残疾儿童少年（6-14周岁）在册101人</w:t>
      </w:r>
      <w:r>
        <w:rPr>
          <w:rFonts w:hint="eastAsia" w:cs="Times New Roman"/>
          <w:kern w:val="2"/>
        </w:rPr>
        <w:t>，</w:t>
      </w:r>
      <w:r>
        <w:rPr>
          <w:rFonts w:cs="Times New Roman"/>
          <w:kern w:val="2"/>
        </w:rPr>
        <w:t>2021年高考残疾生录取率为92.5%、培英中专生录取率为85.71%</w:t>
      </w:r>
      <w:r>
        <w:rPr>
          <w:rFonts w:hint="eastAsia" w:cs="Times New Roman"/>
          <w:kern w:val="2"/>
        </w:rPr>
        <w:t>，均达到绩效指标</w:t>
      </w:r>
      <w:r>
        <w:rPr>
          <w:rFonts w:cs="Times New Roman"/>
          <w:kern w:val="2"/>
        </w:rPr>
        <w:t>。</w:t>
      </w:r>
      <w:bookmarkStart w:id="120" w:name="_Toc50292622"/>
      <w:bookmarkStart w:id="121" w:name="_Toc52124772"/>
      <w:r>
        <w:rPr>
          <w:rFonts w:hint="eastAsia" w:cs="Times New Roman"/>
          <w:kern w:val="2"/>
        </w:rPr>
        <w:t>因此该</w:t>
      </w:r>
      <w:r>
        <w:rPr>
          <w:rFonts w:cs="Times New Roman"/>
          <w:kern w:val="2"/>
        </w:rPr>
        <w:t>项</w:t>
      </w:r>
      <w:r>
        <w:rPr>
          <w:rFonts w:hint="eastAsia" w:cs="Times New Roman"/>
          <w:kern w:val="2"/>
        </w:rPr>
        <w:t>指标</w:t>
      </w:r>
      <w:r>
        <w:rPr>
          <w:rFonts w:cs="Times New Roman"/>
          <w:kern w:val="2"/>
        </w:rPr>
        <w:t>不扣分，得2分。</w:t>
      </w:r>
    </w:p>
    <w:p>
      <w:pPr>
        <w:widowControl w:val="0"/>
        <w:ind w:firstLine="640"/>
        <w:jc w:val="both"/>
        <w:rPr>
          <w:rFonts w:cs="Times New Roman"/>
          <w:kern w:val="2"/>
        </w:rPr>
      </w:pPr>
      <w:r>
        <w:rPr>
          <w:rFonts w:cs="Times New Roman"/>
          <w:kern w:val="2"/>
        </w:rPr>
        <w:t>③残疾人就业工作。</w:t>
      </w:r>
      <w:r>
        <w:rPr>
          <w:rFonts w:hint="eastAsia" w:cs="Times New Roman"/>
          <w:kern w:val="2"/>
        </w:rPr>
        <w:t>城镇新增残疾人就业人数为309人，完成率为117%。农村新增残疾人就业人数为958人，完成率为316.17%。该指标</w:t>
      </w:r>
      <w:r>
        <w:rPr>
          <w:rFonts w:hint="eastAsia" w:cs="Times New Roman"/>
          <w:kern w:val="2"/>
          <w:lang w:val="en-US" w:eastAsia="zh-CN"/>
        </w:rPr>
        <w:t>不扣分</w:t>
      </w:r>
      <w:r>
        <w:rPr>
          <w:rFonts w:cs="Times New Roman"/>
          <w:kern w:val="2"/>
        </w:rPr>
        <w:t>，得4分。</w:t>
      </w:r>
    </w:p>
    <w:p>
      <w:pPr>
        <w:widowControl w:val="0"/>
        <w:ind w:firstLine="640"/>
        <w:jc w:val="both"/>
        <w:rPr>
          <w:rFonts w:cs="Times New Roman"/>
          <w:kern w:val="2"/>
        </w:rPr>
      </w:pPr>
      <w:r>
        <w:rPr>
          <w:rFonts w:cs="Times New Roman"/>
          <w:kern w:val="2"/>
        </w:rPr>
        <w:t>④残疾人保障工作。</w:t>
      </w:r>
      <w:r>
        <w:rPr>
          <w:rFonts w:hint="eastAsia" w:cs="Times New Roman"/>
          <w:kern w:val="2"/>
        </w:rPr>
        <w:t>2021年残疾人家庭无障碍改造数为613户。韶关市有108家社区康园中心机构，韶关市共有104个乡镇，每个乡镇均配备了康园中心。</w:t>
      </w:r>
      <w:r>
        <w:rPr>
          <w:rFonts w:cs="Times New Roman"/>
          <w:kern w:val="2"/>
        </w:rPr>
        <w:t>2021年市残联组织开展了第三代残疾人证（智能化）的推广应用培训，全市新增办证人数9708人</w:t>
      </w:r>
      <w:r>
        <w:rPr>
          <w:rFonts w:hint="eastAsia" w:cs="Times New Roman"/>
          <w:kern w:val="2"/>
        </w:rPr>
        <w:t>，均达到绩效目标</w:t>
      </w:r>
      <w:r>
        <w:rPr>
          <w:rFonts w:cs="Times New Roman"/>
          <w:kern w:val="2"/>
        </w:rPr>
        <w:t>。</w:t>
      </w:r>
      <w:r>
        <w:rPr>
          <w:rFonts w:hint="eastAsia" w:cs="Times New Roman"/>
          <w:kern w:val="2"/>
        </w:rPr>
        <w:t>该指标</w:t>
      </w:r>
      <w:r>
        <w:rPr>
          <w:rFonts w:cs="Times New Roman"/>
          <w:kern w:val="2"/>
        </w:rPr>
        <w:t>不扣分，得6分。</w:t>
      </w:r>
    </w:p>
    <w:p>
      <w:pPr>
        <w:widowControl w:val="0"/>
        <w:ind w:firstLine="640"/>
        <w:jc w:val="both"/>
        <w:rPr>
          <w:rFonts w:cs="Times New Roman"/>
        </w:rPr>
      </w:pPr>
      <w:r>
        <w:rPr>
          <w:rFonts w:cs="Times New Roman"/>
          <w:kern w:val="2"/>
        </w:rPr>
        <w:t>⑤残疾人权益工作。市残联开展各项文体活动，丰富了残疾人的精神文化生活等，建立</w:t>
      </w:r>
      <w:r>
        <w:rPr>
          <w:rFonts w:hint="eastAsia" w:cs="Times New Roman"/>
          <w:kern w:val="2"/>
        </w:rPr>
        <w:t>了</w:t>
      </w:r>
      <w:r>
        <w:rPr>
          <w:rFonts w:cs="Times New Roman"/>
          <w:kern w:val="2"/>
        </w:rPr>
        <w:t>权益保障体系。</w:t>
      </w:r>
      <w:r>
        <w:rPr>
          <w:rFonts w:hint="eastAsia" w:ascii="仿宋_GB2312" w:hAnsi="黑体" w:eastAsia="仿宋_GB2312"/>
          <w:szCs w:val="21"/>
        </w:rPr>
        <w:t>由于活动经费、场地、疫情、残疾人类别以及残疾的轻重程度、参与活动意愿等原因影响，</w:t>
      </w:r>
      <w:r>
        <w:rPr>
          <w:rFonts w:hint="eastAsia"/>
        </w:rPr>
        <w:t>从参与人数来看，</w:t>
      </w:r>
      <w:r>
        <w:rPr>
          <w:rFonts w:hint="eastAsia"/>
          <w:lang w:val="en-US" w:eastAsia="zh-CN"/>
        </w:rPr>
        <w:t>目前的文体活动</w:t>
      </w:r>
      <w:r>
        <w:rPr>
          <w:rFonts w:hint="eastAsia"/>
        </w:rPr>
        <w:t>宣传方式具有一定局限性，不利于覆盖更多残疾人</w:t>
      </w:r>
      <w:r>
        <w:rPr>
          <w:rFonts w:hint="eastAsia" w:cs="Times New Roman"/>
          <w:kern w:val="2"/>
          <w:lang w:val="en-US" w:eastAsia="zh-CN"/>
        </w:rPr>
        <w:t>参与进去。</w:t>
      </w:r>
      <w:r>
        <w:rPr>
          <w:rFonts w:hint="eastAsia" w:cs="Times New Roman"/>
          <w:kern w:val="2"/>
        </w:rPr>
        <w:t>因此，该指标扣</w:t>
      </w:r>
      <w:r>
        <w:rPr>
          <w:rFonts w:cs="Times New Roman"/>
          <w:kern w:val="2"/>
        </w:rPr>
        <w:t>1分，得5分。</w:t>
      </w:r>
    </w:p>
    <w:p>
      <w:pPr>
        <w:pStyle w:val="6"/>
        <w:spacing w:before="0" w:after="0" w:line="360" w:lineRule="auto"/>
        <w:ind w:firstLine="640"/>
        <w:jc w:val="both"/>
        <w:rPr>
          <w:rFonts w:ascii="Times New Roman" w:hAnsi="Times New Roman" w:cs="Times New Roman"/>
        </w:rPr>
      </w:pPr>
      <w:bookmarkStart w:id="122" w:name="_Toc17634"/>
      <w:bookmarkStart w:id="123" w:name="_Toc14957"/>
      <w:r>
        <w:rPr>
          <w:rFonts w:ascii="Times New Roman" w:hAnsi="Times New Roman" w:cs="Times New Roman"/>
        </w:rPr>
        <w:t>（4）公平性（得3.75分）</w:t>
      </w:r>
      <w:bookmarkEnd w:id="120"/>
      <w:bookmarkEnd w:id="121"/>
      <w:bookmarkEnd w:id="122"/>
      <w:bookmarkEnd w:id="123"/>
    </w:p>
    <w:p>
      <w:pPr>
        <w:widowControl w:val="0"/>
        <w:ind w:firstLine="640" w:firstLineChars="0"/>
        <w:jc w:val="both"/>
        <w:rPr>
          <w:rFonts w:cs="Times New Roman"/>
          <w:kern w:val="2"/>
        </w:rPr>
      </w:pPr>
      <w:r>
        <w:rPr>
          <w:rFonts w:cs="Times New Roman"/>
          <w:kern w:val="2"/>
        </w:rPr>
        <w:t>①群众信访办理情况。部门设置了有效</w:t>
      </w:r>
      <w:r>
        <w:rPr>
          <w:rFonts w:hint="eastAsia" w:cs="Times New Roman"/>
          <w:kern w:val="2"/>
        </w:rPr>
        <w:t>的</w:t>
      </w:r>
      <w:r>
        <w:rPr>
          <w:rFonts w:cs="Times New Roman"/>
          <w:kern w:val="2"/>
        </w:rPr>
        <w:t>群众意见反馈渠道，2021年残疾人来访人数为共29人，市残联均对信访件进行回复。</w:t>
      </w:r>
      <w:r>
        <w:rPr>
          <w:rFonts w:hint="eastAsia" w:cs="Times New Roman"/>
          <w:kern w:val="2"/>
          <w:lang w:val="en-US" w:eastAsia="zh-CN"/>
        </w:rPr>
        <w:t>但</w:t>
      </w:r>
      <w:r>
        <w:rPr>
          <w:rFonts w:hint="eastAsia" w:cs="Times New Roman"/>
          <w:kern w:val="2"/>
        </w:rPr>
        <w:t>部分信访工作底稿不规范，</w:t>
      </w:r>
      <w:r>
        <w:rPr>
          <w:rFonts w:hint="eastAsia" w:cs="Times New Roman"/>
          <w:kern w:val="2"/>
          <w:lang w:val="en-US" w:eastAsia="zh-CN"/>
        </w:rPr>
        <w:t>如</w:t>
      </w:r>
      <w:r>
        <w:rPr>
          <w:rFonts w:hint="eastAsia" w:cs="Times New Roman"/>
          <w:kern w:val="2"/>
        </w:rPr>
        <w:t>市残联法律顾问接访中显示，某群众于2021年1月20日进行来访</w:t>
      </w:r>
      <w:r>
        <w:rPr>
          <w:rFonts w:hint="eastAsia" w:cs="Times New Roman"/>
          <w:kern w:val="2"/>
          <w:lang w:eastAsia="zh-CN"/>
        </w:rPr>
        <w:t>，</w:t>
      </w:r>
      <w:r>
        <w:rPr>
          <w:rFonts w:hint="eastAsia" w:cs="Times New Roman"/>
          <w:kern w:val="2"/>
        </w:rPr>
        <w:t>但该份信访工作底稿中仅简单记录信访事由，处理过程和处理结果均未有记录，未能体现</w:t>
      </w:r>
      <w:r>
        <w:rPr>
          <w:rFonts w:hint="eastAsia" w:cs="Times New Roman"/>
          <w:kern w:val="2"/>
          <w:lang w:val="en-US" w:eastAsia="zh-CN"/>
        </w:rPr>
        <w:t>信访处理</w:t>
      </w:r>
      <w:r>
        <w:rPr>
          <w:rFonts w:hint="eastAsia" w:cs="Times New Roman"/>
          <w:kern w:val="2"/>
        </w:rPr>
        <w:t>工作过程</w:t>
      </w:r>
      <w:r>
        <w:rPr>
          <w:rFonts w:hint="eastAsia" w:cs="Times New Roman"/>
          <w:kern w:val="2"/>
          <w:lang w:eastAsia="zh-CN"/>
        </w:rPr>
        <w:t>。</w:t>
      </w:r>
      <w:r>
        <w:rPr>
          <w:rFonts w:hint="eastAsia" w:cs="Times New Roman"/>
          <w:kern w:val="2"/>
        </w:rPr>
        <w:t>该指标</w:t>
      </w:r>
      <w:r>
        <w:rPr>
          <w:rFonts w:hint="eastAsia" w:cs="Times New Roman"/>
          <w:kern w:val="2"/>
          <w:lang w:val="en-US" w:eastAsia="zh-CN"/>
        </w:rPr>
        <w:t>扣1分</w:t>
      </w:r>
      <w:r>
        <w:rPr>
          <w:rFonts w:cs="Times New Roman"/>
          <w:kern w:val="2"/>
        </w:rPr>
        <w:t>，得</w:t>
      </w:r>
      <w:r>
        <w:rPr>
          <w:rFonts w:hint="eastAsia" w:cs="Times New Roman"/>
          <w:kern w:val="2"/>
          <w:lang w:val="en-US" w:eastAsia="zh-CN"/>
        </w:rPr>
        <w:t>1</w:t>
      </w:r>
      <w:r>
        <w:rPr>
          <w:rFonts w:cs="Times New Roman"/>
          <w:kern w:val="2"/>
        </w:rPr>
        <w:t>分。</w:t>
      </w:r>
    </w:p>
    <w:p>
      <w:pPr>
        <w:widowControl w:val="0"/>
        <w:ind w:firstLine="640"/>
        <w:jc w:val="both"/>
        <w:rPr>
          <w:rFonts w:cs="Times New Roman"/>
          <w:kern w:val="2"/>
        </w:rPr>
      </w:pPr>
      <w:r>
        <w:rPr>
          <w:rFonts w:cs="Times New Roman"/>
          <w:kern w:val="2"/>
        </w:rPr>
        <w:t>②受益群众满意度。中大咨询以电子调查问卷的方式向</w:t>
      </w:r>
      <w:r>
        <w:rPr>
          <w:rFonts w:hint="eastAsia" w:cs="Times New Roman"/>
          <w:kern w:val="2"/>
        </w:rPr>
        <w:t>韶关市残疾人</w:t>
      </w:r>
      <w:r>
        <w:rPr>
          <w:rFonts w:cs="Times New Roman"/>
          <w:kern w:val="2"/>
        </w:rPr>
        <w:t>开展了满意度调查，在</w:t>
      </w:r>
      <w:r>
        <w:rPr>
          <w:rFonts w:cs="Times New Roman"/>
          <w:color w:val="000000"/>
        </w:rPr>
        <w:t>7月15日-20日线上共回收了440份满意度有效问卷</w:t>
      </w:r>
      <w:r>
        <w:rPr>
          <w:rFonts w:cs="Times New Roman"/>
          <w:kern w:val="2"/>
        </w:rPr>
        <w:t>，按照国际上通行的测评标准CSI 进行计算，满意度为91.88%。</w:t>
      </w:r>
      <w:r>
        <w:rPr>
          <w:rFonts w:hint="eastAsia" w:cs="Times New Roman"/>
          <w:kern w:val="2"/>
        </w:rPr>
        <w:t>因此，该指标扣</w:t>
      </w:r>
      <w:r>
        <w:rPr>
          <w:rFonts w:cs="Times New Roman"/>
          <w:kern w:val="2"/>
        </w:rPr>
        <w:t>0.25分，得2.75分。</w:t>
      </w:r>
    </w:p>
    <w:p>
      <w:pPr>
        <w:pStyle w:val="3"/>
        <w:widowControl w:val="0"/>
        <w:numPr>
          <w:ilvl w:val="0"/>
          <w:numId w:val="1"/>
        </w:numPr>
        <w:spacing w:before="0" w:beforeLines="0" w:after="0" w:afterLines="0" w:line="360" w:lineRule="auto"/>
        <w:ind w:firstLine="640"/>
        <w:jc w:val="both"/>
        <w:rPr>
          <w:rFonts w:eastAsia="黑体" w:cs="Times New Roman"/>
          <w:b w:val="0"/>
          <w:kern w:val="44"/>
          <w:szCs w:val="20"/>
        </w:rPr>
      </w:pPr>
      <w:bookmarkStart w:id="124" w:name="_Toc9766"/>
      <w:bookmarkStart w:id="125" w:name="_Toc21432"/>
      <w:bookmarkStart w:id="126" w:name="_Toc29342"/>
      <w:bookmarkStart w:id="127" w:name="_Toc20580"/>
      <w:bookmarkStart w:id="128" w:name="_Toc10188"/>
      <w:bookmarkStart w:id="129" w:name="_Toc52124774"/>
      <w:r>
        <w:rPr>
          <w:rFonts w:eastAsia="黑体" w:cs="Times New Roman"/>
          <w:b w:val="0"/>
          <w:kern w:val="44"/>
          <w:szCs w:val="20"/>
        </w:rPr>
        <w:t>评价结论</w:t>
      </w:r>
      <w:bookmarkEnd w:id="124"/>
      <w:bookmarkEnd w:id="125"/>
      <w:bookmarkEnd w:id="126"/>
      <w:bookmarkEnd w:id="127"/>
    </w:p>
    <w:p>
      <w:pPr>
        <w:ind w:firstLine="640" w:firstLineChars="0"/>
        <w:jc w:val="both"/>
        <w:rPr>
          <w:rFonts w:cs="Times New Roman"/>
          <w:color w:val="000000" w:themeColor="text1"/>
          <w:shd w:val="clear" w:color="auto" w:fill="FFFFFF"/>
          <w14:textFill>
            <w14:solidFill>
              <w14:schemeClr w14:val="tx1"/>
            </w14:solidFill>
          </w14:textFill>
        </w:rPr>
      </w:pPr>
      <w:r>
        <w:rPr>
          <w:rFonts w:hint="eastAsia" w:cs="Times New Roman"/>
          <w:color w:val="000000" w:themeColor="text1"/>
          <w:shd w:val="clear" w:color="auto" w:fill="FFFFFF"/>
          <w14:textFill>
            <w14:solidFill>
              <w14:schemeClr w14:val="tx1"/>
            </w14:solidFill>
          </w14:textFill>
        </w:rPr>
        <w:t>经综合分析与评价，韶关市残疾人联合会2021年度部门整体支出绩效评价总体综合评分为</w:t>
      </w:r>
      <w:r>
        <w:rPr>
          <w:rFonts w:hint="eastAsia" w:cs="Times New Roman"/>
          <w:color w:val="000000" w:themeColor="text1"/>
          <w:shd w:val="clear" w:color="auto" w:fill="FFFFFF"/>
          <w:lang w:eastAsia="zh-CN"/>
          <w14:textFill>
            <w14:solidFill>
              <w14:schemeClr w14:val="tx1"/>
            </w14:solidFill>
          </w14:textFill>
        </w:rPr>
        <w:t>84.76</w:t>
      </w:r>
      <w:r>
        <w:rPr>
          <w:rFonts w:hint="eastAsia" w:cs="Times New Roman"/>
          <w:color w:val="000000" w:themeColor="text1"/>
          <w:shd w:val="clear" w:color="auto" w:fill="FFFFFF"/>
          <w14:textFill>
            <w14:solidFill>
              <w14:schemeClr w14:val="tx1"/>
            </w14:solidFill>
          </w14:textFill>
        </w:rPr>
        <w:t>分，绩效等级为“良”。</w:t>
      </w:r>
    </w:p>
    <w:p>
      <w:pPr>
        <w:ind w:firstLine="640"/>
        <w:jc w:val="both"/>
        <w:rPr>
          <w:rFonts w:cs="Times New Roman"/>
          <w:color w:val="000000" w:themeColor="text1"/>
          <w:shd w:val="clear" w:color="auto" w:fill="FFFFFF"/>
          <w14:textFill>
            <w14:solidFill>
              <w14:schemeClr w14:val="tx1"/>
            </w14:solidFill>
          </w14:textFill>
        </w:rPr>
      </w:pPr>
      <w:r>
        <w:rPr>
          <w:rFonts w:hint="eastAsia" w:cs="Times New Roman"/>
          <w:color w:val="000000" w:themeColor="text1"/>
          <w:shd w:val="clear" w:color="auto" w:fill="FFFFFF"/>
          <w14:textFill>
            <w14:solidFill>
              <w14:schemeClr w14:val="tx1"/>
            </w14:solidFill>
          </w14:textFill>
        </w:rPr>
        <w:t>预算编制</w:t>
      </w:r>
      <w:r>
        <w:rPr>
          <w:rFonts w:cs="Times New Roman"/>
          <w:color w:val="000000" w:themeColor="text1"/>
          <w:shd w:val="clear" w:color="auto" w:fill="FFFFFF"/>
          <w14:textFill>
            <w14:solidFill>
              <w14:schemeClr w14:val="tx1"/>
            </w14:solidFill>
          </w14:textFill>
        </w:rPr>
        <w:t>方面，</w:t>
      </w:r>
      <w:r>
        <w:rPr>
          <w:rFonts w:hint="eastAsia" w:cs="Times New Roman"/>
          <w:color w:val="000000" w:themeColor="text1"/>
          <w:shd w:val="clear" w:color="auto" w:fill="FFFFFF"/>
          <w14:textFill>
            <w14:solidFill>
              <w14:schemeClr w14:val="tx1"/>
            </w14:solidFill>
          </w14:textFill>
        </w:rPr>
        <w:t>2021年市残联</w:t>
      </w:r>
      <w:r>
        <w:rPr>
          <w:rFonts w:cs="Times New Roman"/>
          <w:color w:val="000000" w:themeColor="text1"/>
          <w:shd w:val="clear" w:color="auto" w:fill="FFFFFF"/>
          <w14:textFill>
            <w14:solidFill>
              <w14:schemeClr w14:val="tx1"/>
            </w14:solidFill>
          </w14:textFill>
        </w:rPr>
        <w:t>预算配置较好，绩效目标完成率较好、重点项目支出保障较为有效，但预算编制合理性、绩效目标合理性和绩效指标明确性有待进一步加强。</w:t>
      </w:r>
    </w:p>
    <w:p>
      <w:pPr>
        <w:ind w:firstLine="640"/>
        <w:jc w:val="both"/>
        <w:rPr>
          <w:rFonts w:cs="Times New Roman"/>
          <w:color w:val="000000" w:themeColor="text1"/>
          <w:shd w:val="clear" w:color="auto" w:fill="FFFFFF"/>
          <w14:textFill>
            <w14:solidFill>
              <w14:schemeClr w14:val="tx1"/>
            </w14:solidFill>
          </w14:textFill>
        </w:rPr>
      </w:pPr>
      <w:r>
        <w:rPr>
          <w:rFonts w:hint="eastAsia" w:cs="Times New Roman"/>
          <w:color w:val="000000" w:themeColor="text1"/>
          <w:shd w:val="clear" w:color="auto" w:fill="FFFFFF"/>
          <w14:textFill>
            <w14:solidFill>
              <w14:schemeClr w14:val="tx1"/>
            </w14:solidFill>
          </w14:textFill>
        </w:rPr>
        <w:t>预算执行方面，</w:t>
      </w:r>
      <w:r>
        <w:rPr>
          <w:rFonts w:cs="Times New Roman"/>
          <w:color w:val="000000" w:themeColor="text1"/>
          <w:shd w:val="clear" w:color="auto" w:fill="FFFFFF"/>
          <w14:textFill>
            <w14:solidFill>
              <w14:schemeClr w14:val="tx1"/>
            </w14:solidFill>
          </w14:textFill>
        </w:rPr>
        <w:t>预算完成率、结转结余率、公用经费控制率和“三公经费”控制率表现较好，但项目预算和政府采购预算编制准确性有待进一步加强。预算管理情况较好，部门预算及财务管理制度较为健全、资金使用较为合规。资产管理制度较为健全性，固定资产利用率较高，资产</w:t>
      </w:r>
      <w:r>
        <w:rPr>
          <w:rFonts w:hint="eastAsia" w:cs="Times New Roman"/>
          <w:color w:val="000000" w:themeColor="text1"/>
          <w:shd w:val="clear" w:color="auto" w:fill="FFFFFF"/>
          <w14:textFill>
            <w14:solidFill>
              <w14:schemeClr w14:val="tx1"/>
            </w14:solidFill>
          </w14:textFill>
        </w:rPr>
        <w:t>会计信息准确性</w:t>
      </w:r>
      <w:r>
        <w:rPr>
          <w:rFonts w:cs="Times New Roman"/>
          <w:color w:val="000000" w:themeColor="text1"/>
          <w:shd w:val="clear" w:color="auto" w:fill="FFFFFF"/>
          <w14:textFill>
            <w14:solidFill>
              <w14:schemeClr w14:val="tx1"/>
            </w14:solidFill>
          </w14:textFill>
        </w:rPr>
        <w:t>有待进一步加强。</w:t>
      </w:r>
    </w:p>
    <w:p>
      <w:pPr>
        <w:ind w:firstLine="640"/>
        <w:jc w:val="both"/>
        <w:rPr>
          <w:rFonts w:cs="Times New Roman"/>
          <w:color w:val="000000" w:themeColor="text1"/>
          <w:shd w:val="clear" w:color="auto" w:fill="FFFFFF"/>
          <w14:textFill>
            <w14:solidFill>
              <w14:schemeClr w14:val="tx1"/>
            </w14:solidFill>
          </w14:textFill>
        </w:rPr>
      </w:pPr>
      <w:r>
        <w:rPr>
          <w:rFonts w:hint="eastAsia" w:cs="Times New Roman"/>
          <w:color w:val="000000" w:themeColor="text1"/>
          <w:shd w:val="clear" w:color="auto" w:fill="FFFFFF"/>
          <w14:textFill>
            <w14:solidFill>
              <w14:schemeClr w14:val="tx1"/>
            </w14:solidFill>
          </w14:textFill>
        </w:rPr>
        <w:t>产出和效益方面，部门完成情况</w:t>
      </w:r>
      <w:r>
        <w:rPr>
          <w:rFonts w:cs="Times New Roman"/>
          <w:color w:val="000000" w:themeColor="text1"/>
          <w:shd w:val="clear" w:color="auto" w:fill="FFFFFF"/>
          <w14:textFill>
            <w14:solidFill>
              <w14:schemeClr w14:val="tx1"/>
            </w14:solidFill>
          </w14:textFill>
        </w:rPr>
        <w:t>基本符合预期</w:t>
      </w:r>
      <w:r>
        <w:rPr>
          <w:rFonts w:hint="eastAsia" w:cs="Times New Roman"/>
          <w:color w:val="000000" w:themeColor="text1"/>
          <w:shd w:val="clear" w:color="auto" w:fill="FFFFFF"/>
          <w14:textFill>
            <w14:solidFill>
              <w14:schemeClr w14:val="tx1"/>
            </w14:solidFill>
          </w14:textFill>
        </w:rPr>
        <w:t>。</w:t>
      </w:r>
      <w:r>
        <w:rPr>
          <w:rFonts w:cs="Times New Roman"/>
          <w:color w:val="000000" w:themeColor="text1"/>
          <w:shd w:val="clear" w:color="auto" w:fill="FFFFFF"/>
          <w14:textFill>
            <w14:solidFill>
              <w14:schemeClr w14:val="tx1"/>
            </w14:solidFill>
          </w14:textFill>
        </w:rPr>
        <w:t>在残疾人康复、残疾人就业培训、残疾人权益保障方面和政务服务水平上取得了较好的成效，但在相关宣传方式和范围、监督统筹管理上仍有待加强。一是基本完成重点工作任务，31个绩效指标均全部完成，任务接绩效指标均及时完成。二是除残疾人科普宣传教育有待进一步提升外，部门履职对于残疾人康复、残疾人权益保障等工作均带来了良好的社会经济效益</w:t>
      </w:r>
      <w:r>
        <w:rPr>
          <w:rFonts w:hint="eastAsia" w:cs="Times New Roman"/>
          <w:color w:val="000000" w:themeColor="text1"/>
          <w:shd w:val="clear" w:color="auto" w:fill="FFFFFF"/>
          <w14:textFill>
            <w14:solidFill>
              <w14:schemeClr w14:val="tx1"/>
            </w14:solidFill>
          </w14:textFill>
        </w:rPr>
        <w:t>。</w:t>
      </w:r>
    </w:p>
    <w:p>
      <w:pPr>
        <w:pStyle w:val="3"/>
        <w:widowControl w:val="0"/>
        <w:numPr>
          <w:ilvl w:val="0"/>
          <w:numId w:val="1"/>
        </w:numPr>
        <w:spacing w:before="0" w:beforeLines="0" w:after="0" w:afterLines="0" w:line="360" w:lineRule="auto"/>
        <w:ind w:firstLine="640"/>
        <w:jc w:val="both"/>
        <w:rPr>
          <w:rFonts w:eastAsia="黑体" w:cs="Times New Roman"/>
          <w:b w:val="0"/>
          <w:kern w:val="44"/>
          <w:szCs w:val="20"/>
        </w:rPr>
      </w:pPr>
      <w:bookmarkStart w:id="130" w:name="_Toc14230"/>
      <w:bookmarkStart w:id="131" w:name="_Toc24703"/>
      <w:bookmarkStart w:id="132" w:name="_Toc25047"/>
      <w:bookmarkStart w:id="133" w:name="_Toc32282"/>
      <w:r>
        <w:rPr>
          <w:rFonts w:eastAsia="黑体" w:cs="Times New Roman"/>
          <w:b w:val="0"/>
          <w:kern w:val="44"/>
          <w:szCs w:val="20"/>
        </w:rPr>
        <w:t>主要绩效</w:t>
      </w:r>
      <w:bookmarkEnd w:id="128"/>
      <w:bookmarkEnd w:id="129"/>
      <w:bookmarkEnd w:id="130"/>
      <w:bookmarkEnd w:id="131"/>
      <w:bookmarkEnd w:id="132"/>
      <w:bookmarkEnd w:id="133"/>
    </w:p>
    <w:p>
      <w:pPr>
        <w:pStyle w:val="4"/>
        <w:widowControl w:val="0"/>
        <w:snapToGrid/>
        <w:spacing w:before="0" w:beforeLines="0"/>
        <w:ind w:firstLine="640"/>
        <w:jc w:val="both"/>
        <w:rPr>
          <w:rFonts w:cs="Times New Roman"/>
          <w:kern w:val="2"/>
          <w:szCs w:val="32"/>
        </w:rPr>
      </w:pPr>
      <w:bookmarkStart w:id="134" w:name="_Toc52124775"/>
      <w:bookmarkStart w:id="135" w:name="_Toc19786"/>
      <w:bookmarkStart w:id="136" w:name="_Toc4777"/>
      <w:bookmarkStart w:id="137" w:name="_Toc14605"/>
      <w:bookmarkStart w:id="138" w:name="_Toc30012"/>
      <w:bookmarkStart w:id="139" w:name="_Toc23331"/>
      <w:r>
        <w:rPr>
          <w:rFonts w:cs="Times New Roman"/>
          <w:kern w:val="2"/>
          <w:szCs w:val="32"/>
        </w:rPr>
        <w:t>（一）</w:t>
      </w:r>
      <w:bookmarkEnd w:id="134"/>
      <w:r>
        <w:rPr>
          <w:rFonts w:cs="Times New Roman"/>
          <w:kern w:val="2"/>
          <w:szCs w:val="32"/>
        </w:rPr>
        <w:t>精准实施残疾人康复工作，不断提高康复服务效果</w:t>
      </w:r>
      <w:bookmarkEnd w:id="135"/>
      <w:r>
        <w:rPr>
          <w:rFonts w:cs="Times New Roman"/>
          <w:kern w:val="2"/>
          <w:szCs w:val="32"/>
        </w:rPr>
        <w:t>。</w:t>
      </w:r>
      <w:bookmarkEnd w:id="136"/>
      <w:bookmarkEnd w:id="137"/>
      <w:bookmarkEnd w:id="138"/>
      <w:bookmarkEnd w:id="139"/>
    </w:p>
    <w:p>
      <w:pPr>
        <w:pStyle w:val="9"/>
        <w:ind w:firstLine="640"/>
        <w:jc w:val="both"/>
        <w:rPr>
          <w:rFonts w:ascii="仿宋_GB2312" w:hAnsi="仿宋" w:cs="仿宋"/>
          <w:szCs w:val="32"/>
        </w:rPr>
      </w:pPr>
      <w:r>
        <w:rPr>
          <w:rFonts w:hint="eastAsia" w:ascii="仿宋_GB2312" w:hAnsi="仿宋" w:cs="仿宋"/>
          <w:szCs w:val="32"/>
        </w:rPr>
        <w:t>一是</w:t>
      </w:r>
      <w:r>
        <w:rPr>
          <w:rFonts w:cs="Times New Roman"/>
        </w:rPr>
        <w:t>康复救助服务基本达到应治尽治</w:t>
      </w:r>
      <w:r>
        <w:rPr>
          <w:rFonts w:cs="Times New Roman"/>
          <w:kern w:val="2"/>
        </w:rPr>
        <w:t>。2021年韶关市实际</w:t>
      </w:r>
      <w:r>
        <w:rPr>
          <w:rFonts w:hint="eastAsia" w:cs="Times New Roman"/>
          <w:kern w:val="2"/>
        </w:rPr>
        <w:t>救助</w:t>
      </w:r>
      <w:r>
        <w:rPr>
          <w:rFonts w:cs="Times New Roman"/>
          <w:kern w:val="2"/>
        </w:rPr>
        <w:t>有康复需求</w:t>
      </w:r>
      <w:r>
        <w:rPr>
          <w:rFonts w:hint="eastAsia" w:cs="Times New Roman"/>
          <w:kern w:val="2"/>
        </w:rPr>
        <w:t>且</w:t>
      </w:r>
      <w:r>
        <w:rPr>
          <w:rFonts w:cs="Times New Roman"/>
          <w:kern w:val="2"/>
        </w:rPr>
        <w:t>得到康复服务</w:t>
      </w:r>
      <w:r>
        <w:rPr>
          <w:rFonts w:hint="eastAsia" w:cs="Times New Roman"/>
          <w:kern w:val="2"/>
        </w:rPr>
        <w:t>的残疾</w:t>
      </w:r>
      <w:r>
        <w:rPr>
          <w:rFonts w:cs="Times New Roman"/>
          <w:kern w:val="2"/>
        </w:rPr>
        <w:t>人数为13,195人，康复服务率为99.95%，排名全省第三</w:t>
      </w:r>
      <w:r>
        <w:rPr>
          <w:rFonts w:hint="eastAsia" w:cs="Times New Roman"/>
          <w:kern w:val="2"/>
        </w:rPr>
        <w:t>。</w:t>
      </w:r>
      <w:r>
        <w:rPr>
          <w:rFonts w:hint="eastAsia" w:ascii="仿宋_GB2312" w:hAnsi="仿宋" w:cs="仿宋"/>
          <w:szCs w:val="32"/>
        </w:rPr>
        <w:t>对971名0-6岁残疾儿童开展康复救助,</w:t>
      </w:r>
      <w:r>
        <w:rPr>
          <w:rFonts w:cs="Times New Roman"/>
          <w:kern w:val="2"/>
        </w:rPr>
        <w:t>比去年增加了275人，2021年残疾儿童的康复覆盖率全省排名第三</w:t>
      </w:r>
      <w:r>
        <w:rPr>
          <w:rFonts w:hint="eastAsia" w:cs="Times New Roman"/>
          <w:kern w:val="2"/>
        </w:rPr>
        <w:t>，</w:t>
      </w:r>
      <w:r>
        <w:rPr>
          <w:rFonts w:cs="Times New Roman"/>
          <w:kern w:val="2"/>
        </w:rPr>
        <w:t>残疾儿童救治率99.79%，</w:t>
      </w:r>
      <w:r>
        <w:rPr>
          <w:rFonts w:hint="eastAsia" w:ascii="仿宋_GB2312" w:hAnsi="仿宋" w:cs="仿宋"/>
          <w:szCs w:val="32"/>
        </w:rPr>
        <w:t>加强17家残疾儿童康复机构的监督管理，不断提高康复服务效果。</w:t>
      </w:r>
    </w:p>
    <w:p>
      <w:pPr>
        <w:widowControl w:val="0"/>
        <w:ind w:firstLine="640"/>
        <w:jc w:val="both"/>
        <w:rPr>
          <w:rFonts w:ascii="仿宋_GB2312" w:hAnsi="楷体" w:cs="黑体"/>
          <w:color w:val="000000"/>
          <w:szCs w:val="32"/>
        </w:rPr>
      </w:pPr>
      <w:r>
        <w:rPr>
          <w:rFonts w:hint="eastAsia" w:ascii="仿宋_GB2312" w:hAnsi="仿宋" w:cs="仿宋"/>
          <w:szCs w:val="32"/>
        </w:rPr>
        <w:t>二是提供残疾人精准康复及辅具适配服务。</w:t>
      </w:r>
      <w:r>
        <w:rPr>
          <w:rFonts w:cs="Times New Roman"/>
          <w:kern w:val="2"/>
        </w:rPr>
        <w:t>2021年部门已为3021人提供辅具适配服务，比去年增加了334人，辅具适配率99.79%，比去年增长了1.6%。</w:t>
      </w:r>
    </w:p>
    <w:p>
      <w:pPr>
        <w:pStyle w:val="4"/>
        <w:widowControl w:val="0"/>
        <w:snapToGrid/>
        <w:spacing w:before="0" w:beforeLines="0"/>
        <w:ind w:firstLine="640"/>
        <w:jc w:val="both"/>
        <w:rPr>
          <w:rFonts w:cs="Times New Roman"/>
          <w:kern w:val="2"/>
          <w:szCs w:val="32"/>
        </w:rPr>
      </w:pPr>
      <w:bookmarkStart w:id="140" w:name="_Toc52124776"/>
      <w:bookmarkStart w:id="141" w:name="_Toc14413"/>
      <w:bookmarkStart w:id="142" w:name="_Toc16755"/>
      <w:bookmarkStart w:id="143" w:name="_Toc9302"/>
      <w:bookmarkStart w:id="144" w:name="_Toc12839"/>
      <w:bookmarkStart w:id="145" w:name="_Toc28732"/>
      <w:r>
        <w:rPr>
          <w:rFonts w:cs="Times New Roman"/>
          <w:kern w:val="2"/>
          <w:szCs w:val="32"/>
        </w:rPr>
        <w:t>（二）</w:t>
      </w:r>
      <w:bookmarkEnd w:id="140"/>
      <w:r>
        <w:rPr>
          <w:rFonts w:cs="Times New Roman"/>
          <w:kern w:val="2"/>
          <w:szCs w:val="32"/>
        </w:rPr>
        <w:t>加强残疾人教育就业培训，全面提升就业创业能力</w:t>
      </w:r>
      <w:bookmarkEnd w:id="141"/>
      <w:r>
        <w:rPr>
          <w:rFonts w:cs="Times New Roman"/>
          <w:kern w:val="2"/>
          <w:szCs w:val="32"/>
        </w:rPr>
        <w:t>。</w:t>
      </w:r>
      <w:bookmarkEnd w:id="142"/>
      <w:bookmarkEnd w:id="143"/>
      <w:bookmarkEnd w:id="144"/>
      <w:bookmarkEnd w:id="145"/>
    </w:p>
    <w:p>
      <w:pPr>
        <w:widowControl w:val="0"/>
        <w:ind w:firstLine="640"/>
        <w:jc w:val="both"/>
        <w:rPr>
          <w:rFonts w:cs="Times New Roman"/>
          <w:kern w:val="2"/>
        </w:rPr>
      </w:pPr>
      <w:r>
        <w:rPr>
          <w:rFonts w:cs="Times New Roman"/>
          <w:kern w:val="2"/>
        </w:rPr>
        <w:t>一是加强残疾人教育服务工作，着力提升残疾人受教育程度。2021年组织参加普通高考的残疾考生40人，录取37人，录取率为92.5%；组织21人报读省培英中专</w:t>
      </w:r>
      <w:r>
        <w:rPr>
          <w:rFonts w:hint="eastAsia" w:cs="Times New Roman"/>
          <w:kern w:val="2"/>
        </w:rPr>
        <w:t>，成功</w:t>
      </w:r>
      <w:r>
        <w:rPr>
          <w:rFonts w:cs="Times New Roman"/>
          <w:kern w:val="2"/>
        </w:rPr>
        <w:t>录取15人，录取率</w:t>
      </w:r>
      <w:r>
        <w:rPr>
          <w:rFonts w:hint="eastAsia" w:cs="Times New Roman"/>
          <w:kern w:val="2"/>
        </w:rPr>
        <w:t>达</w:t>
      </w:r>
      <w:r>
        <w:rPr>
          <w:rFonts w:cs="Times New Roman"/>
          <w:kern w:val="2"/>
        </w:rPr>
        <w:t>85.71%。</w:t>
      </w:r>
    </w:p>
    <w:p>
      <w:pPr>
        <w:widowControl w:val="0"/>
        <w:ind w:firstLine="640"/>
        <w:jc w:val="both"/>
        <w:rPr>
          <w:rFonts w:cs="Times New Roman"/>
          <w:kern w:val="2"/>
        </w:rPr>
      </w:pPr>
      <w:r>
        <w:rPr>
          <w:rFonts w:cs="Times New Roman"/>
          <w:kern w:val="2"/>
        </w:rPr>
        <w:t>二是积极开展就业技能培训活动，</w:t>
      </w:r>
      <w:r>
        <w:rPr>
          <w:rFonts w:hint="eastAsia" w:cs="Times New Roman"/>
          <w:kern w:val="2"/>
        </w:rPr>
        <w:t>韶关市</w:t>
      </w:r>
      <w:r>
        <w:rPr>
          <w:rFonts w:cs="Times New Roman"/>
          <w:kern w:val="2"/>
        </w:rPr>
        <w:t>残疾人就业能力</w:t>
      </w:r>
      <w:r>
        <w:rPr>
          <w:rFonts w:hint="eastAsia" w:cs="Times New Roman"/>
          <w:kern w:val="2"/>
        </w:rPr>
        <w:t>逐步提升。全年组织</w:t>
      </w:r>
      <w:r>
        <w:rPr>
          <w:rFonts w:cs="Times New Roman"/>
          <w:kern w:val="2"/>
        </w:rPr>
        <w:t>开办了7期培训班，共为365人</w:t>
      </w:r>
      <w:r>
        <w:rPr>
          <w:rFonts w:hint="eastAsia" w:cs="Times New Roman"/>
          <w:kern w:val="2"/>
        </w:rPr>
        <w:t>次</w:t>
      </w:r>
      <w:r>
        <w:rPr>
          <w:rFonts w:cs="Times New Roman"/>
          <w:kern w:val="2"/>
        </w:rPr>
        <w:t>提供职业技术培训，比2020年增加了200人</w:t>
      </w:r>
      <w:r>
        <w:rPr>
          <w:rFonts w:hint="eastAsia" w:cs="Times New Roman"/>
          <w:kern w:val="2"/>
        </w:rPr>
        <w:t>次</w:t>
      </w:r>
      <w:r>
        <w:rPr>
          <w:rFonts w:cs="Times New Roman"/>
          <w:kern w:val="2"/>
        </w:rPr>
        <w:t>；</w:t>
      </w:r>
      <w:r>
        <w:rPr>
          <w:rFonts w:hint="eastAsia" w:cs="Times New Roman"/>
          <w:kern w:val="2"/>
        </w:rPr>
        <w:t>全</w:t>
      </w:r>
      <w:r>
        <w:rPr>
          <w:rFonts w:cs="Times New Roman"/>
          <w:kern w:val="2"/>
        </w:rPr>
        <w:t>市城镇新增残疾人就业人数为309人，村新增残疾人就业人数为958人，年度任务数完成率分别为117%、316.17%</w:t>
      </w:r>
      <w:r>
        <w:rPr>
          <w:rFonts w:hint="eastAsia" w:cs="Times New Roman"/>
          <w:kern w:val="2"/>
        </w:rPr>
        <w:t>。</w:t>
      </w:r>
      <w:r>
        <w:rPr>
          <w:rFonts w:cs="Times New Roman"/>
          <w:kern w:val="2"/>
        </w:rPr>
        <w:t>2021年韶关市残疾人应届高校毕业生就业率93.75%</w:t>
      </w:r>
      <w:r>
        <w:rPr>
          <w:rStyle w:val="33"/>
          <w:rFonts w:cs="Times New Roman"/>
          <w:kern w:val="2"/>
        </w:rPr>
        <w:footnoteReference w:id="2"/>
      </w:r>
      <w:r>
        <w:rPr>
          <w:rFonts w:cs="Times New Roman"/>
          <w:kern w:val="2"/>
        </w:rPr>
        <w:t>。</w:t>
      </w:r>
    </w:p>
    <w:p>
      <w:pPr>
        <w:pStyle w:val="4"/>
        <w:widowControl w:val="0"/>
        <w:snapToGrid/>
        <w:spacing w:before="0" w:beforeLines="0"/>
        <w:ind w:firstLine="640"/>
        <w:jc w:val="both"/>
        <w:rPr>
          <w:rFonts w:cs="Times New Roman"/>
          <w:kern w:val="2"/>
          <w:szCs w:val="32"/>
        </w:rPr>
      </w:pPr>
      <w:bookmarkStart w:id="146" w:name="_Toc52124777"/>
      <w:bookmarkStart w:id="147" w:name="_Toc21056"/>
      <w:bookmarkStart w:id="148" w:name="_Toc18483"/>
      <w:bookmarkStart w:id="149" w:name="_Toc25878"/>
      <w:bookmarkStart w:id="150" w:name="_Toc22915"/>
      <w:bookmarkStart w:id="151" w:name="_Toc10774"/>
      <w:r>
        <w:rPr>
          <w:rFonts w:cs="Times New Roman"/>
          <w:kern w:val="2"/>
          <w:szCs w:val="32"/>
        </w:rPr>
        <w:t>（三）</w:t>
      </w:r>
      <w:bookmarkEnd w:id="146"/>
      <w:r>
        <w:rPr>
          <w:rFonts w:cs="Times New Roman"/>
          <w:kern w:val="2"/>
          <w:szCs w:val="32"/>
        </w:rPr>
        <w:t>切实维护残疾人合法权益，丰富精神文化体育生活</w:t>
      </w:r>
      <w:bookmarkEnd w:id="147"/>
      <w:r>
        <w:rPr>
          <w:rFonts w:cs="Times New Roman"/>
          <w:kern w:val="2"/>
          <w:szCs w:val="32"/>
        </w:rPr>
        <w:t>。</w:t>
      </w:r>
      <w:bookmarkEnd w:id="148"/>
      <w:bookmarkEnd w:id="149"/>
      <w:bookmarkEnd w:id="150"/>
      <w:bookmarkEnd w:id="151"/>
    </w:p>
    <w:p>
      <w:pPr>
        <w:widowControl w:val="0"/>
        <w:ind w:firstLine="640"/>
        <w:jc w:val="both"/>
        <w:rPr>
          <w:rFonts w:cs="Times New Roman"/>
          <w:kern w:val="2"/>
        </w:rPr>
      </w:pPr>
      <w:r>
        <w:rPr>
          <w:rFonts w:cs="Times New Roman"/>
          <w:kern w:val="2"/>
        </w:rPr>
        <w:t>一是提升维护残疾人合法权益。</w:t>
      </w:r>
      <w:r>
        <w:rPr>
          <w:rFonts w:hint="eastAsia" w:cs="Times New Roman"/>
          <w:kern w:val="2"/>
        </w:rPr>
        <w:t>充分</w:t>
      </w:r>
      <w:r>
        <w:rPr>
          <w:rFonts w:cs="Times New Roman"/>
          <w:kern w:val="2"/>
        </w:rPr>
        <w:t>利用市残疾人法律工作救助站和残疾人心理咨询服务站，为残疾人免费提供法律咨询、维权和心理咨询服务</w:t>
      </w:r>
      <w:r>
        <w:rPr>
          <w:rFonts w:hint="eastAsia" w:cs="Times New Roman"/>
          <w:kern w:val="2"/>
        </w:rPr>
        <w:t>，</w:t>
      </w:r>
      <w:r>
        <w:rPr>
          <w:rFonts w:cs="Times New Roman"/>
          <w:kern w:val="2"/>
        </w:rPr>
        <w:t>完成了610户家庭无障碍改造任务，比2020年增加了150户</w:t>
      </w:r>
      <w:r>
        <w:rPr>
          <w:rFonts w:hint="eastAsia" w:cs="Times New Roman"/>
          <w:kern w:val="2"/>
        </w:rPr>
        <w:t>。</w:t>
      </w:r>
      <w:r>
        <w:rPr>
          <w:rFonts w:cs="Times New Roman"/>
          <w:kern w:val="2"/>
        </w:rPr>
        <w:t>全市有108家社区康园中心机构，街道/社区残疾人服务机构设施覆盖率达100%。</w:t>
      </w:r>
    </w:p>
    <w:p>
      <w:pPr>
        <w:widowControl w:val="0"/>
        <w:ind w:firstLine="640"/>
        <w:jc w:val="both"/>
        <w:rPr>
          <w:rFonts w:cs="Times New Roman"/>
          <w:kern w:val="2"/>
        </w:rPr>
      </w:pPr>
      <w:r>
        <w:rPr>
          <w:rFonts w:cs="Times New Roman"/>
          <w:kern w:val="2"/>
        </w:rPr>
        <w:t>二是</w:t>
      </w:r>
      <w:r>
        <w:rPr>
          <w:rFonts w:hint="eastAsia" w:cs="Times New Roman"/>
          <w:kern w:val="2"/>
        </w:rPr>
        <w:t>积极</w:t>
      </w:r>
      <w:r>
        <w:rPr>
          <w:rFonts w:cs="Times New Roman"/>
          <w:kern w:val="2"/>
        </w:rPr>
        <w:t>开展文体宣传活动。为加强残疾人保障法宣传教育，</w:t>
      </w:r>
      <w:r>
        <w:rPr>
          <w:rFonts w:hint="eastAsia" w:cs="Times New Roman"/>
          <w:kern w:val="2"/>
        </w:rPr>
        <w:t>市残联联合其他部门组织开展</w:t>
      </w:r>
      <w:r>
        <w:rPr>
          <w:rFonts w:cs="Times New Roman"/>
          <w:kern w:val="2"/>
        </w:rPr>
        <w:t>普法讲座</w:t>
      </w:r>
      <w:r>
        <w:rPr>
          <w:rFonts w:hint="eastAsia" w:cs="Times New Roman"/>
          <w:kern w:val="2"/>
        </w:rPr>
        <w:t>、</w:t>
      </w:r>
      <w:r>
        <w:rPr>
          <w:rFonts w:cs="Times New Roman"/>
          <w:kern w:val="2"/>
        </w:rPr>
        <w:t>纪念活动</w:t>
      </w:r>
      <w:r>
        <w:rPr>
          <w:rFonts w:hint="eastAsia" w:cs="Times New Roman"/>
          <w:kern w:val="2"/>
        </w:rPr>
        <w:t>等多种活动，</w:t>
      </w:r>
      <w:r>
        <w:rPr>
          <w:rFonts w:cs="Times New Roman"/>
          <w:kern w:val="2"/>
        </w:rPr>
        <w:t>组织残疾人运动员集训备战全省残疾人运动会，</w:t>
      </w:r>
      <w:r>
        <w:rPr>
          <w:rFonts w:hint="eastAsia" w:cs="Times New Roman"/>
          <w:kern w:val="2"/>
        </w:rPr>
        <w:t>并取得优异成绩。</w:t>
      </w:r>
      <w:r>
        <w:rPr>
          <w:rFonts w:cs="Times New Roman"/>
          <w:kern w:val="2"/>
        </w:rPr>
        <w:t>开展盲人读书活动、举办文学艺术培训班、组织残疾人观看红色电影、开设《平安韶关》电视和手语栏目等多形式扶残助残活动，丰富残疾人精神文化生活。</w:t>
      </w:r>
    </w:p>
    <w:p>
      <w:pPr>
        <w:pStyle w:val="3"/>
        <w:widowControl w:val="0"/>
        <w:spacing w:before="0" w:beforeLines="0" w:after="0" w:afterLines="0" w:line="360" w:lineRule="auto"/>
        <w:ind w:firstLine="640"/>
        <w:jc w:val="both"/>
        <w:rPr>
          <w:rFonts w:eastAsia="黑体" w:cs="Times New Roman"/>
          <w:b w:val="0"/>
          <w:kern w:val="44"/>
          <w:szCs w:val="20"/>
        </w:rPr>
      </w:pPr>
      <w:bookmarkStart w:id="152" w:name="_Toc8897"/>
      <w:bookmarkStart w:id="153" w:name="_Toc30140"/>
      <w:bookmarkStart w:id="154" w:name="_Toc26144"/>
      <w:bookmarkStart w:id="155" w:name="_Toc10347"/>
      <w:bookmarkStart w:id="156" w:name="_Toc17693"/>
      <w:r>
        <w:rPr>
          <w:rFonts w:eastAsia="黑体" w:cs="Times New Roman"/>
          <w:b w:val="0"/>
          <w:kern w:val="44"/>
          <w:szCs w:val="20"/>
        </w:rPr>
        <w:t>五、存在问题</w:t>
      </w:r>
      <w:bookmarkEnd w:id="14"/>
      <w:bookmarkEnd w:id="152"/>
      <w:bookmarkEnd w:id="153"/>
      <w:bookmarkEnd w:id="154"/>
      <w:bookmarkEnd w:id="155"/>
      <w:bookmarkEnd w:id="156"/>
    </w:p>
    <w:p>
      <w:pPr>
        <w:pStyle w:val="4"/>
        <w:spacing w:before="0" w:beforeLines="0"/>
        <w:ind w:firstLine="640"/>
        <w:jc w:val="both"/>
        <w:rPr>
          <w:rFonts w:ascii="Times New Roman" w:hAnsi="Times New Roman" w:eastAsia="仿宋_GB2312" w:cs="Times New Roman"/>
          <w:sz w:val="32"/>
          <w:szCs w:val="22"/>
        </w:rPr>
      </w:pPr>
      <w:bookmarkStart w:id="157" w:name="_Toc52124781"/>
      <w:bookmarkStart w:id="158" w:name="_Toc32361"/>
      <w:bookmarkStart w:id="159" w:name="_Toc28934"/>
      <w:bookmarkStart w:id="160" w:name="_Toc28875"/>
      <w:bookmarkStart w:id="161" w:name="_Toc1604"/>
      <w:bookmarkStart w:id="162" w:name="_Toc20692"/>
      <w:bookmarkStart w:id="163" w:name="_Toc52124783"/>
      <w:r>
        <w:rPr>
          <w:rFonts w:cs="Times New Roman"/>
          <w:kern w:val="2"/>
          <w:szCs w:val="32"/>
        </w:rPr>
        <w:t>（一）</w:t>
      </w:r>
      <w:bookmarkEnd w:id="157"/>
      <w:bookmarkEnd w:id="158"/>
      <w:r>
        <w:rPr>
          <w:rFonts w:hint="eastAsia" w:cs="Times New Roman"/>
          <w:kern w:val="2"/>
          <w:szCs w:val="32"/>
        </w:rPr>
        <w:t>部门年初</w:t>
      </w:r>
      <w:r>
        <w:rPr>
          <w:rFonts w:cs="Times New Roman"/>
          <w:kern w:val="2"/>
          <w:szCs w:val="32"/>
        </w:rPr>
        <w:t>预算编制合理性不足，不利于</w:t>
      </w:r>
      <w:r>
        <w:rPr>
          <w:rFonts w:hint="eastAsia" w:cs="Times New Roman"/>
          <w:kern w:val="2"/>
          <w:szCs w:val="32"/>
        </w:rPr>
        <w:t>盘活</w:t>
      </w:r>
      <w:r>
        <w:rPr>
          <w:rFonts w:cs="Times New Roman"/>
          <w:kern w:val="2"/>
          <w:szCs w:val="32"/>
        </w:rPr>
        <w:t>财政资金。</w:t>
      </w:r>
      <w:bookmarkEnd w:id="159"/>
      <w:bookmarkEnd w:id="160"/>
      <w:bookmarkEnd w:id="161"/>
      <w:bookmarkEnd w:id="162"/>
    </w:p>
    <w:p>
      <w:pPr>
        <w:ind w:firstLine="640"/>
        <w:jc w:val="both"/>
        <w:rPr>
          <w:rFonts w:ascii="Times New Roman" w:hAnsi="Times New Roman" w:eastAsia="仿宋_GB2312" w:cs="Times New Roman"/>
          <w:sz w:val="32"/>
          <w:szCs w:val="22"/>
        </w:rPr>
      </w:pPr>
      <w:r>
        <w:rPr>
          <w:rFonts w:ascii="Times New Roman" w:hAnsi="Times New Roman" w:eastAsia="仿宋_GB2312" w:cs="Times New Roman"/>
          <w:sz w:val="32"/>
          <w:szCs w:val="22"/>
        </w:rPr>
        <w:t>一是政府采购预算偏高，执行率偏低，造成一定的财政资金闲置。</w:t>
      </w:r>
    </w:p>
    <w:p>
      <w:pPr>
        <w:ind w:firstLine="640"/>
        <w:jc w:val="both"/>
        <w:rPr>
          <w:rFonts w:ascii="Times New Roman" w:hAnsi="Times New Roman" w:eastAsia="仿宋_GB2312" w:cs="Times New Roman"/>
          <w:sz w:val="32"/>
          <w:szCs w:val="22"/>
        </w:rPr>
      </w:pPr>
      <w:r>
        <w:rPr>
          <w:rFonts w:ascii="Times New Roman" w:hAnsi="Times New Roman" w:eastAsia="仿宋_GB2312" w:cs="Times New Roman"/>
          <w:sz w:val="32"/>
          <w:szCs w:val="22"/>
        </w:rPr>
        <w:t>根据政府采购计划表，2021年度市残联年初政府采购预算为64</w:t>
      </w:r>
      <w:r>
        <w:rPr>
          <w:rFonts w:hint="eastAsia" w:cs="Times New Roman"/>
          <w:sz w:val="32"/>
          <w:szCs w:val="22"/>
          <w:lang w:val="en-US" w:eastAsia="zh-CN"/>
        </w:rPr>
        <w:t>.</w:t>
      </w:r>
      <w:r>
        <w:rPr>
          <w:rFonts w:ascii="Times New Roman" w:hAnsi="Times New Roman" w:eastAsia="仿宋_GB2312" w:cs="Times New Roman"/>
          <w:sz w:val="32"/>
          <w:szCs w:val="22"/>
        </w:rPr>
        <w:t>85</w:t>
      </w:r>
      <w:r>
        <w:rPr>
          <w:rFonts w:hint="eastAsia" w:cs="Times New Roman"/>
          <w:sz w:val="32"/>
          <w:szCs w:val="22"/>
          <w:lang w:val="en-US" w:eastAsia="zh-CN"/>
        </w:rPr>
        <w:t>万</w:t>
      </w:r>
      <w:r>
        <w:rPr>
          <w:rFonts w:ascii="Times New Roman" w:hAnsi="Times New Roman" w:eastAsia="仿宋_GB2312" w:cs="Times New Roman"/>
          <w:sz w:val="32"/>
          <w:szCs w:val="22"/>
        </w:rPr>
        <w:t>元，在政府采购决算报表中显示，2021年度残疾人联合会实际发生采购支出50</w:t>
      </w:r>
      <w:r>
        <w:rPr>
          <w:rFonts w:hint="eastAsia" w:cs="Times New Roman"/>
          <w:sz w:val="32"/>
          <w:szCs w:val="22"/>
          <w:lang w:val="en-US" w:eastAsia="zh-CN"/>
        </w:rPr>
        <w:t>.</w:t>
      </w:r>
      <w:r>
        <w:rPr>
          <w:rFonts w:ascii="Times New Roman" w:hAnsi="Times New Roman" w:eastAsia="仿宋_GB2312" w:cs="Times New Roman"/>
          <w:sz w:val="32"/>
          <w:szCs w:val="22"/>
        </w:rPr>
        <w:t>83</w:t>
      </w:r>
      <w:r>
        <w:rPr>
          <w:rFonts w:hint="eastAsia" w:cs="Times New Roman"/>
          <w:sz w:val="32"/>
          <w:szCs w:val="22"/>
          <w:lang w:val="en-US" w:eastAsia="zh-CN"/>
        </w:rPr>
        <w:t>万</w:t>
      </w:r>
      <w:r>
        <w:rPr>
          <w:rFonts w:ascii="Times New Roman" w:hAnsi="Times New Roman" w:eastAsia="仿宋_GB2312" w:cs="Times New Roman"/>
          <w:sz w:val="32"/>
          <w:szCs w:val="22"/>
        </w:rPr>
        <w:t>元，执行率仅为78.39%。经调研了解，导致政府采购编制预算偏高原因</w:t>
      </w:r>
      <w:r>
        <w:rPr>
          <w:rFonts w:hint="eastAsia" w:cs="Times New Roman"/>
          <w:sz w:val="32"/>
          <w:szCs w:val="22"/>
          <w:lang w:val="en-US" w:eastAsia="zh-CN"/>
        </w:rPr>
        <w:t>为：采购预算编制前期</w:t>
      </w:r>
      <w:r>
        <w:rPr>
          <w:rFonts w:ascii="Times New Roman" w:hAnsi="Times New Roman" w:eastAsia="仿宋_GB2312" w:cs="Times New Roman"/>
          <w:sz w:val="32"/>
          <w:szCs w:val="22"/>
        </w:rPr>
        <w:t>工作计划不足</w:t>
      </w:r>
      <w:r>
        <w:rPr>
          <w:rFonts w:hint="eastAsia" w:cs="Times New Roman"/>
          <w:sz w:val="32"/>
          <w:szCs w:val="22"/>
          <w:lang w:eastAsia="zh-CN"/>
        </w:rPr>
        <w:t>，</w:t>
      </w:r>
      <w:r>
        <w:rPr>
          <w:rFonts w:ascii="Times New Roman" w:hAnsi="Times New Roman" w:eastAsia="仿宋_GB2312" w:cs="Times New Roman"/>
          <w:sz w:val="32"/>
          <w:szCs w:val="22"/>
        </w:rPr>
        <w:t>未对部分采购事项提前做价格了解，导致部分政府采购单价和实际采购单价差额较大，例如，</w:t>
      </w:r>
      <w:r>
        <w:rPr>
          <w:rFonts w:hint="eastAsia" w:cs="Times New Roman"/>
          <w:sz w:val="32"/>
          <w:szCs w:val="22"/>
          <w:lang w:val="en-US" w:eastAsia="zh-CN"/>
        </w:rPr>
        <w:t>部门</w:t>
      </w:r>
      <w:r>
        <w:rPr>
          <w:rFonts w:ascii="Times New Roman" w:hAnsi="Times New Roman" w:eastAsia="仿宋_GB2312" w:cs="Times New Roman"/>
          <w:sz w:val="32"/>
          <w:szCs w:val="22"/>
        </w:rPr>
        <w:t>计划采购一台笔记本电脑，预算金额</w:t>
      </w:r>
      <w:r>
        <w:rPr>
          <w:rFonts w:hint="eastAsia" w:cs="Times New Roman"/>
          <w:sz w:val="32"/>
          <w:szCs w:val="22"/>
          <w:lang w:val="en-US" w:eastAsia="zh-CN"/>
        </w:rPr>
        <w:t>单价</w:t>
      </w:r>
      <w:r>
        <w:rPr>
          <w:rFonts w:ascii="Times New Roman" w:hAnsi="Times New Roman" w:eastAsia="仿宋_GB2312" w:cs="Times New Roman"/>
          <w:sz w:val="32"/>
          <w:szCs w:val="22"/>
        </w:rPr>
        <w:t>为8000元，实际执行过程中实际支出仅</w:t>
      </w:r>
      <w:r>
        <w:rPr>
          <w:rFonts w:hint="eastAsia" w:cs="Times New Roman"/>
          <w:sz w:val="32"/>
          <w:szCs w:val="22"/>
          <w:lang w:val="en-US" w:eastAsia="zh-CN"/>
        </w:rPr>
        <w:t>为</w:t>
      </w:r>
      <w:r>
        <w:rPr>
          <w:rFonts w:ascii="Times New Roman" w:hAnsi="Times New Roman" w:eastAsia="仿宋_GB2312" w:cs="Times New Roman"/>
          <w:sz w:val="32"/>
          <w:szCs w:val="22"/>
        </w:rPr>
        <w:t>5596元。</w:t>
      </w:r>
    </w:p>
    <w:p>
      <w:pPr>
        <w:ind w:firstLine="640"/>
        <w:jc w:val="both"/>
        <w:rPr>
          <w:rFonts w:cs="Times New Roman"/>
        </w:rPr>
      </w:pPr>
      <w:r>
        <w:rPr>
          <w:rFonts w:hint="eastAsia" w:cs="Times New Roman"/>
        </w:rPr>
        <w:t>二</w:t>
      </w:r>
      <w:r>
        <w:rPr>
          <w:rFonts w:cs="Times New Roman"/>
        </w:rPr>
        <w:t>是</w:t>
      </w:r>
      <w:r>
        <w:rPr>
          <w:rFonts w:hint="eastAsia" w:cs="Times New Roman"/>
        </w:rPr>
        <w:t>个别</w:t>
      </w:r>
      <w:r>
        <w:rPr>
          <w:rFonts w:cs="Times New Roman"/>
        </w:rPr>
        <w:t>工程</w:t>
      </w:r>
      <w:r>
        <w:rPr>
          <w:rFonts w:hint="eastAsia" w:cs="Times New Roman"/>
        </w:rPr>
        <w:t>项目</w:t>
      </w:r>
      <w:r>
        <w:rPr>
          <w:rFonts w:cs="Times New Roman"/>
        </w:rPr>
        <w:t>预算编制不准确。</w:t>
      </w:r>
      <w:r>
        <w:rPr>
          <w:rFonts w:hint="eastAsia" w:cs="Times New Roman"/>
        </w:rPr>
        <w:t>部分项目预算编制不够准确，项目预算偏大容易挤占其他项目的资金，使得财政资金的使用效益难以最大化发挥。</w:t>
      </w:r>
      <w:r>
        <w:rPr>
          <w:rFonts w:cs="Times New Roman"/>
        </w:rPr>
        <w:t>如康复中心“2021年康复中心大楼修缮项目”年初预算33万元，经调整后为32万元，实际支出25.7万元，资金支出率仅为80.31%。另一方面，康复中心“2021年康复中心大楼修缮项目”工程项目前期调研不充分。据了解，因为年初预算资金紧张，未做厕所设计图直接施工，导致计划工程量与实际工程量相比相差较大。</w:t>
      </w:r>
      <w:r>
        <w:rPr>
          <w:rFonts w:hint="eastAsia" w:cs="Times New Roman"/>
        </w:rPr>
        <w:t>预算不准确的</w:t>
      </w:r>
      <w:r>
        <w:rPr>
          <w:rFonts w:cs="Times New Roman"/>
        </w:rPr>
        <w:t>主要原因为：一是三方询价未要求报价单位实地考察进行充分考量，因此报价不准确；二是施工前未与施工单位充分沟通，施工单位未对项目进行规划和设计，导致施工过程中出现质量不符的问题，例如地面第一次装修改造后无法正常使用。三是由于施工前未做设计，导致项目部分工程返工，使得施工过程中残联投入了大量人员精力。</w:t>
      </w:r>
    </w:p>
    <w:p>
      <w:pPr>
        <w:pStyle w:val="4"/>
        <w:spacing w:before="0" w:beforeLines="0"/>
        <w:ind w:firstLine="640"/>
        <w:jc w:val="both"/>
        <w:rPr>
          <w:rFonts w:cs="Times New Roman"/>
        </w:rPr>
      </w:pPr>
      <w:bookmarkStart w:id="164" w:name="_Toc15961"/>
      <w:bookmarkStart w:id="165" w:name="_Toc32176"/>
      <w:bookmarkStart w:id="166" w:name="_Toc24628"/>
      <w:bookmarkStart w:id="167" w:name="_Toc3222"/>
      <w:bookmarkStart w:id="168" w:name="_Toc25402"/>
      <w:r>
        <w:rPr>
          <w:rFonts w:cs="Times New Roman"/>
        </w:rPr>
        <w:t>（二）</w:t>
      </w:r>
      <w:bookmarkEnd w:id="163"/>
      <w:r>
        <w:rPr>
          <w:rFonts w:hint="eastAsia" w:cs="Times New Roman"/>
        </w:rPr>
        <w:t>固定资产信息</w:t>
      </w:r>
      <w:r>
        <w:rPr>
          <w:rFonts w:cs="Times New Roman"/>
        </w:rPr>
        <w:t>规范性待改进，</w:t>
      </w:r>
      <w:r>
        <w:rPr>
          <w:rFonts w:hint="eastAsia" w:cs="Times New Roman"/>
        </w:rPr>
        <w:t>不利于保障资产安全</w:t>
      </w:r>
      <w:bookmarkEnd w:id="164"/>
      <w:r>
        <w:rPr>
          <w:rFonts w:cs="Times New Roman"/>
        </w:rPr>
        <w:t>。</w:t>
      </w:r>
      <w:bookmarkEnd w:id="165"/>
      <w:bookmarkEnd w:id="166"/>
      <w:bookmarkEnd w:id="167"/>
      <w:bookmarkEnd w:id="168"/>
    </w:p>
    <w:p>
      <w:pPr>
        <w:widowControl w:val="0"/>
        <w:ind w:firstLine="640"/>
        <w:jc w:val="both"/>
        <w:rPr>
          <w:rFonts w:cs="Times New Roman"/>
          <w:kern w:val="2"/>
        </w:rPr>
      </w:pPr>
      <w:r>
        <w:rPr>
          <w:rFonts w:cs="Times New Roman"/>
          <w:kern w:val="2"/>
        </w:rPr>
        <w:t>固定资产净值在决算报表与固定资产报表不一致。</w:t>
      </w:r>
      <w:r>
        <w:rPr>
          <w:rFonts w:hint="eastAsia" w:cs="Times New Roman"/>
          <w:kern w:val="2"/>
        </w:rPr>
        <w:t>根据市残联2021年</w:t>
      </w:r>
      <w:r>
        <w:rPr>
          <w:rFonts w:cs="Times New Roman"/>
          <w:kern w:val="2"/>
        </w:rPr>
        <w:t>汇总决算报表之预算支出相关信息表（财决附01表）中显示年末固定资产原值42,812,627.37元，净值24,110,695.99元。</w:t>
      </w:r>
      <w:r>
        <w:rPr>
          <w:rFonts w:hint="eastAsia" w:cs="Times New Roman"/>
          <w:kern w:val="2"/>
        </w:rPr>
        <w:t>根据2021年</w:t>
      </w:r>
      <w:r>
        <w:rPr>
          <w:rFonts w:cs="Times New Roman"/>
          <w:kern w:val="2"/>
        </w:rPr>
        <w:t>资产负债表</w:t>
      </w:r>
      <w:r>
        <w:rPr>
          <w:rFonts w:hint="eastAsia" w:cs="Times New Roman"/>
          <w:kern w:val="2"/>
        </w:rPr>
        <w:t>的</w:t>
      </w:r>
      <w:r>
        <w:rPr>
          <w:rFonts w:cs="Times New Roman"/>
          <w:kern w:val="2"/>
        </w:rPr>
        <w:t>资产信息显示，</w:t>
      </w:r>
      <w:r>
        <w:rPr>
          <w:rFonts w:hint="eastAsia" w:cs="Times New Roman"/>
          <w:kern w:val="2"/>
        </w:rPr>
        <w:t>市残联</w:t>
      </w:r>
      <w:r>
        <w:rPr>
          <w:rFonts w:cs="Times New Roman"/>
          <w:kern w:val="2"/>
        </w:rPr>
        <w:t>及两个下属事业单位培训中心、康复中心3个预算单位年末固定资产原值合计42,812,627.37元，净值合计2406,1790.25元。资产负债表中固定资产净值（2406,1790.25元）与（汇总）决算报表之“预算支出相关信息表（财决附01表）中固定资产年末净值（2411,0695.99元）不一致，相差48,905.74元。</w:t>
      </w:r>
    </w:p>
    <w:p>
      <w:pPr>
        <w:widowControl w:val="0"/>
        <w:ind w:firstLine="640"/>
        <w:jc w:val="both"/>
        <w:rPr>
          <w:rFonts w:cs="Times New Roman"/>
          <w:kern w:val="2"/>
        </w:rPr>
      </w:pPr>
      <w:r>
        <w:rPr>
          <w:rFonts w:cs="Times New Roman"/>
          <w:kern w:val="2"/>
        </w:rPr>
        <w:t>资产盘点程序不够规范，资产明细表的内容填写不够完整。一是资产盘点程序不够规范，《韶关市残疾人联合会固定资产管理规定 》中规定固定资产统计表中需要注明资产的名称、规格、型号、数量、存放地点、使用人、使用状况等，但《残疾人联合会2021年度固定资产盘点表》中部分资产缺少使用人及存放地点的具体情况，相关制度执行不到位。二是资产明细表的内容填写不够完整。《残疾人联合会2021年度固定资产盘点表》中缺少固定资产折旧和固定资产净值的阐述说明，如固定资产编号为700401-6010200-000053、700401-703503-000001的设备未注明使用人或管理人及存放地点等信息，不利于明确固定资产的管理责任人，不利于提高固定资产的管理水平。</w:t>
      </w:r>
    </w:p>
    <w:p>
      <w:pPr>
        <w:pStyle w:val="4"/>
        <w:spacing w:before="0" w:beforeLines="0"/>
        <w:ind w:firstLine="640"/>
        <w:jc w:val="both"/>
        <w:rPr>
          <w:rFonts w:cs="Times New Roman"/>
        </w:rPr>
      </w:pPr>
      <w:bookmarkStart w:id="169" w:name="_Toc52124785"/>
      <w:bookmarkStart w:id="170" w:name="_Toc50292627"/>
      <w:bookmarkStart w:id="171" w:name="_Toc1438"/>
      <w:bookmarkStart w:id="172" w:name="_Toc22790"/>
      <w:bookmarkStart w:id="173" w:name="_Toc14544"/>
      <w:bookmarkStart w:id="174" w:name="_Toc3126"/>
      <w:bookmarkStart w:id="175" w:name="_Toc24958"/>
      <w:r>
        <w:rPr>
          <w:rFonts w:cs="Times New Roman"/>
        </w:rPr>
        <w:t>（三）部</w:t>
      </w:r>
      <w:r>
        <w:rPr>
          <w:rFonts w:hint="eastAsia" w:cs="Times New Roman"/>
        </w:rPr>
        <w:t>分</w:t>
      </w:r>
      <w:r>
        <w:rPr>
          <w:rFonts w:cs="Times New Roman"/>
        </w:rPr>
        <w:t>项目工作方式存在不足，影响项目</w:t>
      </w:r>
      <w:r>
        <w:rPr>
          <w:rFonts w:hint="eastAsia" w:cs="Times New Roman"/>
        </w:rPr>
        <w:t>的</w:t>
      </w:r>
      <w:r>
        <w:rPr>
          <w:rFonts w:cs="Times New Roman"/>
        </w:rPr>
        <w:t>效益发挥</w:t>
      </w:r>
      <w:bookmarkEnd w:id="169"/>
      <w:bookmarkEnd w:id="170"/>
      <w:bookmarkEnd w:id="171"/>
      <w:r>
        <w:rPr>
          <w:rFonts w:cs="Times New Roman"/>
        </w:rPr>
        <w:t>。</w:t>
      </w:r>
      <w:bookmarkEnd w:id="172"/>
      <w:bookmarkEnd w:id="173"/>
      <w:bookmarkEnd w:id="174"/>
      <w:bookmarkEnd w:id="175"/>
    </w:p>
    <w:p>
      <w:pPr>
        <w:widowControl w:val="0"/>
        <w:ind w:firstLine="640"/>
        <w:jc w:val="both"/>
        <w:rPr>
          <w:rFonts w:cs="Times New Roman"/>
          <w:kern w:val="2"/>
        </w:rPr>
      </w:pPr>
      <w:r>
        <w:rPr>
          <w:rFonts w:cs="Times New Roman"/>
          <w:kern w:val="2"/>
        </w:rPr>
        <w:t>一是残疾人宣传工作方式有待改善。目前市残联举办的文体宣传活动对人数有一定限制，活动形式包含看电影、聚餐等，此类活动人数均小于100人，虽然此类宣传活动也起到一定宣传效果，但整体参与人数较少，</w:t>
      </w:r>
      <w:r>
        <w:rPr>
          <w:rFonts w:hint="eastAsia" w:cs="Times New Roman"/>
          <w:kern w:val="2"/>
        </w:rPr>
        <w:t>未能</w:t>
      </w:r>
      <w:r>
        <w:rPr>
          <w:rFonts w:cs="Times New Roman"/>
          <w:kern w:val="2"/>
        </w:rPr>
        <w:t>让更多残疾人走出来和参与进去，活动覆盖面和受益面有待扩大，项目实施效果还有提升空间。</w:t>
      </w:r>
    </w:p>
    <w:p>
      <w:pPr>
        <w:ind w:firstLine="640"/>
        <w:jc w:val="both"/>
        <w:rPr>
          <w:rFonts w:cs="Times New Roman"/>
        </w:rPr>
      </w:pPr>
      <w:r>
        <w:rPr>
          <w:rFonts w:hint="eastAsia" w:cs="Times New Roman"/>
          <w:lang w:val="en-US" w:eastAsia="zh-CN"/>
        </w:rPr>
        <w:t>二</w:t>
      </w:r>
      <w:r>
        <w:rPr>
          <w:rFonts w:cs="Times New Roman"/>
        </w:rPr>
        <w:t>是部分项目资金支出计划安排合理性存在改善空间。项目单位在制定部分资金支出计划时，未能进一步明确该项支出事项的成果要求及其验收要求，未能按作品完成情况（如提交作品的时间及其质量等）分期支付资金。例如，残疾人文学创作经费（30万元），根据资金使用计划，该支出事项应完成征文活动入选作品编辑</w:t>
      </w:r>
      <w:r>
        <w:rPr>
          <w:rFonts w:hint="eastAsia" w:cs="Times New Roman"/>
          <w:lang w:val="en-US" w:eastAsia="zh-CN"/>
        </w:rPr>
        <w:t>等工作完成</w:t>
      </w:r>
      <w:r>
        <w:rPr>
          <w:rFonts w:cs="Times New Roman"/>
        </w:rPr>
        <w:t>并发放。但是，协议中未明确乙方提供作品的具体时间及质量要求、验收程序及标准等。同时，合同规定将创作款项一次性支付给乙方，对于作品质量的控制较为被动。</w:t>
      </w:r>
    </w:p>
    <w:p>
      <w:pPr>
        <w:pStyle w:val="4"/>
        <w:spacing w:before="0" w:beforeLines="0"/>
        <w:ind w:firstLine="640"/>
        <w:jc w:val="both"/>
        <w:rPr>
          <w:rFonts w:cs="Times New Roman"/>
        </w:rPr>
      </w:pPr>
      <w:bookmarkStart w:id="176" w:name="_Toc1512"/>
      <w:bookmarkStart w:id="177" w:name="_Toc31713"/>
      <w:bookmarkStart w:id="178" w:name="_Toc52124786"/>
      <w:bookmarkStart w:id="179" w:name="_Toc31540"/>
      <w:bookmarkStart w:id="180" w:name="_Toc19269"/>
      <w:bookmarkStart w:id="181" w:name="_Toc26762"/>
      <w:r>
        <w:rPr>
          <w:rFonts w:cs="Times New Roman"/>
        </w:rPr>
        <w:t>（四）绩效目标设置合理性待提升</w:t>
      </w:r>
      <w:bookmarkEnd w:id="176"/>
      <w:bookmarkEnd w:id="177"/>
      <w:bookmarkEnd w:id="178"/>
      <w:r>
        <w:rPr>
          <w:rFonts w:cs="Times New Roman"/>
        </w:rPr>
        <w:t>，指标计划值设置偏低。</w:t>
      </w:r>
      <w:bookmarkEnd w:id="179"/>
      <w:bookmarkEnd w:id="180"/>
      <w:bookmarkEnd w:id="181"/>
    </w:p>
    <w:p>
      <w:pPr>
        <w:ind w:firstLine="640"/>
        <w:jc w:val="both"/>
        <w:rPr>
          <w:rFonts w:cs="Times New Roman"/>
        </w:rPr>
      </w:pPr>
      <w:bookmarkStart w:id="182" w:name="_Toc52124787"/>
      <w:r>
        <w:rPr>
          <w:rFonts w:cs="Times New Roman"/>
        </w:rPr>
        <w:t>部分绩效目标设置合理性不足</w:t>
      </w:r>
      <w:r>
        <w:rPr>
          <w:rFonts w:hint="eastAsia" w:cs="Times New Roman"/>
        </w:rPr>
        <w:t>。一方面，部门整体支出年初绩效目标申报表中有指标分类错误的情况。如</w:t>
      </w:r>
      <w:r>
        <w:rPr>
          <w:rFonts w:hint="eastAsia" w:cs="Times New Roman"/>
          <w:kern w:val="2"/>
        </w:rPr>
        <w:t>将“改造户数”列为产出质量指标，将“参与培训人员满意度”误列为社会效益指标。另</w:t>
      </w:r>
      <w:r>
        <w:rPr>
          <w:rFonts w:hint="eastAsia" w:cs="Times New Roman"/>
        </w:rPr>
        <w:t>一方面，存在</w:t>
      </w:r>
      <w:r>
        <w:rPr>
          <w:rFonts w:cs="Times New Roman"/>
        </w:rPr>
        <w:t>指标值设置偏低</w:t>
      </w:r>
      <w:r>
        <w:rPr>
          <w:rFonts w:hint="eastAsia" w:cs="Times New Roman"/>
        </w:rPr>
        <w:t>的情况</w:t>
      </w:r>
      <w:r>
        <w:rPr>
          <w:rFonts w:cs="Times New Roman"/>
        </w:rPr>
        <w:t>。大部分绩效目标的目标值测算能提供相关依据或符合客观实际情况，但存在部分指标完成率高于150%的情况。部门整体支出绩效自评设置了31个绩效指标，其中4个指标的完成率超过150%</w:t>
      </w:r>
      <w:r>
        <w:rPr>
          <w:rStyle w:val="33"/>
          <w:rFonts w:cs="Times New Roman"/>
        </w:rPr>
        <w:footnoteReference w:id="3"/>
      </w:r>
      <w:r>
        <w:rPr>
          <w:rFonts w:cs="Times New Roman"/>
        </w:rPr>
        <w:t>。指标值设置偏低不利于最大化发挥财政资金的使用效益</w:t>
      </w:r>
      <w:r>
        <w:rPr>
          <w:rFonts w:hint="eastAsia" w:cs="Times New Roman"/>
        </w:rPr>
        <w:t>，发挥绩效指标的指引作用</w:t>
      </w:r>
      <w:r>
        <w:rPr>
          <w:rFonts w:cs="Times New Roman"/>
        </w:rPr>
        <w:t>。</w:t>
      </w:r>
    </w:p>
    <w:bookmarkEnd w:id="182"/>
    <w:p>
      <w:pPr>
        <w:pStyle w:val="3"/>
        <w:widowControl w:val="0"/>
        <w:spacing w:before="0" w:beforeLines="0" w:after="0" w:afterLines="0" w:line="360" w:lineRule="auto"/>
        <w:ind w:firstLine="640"/>
        <w:jc w:val="both"/>
        <w:rPr>
          <w:rFonts w:eastAsia="黑体" w:cs="Times New Roman"/>
          <w:b w:val="0"/>
          <w:kern w:val="44"/>
          <w:szCs w:val="20"/>
        </w:rPr>
      </w:pPr>
      <w:bookmarkStart w:id="183" w:name="_Toc30111"/>
      <w:bookmarkStart w:id="184" w:name="_Toc12118"/>
      <w:bookmarkStart w:id="185" w:name="_Toc7863"/>
      <w:bookmarkStart w:id="186" w:name="_Toc28176"/>
      <w:bookmarkStart w:id="187" w:name="_Toc14256"/>
      <w:bookmarkStart w:id="188" w:name="_Toc52124788"/>
      <w:bookmarkStart w:id="189" w:name="_Toc50292629"/>
      <w:r>
        <w:rPr>
          <w:rFonts w:eastAsia="黑体" w:cs="Times New Roman"/>
          <w:b w:val="0"/>
          <w:kern w:val="44"/>
          <w:szCs w:val="20"/>
        </w:rPr>
        <w:t>六、相关建议</w:t>
      </w:r>
      <w:bookmarkEnd w:id="183"/>
      <w:bookmarkEnd w:id="184"/>
      <w:bookmarkEnd w:id="185"/>
      <w:bookmarkEnd w:id="186"/>
    </w:p>
    <w:p>
      <w:pPr>
        <w:pStyle w:val="4"/>
        <w:spacing w:before="0" w:beforeLines="0"/>
        <w:ind w:firstLine="640"/>
        <w:jc w:val="both"/>
        <w:rPr>
          <w:rFonts w:cs="Times New Roman"/>
        </w:rPr>
      </w:pPr>
      <w:bookmarkStart w:id="190" w:name="_Toc26545"/>
      <w:bookmarkStart w:id="191" w:name="_Toc2478"/>
      <w:bookmarkStart w:id="192" w:name="_Toc25416"/>
      <w:bookmarkStart w:id="193" w:name="_Toc19283"/>
      <w:r>
        <w:rPr>
          <w:rFonts w:cs="Times New Roman"/>
        </w:rPr>
        <w:t>（一）充分做好前期准备工作，优化采购预算编制</w:t>
      </w:r>
      <w:bookmarkEnd w:id="187"/>
      <w:bookmarkEnd w:id="188"/>
      <w:bookmarkEnd w:id="189"/>
      <w:r>
        <w:rPr>
          <w:rFonts w:cs="Times New Roman"/>
        </w:rPr>
        <w:t>工作。</w:t>
      </w:r>
      <w:bookmarkEnd w:id="190"/>
      <w:bookmarkEnd w:id="191"/>
      <w:bookmarkEnd w:id="192"/>
      <w:bookmarkEnd w:id="193"/>
    </w:p>
    <w:p>
      <w:pPr>
        <w:widowControl w:val="0"/>
        <w:ind w:firstLine="640"/>
        <w:jc w:val="both"/>
        <w:rPr>
          <w:rFonts w:cs="Times New Roman"/>
          <w:kern w:val="2"/>
        </w:rPr>
      </w:pPr>
      <w:r>
        <w:rPr>
          <w:rFonts w:hint="eastAsia" w:cs="Times New Roman"/>
          <w:kern w:val="2"/>
        </w:rPr>
        <w:t>一是</w:t>
      </w:r>
      <w:r>
        <w:rPr>
          <w:rFonts w:cs="Times New Roman"/>
          <w:kern w:val="2"/>
        </w:rPr>
        <w:t>提高预算编制细化程度，提高部门政府采购预算经费的前瞻性和计划性。政府采购预算编制不准确主要是因为不充分的前期工作，导致和实际的采购出现很大的差异。因此，部门在做年初政府采购预算时既要充分反映本部门各项业务所需资金，又要考虑财力可能，按照需要合理采购，合理分配财政政府采购资金。实际工作中，应不断优化采购预算编制工作，有计划地开展采购工作。在准确掌握国有资产的同时准确了解该部门资产的数量状况，在对现有资产盘活的基础上有计划地开展预算工作，准确预估所要购置资产的数量等，使预算编制更加科学合理准确。</w:t>
      </w:r>
    </w:p>
    <w:p>
      <w:pPr>
        <w:widowControl w:val="0"/>
        <w:ind w:firstLine="640"/>
        <w:jc w:val="both"/>
        <w:rPr>
          <w:rFonts w:cs="Times New Roman"/>
          <w:kern w:val="2"/>
        </w:rPr>
      </w:pPr>
      <w:r>
        <w:rPr>
          <w:rFonts w:hint="eastAsia" w:cs="Times New Roman"/>
        </w:rPr>
        <w:t>二</w:t>
      </w:r>
      <w:r>
        <w:rPr>
          <w:rFonts w:cs="Times New Roman"/>
        </w:rPr>
        <w:t>是做好工程项目前期调研工作，提高预算编制的准确性。</w:t>
      </w:r>
      <w:r>
        <w:rPr>
          <w:rFonts w:hint="eastAsia" w:cs="Times New Roman"/>
        </w:rPr>
        <w:t>首先，</w:t>
      </w:r>
      <w:r>
        <w:rPr>
          <w:rFonts w:cs="Times New Roman"/>
        </w:rPr>
        <w:t>重大项目支出做好充分调研论证，进行可行性研究工作，必要时邀请专家进行研讨和论证；</w:t>
      </w:r>
      <w:r>
        <w:rPr>
          <w:rFonts w:hint="eastAsia" w:cs="Times New Roman"/>
        </w:rPr>
        <w:t>其次，</w:t>
      </w:r>
      <w:r>
        <w:rPr>
          <w:rFonts w:cs="Times New Roman"/>
        </w:rPr>
        <w:t>做好项目三方询价工作，要求报价单位</w:t>
      </w:r>
      <w:r>
        <w:rPr>
          <w:rFonts w:hint="eastAsia" w:cs="Times New Roman"/>
        </w:rPr>
        <w:t>结合</w:t>
      </w:r>
      <w:r>
        <w:rPr>
          <w:rFonts w:cs="Times New Roman"/>
        </w:rPr>
        <w:t>实地考察进行充分考量，提高项目资金预算的准确性；</w:t>
      </w:r>
      <w:r>
        <w:rPr>
          <w:rFonts w:hint="eastAsia" w:cs="Times New Roman"/>
        </w:rPr>
        <w:t>最后，</w:t>
      </w:r>
      <w:r>
        <w:rPr>
          <w:rFonts w:cs="Times New Roman"/>
        </w:rPr>
        <w:t>项目前期与受托单位充分沟通，</w:t>
      </w:r>
      <w:r>
        <w:rPr>
          <w:rFonts w:cs="Times New Roman"/>
          <w:kern w:val="2"/>
        </w:rPr>
        <w:t>年初充分了解项目需求，可以明确需要采购的工程、数量等，综合考量该类采购的市场价格以确定合理的政府采购预算，避免产生实际采购与计划采购差额较大，预算资金过高的情况。</w:t>
      </w:r>
    </w:p>
    <w:p>
      <w:pPr>
        <w:pStyle w:val="4"/>
        <w:spacing w:before="0" w:beforeLines="0"/>
        <w:ind w:firstLine="640"/>
        <w:jc w:val="both"/>
        <w:rPr>
          <w:rFonts w:cs="Times New Roman"/>
        </w:rPr>
      </w:pPr>
      <w:bookmarkStart w:id="194" w:name="_Toc11054"/>
      <w:bookmarkStart w:id="195" w:name="_Toc6640"/>
      <w:bookmarkStart w:id="196" w:name="_Toc30494"/>
      <w:bookmarkStart w:id="197" w:name="_Toc15666"/>
      <w:bookmarkStart w:id="198" w:name="_Toc9780"/>
      <w:bookmarkStart w:id="199" w:name="_Toc52124789"/>
      <w:r>
        <w:rPr>
          <w:rFonts w:cs="Times New Roman"/>
        </w:rPr>
        <w:t>（二）加强财务人员培训工作，</w:t>
      </w:r>
      <w:bookmarkEnd w:id="194"/>
      <w:r>
        <w:rPr>
          <w:rFonts w:cs="Times New Roman"/>
          <w:color w:val="000000" w:themeColor="text1"/>
          <w14:textFill>
            <w14:solidFill>
              <w14:schemeClr w14:val="tx1"/>
            </w14:solidFill>
          </w14:textFill>
        </w:rPr>
        <w:t>提升财务会计信息质量</w:t>
      </w:r>
      <w:r>
        <w:rPr>
          <w:rFonts w:cs="Times New Roman"/>
        </w:rPr>
        <w:t>。</w:t>
      </w:r>
      <w:bookmarkEnd w:id="195"/>
      <w:bookmarkEnd w:id="196"/>
      <w:bookmarkEnd w:id="197"/>
      <w:bookmarkEnd w:id="198"/>
    </w:p>
    <w:p>
      <w:pPr>
        <w:ind w:firstLine="64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是规范盘点流程。一方面，加强固定资产的日常监管，定期不定期进行清查盘点，摸清家底，掌握资产的数量、构成使用情况，实现动态管理，防止国有资产流失。另一方面，单位盘点固定资产时除了登记固定资产使用情况外，还需核查固定资产使用人、固定资产所在地点等情况，对固定资产进行盘盈和盘亏处理，鉴定固定资产质量，确定固定资产折旧减值情况，在固定资产盘点表中增加相关信息，便于预算单位全面了解固定资产的相关信息。</w:t>
      </w:r>
    </w:p>
    <w:p>
      <w:pPr>
        <w:ind w:firstLine="64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是定期清查固定资产，加强人员培训工作，提升固定资产的会计信息的可靠性。一方面，可落实下属单位和各科室定期申报，部门常规检查、定期清查等动态跟踪管理机制，督促下属单位按照资产盘点情况及时更新固定资产台账，保证固定资产实物、固定资产财务账与资产账、决算表的固定资产信息的一致。另一方面，加强会计人员业务培训，提高业务素质，规范账务处理。会计人员要加强业务培训和学习，不断提高业务素质；坚持会计人员持证上岗，严格执行有关财经法规规范和完善账务处理，做好固定资产管理的基础工作，保证账账相符、账实相符，保障国有资产安全完整，防止国有资产流失。</w:t>
      </w:r>
    </w:p>
    <w:bookmarkEnd w:id="199"/>
    <w:p>
      <w:pPr>
        <w:pStyle w:val="4"/>
        <w:spacing w:before="0" w:beforeLines="0"/>
        <w:ind w:firstLine="640"/>
        <w:jc w:val="both"/>
        <w:rPr>
          <w:rFonts w:cs="Times New Roman"/>
        </w:rPr>
      </w:pPr>
      <w:bookmarkStart w:id="200" w:name="_Toc52124791"/>
      <w:bookmarkStart w:id="201" w:name="_Toc50292631"/>
      <w:bookmarkStart w:id="202" w:name="_Toc7095"/>
      <w:bookmarkStart w:id="203" w:name="_Toc4751"/>
      <w:bookmarkStart w:id="204" w:name="_Toc1583"/>
      <w:bookmarkStart w:id="205" w:name="_Toc18730"/>
      <w:bookmarkStart w:id="206" w:name="_Toc16643"/>
      <w:r>
        <w:rPr>
          <w:rFonts w:cs="Times New Roman"/>
        </w:rPr>
        <w:t>（三）优化项目工作方式</w:t>
      </w:r>
      <w:bookmarkEnd w:id="200"/>
      <w:bookmarkEnd w:id="201"/>
      <w:r>
        <w:rPr>
          <w:rFonts w:cs="Times New Roman"/>
        </w:rPr>
        <w:t>方法，提升项目实施社会效益</w:t>
      </w:r>
      <w:bookmarkEnd w:id="202"/>
      <w:r>
        <w:rPr>
          <w:rFonts w:cs="Times New Roman"/>
        </w:rPr>
        <w:t>。</w:t>
      </w:r>
      <w:bookmarkEnd w:id="203"/>
      <w:bookmarkEnd w:id="204"/>
      <w:bookmarkEnd w:id="205"/>
      <w:bookmarkEnd w:id="206"/>
    </w:p>
    <w:p>
      <w:pPr>
        <w:widowControl w:val="0"/>
        <w:ind w:firstLine="640"/>
        <w:jc w:val="both"/>
        <w:rPr>
          <w:rFonts w:cs="Times New Roman"/>
          <w:kern w:val="2"/>
        </w:rPr>
      </w:pPr>
      <w:r>
        <w:rPr>
          <w:rFonts w:cs="Times New Roman"/>
          <w:kern w:val="2"/>
        </w:rPr>
        <w:t>一是充分发挥现有宣传渠道的信息化优势，转变工作方式，做好工作计划，扩大残疾人活动受益面，努力提升大众对市残联部门的认知度及部门整体形象。</w:t>
      </w:r>
      <w:r>
        <w:rPr>
          <w:rFonts w:cs="Times New Roman"/>
          <w:szCs w:val="32"/>
        </w:rPr>
        <w:t>在制定宣传计划和宣传重点方面，可根据年度重点工作任务计划，制定本年度宣传计划，明确宣传工作的目的及重点。具体地，可通过市场调查或走访了解大众对韶关市残疾人事业有关政策或项目的知晓情况，获悉服务对象的切实需求，并结合本市残疾人口实际情况，突出宣传重点，发挥宣传带动作用。</w:t>
      </w:r>
      <w:r>
        <w:rPr>
          <w:rFonts w:cs="Times New Roman"/>
          <w:kern w:val="2"/>
        </w:rPr>
        <w:t>在宣传活动内容方面，建议残疾人的文体宣传工作，可以</w:t>
      </w:r>
      <w:r>
        <w:rPr>
          <w:rFonts w:hint="eastAsia" w:cs="Times New Roman"/>
          <w:kern w:val="2"/>
          <w:lang w:val="en-US" w:eastAsia="zh-CN"/>
        </w:rPr>
        <w:t>丰富参与形式，</w:t>
      </w:r>
      <w:r>
        <w:rPr>
          <w:rFonts w:cs="Times New Roman"/>
          <w:kern w:val="2"/>
        </w:rPr>
        <w:t>适当增加和丰富团体性活动或者普适性活动，如运动会、联欢晚会</w:t>
      </w:r>
      <w:r>
        <w:rPr>
          <w:rFonts w:hint="eastAsia" w:cs="Times New Roman"/>
          <w:kern w:val="2"/>
          <w:lang w:eastAsia="zh-CN"/>
        </w:rPr>
        <w:t>、</w:t>
      </w:r>
      <w:r>
        <w:rPr>
          <w:rFonts w:hint="eastAsia" w:cs="Times New Roman"/>
          <w:kern w:val="2"/>
          <w:lang w:val="en-US" w:eastAsia="zh-CN"/>
        </w:rPr>
        <w:t>线上公众号宣传及现场有奖知识竞答等</w:t>
      </w:r>
      <w:r>
        <w:rPr>
          <w:rFonts w:cs="Times New Roman"/>
          <w:kern w:val="2"/>
        </w:rPr>
        <w:t>，增加覆盖人数，这样有利于让更多残疾人走出来和参与进去，更好地提升项目的实施效果。</w:t>
      </w:r>
    </w:p>
    <w:p>
      <w:pPr>
        <w:ind w:firstLine="640"/>
        <w:jc w:val="both"/>
        <w:rPr>
          <w:rFonts w:cs="Times New Roman"/>
        </w:rPr>
      </w:pPr>
      <w:bookmarkStart w:id="207" w:name="_Toc16258"/>
      <w:r>
        <w:rPr>
          <w:rFonts w:hint="eastAsia" w:cs="Times New Roman"/>
          <w:lang w:val="en-US" w:eastAsia="zh-CN"/>
        </w:rPr>
        <w:t>二</w:t>
      </w:r>
      <w:r>
        <w:rPr>
          <w:rFonts w:cs="Times New Roman"/>
        </w:rPr>
        <w:t>是提升项目计划安排合理性，提高项目实施规范性。项目单位在制定合同时，建议在合同条款进一步明确该项支出事项的成果质量要求，未达到项目的成果质量不予支付资金；建议明确项目的验收标准，通过专家验收或内部讨论调研方式，达到相关标准予以支付资金；明确提交时间节点要求，按照合同时间节点完整，予以分期支付资金，以全过程保障项目的质量。</w:t>
      </w:r>
    </w:p>
    <w:bookmarkEnd w:id="207"/>
    <w:p>
      <w:pPr>
        <w:pStyle w:val="4"/>
        <w:spacing w:before="240"/>
        <w:ind w:firstLine="640"/>
        <w:rPr>
          <w:rFonts w:cs="Times New Roman"/>
        </w:rPr>
      </w:pPr>
      <w:bookmarkStart w:id="208" w:name="_Toc6984"/>
      <w:bookmarkStart w:id="209" w:name="_Toc32353"/>
      <w:bookmarkStart w:id="210" w:name="_Toc9202"/>
      <w:bookmarkStart w:id="211" w:name="_Toc14783"/>
      <w:bookmarkStart w:id="212" w:name="_Toc4"/>
      <w:bookmarkStart w:id="213" w:name="_Toc31569"/>
      <w:bookmarkStart w:id="214" w:name="_Toc1885"/>
      <w:bookmarkStart w:id="215" w:name="_Toc11607"/>
      <w:bookmarkStart w:id="216" w:name="_Hlk116997921"/>
      <w:r>
        <w:rPr>
          <w:rFonts w:cs="Times New Roman"/>
        </w:rPr>
        <w:t>（四）</w:t>
      </w:r>
      <w:r>
        <w:rPr>
          <w:rFonts w:hint="eastAsia" w:cs="Times New Roman"/>
        </w:rPr>
        <w:t>加强对绩效目标的理解</w:t>
      </w:r>
      <w:r>
        <w:rPr>
          <w:rFonts w:cs="Times New Roman"/>
        </w:rPr>
        <w:t>，提高绩效指标合理性。</w:t>
      </w:r>
      <w:bookmarkEnd w:id="208"/>
      <w:bookmarkEnd w:id="209"/>
      <w:bookmarkEnd w:id="210"/>
      <w:bookmarkEnd w:id="211"/>
    </w:p>
    <w:p>
      <w:pPr>
        <w:ind w:firstLine="640"/>
        <w:jc w:val="both"/>
        <w:rPr>
          <w:rFonts w:cs="Times New Roman"/>
        </w:rPr>
      </w:pPr>
      <w:bookmarkStart w:id="217" w:name="_Toc20470120"/>
      <w:bookmarkStart w:id="218" w:name="_Toc52124793"/>
      <w:r>
        <w:rPr>
          <w:rFonts w:hint="eastAsia" w:cs="Times New Roman"/>
        </w:rPr>
        <w:t>一</w:t>
      </w:r>
      <w:r>
        <w:rPr>
          <w:rFonts w:cs="Times New Roman"/>
        </w:rPr>
        <w:t>是通过整理相关文件或总结往年度工作趋势和完成情况，为绩效指标值设置提供依据和参考。</w:t>
      </w:r>
      <w:r>
        <w:rPr>
          <w:rFonts w:cs="Times New Roman"/>
          <w:color w:val="000000" w:themeColor="text1"/>
          <w14:textFill>
            <w14:solidFill>
              <w14:schemeClr w14:val="tx1"/>
            </w14:solidFill>
          </w14:textFill>
        </w:rPr>
        <w:t>由于年初设置绩效指标时，无法确定绩效指标值的完成水平，且未对往年度工作趋势和完成情况进行分析，导致指标值设置较为困难，需加强对绩效指标的理解，提高绩效指标的合理性。</w:t>
      </w:r>
      <w:r>
        <w:rPr>
          <w:rFonts w:cs="Times New Roman"/>
        </w:rPr>
        <w:t>对于指标库中的常用指标，可通过整理相关文件或总结往年度工作趋势和完成情况，并区分约束性指标和预期性指标，明确指标值来源和指标值合理范围。如“农村新增残疾人就业人数”和“城镇新增残疾人就业人数”指标，可根据</w:t>
      </w:r>
      <w:r>
        <w:rPr>
          <w:rFonts w:hint="eastAsia" w:cs="Times New Roman"/>
        </w:rPr>
        <w:t>近三年</w:t>
      </w:r>
      <w:r>
        <w:rPr>
          <w:rFonts w:cs="Times New Roman"/>
        </w:rPr>
        <w:t>年度</w:t>
      </w:r>
      <w:r>
        <w:rPr>
          <w:rFonts w:hint="eastAsia" w:cs="Times New Roman"/>
        </w:rPr>
        <w:t>平均数</w:t>
      </w:r>
      <w:r>
        <w:rPr>
          <w:rFonts w:cs="Times New Roman"/>
        </w:rPr>
        <w:t>趋势并综合考虑多方面因素，设置合理的指标值。</w:t>
      </w:r>
    </w:p>
    <w:p>
      <w:pPr>
        <w:ind w:firstLine="640"/>
        <w:jc w:val="both"/>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是做好工作计划，以绩效目标指导部门工作，切实达到绩效改善的效果。绩效管理的目的在于提高财政资金使用效率，年初进行预算编制时，需根据资金配置情况，制定项目实施工作计划，并按照“花小钱办大事”的原则，确定绩效目标的合理范围，设置“跳起来才能够得着”的目标，以绩效目标激励部门优化工作方式，提高财政资源配置效益和使用效益。根据残疾人部门特点和年度重点工作任务，结合核心绩效指标体系，增强部门指标设置的</w:t>
      </w:r>
      <w:r>
        <w:rPr>
          <w:rFonts w:hint="eastAsia" w:cs="Times New Roman"/>
          <w:color w:val="000000" w:themeColor="text1"/>
          <w14:textFill>
            <w14:solidFill>
              <w14:schemeClr w14:val="tx1"/>
            </w14:solidFill>
          </w14:textFill>
        </w:rPr>
        <w:t>合理性</w:t>
      </w:r>
      <w:r>
        <w:rPr>
          <w:rFonts w:cs="Times New Roman"/>
          <w:color w:val="000000" w:themeColor="text1"/>
          <w14:textFill>
            <w14:solidFill>
              <w14:schemeClr w14:val="tx1"/>
            </w14:solidFill>
          </w14:textFill>
        </w:rPr>
        <w:t>。</w:t>
      </w:r>
    </w:p>
    <w:p>
      <w:pPr>
        <w:pStyle w:val="24"/>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4"/>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1.韶关市残疾人联合会2021年度部门整体支出绩效</w:t>
      </w:r>
    </w:p>
    <w:p>
      <w:pPr>
        <w:pStyle w:val="24"/>
        <w:ind w:left="0" w:leftChars="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评价指标评分表</w:t>
      </w:r>
    </w:p>
    <w:p>
      <w:pPr>
        <w:ind w:firstLine="1600" w:firstLineChars="500"/>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2.2021年韶关市残疾人联合会关于残疾人服务工作</w:t>
      </w:r>
    </w:p>
    <w:p>
      <w:pPr>
        <w:ind w:firstLine="1920" w:firstLineChars="600"/>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满意度问卷及分析报告</w:t>
      </w:r>
    </w:p>
    <w:p>
      <w:pPr>
        <w:ind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3.评价小组成员名单</w:t>
      </w:r>
    </w:p>
    <w:p>
      <w:pPr>
        <w:pStyle w:val="24"/>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sz w:val="32"/>
          <w:szCs w:val="32"/>
        </w:rPr>
      </w:pPr>
    </w:p>
    <w:bookmarkEnd w:id="217"/>
    <w:bookmarkEnd w:id="218"/>
    <w:p>
      <w:pPr>
        <w:widowControl w:val="0"/>
        <w:ind w:firstLine="0" w:firstLineChars="0"/>
        <w:jc w:val="both"/>
        <w:rPr>
          <w:rFonts w:eastAsia="黑体" w:cs="Times New Roman"/>
          <w:kern w:val="2"/>
          <w:szCs w:val="20"/>
        </w:rPr>
        <w:sectPr>
          <w:headerReference r:id="rId10" w:type="default"/>
          <w:footerReference r:id="rId11" w:type="default"/>
          <w:pgSz w:w="11907" w:h="16839"/>
          <w:pgMar w:top="1440" w:right="1418" w:bottom="1440" w:left="1531" w:header="720" w:footer="607" w:gutter="0"/>
          <w:pgNumType w:fmt="numberInDash" w:start="1"/>
          <w:cols w:space="0" w:num="1"/>
          <w:rtlGutter w:val="0"/>
          <w:docGrid w:linePitch="435" w:charSpace="0"/>
        </w:sectPr>
      </w:pPr>
    </w:p>
    <w:p>
      <w:pPr>
        <w:widowControl w:val="0"/>
        <w:ind w:firstLine="0" w:firstLineChars="0"/>
        <w:jc w:val="both"/>
        <w:outlineLvl w:val="0"/>
        <w:rPr>
          <w:rFonts w:eastAsia="黑体" w:cs="Times New Roman"/>
          <w:kern w:val="2"/>
          <w:szCs w:val="20"/>
        </w:rPr>
      </w:pPr>
      <w:r>
        <w:rPr>
          <w:rFonts w:eastAsia="黑体" w:cs="Times New Roman"/>
          <w:kern w:val="2"/>
          <w:szCs w:val="20"/>
        </w:rPr>
        <w:t>附件1</w:t>
      </w:r>
      <w:bookmarkEnd w:id="212"/>
      <w:bookmarkEnd w:id="213"/>
      <w:bookmarkEnd w:id="214"/>
      <w:bookmarkEnd w:id="215"/>
      <w:r>
        <w:rPr>
          <w:rFonts w:eastAsia="黑体" w:cs="Times New Roman"/>
          <w:kern w:val="2"/>
          <w:szCs w:val="20"/>
        </w:rPr>
        <w:t xml:space="preserve"> </w:t>
      </w:r>
    </w:p>
    <w:p>
      <w:pPr>
        <w:widowControl w:val="0"/>
        <w:ind w:firstLine="0" w:firstLineChars="0"/>
        <w:jc w:val="center"/>
        <w:rPr>
          <w:rFonts w:eastAsia="宋体" w:cs="Times New Roman"/>
          <w:b/>
          <w:bCs/>
          <w:kern w:val="2"/>
          <w:szCs w:val="20"/>
        </w:rPr>
      </w:pPr>
      <w:r>
        <w:rPr>
          <w:rFonts w:eastAsia="宋体" w:cs="Times New Roman"/>
          <w:b/>
          <w:bCs/>
          <w:kern w:val="2"/>
          <w:szCs w:val="20"/>
        </w:rPr>
        <w:t>韶关市残疾人联合会2021年度部门整体支出绩效评价指标评分表</w:t>
      </w:r>
    </w:p>
    <w:tbl>
      <w:tblPr>
        <w:tblStyle w:val="34"/>
        <w:tblW w:w="15422" w:type="dxa"/>
        <w:jc w:val="center"/>
        <w:tblInd w:w="0" w:type="dxa"/>
        <w:tblLayout w:type="fixed"/>
        <w:tblCellMar>
          <w:top w:w="0" w:type="dxa"/>
          <w:left w:w="108" w:type="dxa"/>
          <w:bottom w:w="0" w:type="dxa"/>
          <w:right w:w="108" w:type="dxa"/>
        </w:tblCellMar>
      </w:tblPr>
      <w:tblGrid>
        <w:gridCol w:w="645"/>
        <w:gridCol w:w="645"/>
        <w:gridCol w:w="1"/>
        <w:gridCol w:w="644"/>
        <w:gridCol w:w="645"/>
        <w:gridCol w:w="2"/>
        <w:gridCol w:w="836"/>
        <w:gridCol w:w="660"/>
        <w:gridCol w:w="5316"/>
        <w:gridCol w:w="750"/>
        <w:gridCol w:w="5278"/>
      </w:tblGrid>
      <w:tr>
        <w:tblPrEx>
          <w:tblLayout w:type="fixed"/>
          <w:tblCellMar>
            <w:top w:w="0" w:type="dxa"/>
            <w:left w:w="108" w:type="dxa"/>
            <w:bottom w:w="0" w:type="dxa"/>
            <w:right w:w="108" w:type="dxa"/>
          </w:tblCellMar>
        </w:tblPrEx>
        <w:trPr>
          <w:trHeight w:val="249" w:hRule="atLeast"/>
          <w:tblHeader/>
          <w:jc w:val="center"/>
        </w:trPr>
        <w:tc>
          <w:tcPr>
            <w:tcW w:w="40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评价指标</w:t>
            </w:r>
          </w:p>
        </w:tc>
        <w:tc>
          <w:tcPr>
            <w:tcW w:w="5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评分标准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lang w:bidi="ar"/>
              </w:rPr>
            </w:pPr>
            <w:r>
              <w:rPr>
                <w:rFonts w:hint="eastAsia" w:ascii="宋体" w:hAnsi="宋体" w:eastAsia="宋体" w:cs="宋体"/>
                <w:b/>
                <w:bCs/>
                <w:color w:val="000000"/>
                <w:sz w:val="18"/>
                <w:szCs w:val="18"/>
                <w:lang w:bidi="ar"/>
              </w:rPr>
              <w:t>评价</w:t>
            </w:r>
          </w:p>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得分</w:t>
            </w:r>
          </w:p>
        </w:tc>
        <w:tc>
          <w:tcPr>
            <w:tcW w:w="5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评分依据</w:t>
            </w:r>
          </w:p>
        </w:tc>
      </w:tr>
      <w:tr>
        <w:tblPrEx>
          <w:tblLayout w:type="fixed"/>
          <w:tblCellMar>
            <w:top w:w="0" w:type="dxa"/>
            <w:left w:w="108" w:type="dxa"/>
            <w:bottom w:w="0" w:type="dxa"/>
            <w:right w:w="108" w:type="dxa"/>
          </w:tblCellMar>
        </w:tblPrEx>
        <w:trPr>
          <w:trHeight w:val="249" w:hRule="atLeast"/>
          <w:tblHeader/>
          <w:jc w:val="center"/>
        </w:trPr>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一级指标</w:t>
            </w:r>
          </w:p>
        </w:tc>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二级指标</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三级指标</w:t>
            </w:r>
          </w:p>
        </w:tc>
        <w:tc>
          <w:tcPr>
            <w:tcW w:w="5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5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249"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权重</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权重</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权重</w:t>
            </w:r>
          </w:p>
        </w:tc>
        <w:tc>
          <w:tcPr>
            <w:tcW w:w="5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5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249"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编制</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情况</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15</w:t>
            </w: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预算编制</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预算编制规范性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1.部门预算编制、分配符合本部门职责、符合市委市政府方针政策和工作要求的，得0.5分；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2.部门预算资金能根据年度工作重点，在不同项目、不同用途之间分配合理的，得0.5分；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3.专项资金编制细化程度合理，未出现因年中调剂导致部门预决算差异过大的问题，得0.5分；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4.符合市财政当年度有关预算编制的原则和要求，功能分类和经济分类编制正确的，得0.5分；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5.预算编制较为准确，年度中间无大量调剂，项目之间未频繁调剂的，得0.5分；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6.部门预算分配不固化，能根据实际情况合理调整（如不存在项目支出完成不理想但连年持续安排预算的情况等），得0.5分。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1.部门预算编制、分配符合韶关市残疾人联合会三定方案规定的职责、符合市委市政府下达的重点工作任务要求</w:t>
            </w:r>
            <w:r>
              <w:rPr>
                <w:rFonts w:hint="eastAsia" w:ascii="宋体" w:hAnsi="宋体" w:eastAsia="宋体" w:cs="宋体"/>
                <w:color w:val="000000"/>
                <w:sz w:val="18"/>
                <w:szCs w:val="18"/>
                <w:lang w:eastAsia="zh-CN" w:bidi="ar"/>
              </w:rPr>
              <w:t>、</w:t>
            </w:r>
            <w:r>
              <w:rPr>
                <w:rFonts w:hint="eastAsia" w:ascii="宋体" w:hAnsi="宋体" w:eastAsia="宋体" w:cs="宋体"/>
                <w:color w:val="000000"/>
                <w:sz w:val="18"/>
                <w:szCs w:val="18"/>
                <w:lang w:bidi="ar"/>
              </w:rPr>
              <w:t>部门预算资金能根据本部门年度工作重点，围绕增强残疾人获得感、幸福感和安全感的重点工作任务，在9个项目间分配合理</w:t>
            </w:r>
            <w:r>
              <w:rPr>
                <w:rFonts w:hint="eastAsia" w:ascii="宋体" w:hAnsi="宋体" w:eastAsia="宋体" w:cs="宋体"/>
                <w:color w:val="000000"/>
                <w:sz w:val="18"/>
                <w:szCs w:val="18"/>
                <w:lang w:eastAsia="zh-CN" w:bidi="ar"/>
              </w:rPr>
              <w:t>，</w:t>
            </w:r>
            <w:r>
              <w:rPr>
                <w:rFonts w:hint="eastAsia" w:ascii="宋体" w:hAnsi="宋体" w:eastAsia="宋体" w:cs="宋体"/>
                <w:color w:val="000000"/>
                <w:sz w:val="18"/>
                <w:szCs w:val="18"/>
                <w:lang w:bidi="ar"/>
              </w:rPr>
              <w:t>专项资金编制细化程度合理，符合市财政当年度有关预算编制的原则和要求，功能分类和经济分类编制正确，预算编制年度中间无大量调剂，项目之间未频繁调剂，部门预算分配不固化，能根据实际情况合理调整，</w:t>
            </w:r>
            <w:r>
              <w:rPr>
                <w:rFonts w:hint="eastAsia" w:ascii="宋体" w:hAnsi="宋体" w:eastAsia="宋体" w:cs="宋体"/>
                <w:color w:val="000000"/>
                <w:sz w:val="18"/>
                <w:szCs w:val="18"/>
                <w:lang w:eastAsia="zh-CN" w:bidi="ar"/>
              </w:rPr>
              <w:t>该指标不扣分</w:t>
            </w:r>
            <w:r>
              <w:rPr>
                <w:rFonts w:hint="eastAsia" w:ascii="宋体" w:hAnsi="宋体" w:eastAsia="宋体" w:cs="宋体"/>
                <w:color w:val="000000"/>
                <w:sz w:val="18"/>
                <w:szCs w:val="18"/>
                <w:lang w:bidi="ar"/>
              </w:rPr>
              <w:t>。</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both"/>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预算调整率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预算调整率=（预算调整数/预算数）×100%。</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预算调整率=0，本项指标得满分；每增加5%（含）扣减0.5分，直至扣完为止。</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以上统计范围不包含增资、增人、上级转移支付资金等预算编制支出因素。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1.39</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预算调整率=（预算调整数/预算数）×100%=（16067480.17-19160044.89）/19160044.89=-16.14%；</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本指标得分=3-预算调整率*100*0.1=3-16.14*0.1=1.39。</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both"/>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目标设置</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绩效目标覆盖率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1.比率=100%的，得2分；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2.100%＞比率≥80%的，得1.5分；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3.80%＞比率≥60%的，得1分；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4.比率＜60%的，得0分。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Style w:val="137"/>
                <w:rFonts w:hint="eastAsia" w:ascii="宋体" w:hAnsi="宋体" w:eastAsia="宋体" w:cs="宋体"/>
                <w:sz w:val="18"/>
                <w:szCs w:val="18"/>
                <w:lang w:eastAsia="zh-CN" w:bidi="ar"/>
              </w:rPr>
              <w:t>除</w:t>
            </w:r>
            <w:r>
              <w:rPr>
                <w:rStyle w:val="137"/>
                <w:rFonts w:hint="eastAsia" w:ascii="宋体" w:hAnsi="宋体" w:eastAsia="宋体" w:cs="宋体"/>
                <w:sz w:val="18"/>
                <w:szCs w:val="18"/>
                <w:lang w:bidi="ar"/>
              </w:rPr>
              <w:t>人员和公用经费</w:t>
            </w:r>
            <w:r>
              <w:rPr>
                <w:rStyle w:val="137"/>
                <w:rFonts w:hint="eastAsia" w:ascii="宋体" w:hAnsi="宋体" w:eastAsia="宋体" w:cs="宋体"/>
                <w:sz w:val="18"/>
                <w:szCs w:val="18"/>
                <w:lang w:eastAsia="zh-CN" w:bidi="ar"/>
              </w:rPr>
              <w:t>以及</w:t>
            </w:r>
            <w:r>
              <w:rPr>
                <w:rStyle w:val="137"/>
                <w:rFonts w:hint="eastAsia" w:ascii="宋体" w:hAnsi="宋体" w:eastAsia="宋体" w:cs="宋体"/>
                <w:sz w:val="18"/>
                <w:szCs w:val="18"/>
                <w:lang w:bidi="ar"/>
              </w:rPr>
              <w:t>涉密、特定项目</w:t>
            </w:r>
            <w:r>
              <w:rPr>
                <w:rStyle w:val="137"/>
                <w:rFonts w:hint="eastAsia" w:ascii="宋体" w:hAnsi="宋体" w:eastAsia="宋体" w:cs="宋体"/>
                <w:sz w:val="18"/>
                <w:szCs w:val="18"/>
                <w:lang w:eastAsia="zh-CN" w:bidi="ar"/>
              </w:rPr>
              <w:t>，其余项目均已设置绩效目标</w:t>
            </w:r>
            <w:r>
              <w:rPr>
                <w:rStyle w:val="137"/>
                <w:rFonts w:hint="eastAsia" w:ascii="宋体" w:hAnsi="宋体" w:eastAsia="宋体" w:cs="宋体"/>
                <w:sz w:val="18"/>
                <w:szCs w:val="18"/>
                <w:lang w:bidi="ar"/>
              </w:rPr>
              <w:t>。</w:t>
            </w:r>
            <w:r>
              <w:rPr>
                <w:rStyle w:val="137"/>
                <w:rFonts w:hint="eastAsia" w:ascii="宋体" w:hAnsi="宋体" w:eastAsia="宋体" w:cs="宋体"/>
                <w:sz w:val="18"/>
                <w:szCs w:val="18"/>
                <w:lang w:eastAsia="zh-CN" w:bidi="ar"/>
              </w:rPr>
              <w:t>该指标</w:t>
            </w:r>
            <w:r>
              <w:rPr>
                <w:rStyle w:val="137"/>
                <w:rFonts w:hint="eastAsia" w:ascii="宋体" w:hAnsi="宋体" w:eastAsia="宋体" w:cs="宋体"/>
                <w:sz w:val="18"/>
                <w:szCs w:val="18"/>
                <w:lang w:bidi="ar"/>
              </w:rPr>
              <w:t>得满分。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both"/>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绩效目标合理性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1.绩效目标能体现部门（单位）“三定”方案规定的部门职能的和中长期规划和年度工作计划的，得1分；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2.绩效目标能分解成具体工作任务的，得1分；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3.绩效目标与本年度部门预算资金相匹配的，得1分；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4.部门申报的项目有进行可行性研究和充分论证的，得1分；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对上述4项标准，没有完全符合的，可酌情扣分。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绩效目标与2021年度工作计划、十四五规划有较大关联，得1分；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2.部门的绩效目标能分解成部门4项具体工作任务，得1分；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3.绩效总体目标与部门预算资金较为匹配，得1分；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4.部门设定的绩效指标主要依据往年的绩效完成情况进行设定，指标值的设定依据与本年项目的匹配性不高。</w:t>
            </w:r>
          </w:p>
          <w:p>
            <w:pPr>
              <w:numPr>
                <w:ilvl w:val="255"/>
                <w:numId w:val="0"/>
              </w:numPr>
              <w:spacing w:line="240" w:lineRule="atLeas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故因此该指标扣1分。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both"/>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绩效指标明确性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1.绩效指标中包含能够明确体现部门（单位）履职效果的社会经济效益指标的，得1分；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2.绩效指标具有清晰、可衡量的指标值的，无法量化的指标评分标准较为明确的，得1分；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3.绩效目标的目标值测算能提供相关依据或符合客观实际情况的，得1分，指标完成率高于150%的，扣1分；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对上述3项标准，没有完全符合的，可酌情扣分。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1.部分指标的量化程度不高，可衡量性不足，如部门整体绩效目标申报表中社会效益的“为市残联机关提供法律服务”的指标值为“聘请法律顾问”，量化程度不足。因此该指标扣0.5分。</w:t>
            </w:r>
          </w:p>
          <w:p>
            <w:pPr>
              <w:numPr>
                <w:ilvl w:val="255"/>
                <w:numId w:val="0"/>
              </w:numPr>
              <w:spacing w:line="240" w:lineRule="atLeast"/>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val="en-US" w:eastAsia="zh-CN" w:bidi="ar"/>
              </w:rPr>
              <w:t>2</w:t>
            </w:r>
            <w:r>
              <w:rPr>
                <w:rFonts w:hint="eastAsia" w:ascii="宋体" w:hAnsi="宋体" w:eastAsia="宋体" w:cs="宋体"/>
                <w:color w:val="000000"/>
                <w:sz w:val="18"/>
                <w:szCs w:val="18"/>
                <w:lang w:bidi="ar"/>
              </w:rPr>
              <w:t>.绩效目标的目标值测算能提供相关依据或符合客观实际情况，但部分指标完成率高于150%的，4个指标的完成率超过150%，分别是：残疾人辅助器具适配数完成率576.92%、接受康复救助的残疾儿童人数161.83%、新增残疾人就业人数223.46%、维护残疾人合法权益次数完成率180%。扣0.5分；</w:t>
            </w:r>
          </w:p>
        </w:tc>
      </w:tr>
      <w:tr>
        <w:tblPrEx>
          <w:tblLayout w:type="fixed"/>
          <w:tblCellMar>
            <w:top w:w="0" w:type="dxa"/>
            <w:left w:w="108" w:type="dxa"/>
            <w:bottom w:w="0" w:type="dxa"/>
            <w:right w:w="108" w:type="dxa"/>
          </w:tblCellMar>
        </w:tblPrEx>
        <w:trPr>
          <w:trHeight w:val="249"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执行</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情况</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35</w:t>
            </w: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资金</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管理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17</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部门预算支出率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本指标得分=本指标满分分值×全年平均支出进度。全年平均支出进度以2021年度机关绩效考核中支出进度为准。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2.12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本指标得分=本指标满分分值×全年平均支出进度。</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根据韶关市财政局发布的《2021年财政预算支出进度、财政预决算公开、预算绩效管理考核结果登记表》，支出进度得分为1.41分，本指标得分=3*1.41/2=2.12分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结转结余率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结余结转率=1-全年支出进度。</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1.结余结转率≤10%的，得3分；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2.10%＜结余结转率≤20%的，得2分；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3.20%＜结余结转率≤30%的，得1分；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4.结余结转率＞30%的，得0分。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结余结转率=当年度上级财政拨款结转结余额/当年度上级财政拨款总额=9731.04/16067480.17=0.06%;</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结余结转率≤10%的，得3分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政府采购合规性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1.政府采购执行率小于等于100%的，得2分；实际采购金额大于采购计划金额的，本项不得分。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（1）政府采购执行率=（实际采购金额合计数/采购计划金额合计数）×100%；</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（2）政府采购预算是指采购机关根据事业发展计划和行政任务编制的、并经过规定程序批准的年度政府采购计划。</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1.根据决算报表等资料，项目单位2021年政府采购计划648500元，实际支出508351.07元，执行率为78.39%。；得2分；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2.政府采购执行过程较为规范。经核查，部门采购金额较小，未达到公开招标的条件，均通过三方询价，定点采购等方式进行，采购过程合理，符合政府采购法相关规定。</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但存在政府采购计划安排不足的情况。一是政府采购单价和实际采购单价差额较大，主要原因是未通过充分调研询价等，年初预算较实际预算偏高；如，项目单位计划采购一台笔记本电脑，预算金额为8000元，实际执行过程中由于实行省代理集中采购，实际支出仅为5596元。如果从经济性、从尽可能节约使用财政资金角度考虑，年初预算编制时可以明确适当的技术配置要求，避免预算资金过高。因此该指标扣2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财务合规性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1.预算执行规范性1分，按规定履行调整报批手续或未发生调整的，且按事项完成进度支付资金的得满分，否则酌情扣分；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3.会计核算规范性1分，规范执行会计核算制度得满分，未按规定设专账核算，或支出凭证不符合规定，或其他核算不规范的，视具体情况扣分；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4.重大项目支出经过评估论证和必要决策程序的得1分，否则酌情扣分；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5.连续两年对因业务主管部门责任印发的同一问题提出意见，或主管部门未落实相关审计和财会监督整改意见的，扣1分。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经现场核查了解：</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 xml:space="preserve">1.抽查2021年12月16日支付残疾人文学创作经费30万元业务，相关原始凭证包括：协议书（乙方为韶关市作家协会），残联2021年第20次班子会议纪要，关于“残疾人文学创作”叁拾万元专项资金使用计划，财政直接支付凭证，费用报销单，发票等。项目单位按照按协议条款办理款项支付，内部审批流程清晰、合规，会计核算符合会计准则规定。  </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2.事项支出符合相关规定，没有出现超范围、超标准支出等情况的支出项，得1分；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4.支出事项经过班子会议讨论通过，履行了重大支出的事前决策审批程序，没有证据表明存在截留、挤占、挪用项目资金的情况，得1分；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5.部门近两年未有部门意见，未有相关部门整改意见，因此不扣分。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预决算信息公开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1.部门预算公开得分：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（1）按规定内容、在规定时限和范围内公开的，得1分。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（2）进行了公开，但未达到时限、内容或范围要求的，得0.5分。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（3）没有进行公开的，得0分。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（4）涉密部门经批准不需要公开相关信息的，计1分。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部门决算公开得分：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（1）按规定内容、在规定时限和范围内公开的，得1分。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（2）进行了公开，但未达到时限、内容或范围要求的，得0.5分。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（3）没有进行公开的，得0分。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（4）涉密部门经批准不需要公开相关信息的，计1分。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本指标得分=部门预算公开得分+部门决算公开得分。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1.根据《关于下达 2021 年度市级部门预算的通知》确保本部门预算在市财政批复下达后 7 天内 （即 2 月 26 日前）按时按质公开，部门预算2021年2月25日在韶关市残疾人联合会官网公开，内容和范围较全、公开时限符合规范，得1分；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2.截至评价基准日，部门2021年决算暂时未公开，主要原因是财局暂未批复预算，因此此项不扣分；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本指标得分=部门预算公开得分+部门决算公开得分=2分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管理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项目实施程序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1.重点或新增项目前期开展了可行性研究或调研，论证较为充分的，项目的设立及调整按规定履行报批程续，得2分；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2.项目招投标、建设、验收等或方案实施严格执行相关制度规定的，如康复工作按照相关管理办法于定点康复机构实施等的，得2分；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经现场核查了解：</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1.项目的设立及调整按规定履行报批程序。但重点项目，只有少部分项目提供了可行性分析或前期调研，文体宣传、培训等缺少可行性分析，所有项目均缺少部门论证材料。</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存在项目合同相关实施程序有待加强。如，根据资金使用计划，该支出事项应完成征文活动入选作品编辑并发放和购买文学作品并发放等。但是，协议中未明确乙方提供作品的具体时间及质量要求、验收程序及标准等。同时，将创作款项一次性支付给乙方，虽然能够提高资金支付率，但对于作品质量的控制可能产生不利影响。综上，项目单位在重大支出事项的评估论证、计划安排方面存在改进和提升空间。因此该指标扣1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项目监管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1.部门（单位）或基层资金管理单位建立有效管理机制，且执行情况良好的,得2分；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评价时发现有项目不符合上述条件的，酌情扣分。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经现场核查了解：</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1..部门已针对资金支出或项目建立有效管理机制，项目资金会进行一年一度考核，半年通报一次。得2分。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2.部门（单位）或基层资金管理单位提供了国家和省的实施方案或实施办法，具体实施中也参照上述方案和办法来开展。但是从整体上看，项目单位没有针对项目制定相应的监管制度。故扣1分。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从现场访谈及工作实施内容来看，未提供针对专项资金和专项经费开展的检查、监控、督促整改等材料，实际工作中存在可能已经开展但未进行记录的情况，故扣1分。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资产</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管理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资产管理安全性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1.资产保存完整，并定期对固定资产进行清查，未有因管理不当发生严重资产损失和丢失情况的，得1分；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2.资产配置合理、保管完整，账实相符的，得1分；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3.及时处置报废固定资产，资产处置规范，不存在不按要求进行报批或资产不公开处置行为的，得1分；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4.资产有偿使用及处置收入及时足额上缴，得1分。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联本部固定资产年末原值5236972元，净值3125245.08元；培训中心原值4085874.94元，净值1299245.71元；康复中心原值33489780.43元，净值19637299.46元。上述3个预算单位年末固定资产原值合计42812627.37元，与（汇总）决算报表之“预算支出相关信息表（财决附01表）中固定资产年末原值一致。但净值合计24061790.25元，与（汇总）决算报表之“预算支出相关信息表（财决附01表）中固定资产年末净值不一致，相差48905.74元（24110695.99-24061790.25），固定资产会计信息质量待提升，扣1分</w:t>
            </w:r>
            <w:r>
              <w:rPr>
                <w:rFonts w:hint="eastAsia" w:ascii="宋体" w:hAnsi="宋体" w:eastAsia="宋体" w:cs="宋体"/>
                <w:color w:val="000000"/>
                <w:sz w:val="18"/>
                <w:szCs w:val="18"/>
                <w:lang w:eastAsia="zh-CN" w:bidi="ar"/>
              </w:rPr>
              <w:t>，</w:t>
            </w:r>
            <w:r>
              <w:rPr>
                <w:rFonts w:hint="eastAsia" w:ascii="宋体" w:hAnsi="宋体" w:eastAsia="宋体" w:cs="宋体"/>
                <w:color w:val="000000"/>
                <w:sz w:val="18"/>
                <w:szCs w:val="18"/>
                <w:lang w:bidi="ar"/>
              </w:rPr>
              <w:t>本指标得3分。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固定资产利用率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1.比率≥90%的，得2分；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2.90%＞比率≥75%的，得1分；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3.75%＞比率≥60%的，得0.5分；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4.比率＜60%的，得0分。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通过核查单位的固定资产台账材料，固定资产利用率=部门实际在用固定资产总额与所有固定资产总额的比例=5075749/5075749=100%；经现场核查了解到，项目单位年末固定资产全部为在用状态。</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制度管理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管理制度健全性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1.部门制订了财政资金管理、内部财务、内部控制、预算绩效管理制度等制度的，得1分；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2.部门对于重点项目、经常性项目制定了相关管理办法、实施方案等制度的，得1分；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3.上述资金、财务和内控制度制度、预算绩效管理制度得到有效执行的，得1分；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4.所制定的制度或方案得到切实执行的（需有相应佐证材料，如日常检查、稽核的底稿等），得1分。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1.部门制定了《韶关市残疾人联合会部门内部预算绩效管理制度》、《韶关市残疾人联合会财务管理制度》、《韶关市残疾人联合会物资采购、保管、领用管理制度》等制度，得1分；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部门对于重点项目、经常性项目制定了相关管理办法或实施方案，例如《关于印发广东省残疾人基本型辅助器具适配补贴实施办法的通知》、关于印发《韶关市持证残疾人基本状况调查实施方案》的通知等，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3.预算制定按照相关编制流程和上报流程进行编制调整，得1分；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4.项目会定期每年核查一次，半年通报一次，但是未见相关检查和监督底稿材料，监督检查工作规范性不足，本项扣1分。</w:t>
            </w:r>
          </w:p>
        </w:tc>
      </w:tr>
      <w:tr>
        <w:tblPrEx>
          <w:tblLayout w:type="fixed"/>
          <w:tblCellMar>
            <w:top w:w="0" w:type="dxa"/>
            <w:left w:w="108" w:type="dxa"/>
            <w:bottom w:w="0" w:type="dxa"/>
            <w:right w:w="108" w:type="dxa"/>
          </w:tblCellMar>
        </w:tblPrEx>
        <w:trPr>
          <w:trHeight w:val="249"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使用</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效益</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50</w:t>
            </w: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经济</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公用经费控制率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日常公用经费决算数≤日常公用经费调整预算数，得2分，否则不得分。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公用经费2021年年初预算收入104.24万元，决算数80.55元。日常公用经费决算数≤日常公用经费调整预算数，得2分。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“三公”经费控制率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“三公”经费实际支出数≤预算安排的三公经费数,得2分，否则不得分。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三公经费预算数为11.7万元。根据部门决算表，“三公”经费实际支出数为：6.58万元；</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“三公”经费实际支出数≤预算安排的三公经费数，得2分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完成成本合理性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1.相关工作预算编制依据较为明确的，如康复救助标准符合《广东省残疾儿童康复救助实施办法》等相关标准要求的，得3分；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2.相关工作成本与市场价格、行业标准、其他地市的同类项目相比较为合理的得3分。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240" w:lineRule="atLeas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部门工作预算编制依据较为明确</w:t>
            </w:r>
            <w:r>
              <w:rPr>
                <w:rFonts w:hint="eastAsia" w:ascii="宋体" w:hAnsi="宋体" w:eastAsia="宋体" w:cs="宋体"/>
                <w:color w:val="000000"/>
                <w:sz w:val="18"/>
                <w:szCs w:val="18"/>
                <w:lang w:eastAsia="zh-CN"/>
              </w:rPr>
              <w:t>，且</w:t>
            </w:r>
            <w:r>
              <w:rPr>
                <w:rFonts w:hint="eastAsia" w:ascii="宋体" w:hAnsi="宋体" w:eastAsia="宋体" w:cs="宋体"/>
                <w:color w:val="000000"/>
                <w:sz w:val="18"/>
                <w:szCs w:val="18"/>
              </w:rPr>
              <w:t>用较少的财政资金投入实现了超预期的产出，体现了项目完成的经济性</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该指标不扣分，得6分。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效率</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重点工作完成率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本项得分由单位自行评估实际得分，按照完成实际效果自评打分。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重点工作是指党委、政府、人大、中央相关部门交办或下达的工作任务。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部门较好的完成了市委市政府确定的重点工作任务：加强脱贫人口疑似残疾人的评残办证工作，配合民政部门落实残疾人两项补贴政策，开展残疾人就业服务工作，进行残疾人家庭无障碍改造，动员社会力量参与乡村振兴工作。此项得满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绩效目标完成率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绩效目标完成率=部门整体支出绩效目标申报表中已实现目标数/申报目标数×100%，具体绩效目标见附件1-2,；</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本指标得分=绩效目标完成率×3；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根据部门自评表，部门申报目标数为31个绩效目标，部门整体支出绩效目标申报表中已实现目标数为31个，该指标得分=绩效目标完成率×3=100%*3=3分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项目完成及时性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所有项目均按计划时间完成的，得4分；部分项目未按计划时间完成的，本项得分=已完成项目数/未完成项目数×4。</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项目完成时间将参考年初部门预算项目的支出率进行评价。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部门支出进度率为97.15%，基本按照计划全部完成。部门项目总数为38个，已完成项目未38个，本项得分=38/38*4=4分。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效果性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残疾人康复工作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残疾人康复工作完成情况较好的得6分，主要根据以下四个方面的完成情况进行综合判断，按完成指标数/指标个数*6分计分，残疾人康复工作较差的酌情扣分：（详见附件1-3）</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1.残疾儿童救治率达100%；</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2.有需求的残疾儿童康复率≥85%；</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3.通过实施残疾人精准康复行动，健全残疾人康复服务体系工作，提高残疾人辅助器具适配率、精准康复服务率；</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4.加强重点人群残疾预防知识科普工作，丰富知识科普方式和科普知识内容，不断增强残疾人康复意识和能力。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4.5</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Style w:val="137"/>
                <w:rFonts w:hint="eastAsia" w:ascii="宋体" w:hAnsi="宋体" w:eastAsia="宋体" w:cs="宋体"/>
                <w:sz w:val="18"/>
                <w:szCs w:val="18"/>
                <w:lang w:bidi="ar"/>
              </w:rPr>
              <w:t>1.残疾儿童申请康复救助即有需求的人数为977，通过救助审核的人数为973，得到康复救助的人数为971，故残疾儿童救治率=971/973*100%=99.79%，未达100%，扣0.5分；</w:t>
            </w:r>
            <w:r>
              <w:rPr>
                <w:rStyle w:val="137"/>
                <w:rFonts w:hint="eastAsia" w:ascii="宋体" w:hAnsi="宋体" w:eastAsia="宋体" w:cs="宋体"/>
                <w:sz w:val="18"/>
                <w:szCs w:val="18"/>
                <w:lang w:bidi="ar"/>
              </w:rPr>
              <w:br w:type="textWrapping"/>
            </w:r>
            <w:r>
              <w:rPr>
                <w:rStyle w:val="136"/>
                <w:rFonts w:hint="eastAsia" w:ascii="宋体" w:hAnsi="宋体" w:eastAsia="宋体" w:cs="宋体"/>
                <w:b w:val="0"/>
                <w:bCs w:val="0"/>
                <w:sz w:val="18"/>
                <w:szCs w:val="18"/>
                <w:lang w:bidi="ar"/>
              </w:rPr>
              <w:t>2.有需求的残疾儿童康复率≥85%；</w:t>
            </w:r>
            <w:r>
              <w:rPr>
                <w:rStyle w:val="137"/>
                <w:rFonts w:hint="eastAsia" w:ascii="宋体" w:hAnsi="宋体" w:eastAsia="宋体" w:cs="宋体"/>
                <w:sz w:val="18"/>
                <w:szCs w:val="18"/>
                <w:lang w:bidi="ar"/>
              </w:rPr>
              <w:br w:type="textWrapping"/>
            </w:r>
            <w:r>
              <w:rPr>
                <w:rStyle w:val="137"/>
                <w:rFonts w:hint="eastAsia" w:ascii="宋体" w:hAnsi="宋体" w:eastAsia="宋体" w:cs="宋体"/>
                <w:sz w:val="18"/>
                <w:szCs w:val="18"/>
                <w:lang w:bidi="ar"/>
              </w:rPr>
              <w:t>3.韶关市实际有康复需求人数为13201，得到康复服务人数为13195，康复服务率为99.95%，全省排名第三；韶关市有辅具需求人数为3030人，实际得到辅具服务人数为3021，辅具服务率为99.70%，全省排名第七。</w:t>
            </w:r>
            <w:r>
              <w:rPr>
                <w:rStyle w:val="137"/>
                <w:rFonts w:hint="eastAsia" w:ascii="宋体" w:hAnsi="宋体" w:eastAsia="宋体" w:cs="宋体"/>
                <w:sz w:val="18"/>
                <w:szCs w:val="18"/>
                <w:lang w:bidi="ar"/>
              </w:rPr>
              <w:br w:type="textWrapping"/>
            </w:r>
            <w:r>
              <w:rPr>
                <w:rStyle w:val="137"/>
                <w:rFonts w:hint="eastAsia" w:ascii="宋体" w:hAnsi="宋体" w:eastAsia="宋体" w:cs="宋体"/>
                <w:sz w:val="18"/>
                <w:szCs w:val="18"/>
                <w:lang w:bidi="ar"/>
              </w:rPr>
              <w:t>4.举办了两场宣传活动，在科普宣传方面，目前还主要是印发宣传材料来开展。但鉴于很多残疾人相对比较分散，印发宣传材料的效果存在一定的局限性。因此该指标扣1分；</w:t>
            </w:r>
            <w:r>
              <w:rPr>
                <w:rStyle w:val="137"/>
                <w:rFonts w:hint="eastAsia" w:ascii="宋体" w:hAnsi="宋体" w:eastAsia="宋体" w:cs="宋体"/>
                <w:sz w:val="18"/>
                <w:szCs w:val="18"/>
                <w:lang w:bidi="ar"/>
              </w:rPr>
              <w:br w:type="textWrapping"/>
            </w:r>
            <w:r>
              <w:rPr>
                <w:rStyle w:val="137"/>
                <w:rFonts w:hint="eastAsia" w:ascii="宋体" w:hAnsi="宋体" w:eastAsia="宋体" w:cs="宋体"/>
                <w:sz w:val="18"/>
                <w:szCs w:val="18"/>
                <w:lang w:bidi="ar"/>
              </w:rPr>
              <w:t>故综上，本指标得4.5分。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残疾人教育工作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教育工作完成情况较好的得2分，残疾人教育工作较差的酌情扣分，主要根据完成未入学的适龄残疾儿童的统计调查和原因了解工作，做好普通高考残疾学生报名考试、调查和录取工作，残疾学生单考单招率和录取率有所提升情况进行综合评价。（详见附件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残疾人教育工作完成情况较好</w:t>
            </w:r>
            <w:r>
              <w:rPr>
                <w:rFonts w:hint="eastAsia" w:ascii="宋体" w:hAnsi="宋体" w:eastAsia="宋体" w:cs="宋体"/>
                <w:color w:val="000000"/>
                <w:sz w:val="18"/>
                <w:szCs w:val="18"/>
                <w:lang w:eastAsia="zh-CN" w:bidi="ar"/>
              </w:rPr>
              <w:t>，该</w:t>
            </w:r>
            <w:r>
              <w:rPr>
                <w:rFonts w:hint="eastAsia" w:ascii="宋体" w:hAnsi="宋体" w:eastAsia="宋体" w:cs="宋体"/>
                <w:color w:val="000000"/>
                <w:sz w:val="18"/>
                <w:szCs w:val="18"/>
                <w:lang w:bidi="ar"/>
              </w:rPr>
              <w:t>指标</w:t>
            </w:r>
            <w:r>
              <w:rPr>
                <w:rFonts w:hint="eastAsia" w:ascii="宋体" w:hAnsi="宋体" w:eastAsia="宋体" w:cs="宋体"/>
                <w:color w:val="000000"/>
                <w:sz w:val="18"/>
                <w:szCs w:val="18"/>
                <w:lang w:eastAsia="zh-CN" w:bidi="ar"/>
              </w:rPr>
              <w:t>不扣分</w:t>
            </w:r>
            <w:r>
              <w:rPr>
                <w:rFonts w:hint="eastAsia" w:ascii="宋体" w:hAnsi="宋体" w:eastAsia="宋体" w:cs="宋体"/>
                <w:color w:val="000000"/>
                <w:sz w:val="18"/>
                <w:szCs w:val="18"/>
                <w:lang w:bidi="ar"/>
              </w:rPr>
              <w:t>。</w:t>
            </w:r>
          </w:p>
          <w:p>
            <w:pPr>
              <w:numPr>
                <w:ilvl w:val="0"/>
                <w:numId w:val="3"/>
              </w:num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统计整理2021年度未入学适龄残疾儿童少年（6-14周岁）在册101人</w:t>
            </w:r>
          </w:p>
          <w:p>
            <w:pPr>
              <w:numPr>
                <w:ilvl w:val="0"/>
                <w:numId w:val="3"/>
              </w:num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2021年高考残疾人考生40人，录取率92.5%。</w:t>
            </w:r>
          </w:p>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3.2021年培英中专生报名21人，录取率为85.71%。</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残疾人就业工作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残疾人就业工作完成情况较好的得5分，主要根据以下七个方面的完成情况进行综合判断，按完成指标数/指标个数*5分计分，残疾人就业工作较差的酌情扣分：（详见附件1-3）</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1.城镇新增残疾人就业年度任务人数≥264人；</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2.农村新增残疾人就业年度任务人数≥303人；</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3.城乡培训年度任务人数≥818人；</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4.软件（网络）测评年度任务人数≥100人；</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5.物理工具测评年度任务人数≥20人；</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6.残疾人高校毕业生就业服务率达100%；</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7.推动盲人按摩行业发展，规范盲人按摩机构管理；做好盲人医疗按摩从业人员的继续教育、医考等服务。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bidi="ar"/>
              </w:rPr>
              <w:t>5</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残疾人就业工作完成情况良好。</w:t>
            </w:r>
          </w:p>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1.城镇新增残疾人就业人数为309人，完成率为117%。</w:t>
            </w:r>
          </w:p>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2.农村新增残疾人就业人数为958人，完成率为316.17%。</w:t>
            </w:r>
          </w:p>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3.共完成城乡培训人数1057人，培训率129.22%。</w:t>
            </w:r>
          </w:p>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4.共完成100例软件（网络）测评，完成率100%。</w:t>
            </w:r>
          </w:p>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5.共完成20例物理工具测评，完成率100%。</w:t>
            </w:r>
          </w:p>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6.</w:t>
            </w:r>
            <w:r>
              <w:rPr>
                <w:rFonts w:hint="eastAsia" w:ascii="宋体" w:hAnsi="宋体" w:eastAsia="宋体" w:cs="宋体"/>
                <w:color w:val="000000"/>
                <w:sz w:val="18"/>
                <w:szCs w:val="18"/>
                <w:lang w:val="en-US" w:eastAsia="zh-CN" w:bidi="ar"/>
              </w:rPr>
              <w:t>就业服务服务率达100%，</w:t>
            </w:r>
            <w:r>
              <w:rPr>
                <w:rFonts w:hint="eastAsia" w:ascii="宋体" w:hAnsi="宋体" w:eastAsia="宋体" w:cs="宋体"/>
                <w:color w:val="000000"/>
                <w:sz w:val="18"/>
                <w:szCs w:val="18"/>
                <w:lang w:bidi="ar"/>
              </w:rPr>
              <w:t>就业率93.75%。</w:t>
            </w:r>
          </w:p>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7.推动盲人按摩行业发展，规范盲人按摩机构管理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故综上，本指标得分为</w:t>
            </w:r>
            <w:r>
              <w:rPr>
                <w:rFonts w:hint="eastAsia" w:ascii="宋体" w:hAnsi="宋体" w:eastAsia="宋体" w:cs="宋体"/>
                <w:color w:val="000000"/>
                <w:sz w:val="18"/>
                <w:szCs w:val="18"/>
                <w:lang w:val="en-US" w:eastAsia="zh-CN" w:bidi="ar"/>
              </w:rPr>
              <w:t>5</w:t>
            </w:r>
            <w:r>
              <w:rPr>
                <w:rFonts w:hint="eastAsia" w:ascii="宋体" w:hAnsi="宋体" w:eastAsia="宋体" w:cs="宋体"/>
                <w:color w:val="000000"/>
                <w:sz w:val="18"/>
                <w:szCs w:val="18"/>
                <w:lang w:bidi="ar"/>
              </w:rPr>
              <w:t>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残疾人保障工作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残疾人保障工作完成情况较好的得6分，主要根据以下三个方面的完成情况进行综合判断，按完成指标数/指标个数*6分计分，残疾人保障工作较差的酌情扣分：（详见附件1-3）</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1.建立了“三类监测对象”残疾人防治返贫监测和帮扶工作台账，对于符合办理残疾人证条件的组织开展评残办证工作；</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2.残疾人家庭无障碍改造数（户）≥613户；</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3.街道/社区残疾人服务机构设施覆盖率≥80%。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1.组织开展了第三代残疾人证（智能化）的推广应用培训，全市新增办证人数9708人，其中脱贫人数为417人。</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2.残疾人家庭无障碍改造数为613户。</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3.目前全市有108家社区康园中心机构，韶关市共有104个乡镇，每个乡镇均配备了康园中心。</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故综上，本指标得分为6分。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残疾人权益工作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残疾人权益工作完成情况较好的得6分，主要根据以下三个方面的完成情况进行综合判断，按完成指标数/指标个数*6分计分，残疾人权益工作较差的酌情扣分：（详见附件1-3）</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1.残疾人文化生活丰富度提升，残疾人文化艺术体育服务设施较为完善，积极组织发展残疾人特殊文化艺术活动；</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2.残疾人权益保障普法宣传情况较好，通过积极开展残疾人权益保障普法宣传有效降低了侮辱、虐待、遗弃残疾人等情况，营造良好的扶残助残社会氛围</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3.残疾人权益公共服务体系较为完善，为残疾人免费提供法律咨询、维权和心理咨询等权益服务；残疾人诉求表达和信访渠道较为通常，残疾人权益公共服务体系较为完善。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目前文体宣传活动还对人数有一定限制，如看电影、聚餐等，虽然也有一定的效果，但从参与人数来看还是比较少。建议残疾人的文体宣传，可以适当增加和丰富团体性活动或者普适性活动，如运动会、联欢晚会，增加覆盖人数，这样有利于让更多残疾人走出来和参与进去，更好地提升项目的实施效果。</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3.建立了较为完善的权益保障体系，开展了残疾人普法教育，提供免费法律咨询、维权服务，维护残疾人合法权益等。</w:t>
            </w:r>
          </w:p>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故综上，本指标得分为5分。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公平</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群众信访办理情况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1.设置了便利的群众意见反映渠道和群众意见办理回复机制的，得1分；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2.当年度所有群众信访意见均有回复，得1分，否则按比例扣分。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3.回复意见均在规定时限内的，得1分，否则按比例扣分。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240" w:lineRule="atLeast"/>
              <w:ind w:firstLine="0" w:firstLineChars="0"/>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bidi="ar"/>
              </w:rPr>
              <w:t>市残联设置了便利的意见反映渠道和群众意见办理回复机制，有公开联系电话及其他反馈渠道，记录中也见到对群众信访意见进行记和回复，故得1分。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2.根据佐证材料显示：残疾人来电来访人数为3人，市残联均对信访件进行了有关回复；外地流浪残疾人来访登记人数为8人，市残联均进行及时救助处理；市残联法律顾问接访人数为18人，进行了相关处理。部门</w:t>
            </w:r>
            <w:r>
              <w:rPr>
                <w:rFonts w:hint="eastAsia" w:ascii="宋体" w:hAnsi="宋体" w:eastAsia="宋体" w:cs="宋体"/>
                <w:color w:val="000000"/>
                <w:sz w:val="18"/>
                <w:szCs w:val="18"/>
                <w:lang w:val="en-US" w:eastAsia="zh-CN" w:bidi="ar"/>
              </w:rPr>
              <w:t>已有外地残疾人来访</w:t>
            </w:r>
            <w:r>
              <w:rPr>
                <w:rFonts w:hint="eastAsia" w:ascii="宋体" w:hAnsi="宋体" w:eastAsia="宋体" w:cs="宋体"/>
                <w:color w:val="000000"/>
                <w:sz w:val="18"/>
                <w:szCs w:val="18"/>
                <w:lang w:bidi="ar"/>
              </w:rPr>
              <w:t>工作台账，能对信访事由、处理结果、处理时间等进行反应</w:t>
            </w:r>
            <w:r>
              <w:rPr>
                <w:rFonts w:hint="eastAsia" w:ascii="宋体" w:hAnsi="宋体" w:eastAsia="宋体" w:cs="宋体"/>
                <w:color w:val="000000"/>
                <w:sz w:val="18"/>
                <w:szCs w:val="18"/>
                <w:lang w:eastAsia="zh-CN" w:bidi="ar"/>
              </w:rPr>
              <w:t>。</w:t>
            </w:r>
          </w:p>
          <w:p>
            <w:pPr>
              <w:numPr>
                <w:ilvl w:val="0"/>
                <w:numId w:val="0"/>
              </w:numPr>
              <w:spacing w:line="240" w:lineRule="atLeas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但</w:t>
            </w:r>
            <w:r>
              <w:rPr>
                <w:rFonts w:hint="eastAsia" w:ascii="宋体" w:hAnsi="宋体" w:eastAsia="宋体" w:cs="宋体"/>
                <w:color w:val="000000"/>
                <w:sz w:val="18"/>
                <w:szCs w:val="18"/>
                <w:lang w:bidi="ar"/>
              </w:rPr>
              <w:t>部分信访工作底稿不规范，例于市残联法律顾问接访中显示，</w:t>
            </w:r>
            <w:r>
              <w:rPr>
                <w:rFonts w:hint="eastAsia" w:ascii="宋体" w:hAnsi="宋体" w:eastAsia="宋体" w:cs="宋体"/>
                <w:color w:val="000000"/>
                <w:sz w:val="18"/>
                <w:szCs w:val="18"/>
                <w:lang w:eastAsia="zh-CN" w:bidi="ar"/>
              </w:rPr>
              <w:t>某群众</w:t>
            </w:r>
            <w:r>
              <w:rPr>
                <w:rFonts w:hint="eastAsia" w:ascii="宋体" w:hAnsi="宋体" w:eastAsia="宋体" w:cs="宋体"/>
                <w:color w:val="000000"/>
                <w:sz w:val="18"/>
                <w:szCs w:val="18"/>
                <w:lang w:bidi="ar"/>
              </w:rPr>
              <w:t>于2021年1月20日进行来访但该份信访工作底稿中仅简单记录信访事由，处理过程和处理结果均未有记录，未能体现残联的信访工作过程，此项得1分。</w:t>
            </w:r>
          </w:p>
        </w:tc>
      </w:tr>
      <w:tr>
        <w:tblPrEx>
          <w:tblLayout w:type="fixed"/>
          <w:tblCellMar>
            <w:top w:w="0" w:type="dxa"/>
            <w:left w:w="108" w:type="dxa"/>
            <w:bottom w:w="0" w:type="dxa"/>
            <w:right w:w="108" w:type="dxa"/>
          </w:tblCellMar>
        </w:tblPrEx>
        <w:trPr>
          <w:trHeight w:val="249"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b/>
                <w:bCs/>
                <w:color w:val="000000"/>
                <w:sz w:val="18"/>
                <w:szCs w:val="18"/>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rPr>
                <w:rFonts w:hint="eastAsia" w:ascii="宋体" w:hAnsi="宋体" w:eastAsia="宋体" w:cs="宋体"/>
                <w:color w:val="000000"/>
                <w:sz w:val="18"/>
                <w:szCs w:val="18"/>
              </w:rPr>
            </w:pP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公众或服务对象满意度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2.75</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指标分值=91.88/100*100%*3分=2.75分。</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通过发放电子问卷的方式回收了440份满意度有效问卷。按照国际上通行的测评标准CSI （用户满意度指标）进行计算，受益群众满意度为91.88%。</w:t>
            </w:r>
          </w:p>
        </w:tc>
      </w:tr>
      <w:tr>
        <w:tblPrEx>
          <w:tblLayout w:type="fixed"/>
          <w:tblCellMar>
            <w:top w:w="0" w:type="dxa"/>
            <w:left w:w="108" w:type="dxa"/>
            <w:bottom w:w="0" w:type="dxa"/>
            <w:right w:w="108" w:type="dxa"/>
          </w:tblCellMar>
        </w:tblPrEx>
        <w:trPr>
          <w:trHeight w:val="24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100</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bidi="ar"/>
              </w:rPr>
              <w:t>84.76</w:t>
            </w:r>
          </w:p>
        </w:tc>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0" w:firstLineChars="0"/>
              <w:rPr>
                <w:rFonts w:hint="eastAsia" w:ascii="宋体" w:hAnsi="宋体" w:eastAsia="宋体" w:cs="宋体"/>
                <w:color w:val="000000"/>
                <w:sz w:val="18"/>
                <w:szCs w:val="18"/>
              </w:rPr>
            </w:pPr>
          </w:p>
        </w:tc>
      </w:tr>
      <w:bookmarkEnd w:id="216"/>
    </w:tbl>
    <w:p>
      <w:pPr>
        <w:widowControl w:val="0"/>
        <w:ind w:firstLine="0" w:firstLineChars="0"/>
        <w:jc w:val="both"/>
        <w:rPr>
          <w:rFonts w:eastAsia="黑体" w:cs="Times New Roman"/>
          <w:kern w:val="2"/>
          <w:szCs w:val="20"/>
        </w:rPr>
        <w:sectPr>
          <w:headerReference r:id="rId12" w:type="default"/>
          <w:footerReference r:id="rId13" w:type="default"/>
          <w:pgSz w:w="16839" w:h="11907" w:orient="landscape"/>
          <w:pgMar w:top="850" w:right="1021" w:bottom="850" w:left="1134" w:header="550" w:footer="210" w:gutter="0"/>
          <w:pgNumType w:fmt="numberInDash"/>
          <w:cols w:space="0" w:num="1"/>
          <w:rtlGutter w:val="0"/>
          <w:docGrid w:linePitch="360" w:charSpace="0"/>
        </w:sectPr>
      </w:pPr>
    </w:p>
    <w:p>
      <w:pPr>
        <w:widowControl w:val="0"/>
        <w:ind w:firstLine="0" w:firstLineChars="0"/>
        <w:jc w:val="both"/>
        <w:rPr>
          <w:rFonts w:eastAsia="宋体" w:cs="Times New Roman"/>
          <w:kern w:val="2"/>
          <w:sz w:val="21"/>
          <w:szCs w:val="21"/>
          <w:u w:val="single"/>
        </w:rPr>
      </w:pPr>
    </w:p>
    <w:p>
      <w:pPr>
        <w:widowControl w:val="0"/>
        <w:ind w:firstLine="0" w:firstLineChars="0"/>
        <w:jc w:val="both"/>
        <w:outlineLvl w:val="0"/>
        <w:rPr>
          <w:rFonts w:eastAsia="黑体" w:cs="Times New Roman"/>
          <w:kern w:val="2"/>
          <w:szCs w:val="20"/>
        </w:rPr>
      </w:pPr>
      <w:bookmarkStart w:id="219" w:name="_Toc10509"/>
      <w:bookmarkStart w:id="220" w:name="_Toc3666"/>
      <w:bookmarkStart w:id="221" w:name="_Toc16479"/>
      <w:bookmarkStart w:id="222" w:name="_Toc662"/>
      <w:r>
        <w:rPr>
          <w:rFonts w:eastAsia="黑体" w:cs="Times New Roman"/>
          <w:kern w:val="2"/>
          <w:szCs w:val="20"/>
        </w:rPr>
        <w:t>附件</w:t>
      </w:r>
      <w:bookmarkEnd w:id="219"/>
      <w:r>
        <w:rPr>
          <w:rFonts w:eastAsia="黑体" w:cs="Times New Roman"/>
          <w:kern w:val="2"/>
          <w:szCs w:val="20"/>
        </w:rPr>
        <w:t>2</w:t>
      </w:r>
      <w:bookmarkEnd w:id="220"/>
      <w:bookmarkEnd w:id="221"/>
      <w:bookmarkEnd w:id="222"/>
      <w:r>
        <w:rPr>
          <w:rFonts w:eastAsia="黑体" w:cs="Times New Roman"/>
          <w:kern w:val="2"/>
          <w:szCs w:val="20"/>
        </w:rPr>
        <w:t xml:space="preserve">  </w:t>
      </w:r>
    </w:p>
    <w:p>
      <w:pPr>
        <w:widowControl w:val="0"/>
        <w:ind w:firstLine="0" w:firstLineChars="0"/>
        <w:jc w:val="center"/>
        <w:rPr>
          <w:rFonts w:eastAsia="宋体" w:cs="Times New Roman"/>
          <w:b/>
          <w:bCs/>
          <w:kern w:val="2"/>
          <w:szCs w:val="32"/>
        </w:rPr>
      </w:pPr>
      <w:bookmarkStart w:id="223" w:name="_Toc30788"/>
      <w:r>
        <w:rPr>
          <w:rFonts w:eastAsia="宋体" w:cs="Times New Roman"/>
          <w:b/>
          <w:bCs/>
          <w:kern w:val="2"/>
          <w:szCs w:val="32"/>
        </w:rPr>
        <w:t>2021年韶关市残疾人联合会关于残疾人服务工作</w:t>
      </w:r>
    </w:p>
    <w:p>
      <w:pPr>
        <w:widowControl w:val="0"/>
        <w:ind w:firstLine="0" w:firstLineChars="0"/>
        <w:jc w:val="center"/>
        <w:rPr>
          <w:rFonts w:eastAsia="宋体" w:cs="Times New Roman"/>
          <w:b/>
          <w:bCs/>
          <w:kern w:val="2"/>
          <w:szCs w:val="32"/>
        </w:rPr>
      </w:pPr>
      <w:r>
        <w:rPr>
          <w:rFonts w:eastAsia="宋体" w:cs="Times New Roman"/>
          <w:b/>
          <w:bCs/>
          <w:kern w:val="2"/>
          <w:szCs w:val="32"/>
        </w:rPr>
        <w:t>满意度问卷及分析报告</w:t>
      </w:r>
      <w:bookmarkEnd w:id="223"/>
    </w:p>
    <w:p>
      <w:pPr>
        <w:numPr>
          <w:ilvl w:val="255"/>
          <w:numId w:val="0"/>
        </w:numPr>
        <w:spacing w:after="200"/>
        <w:ind w:firstLine="480" w:firstLineChars="200"/>
        <w:rPr>
          <w:rFonts w:cs="Times New Roman"/>
          <w:color w:val="000000"/>
          <w:sz w:val="24"/>
          <w:szCs w:val="24"/>
        </w:rPr>
      </w:pPr>
      <w:r>
        <w:rPr>
          <w:rFonts w:cs="Times New Roman"/>
          <w:color w:val="000000"/>
          <w:sz w:val="24"/>
          <w:szCs w:val="24"/>
        </w:rPr>
        <w:t>本次调查主要目的是为全面了解韶关市残疾人联合会2021年度部门整体绩效情况，客观公正评价部门关于残疾人服务工作财政资金的的使用效益情况，从而提高财政资金的效率和管理水平。现采取问卷调查的方式，向韶关市残疾人及其家属进行满意度调查，对部门后续工作开展征求意见。韶关市残疾人及其家属。调查对象基本居住于武江区、曲江区、乐昌市及翁源县，年龄区间在“20-45岁”及“45-60岁”为主，大部分为自由职业者或在家待业。本次调查主要通过问卷星链接发放电子问卷的方式，7月15日-7月20日线上共回收了440份满意度有效问卷。按照国际上通行的测评标准CSI （用户满意度指标）进行计算，受益群众满意度为91.88%。总体而言，残疾人满意度较高基层评议综合满意度为91.88%。</w:t>
      </w:r>
    </w:p>
    <w:p>
      <w:pPr>
        <w:ind w:firstLine="482"/>
        <w:rPr>
          <w:rFonts w:cs="Times New Roman"/>
          <w:b/>
          <w:sz w:val="24"/>
          <w:szCs w:val="24"/>
        </w:rPr>
      </w:pPr>
      <w:r>
        <w:rPr>
          <w:rFonts w:hint="eastAsia" w:cs="Times New Roman"/>
          <w:b/>
          <w:sz w:val="24"/>
          <w:szCs w:val="24"/>
        </w:rPr>
        <w:t>问卷分析：</w:t>
      </w:r>
    </w:p>
    <w:p>
      <w:pPr>
        <w:widowControl w:val="0"/>
        <w:spacing w:line="240" w:lineRule="auto"/>
        <w:ind w:firstLine="482"/>
        <w:rPr>
          <w:rFonts w:cs="Times New Roman"/>
          <w:b/>
          <w:bCs/>
          <w:sz w:val="24"/>
          <w:szCs w:val="24"/>
        </w:rPr>
      </w:pPr>
      <w:bookmarkStart w:id="224" w:name="_Toc17133"/>
      <w:r>
        <w:rPr>
          <w:rFonts w:cs="Times New Roman"/>
          <w:b/>
          <w:bCs/>
          <w:sz w:val="24"/>
          <w:szCs w:val="24"/>
        </w:rPr>
        <w:t>1.您认为残联工作对残疾人基本权益保障程度?</w:t>
      </w:r>
      <w:bookmarkEnd w:id="224"/>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sz w:val="24"/>
          <w:szCs w:val="24"/>
        </w:rPr>
        <w:t>由统计表格可知，本题共有440人次进行填写。有328人次的调查对象认为</w:t>
      </w:r>
      <w:r>
        <w:rPr>
          <w:rFonts w:cs="Times New Roman"/>
          <w:color w:val="000000"/>
          <w:sz w:val="24"/>
          <w:szCs w:val="24"/>
        </w:rPr>
        <w:t>残联工作对残疾人基本权益保障程度好</w:t>
      </w:r>
      <w:r>
        <w:rPr>
          <w:rFonts w:cs="Times New Roman"/>
          <w:sz w:val="24"/>
          <w:szCs w:val="24"/>
        </w:rPr>
        <w:t>，占比74.55%；有86人次的调查对象认为</w:t>
      </w:r>
      <w:r>
        <w:rPr>
          <w:rFonts w:cs="Times New Roman"/>
          <w:color w:val="000000"/>
          <w:sz w:val="24"/>
          <w:szCs w:val="24"/>
        </w:rPr>
        <w:t>残联工作对残疾人基本权益保障程度较好</w:t>
      </w:r>
      <w:r>
        <w:rPr>
          <w:rFonts w:cs="Times New Roman"/>
          <w:sz w:val="24"/>
          <w:szCs w:val="24"/>
        </w:rPr>
        <w:t>，占比19.55%；有21人次的调查对象认为残联工作对残疾人基本权益保障程度一般，占比4.77%。可见，</w:t>
      </w:r>
      <w:r>
        <w:rPr>
          <w:rFonts w:cs="Times New Roman"/>
          <w:color w:val="000000"/>
          <w:sz w:val="24"/>
          <w:szCs w:val="24"/>
        </w:rPr>
        <w:t>残联工作能够较好保障残疾人基本权益。</w:t>
      </w:r>
    </w:p>
    <w:p>
      <w:pPr>
        <w:widowControl w:val="0"/>
        <w:spacing w:line="240" w:lineRule="auto"/>
        <w:ind w:firstLine="480"/>
        <w:rPr>
          <w:rFonts w:cs="Times New Roman"/>
          <w:color w:val="000000"/>
          <w:sz w:val="24"/>
          <w:szCs w:val="24"/>
        </w:rPr>
      </w:pPr>
    </w:p>
    <w:tbl>
      <w:tblPr>
        <w:tblStyle w:val="34"/>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568"/>
        <w:gridCol w:w="4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68"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40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好</w:t>
            </w:r>
          </w:p>
        </w:tc>
        <w:tc>
          <w:tcPr>
            <w:tcW w:w="156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328</w:t>
            </w:r>
          </w:p>
        </w:tc>
        <w:tc>
          <w:tcPr>
            <w:tcW w:w="440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000125" cy="114300"/>
                  <wp:effectExtent l="0" t="0" r="5715" b="7620"/>
                  <wp:docPr id="8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
                          <pic:cNvPicPr>
                            <a:picLocks noChangeAspect="1"/>
                          </pic:cNvPicPr>
                        </pic:nvPicPr>
                        <pic:blipFill>
                          <a:blip r:embed="rId23"/>
                          <a:stretch>
                            <a:fillRect/>
                          </a:stretch>
                        </pic:blipFill>
                        <pic:spPr>
                          <a:xfrm>
                            <a:off x="0" y="0"/>
                            <a:ext cx="10001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352425" cy="114300"/>
                  <wp:effectExtent l="0" t="0" r="13335" b="7620"/>
                  <wp:docPr id="8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
                          <pic:cNvPicPr>
                            <a:picLocks noChangeAspect="1"/>
                          </pic:cNvPicPr>
                        </pic:nvPicPr>
                        <pic:blipFill>
                          <a:blip r:embed="rId24"/>
                          <a:stretch>
                            <a:fillRect/>
                          </a:stretch>
                        </pic:blipFill>
                        <pic:spPr>
                          <a:xfrm>
                            <a:off x="0" y="0"/>
                            <a:ext cx="352425" cy="114300"/>
                          </a:xfrm>
                          <a:prstGeom prst="rect">
                            <a:avLst/>
                          </a:prstGeom>
                          <a:noFill/>
                          <a:ln>
                            <a:noFill/>
                          </a:ln>
                        </pic:spPr>
                      </pic:pic>
                    </a:graphicData>
                  </a:graphic>
                </wp:inline>
              </w:drawing>
            </w:r>
            <w:r>
              <w:rPr>
                <w:rFonts w:cs="Times New Roman"/>
                <w:color w:val="000000"/>
                <w:sz w:val="24"/>
                <w:szCs w:val="24"/>
              </w:rPr>
              <w:t>74.55%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较好</w:t>
            </w:r>
          </w:p>
        </w:tc>
        <w:tc>
          <w:tcPr>
            <w:tcW w:w="156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86</w:t>
            </w:r>
          </w:p>
        </w:tc>
        <w:tc>
          <w:tcPr>
            <w:tcW w:w="440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57175" cy="114300"/>
                  <wp:effectExtent l="0" t="0" r="1905" b="7620"/>
                  <wp:docPr id="8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
                          <pic:cNvPicPr>
                            <a:picLocks noChangeAspect="1"/>
                          </pic:cNvPicPr>
                        </pic:nvPicPr>
                        <pic:blipFill>
                          <a:blip r:embed="rId25"/>
                          <a:stretch>
                            <a:fillRect/>
                          </a:stretch>
                        </pic:blipFill>
                        <pic:spPr>
                          <a:xfrm>
                            <a:off x="0" y="0"/>
                            <a:ext cx="2571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95375" cy="114300"/>
                  <wp:effectExtent l="0" t="0" r="1905" b="7620"/>
                  <wp:docPr id="9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
                          <pic:cNvPicPr>
                            <a:picLocks noChangeAspect="1"/>
                          </pic:cNvPicPr>
                        </pic:nvPicPr>
                        <pic:blipFill>
                          <a:blip r:embed="rId26"/>
                          <a:stretch>
                            <a:fillRect/>
                          </a:stretch>
                        </pic:blipFill>
                        <pic:spPr>
                          <a:xfrm>
                            <a:off x="0" y="0"/>
                            <a:ext cx="1095375" cy="114300"/>
                          </a:xfrm>
                          <a:prstGeom prst="rect">
                            <a:avLst/>
                          </a:prstGeom>
                          <a:noFill/>
                          <a:ln>
                            <a:noFill/>
                          </a:ln>
                        </pic:spPr>
                      </pic:pic>
                    </a:graphicData>
                  </a:graphic>
                </wp:inline>
              </w:drawing>
            </w:r>
            <w:r>
              <w:rPr>
                <w:rFonts w:cs="Times New Roman"/>
                <w:color w:val="000000"/>
                <w:sz w:val="24"/>
                <w:szCs w:val="24"/>
              </w:rPr>
              <w: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6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21</w:t>
            </w:r>
          </w:p>
        </w:tc>
        <w:tc>
          <w:tcPr>
            <w:tcW w:w="440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57150" cy="114300"/>
                  <wp:effectExtent l="0" t="0" r="3810" b="7620"/>
                  <wp:docPr id="9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4"/>
                          <pic:cNvPicPr>
                            <a:picLocks noChangeAspect="1"/>
                          </pic:cNvPicPr>
                        </pic:nvPicPr>
                        <pic:blipFill>
                          <a:blip r:embed="rId27"/>
                          <a:stretch>
                            <a:fillRect/>
                          </a:stretch>
                        </pic:blipFill>
                        <pic:spPr>
                          <a:xfrm>
                            <a:off x="0" y="0"/>
                            <a:ext cx="571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95400" cy="114300"/>
                  <wp:effectExtent l="0" t="0" r="0" b="7620"/>
                  <wp:docPr id="9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5"/>
                          <pic:cNvPicPr>
                            <a:picLocks noChangeAspect="1"/>
                          </pic:cNvPicPr>
                        </pic:nvPicPr>
                        <pic:blipFill>
                          <a:blip r:embed="rId28"/>
                          <a:stretch>
                            <a:fillRect/>
                          </a:stretch>
                        </pic:blipFill>
                        <pic:spPr>
                          <a:xfrm>
                            <a:off x="0" y="0"/>
                            <a:ext cx="1295400" cy="114300"/>
                          </a:xfrm>
                          <a:prstGeom prst="rect">
                            <a:avLst/>
                          </a:prstGeom>
                          <a:noFill/>
                          <a:ln>
                            <a:noFill/>
                          </a:ln>
                        </pic:spPr>
                      </pic:pic>
                    </a:graphicData>
                  </a:graphic>
                </wp:inline>
              </w:drawing>
            </w:r>
            <w:r>
              <w:rPr>
                <w:rFonts w:cs="Times New Roman"/>
                <w:color w:val="000000"/>
                <w:sz w:val="24"/>
                <w:szCs w:val="24"/>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不太好</w:t>
            </w:r>
          </w:p>
        </w:tc>
        <w:tc>
          <w:tcPr>
            <w:tcW w:w="156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1</w:t>
            </w:r>
          </w:p>
        </w:tc>
        <w:tc>
          <w:tcPr>
            <w:tcW w:w="440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9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6"/>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一点也不好</w:t>
            </w:r>
          </w:p>
        </w:tc>
        <w:tc>
          <w:tcPr>
            <w:tcW w:w="156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1</w:t>
            </w:r>
          </w:p>
        </w:tc>
        <w:tc>
          <w:tcPr>
            <w:tcW w:w="440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9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7"/>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325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不了解</w:t>
            </w:r>
          </w:p>
        </w:tc>
        <w:tc>
          <w:tcPr>
            <w:tcW w:w="156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3</w:t>
            </w:r>
          </w:p>
        </w:tc>
        <w:tc>
          <w:tcPr>
            <w:tcW w:w="440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9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8"/>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325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68"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409"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ind w:firstLine="640"/>
        <w:rPr>
          <w:rFonts w:cs="Times New Roman"/>
        </w:rPr>
      </w:pPr>
    </w:p>
    <w:p>
      <w:pPr>
        <w:widowControl w:val="0"/>
        <w:spacing w:line="240" w:lineRule="auto"/>
        <w:ind w:firstLine="482"/>
        <w:rPr>
          <w:rFonts w:cs="Times New Roman"/>
          <w:b/>
          <w:bCs/>
          <w:sz w:val="24"/>
          <w:szCs w:val="24"/>
        </w:rPr>
      </w:pPr>
      <w:bookmarkStart w:id="225" w:name="_Toc21701"/>
      <w:r>
        <w:rPr>
          <w:rFonts w:cs="Times New Roman"/>
          <w:b/>
          <w:bCs/>
          <w:sz w:val="24"/>
          <w:szCs w:val="24"/>
        </w:rPr>
        <w:t>2.您认为残联工作对残疾人基本生活水平提升程度?</w:t>
      </w:r>
      <w:bookmarkEnd w:id="225"/>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281人次的调查对象认为残联工作显著提升残疾人基本生活水平，占比63.86%；有98人次的调查对象认为残联工作较为显著提升残疾人基本生活水平，占比22.27%；有48人次的调查对象认为残联工作对于残疾人基本生活水平提升程度一般，占比10.91%；有4人次的调查对象认为残联工作对于残疾人基本生活水平提升程度不太显著，占比0.91%；有7人次的调查对象不太了解残联工作对于残疾人基本生活水平的提升程度，占比1.59%。可见，残联工作对于残疾人基本生活水平提升程度较为显著，仍有一定改进提升空间。</w:t>
      </w:r>
    </w:p>
    <w:p>
      <w:pPr>
        <w:widowControl w:val="0"/>
        <w:spacing w:line="240" w:lineRule="auto"/>
        <w:ind w:firstLine="480"/>
        <w:rPr>
          <w:rFonts w:cs="Times New Roman"/>
          <w:color w:val="000000"/>
          <w:sz w:val="24"/>
          <w:szCs w:val="24"/>
        </w:rPr>
      </w:pPr>
    </w:p>
    <w:tbl>
      <w:tblPr>
        <w:tblStyle w:val="34"/>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565"/>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6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400"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显著</w:t>
            </w:r>
          </w:p>
        </w:tc>
        <w:tc>
          <w:tcPr>
            <w:tcW w:w="156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281</w:t>
            </w:r>
          </w:p>
        </w:tc>
        <w:tc>
          <w:tcPr>
            <w:tcW w:w="440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857250" cy="114300"/>
                  <wp:effectExtent l="0" t="0" r="11430" b="7620"/>
                  <wp:docPr id="9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9"/>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495300" cy="114300"/>
                  <wp:effectExtent l="0" t="0" r="7620" b="7620"/>
                  <wp:docPr id="9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0"/>
                          <pic:cNvPicPr>
                            <a:picLocks noChangeAspect="1"/>
                          </pic:cNvPicPr>
                        </pic:nvPicPr>
                        <pic:blipFill>
                          <a:blip r:embed="rId31"/>
                          <a:stretch>
                            <a:fillRect/>
                          </a:stretch>
                        </pic:blipFill>
                        <pic:spPr>
                          <a:xfrm>
                            <a:off x="0" y="0"/>
                            <a:ext cx="495300" cy="114300"/>
                          </a:xfrm>
                          <a:prstGeom prst="rect">
                            <a:avLst/>
                          </a:prstGeom>
                          <a:noFill/>
                          <a:ln>
                            <a:noFill/>
                          </a:ln>
                        </pic:spPr>
                      </pic:pic>
                    </a:graphicData>
                  </a:graphic>
                </wp:inline>
              </w:drawing>
            </w:r>
            <w:r>
              <w:rPr>
                <w:rFonts w:cs="Times New Roman"/>
                <w:color w:val="000000"/>
                <w:sz w:val="24"/>
                <w:szCs w:val="24"/>
              </w:rPr>
              <w:t>63.86%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较显著</w:t>
            </w:r>
          </w:p>
        </w:tc>
        <w:tc>
          <w:tcPr>
            <w:tcW w:w="156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98</w:t>
            </w:r>
          </w:p>
        </w:tc>
        <w:tc>
          <w:tcPr>
            <w:tcW w:w="440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95275" cy="114300"/>
                  <wp:effectExtent l="0" t="0" r="9525" b="7620"/>
                  <wp:docPr id="10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1"/>
                          <pic:cNvPicPr>
                            <a:picLocks noChangeAspect="1"/>
                          </pic:cNvPicPr>
                        </pic:nvPicPr>
                        <pic:blipFill>
                          <a:blip r:embed="rId32"/>
                          <a:stretch>
                            <a:fillRect/>
                          </a:stretch>
                        </pic:blipFill>
                        <pic:spPr>
                          <a:xfrm>
                            <a:off x="0" y="0"/>
                            <a:ext cx="2952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57275" cy="114300"/>
                  <wp:effectExtent l="0" t="0" r="9525" b="7620"/>
                  <wp:docPr id="9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2"/>
                          <pic:cNvPicPr>
                            <a:picLocks noChangeAspect="1"/>
                          </pic:cNvPicPr>
                        </pic:nvPicPr>
                        <pic:blipFill>
                          <a:blip r:embed="rId33"/>
                          <a:stretch>
                            <a:fillRect/>
                          </a:stretch>
                        </pic:blipFill>
                        <pic:spPr>
                          <a:xfrm>
                            <a:off x="0" y="0"/>
                            <a:ext cx="1057275" cy="114300"/>
                          </a:xfrm>
                          <a:prstGeom prst="rect">
                            <a:avLst/>
                          </a:prstGeom>
                          <a:noFill/>
                          <a:ln>
                            <a:noFill/>
                          </a:ln>
                        </pic:spPr>
                      </pic:pic>
                    </a:graphicData>
                  </a:graphic>
                </wp:inline>
              </w:drawing>
            </w:r>
            <w:r>
              <w:rPr>
                <w:rFonts w:cs="Times New Roman"/>
                <w:color w:val="000000"/>
                <w:sz w:val="24"/>
                <w:szCs w:val="24"/>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6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48</w:t>
            </w:r>
          </w:p>
        </w:tc>
        <w:tc>
          <w:tcPr>
            <w:tcW w:w="440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42875" cy="114300"/>
                  <wp:effectExtent l="0" t="0" r="9525" b="7620"/>
                  <wp:docPr id="9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3"/>
                          <pic:cNvPicPr>
                            <a:picLocks noChangeAspect="1"/>
                          </pic:cNvPicPr>
                        </pic:nvPicPr>
                        <pic:blipFill>
                          <a:blip r:embed="rId34"/>
                          <a:stretch>
                            <a:fillRect/>
                          </a:stretch>
                        </pic:blipFill>
                        <pic:spPr>
                          <a:xfrm>
                            <a:off x="0" y="0"/>
                            <a:ext cx="1428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09675" cy="114300"/>
                  <wp:effectExtent l="0" t="0" r="9525" b="7620"/>
                  <wp:docPr id="10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4"/>
                          <pic:cNvPicPr>
                            <a:picLocks noChangeAspect="1"/>
                          </pic:cNvPicPr>
                        </pic:nvPicPr>
                        <pic:blipFill>
                          <a:blip r:embed="rId35"/>
                          <a:stretch>
                            <a:fillRect/>
                          </a:stretch>
                        </pic:blipFill>
                        <pic:spPr>
                          <a:xfrm>
                            <a:off x="0" y="0"/>
                            <a:ext cx="1209675" cy="114300"/>
                          </a:xfrm>
                          <a:prstGeom prst="rect">
                            <a:avLst/>
                          </a:prstGeom>
                          <a:noFill/>
                          <a:ln>
                            <a:noFill/>
                          </a:ln>
                        </pic:spPr>
                      </pic:pic>
                    </a:graphicData>
                  </a:graphic>
                </wp:inline>
              </w:drawing>
            </w:r>
            <w:r>
              <w:rPr>
                <w:rFonts w:cs="Times New Roman"/>
                <w:color w:val="000000"/>
                <w:sz w:val="24"/>
                <w:szCs w:val="24"/>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不太显著</w:t>
            </w:r>
          </w:p>
        </w:tc>
        <w:tc>
          <w:tcPr>
            <w:tcW w:w="156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4</w:t>
            </w:r>
          </w:p>
        </w:tc>
        <w:tc>
          <w:tcPr>
            <w:tcW w:w="440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 cy="114300"/>
                  <wp:effectExtent l="0" t="0" r="5715" b="6985"/>
                  <wp:docPr id="10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5"/>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43025" cy="114300"/>
                  <wp:effectExtent l="0" t="0" r="13335" b="7620"/>
                  <wp:docPr id="10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6"/>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Pr>
                <w:rFonts w:cs="Times New Roman"/>
                <w:color w:val="000000"/>
                <w:sz w:val="24"/>
                <w:szCs w:val="24"/>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不显著</w:t>
            </w:r>
          </w:p>
        </w:tc>
        <w:tc>
          <w:tcPr>
            <w:tcW w:w="156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w:t>
            </w:r>
          </w:p>
        </w:tc>
        <w:tc>
          <w:tcPr>
            <w:tcW w:w="440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0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7"/>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5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不了解</w:t>
            </w:r>
          </w:p>
        </w:tc>
        <w:tc>
          <w:tcPr>
            <w:tcW w:w="156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7</w:t>
            </w:r>
          </w:p>
        </w:tc>
        <w:tc>
          <w:tcPr>
            <w:tcW w:w="440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9050" cy="114300"/>
                  <wp:effectExtent l="0" t="0" r="11430" b="7620"/>
                  <wp:docPr id="10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8"/>
                          <pic:cNvPicPr>
                            <a:picLocks noChangeAspect="1"/>
                          </pic:cNvPicPr>
                        </pic:nvPicPr>
                        <pic:blipFill>
                          <a:blip r:embed="rId38"/>
                          <a:stretch>
                            <a:fillRect/>
                          </a:stretch>
                        </pic:blipFill>
                        <pic:spPr>
                          <a:xfrm>
                            <a:off x="0" y="0"/>
                            <a:ext cx="190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33500" cy="114300"/>
                  <wp:effectExtent l="0" t="0" r="7620" b="7620"/>
                  <wp:docPr id="10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9"/>
                          <pic:cNvPicPr>
                            <a:picLocks noChangeAspect="1"/>
                          </pic:cNvPicPr>
                        </pic:nvPicPr>
                        <pic:blipFill>
                          <a:blip r:embed="rId39"/>
                          <a:stretch>
                            <a:fillRect/>
                          </a:stretch>
                        </pic:blipFill>
                        <pic:spPr>
                          <a:xfrm>
                            <a:off x="0" y="0"/>
                            <a:ext cx="1333500" cy="114300"/>
                          </a:xfrm>
                          <a:prstGeom prst="rect">
                            <a:avLst/>
                          </a:prstGeom>
                          <a:noFill/>
                          <a:ln>
                            <a:noFill/>
                          </a:ln>
                        </pic:spPr>
                      </pic:pic>
                    </a:graphicData>
                  </a:graphic>
                </wp:inline>
              </w:drawing>
            </w:r>
            <w:r>
              <w:rPr>
                <w:rFonts w:cs="Times New Roman"/>
                <w:color w:val="000000"/>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25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6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400"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26" w:name="_Toc27959"/>
      <w:r>
        <w:rPr>
          <w:rFonts w:cs="Times New Roman"/>
          <w:b/>
          <w:bCs/>
          <w:sz w:val="24"/>
          <w:szCs w:val="24"/>
        </w:rPr>
        <w:t>3.您认为残疾人相关补贴发放是否及时?</w:t>
      </w:r>
      <w:bookmarkEnd w:id="226"/>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355人次的调查对象认为残疾人相关补贴发放及时，占比80.68%；有54人次的调查对象认为残疾人相关补贴发放较为及时，占比12.27%；有20人次的调查对象认为残疾人相关补贴发放及时性一般，占比4.55%；有9人次的调查对象不太了解残疾人相关补贴发放的及时性，占比2.05%。总的来说，残疾人相关补贴发放较为及时。</w:t>
      </w:r>
    </w:p>
    <w:p>
      <w:pPr>
        <w:widowControl w:val="0"/>
        <w:spacing w:line="240" w:lineRule="auto"/>
        <w:ind w:firstLine="480"/>
        <w:rPr>
          <w:rFonts w:cs="Times New Roman"/>
          <w:color w:val="000000"/>
          <w:sz w:val="24"/>
          <w:szCs w:val="24"/>
        </w:rPr>
      </w:pPr>
    </w:p>
    <w:tbl>
      <w:tblPr>
        <w:tblStyle w:val="34"/>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558"/>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58"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38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及时</w:t>
            </w:r>
          </w:p>
        </w:tc>
        <w:tc>
          <w:tcPr>
            <w:tcW w:w="155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355</w:t>
            </w:r>
          </w:p>
        </w:tc>
        <w:tc>
          <w:tcPr>
            <w:tcW w:w="438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085850" cy="114300"/>
                  <wp:effectExtent l="0" t="0" r="11430" b="7620"/>
                  <wp:docPr id="1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40"/>
                          <pic:cNvPicPr>
                            <a:picLocks noChangeAspect="1"/>
                          </pic:cNvPicPr>
                        </pic:nvPicPr>
                        <pic:blipFill>
                          <a:blip r:embed="rId40"/>
                          <a:stretch>
                            <a:fillRect/>
                          </a:stretch>
                        </pic:blipFill>
                        <pic:spPr>
                          <a:xfrm>
                            <a:off x="0" y="0"/>
                            <a:ext cx="10858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266700" cy="114300"/>
                  <wp:effectExtent l="0" t="0" r="7620" b="7620"/>
                  <wp:docPr id="1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41"/>
                          <pic:cNvPicPr>
                            <a:picLocks noChangeAspect="1"/>
                          </pic:cNvPicPr>
                        </pic:nvPicPr>
                        <pic:blipFill>
                          <a:blip r:embed="rId41"/>
                          <a:stretch>
                            <a:fillRect/>
                          </a:stretch>
                        </pic:blipFill>
                        <pic:spPr>
                          <a:xfrm>
                            <a:off x="0" y="0"/>
                            <a:ext cx="266700" cy="114300"/>
                          </a:xfrm>
                          <a:prstGeom prst="rect">
                            <a:avLst/>
                          </a:prstGeom>
                          <a:noFill/>
                          <a:ln>
                            <a:noFill/>
                          </a:ln>
                        </pic:spPr>
                      </pic:pic>
                    </a:graphicData>
                  </a:graphic>
                </wp:inline>
              </w:drawing>
            </w:r>
            <w:r>
              <w:rPr>
                <w:rFonts w:cs="Times New Roman"/>
                <w:color w:val="000000"/>
                <w:sz w:val="24"/>
                <w:szCs w:val="24"/>
              </w:rPr>
              <w:t>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较及时</w:t>
            </w:r>
          </w:p>
        </w:tc>
        <w:tc>
          <w:tcPr>
            <w:tcW w:w="155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54</w:t>
            </w:r>
          </w:p>
        </w:tc>
        <w:tc>
          <w:tcPr>
            <w:tcW w:w="438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61925" cy="114300"/>
                  <wp:effectExtent l="0" t="0" r="5715" b="7620"/>
                  <wp:docPr id="12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42"/>
                          <pic:cNvPicPr>
                            <a:picLocks noChangeAspect="1"/>
                          </pic:cNvPicPr>
                        </pic:nvPicPr>
                        <pic:blipFill>
                          <a:blip r:embed="rId42"/>
                          <a:stretch>
                            <a:fillRect/>
                          </a:stretch>
                        </pic:blipFill>
                        <pic:spPr>
                          <a:xfrm>
                            <a:off x="0" y="0"/>
                            <a:ext cx="1619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190625" cy="114300"/>
                  <wp:effectExtent l="0" t="0" r="13335" b="7620"/>
                  <wp:docPr id="12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43"/>
                          <pic:cNvPicPr>
                            <a:picLocks noChangeAspect="1"/>
                          </pic:cNvPicPr>
                        </pic:nvPicPr>
                        <pic:blipFill>
                          <a:blip r:embed="rId43"/>
                          <a:stretch>
                            <a:fillRect/>
                          </a:stretch>
                        </pic:blipFill>
                        <pic:spPr>
                          <a:xfrm>
                            <a:off x="0" y="0"/>
                            <a:ext cx="1190625" cy="114300"/>
                          </a:xfrm>
                          <a:prstGeom prst="rect">
                            <a:avLst/>
                          </a:prstGeom>
                          <a:noFill/>
                          <a:ln>
                            <a:noFill/>
                          </a:ln>
                        </pic:spPr>
                      </pic:pic>
                    </a:graphicData>
                  </a:graphic>
                </wp:inline>
              </w:drawing>
            </w:r>
            <w:r>
              <w:rPr>
                <w:rFonts w:cs="Times New Roman"/>
                <w:color w:val="000000"/>
                <w:sz w:val="24"/>
                <w:szCs w:val="24"/>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5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20</w:t>
            </w:r>
          </w:p>
        </w:tc>
        <w:tc>
          <w:tcPr>
            <w:tcW w:w="438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57150" cy="114300"/>
                  <wp:effectExtent l="0" t="0" r="3810" b="7620"/>
                  <wp:docPr id="12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4"/>
                          <pic:cNvPicPr>
                            <a:picLocks noChangeAspect="1"/>
                          </pic:cNvPicPr>
                        </pic:nvPicPr>
                        <pic:blipFill>
                          <a:blip r:embed="rId27"/>
                          <a:stretch>
                            <a:fillRect/>
                          </a:stretch>
                        </pic:blipFill>
                        <pic:spPr>
                          <a:xfrm>
                            <a:off x="0" y="0"/>
                            <a:ext cx="571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95400" cy="114300"/>
                  <wp:effectExtent l="0" t="0" r="0" b="7620"/>
                  <wp:docPr id="12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5"/>
                          <pic:cNvPicPr>
                            <a:picLocks noChangeAspect="1"/>
                          </pic:cNvPicPr>
                        </pic:nvPicPr>
                        <pic:blipFill>
                          <a:blip r:embed="rId28"/>
                          <a:stretch>
                            <a:fillRect/>
                          </a:stretch>
                        </pic:blipFill>
                        <pic:spPr>
                          <a:xfrm>
                            <a:off x="0" y="0"/>
                            <a:ext cx="1295400" cy="114300"/>
                          </a:xfrm>
                          <a:prstGeom prst="rect">
                            <a:avLst/>
                          </a:prstGeom>
                          <a:noFill/>
                          <a:ln>
                            <a:noFill/>
                          </a:ln>
                        </pic:spPr>
                      </pic:pic>
                    </a:graphicData>
                  </a:graphic>
                </wp:inline>
              </w:drawing>
            </w:r>
            <w:r>
              <w:rPr>
                <w:rFonts w:cs="Times New Roman"/>
                <w:color w:val="000000"/>
                <w:sz w:val="24"/>
                <w:szCs w:val="24"/>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不太及时</w:t>
            </w:r>
          </w:p>
        </w:tc>
        <w:tc>
          <w:tcPr>
            <w:tcW w:w="155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2</w:t>
            </w:r>
          </w:p>
        </w:tc>
        <w:tc>
          <w:tcPr>
            <w:tcW w:w="438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1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6"/>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不及时</w:t>
            </w:r>
          </w:p>
        </w:tc>
        <w:tc>
          <w:tcPr>
            <w:tcW w:w="155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38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2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47"/>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237"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不了解</w:t>
            </w:r>
          </w:p>
        </w:tc>
        <w:tc>
          <w:tcPr>
            <w:tcW w:w="155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9</w:t>
            </w:r>
          </w:p>
        </w:tc>
        <w:tc>
          <w:tcPr>
            <w:tcW w:w="438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9050" cy="114300"/>
                  <wp:effectExtent l="0" t="0" r="11430" b="7620"/>
                  <wp:docPr id="12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48"/>
                          <pic:cNvPicPr>
                            <a:picLocks noChangeAspect="1"/>
                          </pic:cNvPicPr>
                        </pic:nvPicPr>
                        <pic:blipFill>
                          <a:blip r:embed="rId38"/>
                          <a:stretch>
                            <a:fillRect/>
                          </a:stretch>
                        </pic:blipFill>
                        <pic:spPr>
                          <a:xfrm>
                            <a:off x="0" y="0"/>
                            <a:ext cx="190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33500" cy="114300"/>
                  <wp:effectExtent l="0" t="0" r="7620" b="7620"/>
                  <wp:docPr id="11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9"/>
                          <pic:cNvPicPr>
                            <a:picLocks noChangeAspect="1"/>
                          </pic:cNvPicPr>
                        </pic:nvPicPr>
                        <pic:blipFill>
                          <a:blip r:embed="rId39"/>
                          <a:stretch>
                            <a:fillRect/>
                          </a:stretch>
                        </pic:blipFill>
                        <pic:spPr>
                          <a:xfrm>
                            <a:off x="0" y="0"/>
                            <a:ext cx="1333500" cy="114300"/>
                          </a:xfrm>
                          <a:prstGeom prst="rect">
                            <a:avLst/>
                          </a:prstGeom>
                          <a:noFill/>
                          <a:ln>
                            <a:noFill/>
                          </a:ln>
                        </pic:spPr>
                      </pic:pic>
                    </a:graphicData>
                  </a:graphic>
                </wp:inline>
              </w:drawing>
            </w:r>
            <w:r>
              <w:rPr>
                <w:rFonts w:cs="Times New Roman"/>
                <w:color w:val="000000"/>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237"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58"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381"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27" w:name="_Toc4004"/>
      <w:r>
        <w:rPr>
          <w:rFonts w:cs="Times New Roman"/>
          <w:b/>
          <w:bCs/>
          <w:sz w:val="24"/>
          <w:szCs w:val="24"/>
        </w:rPr>
        <w:t>4.您认为全区残疾人人文活动多元化程度?</w:t>
      </w:r>
      <w:bookmarkEnd w:id="227"/>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242人次的调查对象认为残疾人人文活动多元化程度丰富，占比55%；有106人次的调查对象认为残疾人人文活动多元化程度较为丰富，占比24.09%；有66人次的调查对象认为残疾人人文活动多元化程度一般，占比15%；有8人次的调查对象认为残疾人人文活动多元化程度不太丰富，占比1.82；有5人次的调查对象认为残疾人人文活动多元化程度不丰富，占比1.14%；有13人次的调查对象不了解残疾人人文活动多元化程度。可见，残疾人人文活动多元化程度较为丰富，但仍存在较大的提升改进空间。</w:t>
      </w:r>
    </w:p>
    <w:p>
      <w:pPr>
        <w:widowControl w:val="0"/>
        <w:spacing w:line="240" w:lineRule="auto"/>
        <w:ind w:firstLine="480"/>
        <w:rPr>
          <w:rFonts w:cs="Times New Roman"/>
          <w:color w:val="000000"/>
          <w:sz w:val="24"/>
          <w:szCs w:val="24"/>
        </w:rPr>
      </w:pPr>
    </w:p>
    <w:tbl>
      <w:tblPr>
        <w:tblStyle w:val="34"/>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561"/>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6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390"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丰富</w:t>
            </w:r>
          </w:p>
        </w:tc>
        <w:tc>
          <w:tcPr>
            <w:tcW w:w="156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242</w:t>
            </w:r>
          </w:p>
        </w:tc>
        <w:tc>
          <w:tcPr>
            <w:tcW w:w="439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742950" cy="114300"/>
                  <wp:effectExtent l="0" t="0" r="3810" b="7620"/>
                  <wp:docPr id="12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0"/>
                          <pic:cNvPicPr>
                            <a:picLocks noChangeAspect="1"/>
                          </pic:cNvPicPr>
                        </pic:nvPicPr>
                        <pic:blipFill>
                          <a:blip r:embed="rId44"/>
                          <a:stretch>
                            <a:fillRect/>
                          </a:stretch>
                        </pic:blipFill>
                        <pic:spPr>
                          <a:xfrm>
                            <a:off x="0" y="0"/>
                            <a:ext cx="7429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609600" cy="114300"/>
                  <wp:effectExtent l="0" t="0" r="0" b="7620"/>
                  <wp:docPr id="1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51"/>
                          <pic:cNvPicPr>
                            <a:picLocks noChangeAspect="1"/>
                          </pic:cNvPicPr>
                        </pic:nvPicPr>
                        <pic:blipFill>
                          <a:blip r:embed="rId45"/>
                          <a:stretch>
                            <a:fillRect/>
                          </a:stretch>
                        </pic:blipFill>
                        <pic:spPr>
                          <a:xfrm>
                            <a:off x="0" y="0"/>
                            <a:ext cx="609600" cy="114300"/>
                          </a:xfrm>
                          <a:prstGeom prst="rect">
                            <a:avLst/>
                          </a:prstGeom>
                          <a:noFill/>
                          <a:ln>
                            <a:noFill/>
                          </a:ln>
                        </pic:spPr>
                      </pic:pic>
                    </a:graphicData>
                  </a:graphic>
                </wp:inline>
              </w:drawing>
            </w:r>
            <w:r>
              <w:rPr>
                <w:rFonts w:cs="Times New Roman"/>
                <w:color w:val="00000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较丰富</w:t>
            </w:r>
          </w:p>
        </w:tc>
        <w:tc>
          <w:tcPr>
            <w:tcW w:w="156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106</w:t>
            </w:r>
          </w:p>
        </w:tc>
        <w:tc>
          <w:tcPr>
            <w:tcW w:w="439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323850" cy="114300"/>
                  <wp:effectExtent l="0" t="0" r="11430" b="7620"/>
                  <wp:docPr id="13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2"/>
                          <pic:cNvPicPr>
                            <a:picLocks noChangeAspect="1"/>
                          </pic:cNvPicPr>
                        </pic:nvPicPr>
                        <pic:blipFill>
                          <a:blip r:embed="rId46"/>
                          <a:stretch>
                            <a:fillRect/>
                          </a:stretch>
                        </pic:blipFill>
                        <pic:spPr>
                          <a:xfrm>
                            <a:off x="0" y="0"/>
                            <a:ext cx="3238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28700" cy="114300"/>
                  <wp:effectExtent l="0" t="0" r="7620" b="7620"/>
                  <wp:docPr id="13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3"/>
                          <pic:cNvPicPr>
                            <a:picLocks noChangeAspect="1"/>
                          </pic:cNvPicPr>
                        </pic:nvPicPr>
                        <pic:blipFill>
                          <a:blip r:embed="rId47"/>
                          <a:stretch>
                            <a:fillRect/>
                          </a:stretch>
                        </pic:blipFill>
                        <pic:spPr>
                          <a:xfrm>
                            <a:off x="0" y="0"/>
                            <a:ext cx="1028700" cy="114300"/>
                          </a:xfrm>
                          <a:prstGeom prst="rect">
                            <a:avLst/>
                          </a:prstGeom>
                          <a:noFill/>
                          <a:ln>
                            <a:noFill/>
                          </a:ln>
                        </pic:spPr>
                      </pic:pic>
                    </a:graphicData>
                  </a:graphic>
                </wp:inline>
              </w:drawing>
            </w:r>
            <w:r>
              <w:rPr>
                <w:rFonts w:cs="Times New Roman"/>
                <w:color w:val="000000"/>
                <w:sz w:val="24"/>
                <w:szCs w:val="24"/>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6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66</w:t>
            </w:r>
          </w:p>
        </w:tc>
        <w:tc>
          <w:tcPr>
            <w:tcW w:w="439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00025" cy="114300"/>
                  <wp:effectExtent l="0" t="0" r="13335" b="7620"/>
                  <wp:docPr id="13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54"/>
                          <pic:cNvPicPr>
                            <a:picLocks noChangeAspect="1"/>
                          </pic:cNvPicPr>
                        </pic:nvPicPr>
                        <pic:blipFill>
                          <a:blip r:embed="rId48"/>
                          <a:stretch>
                            <a:fillRect/>
                          </a:stretch>
                        </pic:blipFill>
                        <pic:spPr>
                          <a:xfrm>
                            <a:off x="0" y="0"/>
                            <a:ext cx="2000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152525" cy="114300"/>
                  <wp:effectExtent l="0" t="0" r="5715" b="7620"/>
                  <wp:docPr id="13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5"/>
                          <pic:cNvPicPr>
                            <a:picLocks noChangeAspect="1"/>
                          </pic:cNvPicPr>
                        </pic:nvPicPr>
                        <pic:blipFill>
                          <a:blip r:embed="rId49"/>
                          <a:stretch>
                            <a:fillRect/>
                          </a:stretch>
                        </pic:blipFill>
                        <pic:spPr>
                          <a:xfrm>
                            <a:off x="0" y="0"/>
                            <a:ext cx="1152525" cy="114300"/>
                          </a:xfrm>
                          <a:prstGeom prst="rect">
                            <a:avLst/>
                          </a:prstGeom>
                          <a:noFill/>
                          <a:ln>
                            <a:noFill/>
                          </a:ln>
                        </pic:spPr>
                      </pic:pic>
                    </a:graphicData>
                  </a:graphic>
                </wp:inline>
              </w:drawing>
            </w:r>
            <w:r>
              <w:rPr>
                <w:rFonts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不太丰富</w:t>
            </w:r>
          </w:p>
        </w:tc>
        <w:tc>
          <w:tcPr>
            <w:tcW w:w="156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8</w:t>
            </w:r>
          </w:p>
        </w:tc>
        <w:tc>
          <w:tcPr>
            <w:tcW w:w="439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9050" cy="114300"/>
                  <wp:effectExtent l="0" t="0" r="11430" b="7620"/>
                  <wp:docPr id="13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56"/>
                          <pic:cNvPicPr>
                            <a:picLocks noChangeAspect="1"/>
                          </pic:cNvPicPr>
                        </pic:nvPicPr>
                        <pic:blipFill>
                          <a:blip r:embed="rId38"/>
                          <a:stretch>
                            <a:fillRect/>
                          </a:stretch>
                        </pic:blipFill>
                        <pic:spPr>
                          <a:xfrm>
                            <a:off x="0" y="0"/>
                            <a:ext cx="190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33500" cy="114300"/>
                  <wp:effectExtent l="0" t="0" r="7620" b="7620"/>
                  <wp:docPr id="13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7"/>
                          <pic:cNvPicPr>
                            <a:picLocks noChangeAspect="1"/>
                          </pic:cNvPicPr>
                        </pic:nvPicPr>
                        <pic:blipFill>
                          <a:blip r:embed="rId39"/>
                          <a:stretch>
                            <a:fillRect/>
                          </a:stretch>
                        </pic:blipFill>
                        <pic:spPr>
                          <a:xfrm>
                            <a:off x="0" y="0"/>
                            <a:ext cx="1333500" cy="114300"/>
                          </a:xfrm>
                          <a:prstGeom prst="rect">
                            <a:avLst/>
                          </a:prstGeom>
                          <a:noFill/>
                          <a:ln>
                            <a:noFill/>
                          </a:ln>
                        </pic:spPr>
                      </pic:pic>
                    </a:graphicData>
                  </a:graphic>
                </wp:inline>
              </w:drawing>
            </w:r>
            <w:r>
              <w:rPr>
                <w:rFonts w:cs="Times New Roman"/>
                <w:color w:val="000000"/>
                <w:sz w:val="24"/>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不丰富</w:t>
            </w:r>
          </w:p>
        </w:tc>
        <w:tc>
          <w:tcPr>
            <w:tcW w:w="156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5</w:t>
            </w:r>
          </w:p>
        </w:tc>
        <w:tc>
          <w:tcPr>
            <w:tcW w:w="439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 cy="114300"/>
                  <wp:effectExtent l="0" t="0" r="5715" b="6985"/>
                  <wp:docPr id="13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8"/>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43025" cy="114300"/>
                  <wp:effectExtent l="0" t="0" r="13335" b="7620"/>
                  <wp:docPr id="13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9"/>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Pr>
                <w:rFonts w:cs="Times New Roman"/>
                <w:color w:val="000000"/>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24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不了解</w:t>
            </w:r>
          </w:p>
        </w:tc>
        <w:tc>
          <w:tcPr>
            <w:tcW w:w="156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13</w:t>
            </w:r>
          </w:p>
        </w:tc>
        <w:tc>
          <w:tcPr>
            <w:tcW w:w="439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38100" cy="114300"/>
                  <wp:effectExtent l="0" t="0" r="7620" b="7620"/>
                  <wp:docPr id="13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0"/>
                          <pic:cNvPicPr>
                            <a:picLocks noChangeAspect="1"/>
                          </pic:cNvPicPr>
                        </pic:nvPicPr>
                        <pic:blipFill>
                          <a:blip r:embed="rId50"/>
                          <a:stretch>
                            <a:fillRect/>
                          </a:stretch>
                        </pic:blipFill>
                        <pic:spPr>
                          <a:xfrm>
                            <a:off x="0" y="0"/>
                            <a:ext cx="3810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14450" cy="114300"/>
                  <wp:effectExtent l="0" t="0" r="11430" b="7620"/>
                  <wp:docPr id="13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1"/>
                          <pic:cNvPicPr>
                            <a:picLocks noChangeAspect="1"/>
                          </pic:cNvPicPr>
                        </pic:nvPicPr>
                        <pic:blipFill>
                          <a:blip r:embed="rId51"/>
                          <a:stretch>
                            <a:fillRect/>
                          </a:stretch>
                        </pic:blipFill>
                        <pic:spPr>
                          <a:xfrm>
                            <a:off x="0" y="0"/>
                            <a:ext cx="1314450" cy="114300"/>
                          </a:xfrm>
                          <a:prstGeom prst="rect">
                            <a:avLst/>
                          </a:prstGeom>
                          <a:noFill/>
                          <a:ln>
                            <a:noFill/>
                          </a:ln>
                        </pic:spPr>
                      </pic:pic>
                    </a:graphicData>
                  </a:graphic>
                </wp:inline>
              </w:drawing>
            </w:r>
            <w:r>
              <w:rPr>
                <w:rFonts w:cs="Times New Roman"/>
                <w:color w:val="000000"/>
                <w:sz w:val="24"/>
                <w:szCs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324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6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390"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28" w:name="_Toc9218"/>
      <w:r>
        <w:rPr>
          <w:rFonts w:cs="Times New Roman"/>
          <w:b/>
          <w:bCs/>
          <w:sz w:val="24"/>
          <w:szCs w:val="24"/>
        </w:rPr>
        <w:t>5.您认为残疾人精神文化生活有提高程度?</w:t>
      </w:r>
      <w:bookmarkEnd w:id="228"/>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255人次的调查对象认为残疾人精神文化生活有很大提高，占比57.95%；有137人次的调查对象认为残疾人精神文化生活有所提高，占比31.14%；有35人次的调查对象认为残疾人精神文化生活提高程度一般，占比7.95%；有4人次的调查对象认为残疾人精神文化生活没有提高，占比0.91%；有1人次的调查对象认为残疾人的精神文化生活越来越差；有8人次的调查对象不了解残疾人的精神文化生活是否有所提高。由此可见，残疾人精神文化生活水平有所提高，仍有一定提升空间。</w:t>
      </w:r>
    </w:p>
    <w:p>
      <w:pPr>
        <w:widowControl w:val="0"/>
        <w:spacing w:line="240" w:lineRule="auto"/>
        <w:ind w:firstLine="480"/>
        <w:rPr>
          <w:rFonts w:cs="Times New Roman"/>
          <w:color w:val="000000"/>
          <w:sz w:val="24"/>
          <w:szCs w:val="24"/>
        </w:rPr>
      </w:pPr>
    </w:p>
    <w:tbl>
      <w:tblPr>
        <w:tblStyle w:val="34"/>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561"/>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6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390"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有很大提高</w:t>
            </w:r>
          </w:p>
        </w:tc>
        <w:tc>
          <w:tcPr>
            <w:tcW w:w="156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255</w:t>
            </w:r>
          </w:p>
        </w:tc>
        <w:tc>
          <w:tcPr>
            <w:tcW w:w="439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781050" cy="114300"/>
                  <wp:effectExtent l="0" t="0" r="11430" b="7620"/>
                  <wp:docPr id="14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62"/>
                          <pic:cNvPicPr>
                            <a:picLocks noChangeAspect="1"/>
                          </pic:cNvPicPr>
                        </pic:nvPicPr>
                        <pic:blipFill>
                          <a:blip r:embed="rId52"/>
                          <a:stretch>
                            <a:fillRect/>
                          </a:stretch>
                        </pic:blipFill>
                        <pic:spPr>
                          <a:xfrm>
                            <a:off x="0" y="0"/>
                            <a:ext cx="7810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571500" cy="114300"/>
                  <wp:effectExtent l="0" t="0" r="7620" b="7620"/>
                  <wp:docPr id="14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3"/>
                          <pic:cNvPicPr>
                            <a:picLocks noChangeAspect="1"/>
                          </pic:cNvPicPr>
                        </pic:nvPicPr>
                        <pic:blipFill>
                          <a:blip r:embed="rId53"/>
                          <a:stretch>
                            <a:fillRect/>
                          </a:stretch>
                        </pic:blipFill>
                        <pic:spPr>
                          <a:xfrm>
                            <a:off x="0" y="0"/>
                            <a:ext cx="571500" cy="114300"/>
                          </a:xfrm>
                          <a:prstGeom prst="rect">
                            <a:avLst/>
                          </a:prstGeom>
                          <a:noFill/>
                          <a:ln>
                            <a:noFill/>
                          </a:ln>
                        </pic:spPr>
                      </pic:pic>
                    </a:graphicData>
                  </a:graphic>
                </wp:inline>
              </w:drawing>
            </w:r>
            <w:r>
              <w:rPr>
                <w:rFonts w:cs="Times New Roman"/>
                <w:color w:val="000000"/>
                <w:sz w:val="24"/>
                <w:szCs w:val="24"/>
              </w:rPr>
              <w:t>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有提高</w:t>
            </w:r>
          </w:p>
        </w:tc>
        <w:tc>
          <w:tcPr>
            <w:tcW w:w="156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137</w:t>
            </w:r>
          </w:p>
        </w:tc>
        <w:tc>
          <w:tcPr>
            <w:tcW w:w="439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419100" cy="114300"/>
                  <wp:effectExtent l="0" t="0" r="7620" b="7620"/>
                  <wp:docPr id="14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4"/>
                          <pic:cNvPicPr>
                            <a:picLocks noChangeAspect="1"/>
                          </pic:cNvPicPr>
                        </pic:nvPicPr>
                        <pic:blipFill>
                          <a:blip r:embed="rId54"/>
                          <a:stretch>
                            <a:fillRect/>
                          </a:stretch>
                        </pic:blipFill>
                        <pic:spPr>
                          <a:xfrm>
                            <a:off x="0" y="0"/>
                            <a:ext cx="41910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933450" cy="114300"/>
                  <wp:effectExtent l="0" t="0" r="11430" b="7620"/>
                  <wp:docPr id="14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65"/>
                          <pic:cNvPicPr>
                            <a:picLocks noChangeAspect="1"/>
                          </pic:cNvPicPr>
                        </pic:nvPicPr>
                        <pic:blipFill>
                          <a:blip r:embed="rId55"/>
                          <a:stretch>
                            <a:fillRect/>
                          </a:stretch>
                        </pic:blipFill>
                        <pic:spPr>
                          <a:xfrm>
                            <a:off x="0" y="0"/>
                            <a:ext cx="933450" cy="114300"/>
                          </a:xfrm>
                          <a:prstGeom prst="rect">
                            <a:avLst/>
                          </a:prstGeom>
                          <a:noFill/>
                          <a:ln>
                            <a:noFill/>
                          </a:ln>
                        </pic:spPr>
                      </pic:pic>
                    </a:graphicData>
                  </a:graphic>
                </wp:inline>
              </w:drawing>
            </w:r>
            <w:r>
              <w:rPr>
                <w:rFonts w:cs="Times New Roman"/>
                <w:color w:val="000000"/>
                <w:sz w:val="24"/>
                <w:szCs w:val="24"/>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6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35</w:t>
            </w:r>
          </w:p>
        </w:tc>
        <w:tc>
          <w:tcPr>
            <w:tcW w:w="439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04775" cy="114300"/>
                  <wp:effectExtent l="0" t="0" r="1905" b="7620"/>
                  <wp:docPr id="14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66"/>
                          <pic:cNvPicPr>
                            <a:picLocks noChangeAspect="1"/>
                          </pic:cNvPicPr>
                        </pic:nvPicPr>
                        <pic:blipFill>
                          <a:blip r:embed="rId56"/>
                          <a:stretch>
                            <a:fillRect/>
                          </a:stretch>
                        </pic:blipFill>
                        <pic:spPr>
                          <a:xfrm>
                            <a:off x="0" y="0"/>
                            <a:ext cx="1047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47775" cy="114300"/>
                  <wp:effectExtent l="0" t="0" r="1905" b="7620"/>
                  <wp:docPr id="14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67"/>
                          <pic:cNvPicPr>
                            <a:picLocks noChangeAspect="1"/>
                          </pic:cNvPicPr>
                        </pic:nvPicPr>
                        <pic:blipFill>
                          <a:blip r:embed="rId57"/>
                          <a:stretch>
                            <a:fillRect/>
                          </a:stretch>
                        </pic:blipFill>
                        <pic:spPr>
                          <a:xfrm>
                            <a:off x="0" y="0"/>
                            <a:ext cx="1247775" cy="114300"/>
                          </a:xfrm>
                          <a:prstGeom prst="rect">
                            <a:avLst/>
                          </a:prstGeom>
                          <a:noFill/>
                          <a:ln>
                            <a:noFill/>
                          </a:ln>
                        </pic:spPr>
                      </pic:pic>
                    </a:graphicData>
                  </a:graphic>
                </wp:inline>
              </w:drawing>
            </w:r>
            <w:r>
              <w:rPr>
                <w:rFonts w:cs="Times New Roman"/>
                <w:color w:val="000000"/>
                <w:sz w:val="24"/>
                <w:szCs w:val="24"/>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没有提高</w:t>
            </w:r>
          </w:p>
        </w:tc>
        <w:tc>
          <w:tcPr>
            <w:tcW w:w="156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4</w:t>
            </w:r>
          </w:p>
        </w:tc>
        <w:tc>
          <w:tcPr>
            <w:tcW w:w="439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 cy="114300"/>
                  <wp:effectExtent l="0" t="0" r="5715" b="6985"/>
                  <wp:docPr id="14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68"/>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43025" cy="114300"/>
                  <wp:effectExtent l="0" t="0" r="13335" b="7620"/>
                  <wp:docPr id="14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69"/>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Pr>
                <w:rFonts w:cs="Times New Roman"/>
                <w:color w:val="000000"/>
                <w:sz w:val="24"/>
                <w:szCs w:val="24"/>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越来越差</w:t>
            </w:r>
          </w:p>
        </w:tc>
        <w:tc>
          <w:tcPr>
            <w:tcW w:w="156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1</w:t>
            </w:r>
          </w:p>
        </w:tc>
        <w:tc>
          <w:tcPr>
            <w:tcW w:w="439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4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0"/>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24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不了解</w:t>
            </w:r>
          </w:p>
        </w:tc>
        <w:tc>
          <w:tcPr>
            <w:tcW w:w="156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8</w:t>
            </w:r>
          </w:p>
        </w:tc>
        <w:tc>
          <w:tcPr>
            <w:tcW w:w="439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9050" cy="114300"/>
                  <wp:effectExtent l="0" t="0" r="11430" b="7620"/>
                  <wp:docPr id="14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71"/>
                          <pic:cNvPicPr>
                            <a:picLocks noChangeAspect="1"/>
                          </pic:cNvPicPr>
                        </pic:nvPicPr>
                        <pic:blipFill>
                          <a:blip r:embed="rId38"/>
                          <a:stretch>
                            <a:fillRect/>
                          </a:stretch>
                        </pic:blipFill>
                        <pic:spPr>
                          <a:xfrm>
                            <a:off x="0" y="0"/>
                            <a:ext cx="190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33500" cy="114300"/>
                  <wp:effectExtent l="0" t="0" r="7620" b="7620"/>
                  <wp:docPr id="15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72"/>
                          <pic:cNvPicPr>
                            <a:picLocks noChangeAspect="1"/>
                          </pic:cNvPicPr>
                        </pic:nvPicPr>
                        <pic:blipFill>
                          <a:blip r:embed="rId39"/>
                          <a:stretch>
                            <a:fillRect/>
                          </a:stretch>
                        </pic:blipFill>
                        <pic:spPr>
                          <a:xfrm>
                            <a:off x="0" y="0"/>
                            <a:ext cx="1333500" cy="114300"/>
                          </a:xfrm>
                          <a:prstGeom prst="rect">
                            <a:avLst/>
                          </a:prstGeom>
                          <a:noFill/>
                          <a:ln>
                            <a:noFill/>
                          </a:ln>
                        </pic:spPr>
                      </pic:pic>
                    </a:graphicData>
                  </a:graphic>
                </wp:inline>
              </w:drawing>
            </w:r>
            <w:r>
              <w:rPr>
                <w:rFonts w:cs="Times New Roman"/>
                <w:color w:val="000000"/>
                <w:sz w:val="24"/>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24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6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390"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2"/>
        <w:rPr>
          <w:rFonts w:cs="Times New Roman"/>
          <w:b/>
          <w:bCs/>
          <w:sz w:val="24"/>
          <w:szCs w:val="24"/>
        </w:rPr>
      </w:pPr>
    </w:p>
    <w:p>
      <w:pPr>
        <w:widowControl w:val="0"/>
        <w:spacing w:line="240" w:lineRule="auto"/>
        <w:ind w:firstLine="482"/>
        <w:rPr>
          <w:rFonts w:cs="Times New Roman"/>
          <w:b/>
          <w:bCs/>
          <w:sz w:val="24"/>
          <w:szCs w:val="24"/>
        </w:rPr>
      </w:pPr>
    </w:p>
    <w:p>
      <w:pPr>
        <w:widowControl w:val="0"/>
        <w:spacing w:line="240" w:lineRule="auto"/>
        <w:ind w:firstLine="482"/>
        <w:rPr>
          <w:rFonts w:cs="Times New Roman"/>
          <w:b/>
          <w:bCs/>
          <w:sz w:val="24"/>
          <w:szCs w:val="24"/>
        </w:rPr>
      </w:pPr>
      <w:bookmarkStart w:id="229" w:name="_Toc30500"/>
      <w:r>
        <w:rPr>
          <w:rFonts w:cs="Times New Roman"/>
          <w:b/>
          <w:bCs/>
          <w:sz w:val="24"/>
          <w:szCs w:val="24"/>
        </w:rPr>
        <w:t>6.您认为全社会助残能力提升作用?</w:t>
      </w:r>
      <w:bookmarkEnd w:id="229"/>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281人次的调查对象认为全社会助残能力有显著提升，占比63.86%；有103人次的调查对象认为全社会助残能力提升较为显著，占比23.41%；有46人次的调查对象认为全社会助残能力提升程度一般，占比10.45%；有6人次的调查对象认为全社会助残能力提升不太显著，占比1.36%；有4人次的调查对象不了解全社会助残能力提升程度。总的来说，大部分调查对象认为全社会助残能力有所提升，但仍存在一定提升空间。</w:t>
      </w:r>
    </w:p>
    <w:p>
      <w:pPr>
        <w:widowControl w:val="0"/>
        <w:spacing w:line="240" w:lineRule="auto"/>
        <w:ind w:firstLine="480"/>
        <w:rPr>
          <w:rFonts w:cs="Times New Roman"/>
          <w:color w:val="000000"/>
          <w:sz w:val="24"/>
          <w:szCs w:val="24"/>
        </w:rPr>
      </w:pPr>
    </w:p>
    <w:p>
      <w:pPr>
        <w:pStyle w:val="24"/>
      </w:pPr>
    </w:p>
    <w:tbl>
      <w:tblPr>
        <w:tblStyle w:val="3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548"/>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48"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35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显著</w:t>
            </w:r>
          </w:p>
        </w:tc>
        <w:tc>
          <w:tcPr>
            <w:tcW w:w="154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281</w:t>
            </w:r>
          </w:p>
        </w:tc>
        <w:tc>
          <w:tcPr>
            <w:tcW w:w="435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857250" cy="114300"/>
                  <wp:effectExtent l="0" t="0" r="11430" b="7620"/>
                  <wp:docPr id="16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73"/>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495300" cy="114300"/>
                  <wp:effectExtent l="0" t="0" r="7620" b="7620"/>
                  <wp:docPr id="15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74"/>
                          <pic:cNvPicPr>
                            <a:picLocks noChangeAspect="1"/>
                          </pic:cNvPicPr>
                        </pic:nvPicPr>
                        <pic:blipFill>
                          <a:blip r:embed="rId31"/>
                          <a:stretch>
                            <a:fillRect/>
                          </a:stretch>
                        </pic:blipFill>
                        <pic:spPr>
                          <a:xfrm>
                            <a:off x="0" y="0"/>
                            <a:ext cx="495300" cy="114300"/>
                          </a:xfrm>
                          <a:prstGeom prst="rect">
                            <a:avLst/>
                          </a:prstGeom>
                          <a:noFill/>
                          <a:ln>
                            <a:noFill/>
                          </a:ln>
                        </pic:spPr>
                      </pic:pic>
                    </a:graphicData>
                  </a:graphic>
                </wp:inline>
              </w:drawing>
            </w:r>
            <w:r>
              <w:rPr>
                <w:rFonts w:cs="Times New Roman"/>
                <w:color w:val="000000"/>
                <w:sz w:val="24"/>
                <w:szCs w:val="24"/>
              </w:rPr>
              <w:t>63.86%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较显著</w:t>
            </w:r>
          </w:p>
        </w:tc>
        <w:tc>
          <w:tcPr>
            <w:tcW w:w="154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103</w:t>
            </w:r>
          </w:p>
        </w:tc>
        <w:tc>
          <w:tcPr>
            <w:tcW w:w="435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314325" cy="114300"/>
                  <wp:effectExtent l="0" t="0" r="5715" b="7620"/>
                  <wp:docPr id="152"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75"/>
                          <pic:cNvPicPr>
                            <a:picLocks noChangeAspect="1"/>
                          </pic:cNvPicPr>
                        </pic:nvPicPr>
                        <pic:blipFill>
                          <a:blip r:embed="rId58"/>
                          <a:stretch>
                            <a:fillRect/>
                          </a:stretch>
                        </pic:blipFill>
                        <pic:spPr>
                          <a:xfrm>
                            <a:off x="0" y="0"/>
                            <a:ext cx="3143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38225" cy="114300"/>
                  <wp:effectExtent l="0" t="0" r="13335" b="7620"/>
                  <wp:docPr id="15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76"/>
                          <pic:cNvPicPr>
                            <a:picLocks noChangeAspect="1"/>
                          </pic:cNvPicPr>
                        </pic:nvPicPr>
                        <pic:blipFill>
                          <a:blip r:embed="rId59"/>
                          <a:stretch>
                            <a:fillRect/>
                          </a:stretch>
                        </pic:blipFill>
                        <pic:spPr>
                          <a:xfrm>
                            <a:off x="0" y="0"/>
                            <a:ext cx="1038225" cy="114300"/>
                          </a:xfrm>
                          <a:prstGeom prst="rect">
                            <a:avLst/>
                          </a:prstGeom>
                          <a:noFill/>
                          <a:ln>
                            <a:noFill/>
                          </a:ln>
                        </pic:spPr>
                      </pic:pic>
                    </a:graphicData>
                  </a:graphic>
                </wp:inline>
              </w:drawing>
            </w:r>
            <w:r>
              <w:rPr>
                <w:rFonts w:cs="Times New Roman"/>
                <w:color w:val="000000"/>
                <w:sz w:val="24"/>
                <w:szCs w:val="24"/>
              </w:rPr>
              <w:t>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4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46</w:t>
            </w:r>
          </w:p>
        </w:tc>
        <w:tc>
          <w:tcPr>
            <w:tcW w:w="435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3350" cy="114300"/>
                  <wp:effectExtent l="0" t="0" r="3810" b="7620"/>
                  <wp:docPr id="15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77"/>
                          <pic:cNvPicPr>
                            <a:picLocks noChangeAspect="1"/>
                          </pic:cNvPicPr>
                        </pic:nvPicPr>
                        <pic:blipFill>
                          <a:blip r:embed="rId60"/>
                          <a:stretch>
                            <a:fillRect/>
                          </a:stretch>
                        </pic:blipFill>
                        <pic:spPr>
                          <a:xfrm>
                            <a:off x="0" y="0"/>
                            <a:ext cx="1333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19200" cy="114300"/>
                  <wp:effectExtent l="0" t="0" r="0" b="7620"/>
                  <wp:docPr id="15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78"/>
                          <pic:cNvPicPr>
                            <a:picLocks noChangeAspect="1"/>
                          </pic:cNvPicPr>
                        </pic:nvPicPr>
                        <pic:blipFill>
                          <a:blip r:embed="rId61"/>
                          <a:stretch>
                            <a:fillRect/>
                          </a:stretch>
                        </pic:blipFill>
                        <pic:spPr>
                          <a:xfrm>
                            <a:off x="0" y="0"/>
                            <a:ext cx="1219200" cy="114300"/>
                          </a:xfrm>
                          <a:prstGeom prst="rect">
                            <a:avLst/>
                          </a:prstGeom>
                          <a:noFill/>
                          <a:ln>
                            <a:noFill/>
                          </a:ln>
                        </pic:spPr>
                      </pic:pic>
                    </a:graphicData>
                  </a:graphic>
                </wp:inline>
              </w:drawing>
            </w:r>
            <w:r>
              <w:rPr>
                <w:rFonts w:cs="Times New Roman"/>
                <w:color w:val="000000"/>
                <w:sz w:val="24"/>
                <w:szCs w:val="24"/>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不太显著</w:t>
            </w:r>
          </w:p>
        </w:tc>
        <w:tc>
          <w:tcPr>
            <w:tcW w:w="154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6</w:t>
            </w:r>
          </w:p>
        </w:tc>
        <w:tc>
          <w:tcPr>
            <w:tcW w:w="435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 cy="114300"/>
                  <wp:effectExtent l="0" t="0" r="5715" b="6985"/>
                  <wp:docPr id="16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79"/>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43025" cy="114300"/>
                  <wp:effectExtent l="0" t="0" r="13335" b="7620"/>
                  <wp:docPr id="15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80"/>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Pr>
                <w:rFonts w:cs="Times New Roman"/>
                <w:color w:val="000000"/>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 xml:space="preserve"> 不显著</w:t>
            </w:r>
          </w:p>
        </w:tc>
        <w:tc>
          <w:tcPr>
            <w:tcW w:w="1548"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35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5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81"/>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21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不了解</w:t>
            </w:r>
          </w:p>
        </w:tc>
        <w:tc>
          <w:tcPr>
            <w:tcW w:w="1548"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4</w:t>
            </w:r>
          </w:p>
        </w:tc>
        <w:tc>
          <w:tcPr>
            <w:tcW w:w="435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 cy="114300"/>
                  <wp:effectExtent l="0" t="0" r="5715" b="6985"/>
                  <wp:docPr id="15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82"/>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43025" cy="114300"/>
                  <wp:effectExtent l="0" t="0" r="13335" b="7620"/>
                  <wp:docPr id="15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83"/>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Pr>
                <w:rFonts w:cs="Times New Roman"/>
                <w:color w:val="000000"/>
                <w:sz w:val="24"/>
                <w:szCs w:val="24"/>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21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48"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351"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30" w:name="_Toc894"/>
      <w:r>
        <w:rPr>
          <w:rFonts w:cs="Times New Roman"/>
          <w:b/>
          <w:bCs/>
          <w:sz w:val="24"/>
          <w:szCs w:val="24"/>
        </w:rPr>
        <w:t>7.您对韶关市残疾人联合会对残疾人康复救助工作满意吗?</w:t>
      </w:r>
      <w:bookmarkEnd w:id="230"/>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329人次的调查对象非常满意韶关市残疾人联合会对残疾人康复救助工作，占比74.77%；有86人次的调查对象基本满意韶关市残疾人联合会对残疾人康复救助工作，占比19.55%；有24人次的调查对象认为韶关市残疾人联合会对残疾人康复救助工作成效一般，占比5.45%；有1人次的调查对象不太满意认为韶关市残疾人联合会对残疾人康复救助工作。总的来说，大部分调查对象对于韶关市残疾人联合会的残疾人康复救助工作感到较为满意。</w:t>
      </w:r>
    </w:p>
    <w:p>
      <w:pPr>
        <w:widowControl w:val="0"/>
        <w:spacing w:line="240" w:lineRule="auto"/>
        <w:ind w:firstLine="480"/>
        <w:rPr>
          <w:rFonts w:cs="Times New Roman"/>
          <w:color w:val="000000"/>
          <w:sz w:val="24"/>
          <w:szCs w:val="24"/>
        </w:rPr>
      </w:pPr>
    </w:p>
    <w:tbl>
      <w:tblPr>
        <w:tblStyle w:val="3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516"/>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1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1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263"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1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非常满意</w:t>
            </w:r>
          </w:p>
        </w:tc>
        <w:tc>
          <w:tcPr>
            <w:tcW w:w="151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329</w:t>
            </w:r>
          </w:p>
        </w:tc>
        <w:tc>
          <w:tcPr>
            <w:tcW w:w="4263"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009650" cy="114300"/>
                  <wp:effectExtent l="0" t="0" r="11430" b="7620"/>
                  <wp:docPr id="17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92"/>
                          <pic:cNvPicPr>
                            <a:picLocks noChangeAspect="1"/>
                          </pic:cNvPicPr>
                        </pic:nvPicPr>
                        <pic:blipFill>
                          <a:blip r:embed="rId62"/>
                          <a:stretch>
                            <a:fillRect/>
                          </a:stretch>
                        </pic:blipFill>
                        <pic:spPr>
                          <a:xfrm>
                            <a:off x="0" y="0"/>
                            <a:ext cx="10096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342900" cy="114300"/>
                  <wp:effectExtent l="0" t="0" r="7620" b="7620"/>
                  <wp:docPr id="17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93"/>
                          <pic:cNvPicPr>
                            <a:picLocks noChangeAspect="1"/>
                          </pic:cNvPicPr>
                        </pic:nvPicPr>
                        <pic:blipFill>
                          <a:blip r:embed="rId63"/>
                          <a:stretch>
                            <a:fillRect/>
                          </a:stretch>
                        </pic:blipFill>
                        <pic:spPr>
                          <a:xfrm>
                            <a:off x="0" y="0"/>
                            <a:ext cx="342900" cy="114300"/>
                          </a:xfrm>
                          <a:prstGeom prst="rect">
                            <a:avLst/>
                          </a:prstGeom>
                          <a:noFill/>
                          <a:ln>
                            <a:noFill/>
                          </a:ln>
                        </pic:spPr>
                      </pic:pic>
                    </a:graphicData>
                  </a:graphic>
                </wp:inline>
              </w:drawing>
            </w:r>
            <w:r>
              <w:rPr>
                <w:rFonts w:cs="Times New Roman"/>
                <w:color w:val="000000"/>
                <w:sz w:val="24"/>
                <w:szCs w:val="24"/>
              </w:rPr>
              <w:t>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1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基本满意</w:t>
            </w:r>
          </w:p>
        </w:tc>
        <w:tc>
          <w:tcPr>
            <w:tcW w:w="151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86</w:t>
            </w:r>
          </w:p>
        </w:tc>
        <w:tc>
          <w:tcPr>
            <w:tcW w:w="4263"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57175" cy="114300"/>
                  <wp:effectExtent l="0" t="0" r="1905" b="7620"/>
                  <wp:docPr id="17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94"/>
                          <pic:cNvPicPr>
                            <a:picLocks noChangeAspect="1"/>
                          </pic:cNvPicPr>
                        </pic:nvPicPr>
                        <pic:blipFill>
                          <a:blip r:embed="rId25"/>
                          <a:stretch>
                            <a:fillRect/>
                          </a:stretch>
                        </pic:blipFill>
                        <pic:spPr>
                          <a:xfrm>
                            <a:off x="0" y="0"/>
                            <a:ext cx="2571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95375" cy="114300"/>
                  <wp:effectExtent l="0" t="0" r="1905" b="7620"/>
                  <wp:docPr id="177"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95"/>
                          <pic:cNvPicPr>
                            <a:picLocks noChangeAspect="1"/>
                          </pic:cNvPicPr>
                        </pic:nvPicPr>
                        <pic:blipFill>
                          <a:blip r:embed="rId26"/>
                          <a:stretch>
                            <a:fillRect/>
                          </a:stretch>
                        </pic:blipFill>
                        <pic:spPr>
                          <a:xfrm>
                            <a:off x="0" y="0"/>
                            <a:ext cx="1095375" cy="114300"/>
                          </a:xfrm>
                          <a:prstGeom prst="rect">
                            <a:avLst/>
                          </a:prstGeom>
                          <a:noFill/>
                          <a:ln>
                            <a:noFill/>
                          </a:ln>
                        </pic:spPr>
                      </pic:pic>
                    </a:graphicData>
                  </a:graphic>
                </wp:inline>
              </w:drawing>
            </w:r>
            <w:r>
              <w:rPr>
                <w:rFonts w:cs="Times New Roman"/>
                <w:color w:val="000000"/>
                <w:sz w:val="24"/>
                <w:szCs w:val="24"/>
              </w:rPr>
              <w: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1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1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24</w:t>
            </w:r>
          </w:p>
        </w:tc>
        <w:tc>
          <w:tcPr>
            <w:tcW w:w="4263"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66675" cy="114300"/>
                  <wp:effectExtent l="0" t="0" r="9525" b="7620"/>
                  <wp:docPr id="173"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96"/>
                          <pic:cNvPicPr>
                            <a:picLocks noChangeAspect="1"/>
                          </pic:cNvPicPr>
                        </pic:nvPicPr>
                        <pic:blipFill>
                          <a:blip r:embed="rId64"/>
                          <a:stretch>
                            <a:fillRect/>
                          </a:stretch>
                        </pic:blipFill>
                        <pic:spPr>
                          <a:xfrm>
                            <a:off x="0" y="0"/>
                            <a:ext cx="666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85875" cy="114300"/>
                  <wp:effectExtent l="0" t="0" r="9525" b="7620"/>
                  <wp:docPr id="174"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97"/>
                          <pic:cNvPicPr>
                            <a:picLocks noChangeAspect="1"/>
                          </pic:cNvPicPr>
                        </pic:nvPicPr>
                        <pic:blipFill>
                          <a:blip r:embed="rId65"/>
                          <a:stretch>
                            <a:fillRect/>
                          </a:stretch>
                        </pic:blipFill>
                        <pic:spPr>
                          <a:xfrm>
                            <a:off x="0" y="0"/>
                            <a:ext cx="1285875" cy="114300"/>
                          </a:xfrm>
                          <a:prstGeom prst="rect">
                            <a:avLst/>
                          </a:prstGeom>
                          <a:noFill/>
                          <a:ln>
                            <a:noFill/>
                          </a:ln>
                        </pic:spPr>
                      </pic:pic>
                    </a:graphicData>
                  </a:graphic>
                </wp:inline>
              </w:drawing>
            </w:r>
            <w:r>
              <w:rPr>
                <w:rFonts w:cs="Times New Roman"/>
                <w:color w:val="000000"/>
                <w:sz w:val="24"/>
                <w:szCs w:val="24"/>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1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不太满意</w:t>
            </w:r>
          </w:p>
        </w:tc>
        <w:tc>
          <w:tcPr>
            <w:tcW w:w="151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1</w:t>
            </w:r>
          </w:p>
        </w:tc>
        <w:tc>
          <w:tcPr>
            <w:tcW w:w="4263"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75"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98"/>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1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非常不满意 ，原因</w:t>
            </w:r>
          </w:p>
        </w:tc>
        <w:tc>
          <w:tcPr>
            <w:tcW w:w="151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263"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7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99"/>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1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1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263"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31" w:name="_Toc27105"/>
      <w:r>
        <w:rPr>
          <w:rFonts w:cs="Times New Roman"/>
          <w:b/>
          <w:bCs/>
          <w:sz w:val="24"/>
          <w:szCs w:val="24"/>
        </w:rPr>
        <w:t>8.您对残疾人联合会提供的就业帮扶工作是否满意?</w:t>
      </w:r>
      <w:bookmarkEnd w:id="231"/>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305人次的调查对象非常满意残疾人联合会提供的就业帮扶工作，占比69.32%；有98人次的调查对象基本满意残疾人联合会提供的就业帮扶工作，占比22.27%；有33人次的调查对象对于残疾人联合会提供的就业帮扶工作感到一般，占比7.5%；有4人次的调查对象不太满意残疾人联合会提供的就业帮扶工作，占比0.91%。由此可见，大部分残疾人对于残疾人联合会提供的就业帮扶工作感到较为满意。</w:t>
      </w:r>
    </w:p>
    <w:p>
      <w:pPr>
        <w:widowControl w:val="0"/>
        <w:spacing w:line="240" w:lineRule="auto"/>
        <w:ind w:firstLine="480"/>
        <w:rPr>
          <w:rFonts w:cs="Times New Roman"/>
          <w:color w:val="000000"/>
          <w:sz w:val="24"/>
          <w:szCs w:val="24"/>
        </w:rPr>
      </w:pPr>
    </w:p>
    <w:tbl>
      <w:tblPr>
        <w:tblStyle w:val="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1519"/>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2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1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272"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2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非常满意</w:t>
            </w:r>
          </w:p>
        </w:tc>
        <w:tc>
          <w:tcPr>
            <w:tcW w:w="151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305</w:t>
            </w:r>
          </w:p>
        </w:tc>
        <w:tc>
          <w:tcPr>
            <w:tcW w:w="4272"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33450" cy="114300"/>
                  <wp:effectExtent l="0" t="0" r="11430" b="7620"/>
                  <wp:docPr id="17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00"/>
                          <pic:cNvPicPr>
                            <a:picLocks noChangeAspect="1"/>
                          </pic:cNvPicPr>
                        </pic:nvPicPr>
                        <pic:blipFill>
                          <a:blip r:embed="rId66"/>
                          <a:stretch>
                            <a:fillRect/>
                          </a:stretch>
                        </pic:blipFill>
                        <pic:spPr>
                          <a:xfrm>
                            <a:off x="0" y="0"/>
                            <a:ext cx="9334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419100" cy="114300"/>
                  <wp:effectExtent l="0" t="0" r="7620" b="7620"/>
                  <wp:docPr id="17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01"/>
                          <pic:cNvPicPr>
                            <a:picLocks noChangeAspect="1"/>
                          </pic:cNvPicPr>
                        </pic:nvPicPr>
                        <pic:blipFill>
                          <a:blip r:embed="rId67"/>
                          <a:stretch>
                            <a:fillRect/>
                          </a:stretch>
                        </pic:blipFill>
                        <pic:spPr>
                          <a:xfrm>
                            <a:off x="0" y="0"/>
                            <a:ext cx="419100" cy="114300"/>
                          </a:xfrm>
                          <a:prstGeom prst="rect">
                            <a:avLst/>
                          </a:prstGeom>
                          <a:noFill/>
                          <a:ln>
                            <a:noFill/>
                          </a:ln>
                        </pic:spPr>
                      </pic:pic>
                    </a:graphicData>
                  </a:graphic>
                </wp:inline>
              </w:drawing>
            </w:r>
            <w:r>
              <w:rPr>
                <w:rFonts w:cs="Times New Roman"/>
                <w:color w:val="000000"/>
                <w:sz w:val="24"/>
                <w:szCs w:val="24"/>
              </w:rPr>
              <w:t>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2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基本满意</w:t>
            </w:r>
          </w:p>
        </w:tc>
        <w:tc>
          <w:tcPr>
            <w:tcW w:w="151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98</w:t>
            </w:r>
          </w:p>
        </w:tc>
        <w:tc>
          <w:tcPr>
            <w:tcW w:w="4272"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95275" cy="114300"/>
                  <wp:effectExtent l="0" t="0" r="9525" b="7620"/>
                  <wp:docPr id="180"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02"/>
                          <pic:cNvPicPr>
                            <a:picLocks noChangeAspect="1"/>
                          </pic:cNvPicPr>
                        </pic:nvPicPr>
                        <pic:blipFill>
                          <a:blip r:embed="rId32"/>
                          <a:stretch>
                            <a:fillRect/>
                          </a:stretch>
                        </pic:blipFill>
                        <pic:spPr>
                          <a:xfrm>
                            <a:off x="0" y="0"/>
                            <a:ext cx="2952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57275" cy="114300"/>
                  <wp:effectExtent l="0" t="0" r="9525" b="7620"/>
                  <wp:docPr id="181"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03"/>
                          <pic:cNvPicPr>
                            <a:picLocks noChangeAspect="1"/>
                          </pic:cNvPicPr>
                        </pic:nvPicPr>
                        <pic:blipFill>
                          <a:blip r:embed="rId33"/>
                          <a:stretch>
                            <a:fillRect/>
                          </a:stretch>
                        </pic:blipFill>
                        <pic:spPr>
                          <a:xfrm>
                            <a:off x="0" y="0"/>
                            <a:ext cx="1057275" cy="114300"/>
                          </a:xfrm>
                          <a:prstGeom prst="rect">
                            <a:avLst/>
                          </a:prstGeom>
                          <a:noFill/>
                          <a:ln>
                            <a:noFill/>
                          </a:ln>
                        </pic:spPr>
                      </pic:pic>
                    </a:graphicData>
                  </a:graphic>
                </wp:inline>
              </w:drawing>
            </w:r>
            <w:r>
              <w:rPr>
                <w:rFonts w:cs="Times New Roman"/>
                <w:color w:val="000000"/>
                <w:sz w:val="24"/>
                <w:szCs w:val="24"/>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2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1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33</w:t>
            </w:r>
          </w:p>
        </w:tc>
        <w:tc>
          <w:tcPr>
            <w:tcW w:w="4272"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0" cy="114300"/>
                  <wp:effectExtent l="0" t="0" r="11430" b="7620"/>
                  <wp:docPr id="182"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4"/>
                          <pic:cNvPicPr>
                            <a:picLocks noChangeAspect="1"/>
                          </pic:cNvPicPr>
                        </pic:nvPicPr>
                        <pic:blipFill>
                          <a:blip r:embed="rId68"/>
                          <a:stretch>
                            <a:fillRect/>
                          </a:stretch>
                        </pic:blipFill>
                        <pic:spPr>
                          <a:xfrm>
                            <a:off x="0" y="0"/>
                            <a:ext cx="952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57300" cy="114300"/>
                  <wp:effectExtent l="0" t="0" r="7620" b="7620"/>
                  <wp:docPr id="18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05"/>
                          <pic:cNvPicPr>
                            <a:picLocks noChangeAspect="1"/>
                          </pic:cNvPicPr>
                        </pic:nvPicPr>
                        <pic:blipFill>
                          <a:blip r:embed="rId69"/>
                          <a:stretch>
                            <a:fillRect/>
                          </a:stretch>
                        </pic:blipFill>
                        <pic:spPr>
                          <a:xfrm>
                            <a:off x="0" y="0"/>
                            <a:ext cx="1257300" cy="114300"/>
                          </a:xfrm>
                          <a:prstGeom prst="rect">
                            <a:avLst/>
                          </a:prstGeom>
                          <a:noFill/>
                          <a:ln>
                            <a:noFill/>
                          </a:ln>
                        </pic:spPr>
                      </pic:pic>
                    </a:graphicData>
                  </a:graphic>
                </wp:inline>
              </w:drawing>
            </w:r>
            <w:r>
              <w:rPr>
                <w:rFonts w:cs="Times New Roman"/>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25"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不太满意</w:t>
            </w:r>
          </w:p>
        </w:tc>
        <w:tc>
          <w:tcPr>
            <w:tcW w:w="1519"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4</w:t>
            </w:r>
          </w:p>
        </w:tc>
        <w:tc>
          <w:tcPr>
            <w:tcW w:w="4272"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525" cy="114300"/>
                  <wp:effectExtent l="0" t="0" r="5715" b="6985"/>
                  <wp:docPr id="18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06"/>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343025" cy="114300"/>
                  <wp:effectExtent l="0" t="0" r="13335" b="7620"/>
                  <wp:docPr id="18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07"/>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Pr>
                <w:rFonts w:cs="Times New Roman"/>
                <w:color w:val="000000"/>
                <w:sz w:val="24"/>
                <w:szCs w:val="24"/>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25"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非常不满意 ，原因</w:t>
            </w:r>
          </w:p>
        </w:tc>
        <w:tc>
          <w:tcPr>
            <w:tcW w:w="1519"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272"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84"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08"/>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225"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19"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272"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32" w:name="_Toc32340"/>
      <w:r>
        <w:rPr>
          <w:rFonts w:cs="Times New Roman"/>
          <w:b/>
          <w:bCs/>
          <w:sz w:val="24"/>
          <w:szCs w:val="24"/>
        </w:rPr>
        <w:t>9.您对韶关市残疾人联合会工作人员的服务态度是否满意?</w:t>
      </w:r>
      <w:bookmarkEnd w:id="232"/>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348人次的调查对象非常满意残疾人联合会工作人员的服务态度，占比79.09%；有72人次的调查对象基本满意残疾人联合会工作人员的服务态度，占比16.36%；有20人次的调查对象认为残疾人联合会工作人员的服务态度一般，占比4.55%。总的来说，韶关市残疾人联合会工作人员的服务态度较好，让大部分残疾人基本满意。</w:t>
      </w:r>
    </w:p>
    <w:tbl>
      <w:tblPr>
        <w:tblStyle w:val="34"/>
        <w:tblpPr w:leftFromText="180" w:rightFromText="180" w:vertAnchor="text" w:horzAnchor="page" w:tblpX="1807" w:tblpY="279"/>
        <w:tblOverlap w:val="never"/>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1523"/>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3232"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23"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28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3232"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非常满意</w:t>
            </w:r>
          </w:p>
        </w:tc>
        <w:tc>
          <w:tcPr>
            <w:tcW w:w="1523"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348</w:t>
            </w:r>
          </w:p>
        </w:tc>
        <w:tc>
          <w:tcPr>
            <w:tcW w:w="428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066800" cy="114300"/>
                  <wp:effectExtent l="0" t="0" r="0" b="7620"/>
                  <wp:docPr id="187"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09"/>
                          <pic:cNvPicPr>
                            <a:picLocks noChangeAspect="1"/>
                          </pic:cNvPicPr>
                        </pic:nvPicPr>
                        <pic:blipFill>
                          <a:blip r:embed="rId70"/>
                          <a:stretch>
                            <a:fillRect/>
                          </a:stretch>
                        </pic:blipFill>
                        <pic:spPr>
                          <a:xfrm>
                            <a:off x="0" y="0"/>
                            <a:ext cx="106680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285750" cy="114300"/>
                  <wp:effectExtent l="0" t="0" r="3810" b="7620"/>
                  <wp:docPr id="19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10"/>
                          <pic:cNvPicPr>
                            <a:picLocks noChangeAspect="1"/>
                          </pic:cNvPicPr>
                        </pic:nvPicPr>
                        <pic:blipFill>
                          <a:blip r:embed="rId71"/>
                          <a:stretch>
                            <a:fillRect/>
                          </a:stretch>
                        </pic:blipFill>
                        <pic:spPr>
                          <a:xfrm>
                            <a:off x="0" y="0"/>
                            <a:ext cx="285750" cy="114300"/>
                          </a:xfrm>
                          <a:prstGeom prst="rect">
                            <a:avLst/>
                          </a:prstGeom>
                          <a:noFill/>
                          <a:ln>
                            <a:noFill/>
                          </a:ln>
                        </pic:spPr>
                      </pic:pic>
                    </a:graphicData>
                  </a:graphic>
                </wp:inline>
              </w:drawing>
            </w:r>
            <w:r>
              <w:rPr>
                <w:rFonts w:cs="Times New Roman"/>
                <w:color w:val="000000"/>
                <w:sz w:val="24"/>
                <w:szCs w:val="24"/>
              </w:rPr>
              <w:t>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3232"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基本满意</w:t>
            </w:r>
          </w:p>
        </w:tc>
        <w:tc>
          <w:tcPr>
            <w:tcW w:w="1523"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72</w:t>
            </w:r>
          </w:p>
        </w:tc>
        <w:tc>
          <w:tcPr>
            <w:tcW w:w="428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19075" cy="114300"/>
                  <wp:effectExtent l="0" t="0" r="9525" b="7620"/>
                  <wp:docPr id="193"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11"/>
                          <pic:cNvPicPr>
                            <a:picLocks noChangeAspect="1"/>
                          </pic:cNvPicPr>
                        </pic:nvPicPr>
                        <pic:blipFill>
                          <a:blip r:embed="rId72"/>
                          <a:stretch>
                            <a:fillRect/>
                          </a:stretch>
                        </pic:blipFill>
                        <pic:spPr>
                          <a:xfrm>
                            <a:off x="0" y="0"/>
                            <a:ext cx="2190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133475" cy="114300"/>
                  <wp:effectExtent l="0" t="0" r="9525" b="7620"/>
                  <wp:docPr id="194"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12"/>
                          <pic:cNvPicPr>
                            <a:picLocks noChangeAspect="1"/>
                          </pic:cNvPicPr>
                        </pic:nvPicPr>
                        <pic:blipFill>
                          <a:blip r:embed="rId73"/>
                          <a:stretch>
                            <a:fillRect/>
                          </a:stretch>
                        </pic:blipFill>
                        <pic:spPr>
                          <a:xfrm>
                            <a:off x="0" y="0"/>
                            <a:ext cx="1133475" cy="114300"/>
                          </a:xfrm>
                          <a:prstGeom prst="rect">
                            <a:avLst/>
                          </a:prstGeom>
                          <a:noFill/>
                          <a:ln>
                            <a:noFill/>
                          </a:ln>
                        </pic:spPr>
                      </pic:pic>
                    </a:graphicData>
                  </a:graphic>
                </wp:inline>
              </w:drawing>
            </w:r>
            <w:r>
              <w:rPr>
                <w:rFonts w:cs="Times New Roman"/>
                <w:color w:val="000000"/>
                <w:sz w:val="24"/>
                <w:szCs w:val="24"/>
              </w:rPr>
              <w:t>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3232"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23"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20</w:t>
            </w:r>
          </w:p>
        </w:tc>
        <w:tc>
          <w:tcPr>
            <w:tcW w:w="428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57150" cy="114300"/>
                  <wp:effectExtent l="0" t="0" r="3810" b="7620"/>
                  <wp:docPr id="188"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13"/>
                          <pic:cNvPicPr>
                            <a:picLocks noChangeAspect="1"/>
                          </pic:cNvPicPr>
                        </pic:nvPicPr>
                        <pic:blipFill>
                          <a:blip r:embed="rId27"/>
                          <a:stretch>
                            <a:fillRect/>
                          </a:stretch>
                        </pic:blipFill>
                        <pic:spPr>
                          <a:xfrm>
                            <a:off x="0" y="0"/>
                            <a:ext cx="5715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95400" cy="114300"/>
                  <wp:effectExtent l="0" t="0" r="0" b="7620"/>
                  <wp:docPr id="189"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14"/>
                          <pic:cNvPicPr>
                            <a:picLocks noChangeAspect="1"/>
                          </pic:cNvPicPr>
                        </pic:nvPicPr>
                        <pic:blipFill>
                          <a:blip r:embed="rId28"/>
                          <a:stretch>
                            <a:fillRect/>
                          </a:stretch>
                        </pic:blipFill>
                        <pic:spPr>
                          <a:xfrm>
                            <a:off x="0" y="0"/>
                            <a:ext cx="1295400" cy="114300"/>
                          </a:xfrm>
                          <a:prstGeom prst="rect">
                            <a:avLst/>
                          </a:prstGeom>
                          <a:noFill/>
                          <a:ln>
                            <a:noFill/>
                          </a:ln>
                        </pic:spPr>
                      </pic:pic>
                    </a:graphicData>
                  </a:graphic>
                </wp:inline>
              </w:drawing>
            </w:r>
            <w:r>
              <w:rPr>
                <w:rFonts w:cs="Times New Roman"/>
                <w:color w:val="000000"/>
                <w:sz w:val="24"/>
                <w:szCs w:val="24"/>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3232"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不太满意</w:t>
            </w:r>
          </w:p>
        </w:tc>
        <w:tc>
          <w:tcPr>
            <w:tcW w:w="1523"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28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90"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15"/>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3232"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非常不满意 ，原因</w:t>
            </w:r>
          </w:p>
        </w:tc>
        <w:tc>
          <w:tcPr>
            <w:tcW w:w="1523"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28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91"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16"/>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232"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23"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281"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bookmarkStart w:id="233" w:name="_Toc27739"/>
      <w:r>
        <w:rPr>
          <w:rFonts w:cs="Times New Roman"/>
          <w:b/>
          <w:bCs/>
          <w:sz w:val="24"/>
          <w:szCs w:val="24"/>
        </w:rPr>
        <w:t>10.您对残疾人联合会举办的文体活动的满意度</w:t>
      </w:r>
      <w:bookmarkEnd w:id="233"/>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314人次的调查对象对于残疾人联合会举办的文体活动感到非常满意，占比71.36%；有97人次的调查对象对于残疾人联合会举办的文体活动感到基本满意，占比22.05%；有29人次的调查对象认为残疾人联合会举办的文体活动一般，占比6.59%。因此，残疾人联合会举办的文体活动让受众群体感到基本满意。</w:t>
      </w:r>
    </w:p>
    <w:p>
      <w:pPr>
        <w:widowControl w:val="0"/>
        <w:spacing w:line="240" w:lineRule="auto"/>
        <w:ind w:firstLine="480"/>
        <w:rPr>
          <w:rFonts w:cs="Times New Roman"/>
          <w:color w:val="000000"/>
          <w:sz w:val="24"/>
          <w:szCs w:val="24"/>
        </w:rPr>
      </w:pPr>
    </w:p>
    <w:tbl>
      <w:tblPr>
        <w:tblStyle w:val="34"/>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1556"/>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304"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5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37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304"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非常满意</w:t>
            </w:r>
          </w:p>
        </w:tc>
        <w:tc>
          <w:tcPr>
            <w:tcW w:w="155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314</w:t>
            </w:r>
          </w:p>
        </w:tc>
        <w:tc>
          <w:tcPr>
            <w:tcW w:w="437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62025" cy="114300"/>
                  <wp:effectExtent l="0" t="0" r="13335" b="7620"/>
                  <wp:docPr id="20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17"/>
                          <pic:cNvPicPr>
                            <a:picLocks noChangeAspect="1"/>
                          </pic:cNvPicPr>
                        </pic:nvPicPr>
                        <pic:blipFill>
                          <a:blip r:embed="rId74"/>
                          <a:stretch>
                            <a:fillRect/>
                          </a:stretch>
                        </pic:blipFill>
                        <pic:spPr>
                          <a:xfrm>
                            <a:off x="0" y="0"/>
                            <a:ext cx="9620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390525" cy="114300"/>
                  <wp:effectExtent l="0" t="0" r="5715" b="7620"/>
                  <wp:docPr id="202"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18"/>
                          <pic:cNvPicPr>
                            <a:picLocks noChangeAspect="1"/>
                          </pic:cNvPicPr>
                        </pic:nvPicPr>
                        <pic:blipFill>
                          <a:blip r:embed="rId75"/>
                          <a:stretch>
                            <a:fillRect/>
                          </a:stretch>
                        </pic:blipFill>
                        <pic:spPr>
                          <a:xfrm>
                            <a:off x="0" y="0"/>
                            <a:ext cx="390525" cy="114300"/>
                          </a:xfrm>
                          <a:prstGeom prst="rect">
                            <a:avLst/>
                          </a:prstGeom>
                          <a:noFill/>
                          <a:ln>
                            <a:noFill/>
                          </a:ln>
                        </pic:spPr>
                      </pic:pic>
                    </a:graphicData>
                  </a:graphic>
                </wp:inline>
              </w:drawing>
            </w:r>
            <w:r>
              <w:rPr>
                <w:rFonts w:cs="Times New Roman"/>
                <w:color w:val="000000"/>
                <w:sz w:val="24"/>
                <w:szCs w:val="24"/>
              </w:rPr>
              <w:t>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304"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基本满意</w:t>
            </w:r>
          </w:p>
        </w:tc>
        <w:tc>
          <w:tcPr>
            <w:tcW w:w="155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97</w:t>
            </w:r>
          </w:p>
        </w:tc>
        <w:tc>
          <w:tcPr>
            <w:tcW w:w="437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95275" cy="114300"/>
                  <wp:effectExtent l="0" t="0" r="9525" b="7620"/>
                  <wp:docPr id="201"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19"/>
                          <pic:cNvPicPr>
                            <a:picLocks noChangeAspect="1"/>
                          </pic:cNvPicPr>
                        </pic:nvPicPr>
                        <pic:blipFill>
                          <a:blip r:embed="rId32"/>
                          <a:stretch>
                            <a:fillRect/>
                          </a:stretch>
                        </pic:blipFill>
                        <pic:spPr>
                          <a:xfrm>
                            <a:off x="0" y="0"/>
                            <a:ext cx="2952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57275" cy="114300"/>
                  <wp:effectExtent l="0" t="0" r="9525" b="7620"/>
                  <wp:docPr id="195"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20"/>
                          <pic:cNvPicPr>
                            <a:picLocks noChangeAspect="1"/>
                          </pic:cNvPicPr>
                        </pic:nvPicPr>
                        <pic:blipFill>
                          <a:blip r:embed="rId33"/>
                          <a:stretch>
                            <a:fillRect/>
                          </a:stretch>
                        </pic:blipFill>
                        <pic:spPr>
                          <a:xfrm>
                            <a:off x="0" y="0"/>
                            <a:ext cx="1057275" cy="114300"/>
                          </a:xfrm>
                          <a:prstGeom prst="rect">
                            <a:avLst/>
                          </a:prstGeom>
                          <a:noFill/>
                          <a:ln>
                            <a:noFill/>
                          </a:ln>
                        </pic:spPr>
                      </pic:pic>
                    </a:graphicData>
                  </a:graphic>
                </wp:inline>
              </w:drawing>
            </w:r>
            <w:r>
              <w:rPr>
                <w:rFonts w:cs="Times New Roman"/>
                <w:color w:val="000000"/>
                <w:sz w:val="24"/>
                <w:szCs w:val="24"/>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304"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5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29</w:t>
            </w:r>
          </w:p>
        </w:tc>
        <w:tc>
          <w:tcPr>
            <w:tcW w:w="437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85725" cy="114300"/>
                  <wp:effectExtent l="0" t="0" r="5715" b="7620"/>
                  <wp:docPr id="19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21"/>
                          <pic:cNvPicPr>
                            <a:picLocks noChangeAspect="1"/>
                          </pic:cNvPicPr>
                        </pic:nvPicPr>
                        <pic:blipFill>
                          <a:blip r:embed="rId76"/>
                          <a:stretch>
                            <a:fillRect/>
                          </a:stretch>
                        </pic:blipFill>
                        <pic:spPr>
                          <a:xfrm>
                            <a:off x="0" y="0"/>
                            <a:ext cx="857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66825" cy="114300"/>
                  <wp:effectExtent l="0" t="0" r="13335" b="7620"/>
                  <wp:docPr id="196"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22"/>
                          <pic:cNvPicPr>
                            <a:picLocks noChangeAspect="1"/>
                          </pic:cNvPicPr>
                        </pic:nvPicPr>
                        <pic:blipFill>
                          <a:blip r:embed="rId77"/>
                          <a:stretch>
                            <a:fillRect/>
                          </a:stretch>
                        </pic:blipFill>
                        <pic:spPr>
                          <a:xfrm>
                            <a:off x="0" y="0"/>
                            <a:ext cx="1266825" cy="114300"/>
                          </a:xfrm>
                          <a:prstGeom prst="rect">
                            <a:avLst/>
                          </a:prstGeom>
                          <a:noFill/>
                          <a:ln>
                            <a:noFill/>
                          </a:ln>
                        </pic:spPr>
                      </pic:pic>
                    </a:graphicData>
                  </a:graphic>
                </wp:inline>
              </w:drawing>
            </w:r>
            <w:r>
              <w:rPr>
                <w:rFonts w:cs="Times New Roman"/>
                <w:color w:val="000000"/>
                <w:sz w:val="24"/>
                <w:szCs w:val="24"/>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304"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不太满意</w:t>
            </w:r>
          </w:p>
        </w:tc>
        <w:tc>
          <w:tcPr>
            <w:tcW w:w="155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37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97"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23"/>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304"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非常不满意 ，原因</w:t>
            </w:r>
          </w:p>
        </w:tc>
        <w:tc>
          <w:tcPr>
            <w:tcW w:w="155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37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198"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24"/>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304"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5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376"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480"/>
        <w:rPr>
          <w:rFonts w:cs="Times New Roman"/>
          <w:color w:val="000000"/>
          <w:sz w:val="24"/>
          <w:szCs w:val="24"/>
        </w:rPr>
      </w:pPr>
    </w:p>
    <w:p>
      <w:pPr>
        <w:widowControl w:val="0"/>
        <w:spacing w:line="240" w:lineRule="auto"/>
        <w:ind w:firstLine="482"/>
        <w:rPr>
          <w:rFonts w:cs="Times New Roman"/>
          <w:b/>
          <w:bCs/>
          <w:sz w:val="24"/>
          <w:szCs w:val="24"/>
        </w:rPr>
      </w:pPr>
    </w:p>
    <w:p>
      <w:pPr>
        <w:widowControl w:val="0"/>
        <w:spacing w:line="240" w:lineRule="auto"/>
        <w:ind w:firstLine="482"/>
        <w:rPr>
          <w:rFonts w:cs="Times New Roman"/>
          <w:b/>
          <w:bCs/>
          <w:sz w:val="24"/>
          <w:szCs w:val="24"/>
        </w:rPr>
      </w:pPr>
      <w:bookmarkStart w:id="234" w:name="_Toc22934"/>
      <w:r>
        <w:rPr>
          <w:rFonts w:cs="Times New Roman"/>
          <w:b/>
          <w:bCs/>
          <w:sz w:val="24"/>
          <w:szCs w:val="24"/>
        </w:rPr>
        <w:t>11.您对全社会助残能力的满意度</w:t>
      </w:r>
      <w:bookmarkEnd w:id="234"/>
      <w:r>
        <w:rPr>
          <w:rFonts w:cs="Times New Roman"/>
          <w:b/>
          <w:bCs/>
          <w:sz w:val="24"/>
          <w:szCs w:val="24"/>
        </w:rPr>
        <w:t xml:space="preserve"> </w:t>
      </w:r>
    </w:p>
    <w:p>
      <w:pPr>
        <w:widowControl w:val="0"/>
        <w:spacing w:line="240" w:lineRule="auto"/>
        <w:ind w:firstLine="480"/>
        <w:rPr>
          <w:rFonts w:cs="Times New Roman"/>
          <w:color w:val="000000"/>
          <w:sz w:val="24"/>
          <w:szCs w:val="24"/>
        </w:rPr>
      </w:pPr>
      <w:r>
        <w:rPr>
          <w:rFonts w:cs="Times New Roman"/>
          <w:color w:val="000000"/>
          <w:sz w:val="24"/>
          <w:szCs w:val="24"/>
        </w:rPr>
        <w:t>由统计表格可知，本题共有440人次进行填写。有316人次的调查对象对于全社会助残能力感到非常满意，占比71.82%；有87人次的调查对象对于全社会助残能力感到基本满意，占比19.77%；有35人次的调查对象对于全社会助残能力感到一般，占比7.95%；有2人次的调查对象不太满意全社会助残能力。由此可见，大部分残疾人对于全社会助残能力感到基本满意。</w:t>
      </w:r>
    </w:p>
    <w:p>
      <w:pPr>
        <w:widowControl w:val="0"/>
        <w:spacing w:line="240" w:lineRule="auto"/>
        <w:ind w:firstLine="480"/>
        <w:rPr>
          <w:rFonts w:cs="Times New Roman"/>
          <w:color w:val="000000"/>
          <w:sz w:val="24"/>
          <w:szCs w:val="24"/>
        </w:rPr>
      </w:pPr>
    </w:p>
    <w:tbl>
      <w:tblPr>
        <w:tblStyle w:val="34"/>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526"/>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40"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选项</w:t>
            </w:r>
          </w:p>
        </w:tc>
        <w:tc>
          <w:tcPr>
            <w:tcW w:w="152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小计</w:t>
            </w:r>
          </w:p>
        </w:tc>
        <w:tc>
          <w:tcPr>
            <w:tcW w:w="4291"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4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非常满意</w:t>
            </w:r>
          </w:p>
        </w:tc>
        <w:tc>
          <w:tcPr>
            <w:tcW w:w="152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316</w:t>
            </w:r>
          </w:p>
        </w:tc>
        <w:tc>
          <w:tcPr>
            <w:tcW w:w="429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962025" cy="114300"/>
                  <wp:effectExtent l="0" t="0" r="13335" b="7620"/>
                  <wp:docPr id="207"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25"/>
                          <pic:cNvPicPr>
                            <a:picLocks noChangeAspect="1"/>
                          </pic:cNvPicPr>
                        </pic:nvPicPr>
                        <pic:blipFill>
                          <a:blip r:embed="rId74"/>
                          <a:stretch>
                            <a:fillRect/>
                          </a:stretch>
                        </pic:blipFill>
                        <pic:spPr>
                          <a:xfrm>
                            <a:off x="0" y="0"/>
                            <a:ext cx="96202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390525" cy="114300"/>
                  <wp:effectExtent l="0" t="0" r="5715" b="7620"/>
                  <wp:docPr id="208"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26"/>
                          <pic:cNvPicPr>
                            <a:picLocks noChangeAspect="1"/>
                          </pic:cNvPicPr>
                        </pic:nvPicPr>
                        <pic:blipFill>
                          <a:blip r:embed="rId75"/>
                          <a:stretch>
                            <a:fillRect/>
                          </a:stretch>
                        </pic:blipFill>
                        <pic:spPr>
                          <a:xfrm>
                            <a:off x="0" y="0"/>
                            <a:ext cx="390525" cy="114300"/>
                          </a:xfrm>
                          <a:prstGeom prst="rect">
                            <a:avLst/>
                          </a:prstGeom>
                          <a:noFill/>
                          <a:ln>
                            <a:noFill/>
                          </a:ln>
                        </pic:spPr>
                      </pic:pic>
                    </a:graphicData>
                  </a:graphic>
                </wp:inline>
              </w:drawing>
            </w:r>
            <w:r>
              <w:rPr>
                <w:rFonts w:cs="Times New Roman"/>
                <w:color w:val="000000"/>
                <w:sz w:val="24"/>
                <w:szCs w:val="24"/>
              </w:rPr>
              <w:t>71.82%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4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基本满意</w:t>
            </w:r>
          </w:p>
        </w:tc>
        <w:tc>
          <w:tcPr>
            <w:tcW w:w="152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87</w:t>
            </w:r>
          </w:p>
        </w:tc>
        <w:tc>
          <w:tcPr>
            <w:tcW w:w="429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266700" cy="114300"/>
                  <wp:effectExtent l="0" t="0" r="7620" b="7620"/>
                  <wp:docPr id="205"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27"/>
                          <pic:cNvPicPr>
                            <a:picLocks noChangeAspect="1"/>
                          </pic:cNvPicPr>
                        </pic:nvPicPr>
                        <pic:blipFill>
                          <a:blip r:embed="rId78"/>
                          <a:stretch>
                            <a:fillRect/>
                          </a:stretch>
                        </pic:blipFill>
                        <pic:spPr>
                          <a:xfrm>
                            <a:off x="0" y="0"/>
                            <a:ext cx="266700"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085850" cy="114300"/>
                  <wp:effectExtent l="0" t="0" r="11430" b="7620"/>
                  <wp:docPr id="209"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28"/>
                          <pic:cNvPicPr>
                            <a:picLocks noChangeAspect="1"/>
                          </pic:cNvPicPr>
                        </pic:nvPicPr>
                        <pic:blipFill>
                          <a:blip r:embed="rId79"/>
                          <a:stretch>
                            <a:fillRect/>
                          </a:stretch>
                        </pic:blipFill>
                        <pic:spPr>
                          <a:xfrm>
                            <a:off x="0" y="0"/>
                            <a:ext cx="1085850" cy="114300"/>
                          </a:xfrm>
                          <a:prstGeom prst="rect">
                            <a:avLst/>
                          </a:prstGeom>
                          <a:noFill/>
                          <a:ln>
                            <a:noFill/>
                          </a:ln>
                        </pic:spPr>
                      </pic:pic>
                    </a:graphicData>
                  </a:graphic>
                </wp:inline>
              </w:drawing>
            </w:r>
            <w:r>
              <w:rPr>
                <w:rFonts w:cs="Times New Roman"/>
                <w:color w:val="000000"/>
                <w:sz w:val="24"/>
                <w:szCs w:val="24"/>
              </w:rPr>
              <w:t>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4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一般</w:t>
            </w:r>
          </w:p>
        </w:tc>
        <w:tc>
          <w:tcPr>
            <w:tcW w:w="152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35</w:t>
            </w:r>
          </w:p>
        </w:tc>
        <w:tc>
          <w:tcPr>
            <w:tcW w:w="429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04775" cy="114300"/>
                  <wp:effectExtent l="0" t="0" r="1905" b="7620"/>
                  <wp:docPr id="210"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29"/>
                          <pic:cNvPicPr>
                            <a:picLocks noChangeAspect="1"/>
                          </pic:cNvPicPr>
                        </pic:nvPicPr>
                        <pic:blipFill>
                          <a:blip r:embed="rId56"/>
                          <a:stretch>
                            <a:fillRect/>
                          </a:stretch>
                        </pic:blipFill>
                        <pic:spPr>
                          <a:xfrm>
                            <a:off x="0" y="0"/>
                            <a:ext cx="104775" cy="114300"/>
                          </a:xfrm>
                          <a:prstGeom prst="rect">
                            <a:avLst/>
                          </a:prstGeom>
                          <a:noFill/>
                          <a:ln>
                            <a:noFill/>
                          </a:ln>
                        </pic:spPr>
                      </pic:pic>
                    </a:graphicData>
                  </a:graphic>
                </wp:inline>
              </w:drawing>
            </w:r>
            <w:r>
              <w:rPr>
                <w:rFonts w:cs="Times New Roman"/>
                <w:color w:val="000000"/>
                <w:sz w:val="24"/>
                <w:szCs w:val="24"/>
              </w:rPr>
              <w:drawing>
                <wp:inline distT="0" distB="0" distL="114300" distR="114300">
                  <wp:extent cx="1247775" cy="114300"/>
                  <wp:effectExtent l="0" t="0" r="1905" b="7620"/>
                  <wp:docPr id="206"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30"/>
                          <pic:cNvPicPr>
                            <a:picLocks noChangeAspect="1"/>
                          </pic:cNvPicPr>
                        </pic:nvPicPr>
                        <pic:blipFill>
                          <a:blip r:embed="rId57"/>
                          <a:stretch>
                            <a:fillRect/>
                          </a:stretch>
                        </pic:blipFill>
                        <pic:spPr>
                          <a:xfrm>
                            <a:off x="0" y="0"/>
                            <a:ext cx="1247775" cy="114300"/>
                          </a:xfrm>
                          <a:prstGeom prst="rect">
                            <a:avLst/>
                          </a:prstGeom>
                          <a:noFill/>
                          <a:ln>
                            <a:noFill/>
                          </a:ln>
                        </pic:spPr>
                      </pic:pic>
                    </a:graphicData>
                  </a:graphic>
                </wp:inline>
              </w:drawing>
            </w:r>
            <w:r>
              <w:rPr>
                <w:rFonts w:cs="Times New Roman"/>
                <w:color w:val="000000"/>
                <w:sz w:val="24"/>
                <w:szCs w:val="24"/>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40"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不太满意</w:t>
            </w:r>
          </w:p>
        </w:tc>
        <w:tc>
          <w:tcPr>
            <w:tcW w:w="1526"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t>2</w:t>
            </w:r>
          </w:p>
        </w:tc>
        <w:tc>
          <w:tcPr>
            <w:tcW w:w="4291" w:type="dxa"/>
            <w:shd w:val="clear" w:color="auto" w:fill="FAFAFA"/>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203"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31"/>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240"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非常不满意 ，原因</w:t>
            </w:r>
          </w:p>
        </w:tc>
        <w:tc>
          <w:tcPr>
            <w:tcW w:w="1526"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t>0</w:t>
            </w:r>
          </w:p>
        </w:tc>
        <w:tc>
          <w:tcPr>
            <w:tcW w:w="4291" w:type="dxa"/>
            <w:shd w:val="clear" w:color="auto" w:fill="FFFFFF"/>
            <w:vAlign w:val="center"/>
          </w:tcPr>
          <w:p>
            <w:pPr>
              <w:widowControl w:val="0"/>
              <w:spacing w:line="240" w:lineRule="auto"/>
              <w:ind w:firstLine="480"/>
              <w:rPr>
                <w:rFonts w:cs="Times New Roman"/>
                <w:color w:val="000000"/>
                <w:sz w:val="24"/>
                <w:szCs w:val="24"/>
              </w:rPr>
            </w:pPr>
            <w:r>
              <w:rPr>
                <w:rFonts w:cs="Times New Roman"/>
                <w:color w:val="000000"/>
                <w:sz w:val="24"/>
                <w:szCs w:val="24"/>
              </w:rPr>
              <w:drawing>
                <wp:inline distT="0" distB="0" distL="114300" distR="114300">
                  <wp:extent cx="1352550" cy="114300"/>
                  <wp:effectExtent l="0" t="0" r="3810" b="7620"/>
                  <wp:docPr id="204"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32"/>
                          <pic:cNvPicPr>
                            <a:picLocks noChangeAspect="1"/>
                          </pic:cNvPicPr>
                        </pic:nvPicPr>
                        <pic:blipFill>
                          <a:blip r:embed="rId29"/>
                          <a:stretch>
                            <a:fillRect/>
                          </a:stretch>
                        </pic:blipFill>
                        <pic:spPr>
                          <a:xfrm>
                            <a:off x="0" y="0"/>
                            <a:ext cx="1352550" cy="114300"/>
                          </a:xfrm>
                          <a:prstGeom prst="rect">
                            <a:avLst/>
                          </a:prstGeom>
                          <a:noFill/>
                          <a:ln>
                            <a:noFill/>
                          </a:ln>
                        </pic:spPr>
                      </pic:pic>
                    </a:graphicData>
                  </a:graphic>
                </wp:inline>
              </w:drawing>
            </w:r>
            <w:r>
              <w:rPr>
                <w:rFonts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40"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本题有效填写人次</w:t>
            </w:r>
          </w:p>
        </w:tc>
        <w:tc>
          <w:tcPr>
            <w:tcW w:w="1526" w:type="dxa"/>
            <w:shd w:val="clear" w:color="auto" w:fill="F5F5F5"/>
            <w:vAlign w:val="center"/>
          </w:tcPr>
          <w:p>
            <w:pPr>
              <w:widowControl w:val="0"/>
              <w:spacing w:line="240" w:lineRule="auto"/>
              <w:ind w:firstLine="480"/>
              <w:rPr>
                <w:rFonts w:cs="Times New Roman"/>
                <w:color w:val="000000"/>
                <w:sz w:val="24"/>
                <w:szCs w:val="24"/>
              </w:rPr>
            </w:pPr>
            <w:r>
              <w:rPr>
                <w:rFonts w:cs="Times New Roman"/>
                <w:color w:val="000000"/>
                <w:sz w:val="24"/>
                <w:szCs w:val="24"/>
              </w:rPr>
              <w:t>440</w:t>
            </w:r>
          </w:p>
        </w:tc>
        <w:tc>
          <w:tcPr>
            <w:tcW w:w="4291" w:type="dxa"/>
            <w:shd w:val="clear" w:color="auto" w:fill="F5F5F5"/>
            <w:vAlign w:val="center"/>
          </w:tcPr>
          <w:p>
            <w:pPr>
              <w:widowControl w:val="0"/>
              <w:spacing w:line="240" w:lineRule="auto"/>
              <w:ind w:firstLine="480"/>
              <w:rPr>
                <w:rFonts w:cs="Times New Roman"/>
                <w:color w:val="000000"/>
                <w:sz w:val="24"/>
                <w:szCs w:val="24"/>
              </w:rPr>
            </w:pPr>
          </w:p>
        </w:tc>
      </w:tr>
    </w:tbl>
    <w:p>
      <w:pPr>
        <w:widowControl w:val="0"/>
        <w:spacing w:line="240" w:lineRule="auto"/>
        <w:ind w:firstLine="0" w:firstLineChars="0"/>
        <w:rPr>
          <w:rFonts w:cs="Times New Roman"/>
          <w:color w:val="000000"/>
          <w:sz w:val="24"/>
          <w:szCs w:val="24"/>
        </w:rPr>
      </w:pPr>
    </w:p>
    <w:p>
      <w:pPr>
        <w:ind w:firstLine="640"/>
        <w:rPr>
          <w:rFonts w:cs="Times New Roman"/>
        </w:rPr>
      </w:pPr>
    </w:p>
    <w:p>
      <w:pPr>
        <w:widowControl w:val="0"/>
        <w:spacing w:line="240" w:lineRule="auto"/>
        <w:ind w:firstLine="482"/>
        <w:rPr>
          <w:rFonts w:cs="Times New Roman"/>
          <w:b/>
          <w:bCs/>
          <w:sz w:val="24"/>
          <w:szCs w:val="24"/>
        </w:rPr>
      </w:pPr>
      <w:bookmarkStart w:id="235" w:name="_Toc32674"/>
      <w:r>
        <w:rPr>
          <w:rFonts w:cs="Times New Roman"/>
          <w:b/>
          <w:bCs/>
          <w:sz w:val="24"/>
          <w:szCs w:val="24"/>
        </w:rPr>
        <w:t>12.您对韶关市残疾人联合会服务工作有什么相关建议？</w:t>
      </w:r>
      <w:bookmarkEnd w:id="235"/>
    </w:p>
    <w:p>
      <w:pPr>
        <w:widowControl w:val="0"/>
        <w:spacing w:line="240" w:lineRule="auto"/>
        <w:ind w:firstLine="480"/>
        <w:rPr>
          <w:rFonts w:cs="Times New Roman"/>
          <w:color w:val="000000"/>
          <w:sz w:val="24"/>
          <w:szCs w:val="24"/>
        </w:rPr>
      </w:pPr>
      <w:r>
        <w:rPr>
          <w:rFonts w:cs="Times New Roman"/>
          <w:color w:val="000000"/>
          <w:sz w:val="24"/>
          <w:szCs w:val="24"/>
        </w:rPr>
        <w:t>对于韶关市残疾人联合会服务工作目前需要改进的地方，受众群体主要提出了以下几点建议：</w:t>
      </w:r>
    </w:p>
    <w:p>
      <w:pPr>
        <w:widowControl w:val="0"/>
        <w:spacing w:line="240" w:lineRule="auto"/>
        <w:ind w:firstLine="0" w:firstLineChars="0"/>
        <w:rPr>
          <w:rFonts w:cs="Times New Roman"/>
          <w:color w:val="000000"/>
          <w:sz w:val="24"/>
          <w:szCs w:val="24"/>
        </w:rPr>
      </w:pPr>
      <w:r>
        <w:rPr>
          <w:rFonts w:cs="Times New Roman"/>
          <w:color w:val="000000"/>
          <w:sz w:val="24"/>
          <w:szCs w:val="24"/>
        </w:rPr>
        <w:t>一是增加残疾人补贴数额，提升残疾人福利水平。确保持证残疾人可以充分享受相关补贴，在规定合理范围内增加补贴金额、补贴类型等；</w:t>
      </w:r>
    </w:p>
    <w:p>
      <w:pPr>
        <w:widowControl w:val="0"/>
        <w:spacing w:line="240" w:lineRule="auto"/>
        <w:ind w:firstLine="0" w:firstLineChars="0"/>
        <w:rPr>
          <w:rFonts w:cs="Times New Roman"/>
          <w:color w:val="000000"/>
          <w:sz w:val="24"/>
          <w:szCs w:val="24"/>
        </w:rPr>
      </w:pPr>
      <w:r>
        <w:rPr>
          <w:rFonts w:cs="Times New Roman"/>
          <w:color w:val="000000"/>
          <w:sz w:val="24"/>
          <w:szCs w:val="24"/>
        </w:rPr>
        <w:t>二是推动残疾人就业，提升残疾人自力更生能力。拓宽就业渠道，拓展残疾人就业及岗前培训的范围，做好推广就业培训及岗位实践的链接工作，让更多有能力的残疾人能够进行工作，实现自身价值；</w:t>
      </w:r>
    </w:p>
    <w:p>
      <w:pPr>
        <w:widowControl w:val="0"/>
        <w:spacing w:line="240" w:lineRule="auto"/>
        <w:ind w:firstLine="0" w:firstLineChars="0"/>
        <w:rPr>
          <w:rFonts w:cs="Times New Roman"/>
          <w:color w:val="000000"/>
          <w:sz w:val="24"/>
          <w:szCs w:val="24"/>
        </w:rPr>
      </w:pPr>
      <w:r>
        <w:rPr>
          <w:rFonts w:cs="Times New Roman"/>
          <w:color w:val="000000"/>
          <w:sz w:val="24"/>
          <w:szCs w:val="24"/>
        </w:rPr>
        <w:t>三是增强实地走访慰问工作，提升关爱尊重残疾人社会氛围。建议在节日期间多实地慰问残疾人及其家属，关心残疾人生活；</w:t>
      </w:r>
    </w:p>
    <w:p>
      <w:pPr>
        <w:widowControl w:val="0"/>
        <w:spacing w:line="240" w:lineRule="auto"/>
        <w:ind w:firstLine="0" w:firstLineChars="0"/>
        <w:rPr>
          <w:rFonts w:cs="Times New Roman"/>
        </w:rPr>
        <w:sectPr>
          <w:pgSz w:w="11907" w:h="16839"/>
          <w:pgMar w:top="1440" w:right="1418" w:bottom="1440" w:left="1531" w:header="720" w:footer="720" w:gutter="0"/>
          <w:pgNumType w:fmt="numberInDash"/>
          <w:cols w:space="720" w:num="1"/>
          <w:docGrid w:linePitch="360" w:charSpace="0"/>
        </w:sectPr>
      </w:pPr>
      <w:r>
        <w:rPr>
          <w:rFonts w:cs="Times New Roman"/>
          <w:color w:val="000000"/>
          <w:sz w:val="24"/>
          <w:szCs w:val="24"/>
        </w:rPr>
        <w:t>四是加强残疾人权益保障服务工作。例如增加无障碍出行、办事便利、就业就学不受限，增加公共交通优惠等</w:t>
      </w:r>
    </w:p>
    <w:p>
      <w:pPr>
        <w:spacing w:line="240" w:lineRule="auto"/>
        <w:ind w:left="0" w:leftChars="0" w:firstLine="0" w:firstLineChars="0"/>
        <w:outlineLvl w:val="1"/>
        <w:rPr>
          <w:rFonts w:eastAsia="黑体" w:cs="Times New Roman"/>
          <w:szCs w:val="32"/>
        </w:rPr>
      </w:pPr>
      <w:bookmarkStart w:id="236" w:name="_Toc117542380"/>
      <w:bookmarkStart w:id="237" w:name="_Toc54077328"/>
      <w:bookmarkStart w:id="238" w:name="_Toc15878"/>
      <w:bookmarkStart w:id="239" w:name="_Toc6152"/>
      <w:bookmarkStart w:id="240" w:name="_Toc12969"/>
      <w:r>
        <w:rPr>
          <w:rFonts w:eastAsia="黑体" w:cs="Times New Roman"/>
          <w:szCs w:val="32"/>
        </w:rPr>
        <w:t>附件</w:t>
      </w:r>
      <w:bookmarkEnd w:id="236"/>
      <w:bookmarkEnd w:id="237"/>
      <w:r>
        <w:rPr>
          <w:rFonts w:eastAsia="黑体" w:cs="Times New Roman"/>
          <w:szCs w:val="32"/>
        </w:rPr>
        <w:t>3</w:t>
      </w:r>
      <w:bookmarkEnd w:id="238"/>
      <w:bookmarkEnd w:id="239"/>
      <w:bookmarkEnd w:id="240"/>
    </w:p>
    <w:p>
      <w:pPr>
        <w:ind w:firstLine="643"/>
        <w:jc w:val="center"/>
        <w:rPr>
          <w:rFonts w:cs="Times New Roman" w:eastAsiaTheme="minorEastAsia"/>
          <w:b/>
          <w:szCs w:val="32"/>
        </w:rPr>
      </w:pPr>
      <w:r>
        <w:rPr>
          <w:rFonts w:cs="Times New Roman" w:eastAsiaTheme="minorEastAsia"/>
          <w:b/>
          <w:szCs w:val="32"/>
        </w:rPr>
        <w:t>评价小组成员名单</w:t>
      </w:r>
    </w:p>
    <w:tbl>
      <w:tblPr>
        <w:tblStyle w:val="34"/>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21"/>
        <w:gridCol w:w="1310"/>
        <w:gridCol w:w="1893"/>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0"/>
              <w:ind w:firstLine="0" w:firstLineChars="0"/>
              <w:jc w:val="center"/>
              <w:rPr>
                <w:rFonts w:ascii="Times New Roman" w:hAnsi="Times New Roman" w:eastAsia="宋体" w:cs="Times New Roman"/>
                <w:b/>
                <w:bCs/>
              </w:rPr>
            </w:pPr>
            <w:r>
              <w:rPr>
                <w:rFonts w:ascii="Times New Roman" w:hAnsi="Times New Roman" w:eastAsia="宋体" w:cs="Times New Roman"/>
                <w:b/>
                <w:bCs/>
              </w:rPr>
              <w:t>序号</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0"/>
              <w:ind w:firstLine="0" w:firstLineChars="0"/>
              <w:jc w:val="center"/>
              <w:rPr>
                <w:rFonts w:ascii="Times New Roman" w:hAnsi="Times New Roman" w:eastAsia="宋体" w:cs="Times New Roman"/>
                <w:b/>
                <w:bCs/>
              </w:rPr>
            </w:pPr>
            <w:r>
              <w:rPr>
                <w:rFonts w:ascii="Times New Roman" w:hAnsi="Times New Roman" w:eastAsia="宋体" w:cs="Times New Roman"/>
                <w:b/>
                <w:bCs/>
              </w:rPr>
              <w:t>姓名</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0"/>
              <w:ind w:firstLine="0" w:firstLineChars="0"/>
              <w:jc w:val="center"/>
              <w:rPr>
                <w:rFonts w:ascii="Times New Roman" w:hAnsi="Times New Roman" w:eastAsia="宋体" w:cs="Times New Roman"/>
                <w:b/>
                <w:bCs/>
              </w:rPr>
            </w:pPr>
            <w:r>
              <w:rPr>
                <w:rFonts w:ascii="Times New Roman" w:hAnsi="Times New Roman" w:eastAsia="宋体" w:cs="Times New Roman"/>
                <w:b/>
                <w:bCs/>
              </w:rPr>
              <w:t>职务</w:t>
            </w:r>
          </w:p>
        </w:tc>
        <w:tc>
          <w:tcPr>
            <w:tcW w:w="1893"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
                <w:bCs/>
              </w:rPr>
            </w:pPr>
            <w:r>
              <w:rPr>
                <w:rFonts w:ascii="Times New Roman" w:hAnsi="Times New Roman" w:eastAsia="宋体" w:cs="Times New Roman"/>
                <w:b/>
                <w:bCs/>
              </w:rPr>
              <w:t>工作单位</w:t>
            </w:r>
          </w:p>
        </w:tc>
        <w:tc>
          <w:tcPr>
            <w:tcW w:w="4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0"/>
              <w:ind w:firstLine="0" w:firstLineChars="0"/>
              <w:jc w:val="center"/>
              <w:rPr>
                <w:rFonts w:ascii="Times New Roman" w:hAnsi="Times New Roman" w:eastAsia="宋体" w:cs="Times New Roman"/>
                <w:b/>
                <w:bCs/>
              </w:rPr>
            </w:pPr>
            <w:r>
              <w:rPr>
                <w:rFonts w:ascii="Times New Roman" w:hAnsi="Times New Roman" w:eastAsia="宋体" w:cs="Times New Roman"/>
                <w:b/>
                <w:bCs/>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1</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尹少群</w:t>
            </w:r>
          </w:p>
        </w:tc>
        <w:tc>
          <w:tcPr>
            <w:tcW w:w="1310"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项目总监</w:t>
            </w:r>
          </w:p>
        </w:tc>
        <w:tc>
          <w:tcPr>
            <w:tcW w:w="1893"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4369"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r>
              <w:rPr>
                <w:rFonts w:ascii="Times New Roman" w:hAnsi="Times New Roman" w:eastAsia="宋体" w:cs="Times New Roman"/>
                <w:bCs/>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2</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杨汀</w:t>
            </w:r>
          </w:p>
        </w:tc>
        <w:tc>
          <w:tcPr>
            <w:tcW w:w="1310"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商务经理</w:t>
            </w:r>
          </w:p>
        </w:tc>
        <w:tc>
          <w:tcPr>
            <w:tcW w:w="1893"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4369"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r>
              <w:rPr>
                <w:rFonts w:ascii="Times New Roman" w:hAnsi="Times New Roman" w:eastAsia="宋体" w:cs="Times New Roman"/>
                <w:bCs/>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3.</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邵世风</w:t>
            </w:r>
          </w:p>
        </w:tc>
        <w:tc>
          <w:tcPr>
            <w:tcW w:w="1310"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财务专家</w:t>
            </w:r>
          </w:p>
        </w:tc>
        <w:tc>
          <w:tcPr>
            <w:tcW w:w="1893"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广东技术师范大学/正高级/教授</w:t>
            </w:r>
          </w:p>
        </w:tc>
        <w:tc>
          <w:tcPr>
            <w:tcW w:w="4369"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r>
              <w:rPr>
                <w:rFonts w:ascii="Times New Roman" w:hAnsi="Times New Roman" w:eastAsia="宋体" w:cs="Times New Roman"/>
                <w:bCs/>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4</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饶远立</w:t>
            </w:r>
          </w:p>
        </w:tc>
        <w:tc>
          <w:tcPr>
            <w:tcW w:w="1310"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社会保障行业专家</w:t>
            </w:r>
          </w:p>
        </w:tc>
        <w:tc>
          <w:tcPr>
            <w:tcW w:w="1893"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广州中医药大学/副高级/副教授</w:t>
            </w:r>
          </w:p>
        </w:tc>
        <w:tc>
          <w:tcPr>
            <w:tcW w:w="4369"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r>
              <w:rPr>
                <w:rFonts w:ascii="Times New Roman" w:hAnsi="Times New Roman" w:eastAsia="宋体" w:cs="Times New Roman"/>
                <w:bCs/>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21" w:type="dxa"/>
            <w:tcBorders>
              <w:top w:val="single" w:color="auto" w:sz="4" w:space="0"/>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5</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颜文静</w:t>
            </w:r>
          </w:p>
        </w:tc>
        <w:tc>
          <w:tcPr>
            <w:tcW w:w="1310" w:type="dxa"/>
            <w:tcBorders>
              <w:top w:val="single" w:color="auto" w:sz="4" w:space="0"/>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实施总监</w:t>
            </w:r>
          </w:p>
        </w:tc>
        <w:tc>
          <w:tcPr>
            <w:tcW w:w="1893" w:type="dxa"/>
            <w:tcBorders>
              <w:top w:val="single" w:color="auto" w:sz="4" w:space="0"/>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4369" w:type="dxa"/>
            <w:vMerge w:val="restart"/>
            <w:tcBorders>
              <w:top w:val="single" w:color="auto" w:sz="4" w:space="0"/>
              <w:left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r>
              <w:rPr>
                <w:rFonts w:ascii="Times New Roman" w:hAnsi="Times New Roman" w:eastAsia="宋体" w:cs="Times New Roman"/>
                <w:bCs/>
              </w:rPr>
              <w:t>（1）项目负责人，统筹与把控质量。</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（2）负责与市财局、被评价单位沟通；</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（3）督促并协调评价小组成员的工作并管理日常工作；</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（4）编写评价报告并负责报告最终定稿。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21" w:type="dxa"/>
            <w:tcBorders>
              <w:top w:val="single" w:color="auto" w:sz="4" w:space="0"/>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6</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邓瑶</w:t>
            </w:r>
          </w:p>
        </w:tc>
        <w:tc>
          <w:tcPr>
            <w:tcW w:w="1310" w:type="dxa"/>
            <w:tcBorders>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项目经理</w:t>
            </w:r>
          </w:p>
        </w:tc>
        <w:tc>
          <w:tcPr>
            <w:tcW w:w="1893" w:type="dxa"/>
            <w:tcBorders>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4369" w:type="dxa"/>
            <w:vMerge w:val="continue"/>
            <w:tcBorders>
              <w:left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7</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李秋娴</w:t>
            </w:r>
          </w:p>
        </w:tc>
        <w:tc>
          <w:tcPr>
            <w:tcW w:w="1310" w:type="dxa"/>
            <w:vMerge w:val="restart"/>
            <w:tcBorders>
              <w:top w:val="single" w:color="auto" w:sz="4" w:space="0"/>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项目成员</w:t>
            </w:r>
          </w:p>
        </w:tc>
        <w:tc>
          <w:tcPr>
            <w:tcW w:w="1893" w:type="dxa"/>
            <w:tcBorders>
              <w:top w:val="single" w:color="auto" w:sz="4" w:space="0"/>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4369" w:type="dxa"/>
            <w:vMerge w:val="restart"/>
            <w:tcBorders>
              <w:top w:val="single" w:color="auto" w:sz="4" w:space="0"/>
              <w:left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r>
              <w:rPr>
                <w:rFonts w:ascii="Times New Roman" w:hAnsi="Times New Roman" w:eastAsia="宋体" w:cs="Times New Roman"/>
                <w:bCs/>
              </w:rPr>
              <w:t>（1）负责评价材料的收集整理工作；</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（2）与专家团队的沟通协调工作；</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（3）整理和统计专家评价结果；</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（4）安排评价过程中的交通、住宿、餐饮等后勤工作；</w:t>
            </w:r>
          </w:p>
          <w:p>
            <w:pPr>
              <w:pStyle w:val="140"/>
              <w:ind w:firstLine="0" w:firstLineChars="0"/>
              <w:rPr>
                <w:rFonts w:ascii="Times New Roman" w:hAnsi="Times New Roman" w:eastAsia="宋体" w:cs="Times New Roman"/>
                <w:bCs/>
              </w:rPr>
            </w:pPr>
            <w:r>
              <w:rPr>
                <w:rFonts w:ascii="Times New Roman" w:hAnsi="Times New Roman" w:eastAsia="宋体" w:cs="Times New Roman"/>
                <w:bCs/>
              </w:rPr>
              <w:t>（5）协助编写评价报告。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8</w:t>
            </w:r>
          </w:p>
        </w:tc>
        <w:tc>
          <w:tcPr>
            <w:tcW w:w="1021" w:type="dxa"/>
            <w:tcBorders>
              <w:top w:val="single" w:color="auto" w:sz="4" w:space="0"/>
              <w:left w:val="single" w:color="auto" w:sz="4" w:space="0"/>
              <w:bottom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邹丽渊</w:t>
            </w:r>
          </w:p>
        </w:tc>
        <w:tc>
          <w:tcPr>
            <w:tcW w:w="1310" w:type="dxa"/>
            <w:vMerge w:val="continue"/>
            <w:tcBorders>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p>
        </w:tc>
        <w:tc>
          <w:tcPr>
            <w:tcW w:w="1893" w:type="dxa"/>
            <w:tcBorders>
              <w:left w:val="single" w:color="auto" w:sz="4" w:space="0"/>
              <w:right w:val="single" w:color="auto" w:sz="4" w:space="0"/>
            </w:tcBorders>
            <w:vAlign w:val="center"/>
          </w:tcPr>
          <w:p>
            <w:pPr>
              <w:pStyle w:val="140"/>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4369" w:type="dxa"/>
            <w:vMerge w:val="continue"/>
            <w:tcBorders>
              <w:left w:val="single" w:color="auto" w:sz="4" w:space="0"/>
              <w:right w:val="single" w:color="auto" w:sz="4" w:space="0"/>
            </w:tcBorders>
            <w:vAlign w:val="center"/>
          </w:tcPr>
          <w:p>
            <w:pPr>
              <w:pStyle w:val="140"/>
              <w:ind w:firstLine="0" w:firstLineChars="0"/>
              <w:rPr>
                <w:rFonts w:ascii="Times New Roman" w:hAnsi="Times New Roman" w:eastAsia="宋体" w:cs="Times New Roman"/>
                <w:bCs/>
              </w:rPr>
            </w:pPr>
          </w:p>
        </w:tc>
      </w:tr>
    </w:tbl>
    <w:p>
      <w:pPr>
        <w:ind w:firstLine="0" w:firstLineChars="0"/>
        <w:rPr>
          <w:rFonts w:cs="Times New Roman"/>
          <w:color w:val="0000FF"/>
          <w:szCs w:val="28"/>
        </w:rPr>
      </w:pPr>
    </w:p>
    <w:sectPr>
      <w:pgSz w:w="11907" w:h="16839"/>
      <w:pgMar w:top="1440" w:right="1797" w:bottom="1440" w:left="1797" w:header="720" w:footer="7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64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18"/>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64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18"/>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7692024"/>
                          </w:sdtPr>
                          <w:sdtContent>
                            <w:p>
                              <w:pPr>
                                <w:pStyle w:val="18"/>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II</w:t>
                              </w:r>
                              <w:r>
                                <w:rPr>
                                  <w:rFonts w:hint="eastAsia" w:ascii="宋体" w:hAnsi="宋体" w:eastAsia="宋体" w:cs="宋体"/>
                                  <w:sz w:val="28"/>
                                  <w:szCs w:val="28"/>
                                </w:rPr>
                                <w:fldChar w:fldCharType="end"/>
                              </w:r>
                            </w:p>
                          </w:sdtContent>
                        </w:sdt>
                        <w:p>
                          <w:pPr>
                            <w:pStyle w:val="24"/>
                            <w:ind w:firstLine="40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907692024"/>
                    </w:sdtPr>
                    <w:sdtContent>
                      <w:p>
                        <w:pPr>
                          <w:pStyle w:val="18"/>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II</w:t>
                        </w:r>
                        <w:r>
                          <w:rPr>
                            <w:rFonts w:hint="eastAsia" w:ascii="宋体" w:hAnsi="宋体" w:eastAsia="宋体" w:cs="宋体"/>
                            <w:sz w:val="28"/>
                            <w:szCs w:val="28"/>
                          </w:rPr>
                          <w:fldChar w:fldCharType="end"/>
                        </w:r>
                      </w:p>
                    </w:sdtContent>
                  </w:sdt>
                  <w:p>
                    <w:pPr>
                      <w:pStyle w:val="24"/>
                      <w:ind w:firstLine="402"/>
                    </w:pPr>
                  </w:p>
                </w:txbxContent>
              </v:textbox>
            </v:shape>
          </w:pict>
        </mc:Fallback>
      </mc:AlternateContent>
    </w:r>
  </w:p>
  <w:p>
    <w:pPr>
      <w:pStyle w:val="18"/>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4445</wp:posOffset>
              </wp:positionV>
              <wp:extent cx="55245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90911"/>
                          </w:sdtPr>
                          <w:sdtEndPr>
                            <w:rPr>
                              <w:rFonts w:hint="eastAsia" w:ascii="宋体" w:hAnsi="宋体" w:eastAsia="宋体" w:cs="宋体"/>
                              <w:sz w:val="28"/>
                              <w:szCs w:val="28"/>
                            </w:rPr>
                          </w:sdtEndPr>
                          <w:sdtContent>
                            <w:p>
                              <w:pPr>
                                <w:pStyle w:val="18"/>
                                <w:ind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37</w:t>
                              </w:r>
                              <w:r>
                                <w:rPr>
                                  <w:rFonts w:hint="eastAsia" w:ascii="宋体" w:hAnsi="宋体" w:eastAsia="宋体" w:cs="宋体"/>
                                  <w:sz w:val="28"/>
                                  <w:szCs w:val="28"/>
                                </w:rPr>
                                <w:fldChar w:fldCharType="end"/>
                              </w:r>
                            </w:p>
                          </w:sdtContent>
                        </w:sdt>
                        <w:p>
                          <w:pPr>
                            <w:pStyle w:val="24"/>
                            <w:ind w:firstLine="40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5pt;height:144pt;width:43.5pt;mso-position-horizontal:outside;mso-position-horizontal-relative:margin;z-index:251664384;mso-width-relative:page;mso-height-relative:page;" filled="f" stroked="f" coordsize="21600,21600" o:gfxdata="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vQsp0gAAAAQBAAAPAAAAAAAAAAEA&#10;IAAAACIAAABkcnMvZG93bnJldi54bWxQSwECFAAUAAAACACHTuJA7tA4OhUCAAAKBAAADgAAAAAA&#10;AAABACAAAAAhAQAAZHJzL2Uyb0RvYy54bWxQSwUGAAAAAAYABgBZAQAAqAUAAAAA&#10;">
              <v:fill on="f" focussize="0,0"/>
              <v:stroke on="f" weight="0.5pt"/>
              <v:imagedata o:title=""/>
              <o:lock v:ext="edit" aspectratio="f"/>
              <v:textbox inset="0mm,0mm,0mm,0mm" style="mso-fit-shape-to-text:t;">
                <w:txbxContent>
                  <w:sdt>
                    <w:sdtPr>
                      <w:id w:val="86890911"/>
                    </w:sdtPr>
                    <w:sdtEndPr>
                      <w:rPr>
                        <w:rFonts w:hint="eastAsia" w:ascii="宋体" w:hAnsi="宋体" w:eastAsia="宋体" w:cs="宋体"/>
                        <w:sz w:val="28"/>
                        <w:szCs w:val="28"/>
                      </w:rPr>
                    </w:sdtEndPr>
                    <w:sdtContent>
                      <w:p>
                        <w:pPr>
                          <w:pStyle w:val="18"/>
                          <w:ind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37</w:t>
                        </w:r>
                        <w:r>
                          <w:rPr>
                            <w:rFonts w:hint="eastAsia" w:ascii="宋体" w:hAnsi="宋体" w:eastAsia="宋体" w:cs="宋体"/>
                            <w:sz w:val="28"/>
                            <w:szCs w:val="28"/>
                          </w:rPr>
                          <w:fldChar w:fldCharType="end"/>
                        </w:r>
                      </w:p>
                    </w:sdtContent>
                  </w:sdt>
                  <w:p>
                    <w:pPr>
                      <w:pStyle w:val="24"/>
                      <w:ind w:firstLine="402"/>
                    </w:pPr>
                  </w:p>
                </w:txbxContent>
              </v:textbox>
            </v:shape>
          </w:pict>
        </mc:Fallback>
      </mc:AlternateContent>
    </w:r>
  </w:p>
  <w:p>
    <w:pPr>
      <w:pStyle w:val="18"/>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4445</wp:posOffset>
              </wp:positionV>
              <wp:extent cx="55245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90911"/>
                          </w:sdtPr>
                          <w:sdtEndPr>
                            <w:rPr>
                              <w:rFonts w:hint="eastAsia" w:ascii="宋体" w:hAnsi="宋体" w:eastAsia="宋体" w:cs="宋体"/>
                              <w:sz w:val="28"/>
                              <w:szCs w:val="28"/>
                            </w:rPr>
                          </w:sdtEndPr>
                          <w:sdtContent>
                            <w:p>
                              <w:pPr>
                                <w:pStyle w:val="18"/>
                                <w:ind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37</w:t>
                              </w:r>
                              <w:r>
                                <w:rPr>
                                  <w:rFonts w:hint="eastAsia" w:ascii="宋体" w:hAnsi="宋体" w:eastAsia="宋体" w:cs="宋体"/>
                                  <w:sz w:val="28"/>
                                  <w:szCs w:val="28"/>
                                </w:rPr>
                                <w:fldChar w:fldCharType="end"/>
                              </w:r>
                            </w:p>
                          </w:sdtContent>
                        </w:sdt>
                        <w:p>
                          <w:pPr>
                            <w:pStyle w:val="24"/>
                            <w:ind w:firstLine="40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5pt;height:144pt;width:43.5pt;mso-position-horizontal:outside;mso-position-horizontal-relative:margin;z-index:251659264;mso-width-relative:page;mso-height-relative:page;" filled="f" stroked="f" coordsize="21600,21600" o:gfxdata="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vQsp0gAAAAQBAAAPAAAAAAAAAAEA&#10;IAAAACIAAABkcnMvZG93bnJldi54bWxQSwECFAAUAAAACACHTuJAgSfTURUCAAAKBAAADgAAAAAA&#10;AAABACAAAAAhAQAAZHJzL2Uyb0RvYy54bWxQSwUGAAAAAAYABgBZAQAAqAUAAAAA&#10;">
              <v:fill on="f" focussize="0,0"/>
              <v:stroke on="f" weight="0.5pt"/>
              <v:imagedata o:title=""/>
              <o:lock v:ext="edit" aspectratio="f"/>
              <v:textbox inset="0mm,0mm,0mm,0mm" style="mso-fit-shape-to-text:t;">
                <w:txbxContent>
                  <w:sdt>
                    <w:sdtPr>
                      <w:id w:val="86890911"/>
                    </w:sdtPr>
                    <w:sdtEndPr>
                      <w:rPr>
                        <w:rFonts w:hint="eastAsia" w:ascii="宋体" w:hAnsi="宋体" w:eastAsia="宋体" w:cs="宋体"/>
                        <w:sz w:val="28"/>
                        <w:szCs w:val="28"/>
                      </w:rPr>
                    </w:sdtEndPr>
                    <w:sdtContent>
                      <w:p>
                        <w:pPr>
                          <w:pStyle w:val="18"/>
                          <w:ind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37</w:t>
                        </w:r>
                        <w:r>
                          <w:rPr>
                            <w:rFonts w:hint="eastAsia" w:ascii="宋体" w:hAnsi="宋体" w:eastAsia="宋体" w:cs="宋体"/>
                            <w:sz w:val="28"/>
                            <w:szCs w:val="28"/>
                          </w:rPr>
                          <w:fldChar w:fldCharType="end"/>
                        </w:r>
                      </w:p>
                    </w:sdtContent>
                  </w:sdt>
                  <w:p>
                    <w:pPr>
                      <w:pStyle w:val="24"/>
                      <w:ind w:firstLine="402"/>
                    </w:pPr>
                  </w:p>
                </w:txbxContent>
              </v:textbox>
            </v:shape>
          </w:pict>
        </mc:Fallback>
      </mc:AlternateContent>
    </w:r>
  </w:p>
  <w:p>
    <w:pPr>
      <w:pStyle w:val="18"/>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2"/>
        <w:snapToGrid w:val="0"/>
      </w:pPr>
      <w:r>
        <w:rPr>
          <w:rStyle w:val="33"/>
        </w:rPr>
        <w:footnoteRef/>
      </w:r>
      <w:r>
        <w:t xml:space="preserve"> </w:t>
      </w:r>
      <w:r>
        <w:rPr>
          <w:rFonts w:hint="eastAsia"/>
        </w:rPr>
        <w:t>资料来源：韶办发〔2021〕3号 关于印发《韶关市残疾人联合会机关职能配置、内设机构和人员编制规定》的通知</w:t>
      </w:r>
    </w:p>
  </w:footnote>
  <w:footnote w:id="1">
    <w:p>
      <w:pPr>
        <w:pStyle w:val="22"/>
        <w:snapToGrid w:val="0"/>
      </w:pPr>
      <w:r>
        <w:rPr>
          <w:rStyle w:val="33"/>
        </w:rPr>
        <w:footnoteRef/>
      </w:r>
      <w:r>
        <w:t xml:space="preserve"> </w:t>
      </w:r>
      <w:r>
        <w:rPr>
          <w:rFonts w:hint="eastAsia"/>
        </w:rPr>
        <w:t>按照部门就算报表中数据，部门预算调整率为预算调整数/预算数=16.14%。</w:t>
      </w:r>
    </w:p>
    <w:p>
      <w:pPr>
        <w:pStyle w:val="22"/>
        <w:snapToGrid w:val="0"/>
      </w:pPr>
      <w:r>
        <w:rPr>
          <w:rFonts w:hint="eastAsia"/>
        </w:rPr>
        <w:t>按照剔除中央财政拨入和拨付给区县资金后的预算的口径计算，预算调整率为（16221500-16057729.97）/16221500=1%</w:t>
      </w:r>
    </w:p>
  </w:footnote>
  <w:footnote w:id="2">
    <w:p>
      <w:pPr>
        <w:pStyle w:val="22"/>
        <w:snapToGrid w:val="0"/>
      </w:pPr>
      <w:r>
        <w:rPr>
          <w:rStyle w:val="33"/>
        </w:rPr>
        <w:footnoteRef/>
      </w:r>
      <w:r>
        <w:rPr>
          <w:rFonts w:hint="eastAsia"/>
        </w:rPr>
        <w:t>2021 年度全市残疾人高校应届毕业生49人,已就业30人,有就业意愿尚未就业2人, 暂 不 就 业 15 人 , 其 他 特 殊 原 因 2 人 , 就 业 率 应 为 30/（49-2-15）=93.75%</w:t>
      </w:r>
      <w:r>
        <w:rPr>
          <w:rFonts w:hint="eastAsia"/>
          <w:kern w:val="2"/>
        </w:rPr>
        <w:t>。</w:t>
      </w:r>
    </w:p>
  </w:footnote>
  <w:footnote w:id="3">
    <w:p>
      <w:pPr>
        <w:pStyle w:val="22"/>
        <w:snapToGrid w:val="0"/>
      </w:pPr>
      <w:r>
        <w:rPr>
          <w:rStyle w:val="33"/>
        </w:rPr>
        <w:footnoteRef/>
      </w:r>
      <w:r>
        <w:t xml:space="preserve"> 分别是：残疾人辅助器具适配数完成率576.92%、接受康复救助的残疾儿童人数161.83%、新增残疾人就业人数223.46%、维护残疾人合法权益次数完成率180%</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 w:val="clear" w:pos="4320"/>
        <w:tab w:val="clear" w:pos="8640"/>
      </w:tabs>
      <w:ind w:firstLine="64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 w:val="clear" w:pos="4320"/>
        <w:tab w:val="clear" w:pos="8640"/>
      </w:tabs>
      <w:ind w:firstLine="6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47E7C"/>
    <w:multiLevelType w:val="singleLevel"/>
    <w:tmpl w:val="CCB47E7C"/>
    <w:lvl w:ilvl="0" w:tentative="0">
      <w:start w:val="3"/>
      <w:numFmt w:val="chineseCounting"/>
      <w:suff w:val="nothing"/>
      <w:lvlText w:val="%1、"/>
      <w:lvlJc w:val="left"/>
      <w:rPr>
        <w:rFonts w:hint="eastAsia"/>
      </w:rPr>
    </w:lvl>
  </w:abstractNum>
  <w:abstractNum w:abstractNumId="1">
    <w:nsid w:val="15B79EDA"/>
    <w:multiLevelType w:val="singleLevel"/>
    <w:tmpl w:val="15B79EDA"/>
    <w:lvl w:ilvl="0" w:tentative="0">
      <w:start w:val="1"/>
      <w:numFmt w:val="decimal"/>
      <w:lvlText w:val="%1."/>
      <w:lvlJc w:val="left"/>
      <w:pPr>
        <w:tabs>
          <w:tab w:val="left" w:pos="312"/>
        </w:tabs>
      </w:pPr>
    </w:lvl>
  </w:abstractNum>
  <w:abstractNum w:abstractNumId="2">
    <w:nsid w:val="36F46FD3"/>
    <w:multiLevelType w:val="singleLevel"/>
    <w:tmpl w:val="36F46FD3"/>
    <w:lvl w:ilvl="0" w:tentative="0">
      <w:start w:val="1"/>
      <w:numFmt w:val="decimal"/>
      <w:lvlText w:val="%1."/>
      <w:lvlJc w:val="left"/>
      <w:pPr>
        <w:tabs>
          <w:tab w:val="left" w:pos="312"/>
        </w:tabs>
      </w:pPr>
    </w:lvl>
  </w:abstractNum>
  <w:abstractNum w:abstractNumId="3">
    <w:nsid w:val="624379D1"/>
    <w:multiLevelType w:val="singleLevel"/>
    <w:tmpl w:val="624379D1"/>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720"/>
  <w:drawingGridHorizontalSpacing w:val="160"/>
  <w:drawingGridVerticalSpacing w:val="43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D35B43"/>
    <w:rsid w:val="00000494"/>
    <w:rsid w:val="0000080D"/>
    <w:rsid w:val="00000A54"/>
    <w:rsid w:val="00000D61"/>
    <w:rsid w:val="00000F74"/>
    <w:rsid w:val="0000113C"/>
    <w:rsid w:val="000035EE"/>
    <w:rsid w:val="00003708"/>
    <w:rsid w:val="000037F7"/>
    <w:rsid w:val="00003B3A"/>
    <w:rsid w:val="00003EB9"/>
    <w:rsid w:val="00004136"/>
    <w:rsid w:val="00004293"/>
    <w:rsid w:val="000042AA"/>
    <w:rsid w:val="00004EC9"/>
    <w:rsid w:val="000059FF"/>
    <w:rsid w:val="00005E7E"/>
    <w:rsid w:val="0000660E"/>
    <w:rsid w:val="00006E58"/>
    <w:rsid w:val="00007E8D"/>
    <w:rsid w:val="00007F79"/>
    <w:rsid w:val="00010829"/>
    <w:rsid w:val="000109EB"/>
    <w:rsid w:val="00011371"/>
    <w:rsid w:val="0001175C"/>
    <w:rsid w:val="00011855"/>
    <w:rsid w:val="00011CA7"/>
    <w:rsid w:val="00011F20"/>
    <w:rsid w:val="00012166"/>
    <w:rsid w:val="00012377"/>
    <w:rsid w:val="00012E6A"/>
    <w:rsid w:val="00012F4E"/>
    <w:rsid w:val="00013038"/>
    <w:rsid w:val="00013691"/>
    <w:rsid w:val="000136C4"/>
    <w:rsid w:val="00013774"/>
    <w:rsid w:val="00013E5B"/>
    <w:rsid w:val="000146BA"/>
    <w:rsid w:val="000146C7"/>
    <w:rsid w:val="0001506D"/>
    <w:rsid w:val="00015B75"/>
    <w:rsid w:val="00015BBB"/>
    <w:rsid w:val="00015D2C"/>
    <w:rsid w:val="00015D58"/>
    <w:rsid w:val="0001615B"/>
    <w:rsid w:val="00016398"/>
    <w:rsid w:val="000165A9"/>
    <w:rsid w:val="00016DCD"/>
    <w:rsid w:val="00016E17"/>
    <w:rsid w:val="0001759F"/>
    <w:rsid w:val="0001787E"/>
    <w:rsid w:val="00017C3A"/>
    <w:rsid w:val="00020967"/>
    <w:rsid w:val="00020A45"/>
    <w:rsid w:val="00021494"/>
    <w:rsid w:val="00021639"/>
    <w:rsid w:val="00021AD7"/>
    <w:rsid w:val="00021AFB"/>
    <w:rsid w:val="00021BAC"/>
    <w:rsid w:val="000222C0"/>
    <w:rsid w:val="000224C3"/>
    <w:rsid w:val="00022CA0"/>
    <w:rsid w:val="00023B8E"/>
    <w:rsid w:val="0002487B"/>
    <w:rsid w:val="00024999"/>
    <w:rsid w:val="000251CB"/>
    <w:rsid w:val="00025CC0"/>
    <w:rsid w:val="00025FB6"/>
    <w:rsid w:val="00026D6A"/>
    <w:rsid w:val="00026D6B"/>
    <w:rsid w:val="00026EFC"/>
    <w:rsid w:val="00027332"/>
    <w:rsid w:val="000275FE"/>
    <w:rsid w:val="00027653"/>
    <w:rsid w:val="00027970"/>
    <w:rsid w:val="00027F79"/>
    <w:rsid w:val="000302F7"/>
    <w:rsid w:val="000306C6"/>
    <w:rsid w:val="0003076C"/>
    <w:rsid w:val="00030E8B"/>
    <w:rsid w:val="00030FA4"/>
    <w:rsid w:val="00031A37"/>
    <w:rsid w:val="00031D7C"/>
    <w:rsid w:val="0003229E"/>
    <w:rsid w:val="00032D8C"/>
    <w:rsid w:val="00033131"/>
    <w:rsid w:val="00033247"/>
    <w:rsid w:val="000332E6"/>
    <w:rsid w:val="000333F1"/>
    <w:rsid w:val="0003361B"/>
    <w:rsid w:val="00033F7B"/>
    <w:rsid w:val="0003493B"/>
    <w:rsid w:val="00034D9A"/>
    <w:rsid w:val="00035390"/>
    <w:rsid w:val="000356BB"/>
    <w:rsid w:val="0003572C"/>
    <w:rsid w:val="00035BF0"/>
    <w:rsid w:val="00035D92"/>
    <w:rsid w:val="00035E63"/>
    <w:rsid w:val="0003608D"/>
    <w:rsid w:val="00036112"/>
    <w:rsid w:val="00036DD3"/>
    <w:rsid w:val="000372EF"/>
    <w:rsid w:val="00037ED4"/>
    <w:rsid w:val="00040374"/>
    <w:rsid w:val="00040391"/>
    <w:rsid w:val="00040A0E"/>
    <w:rsid w:val="0004294A"/>
    <w:rsid w:val="000429DB"/>
    <w:rsid w:val="00042F6B"/>
    <w:rsid w:val="000430EB"/>
    <w:rsid w:val="00043643"/>
    <w:rsid w:val="00043F7E"/>
    <w:rsid w:val="000443C6"/>
    <w:rsid w:val="00044F02"/>
    <w:rsid w:val="000462EB"/>
    <w:rsid w:val="00046355"/>
    <w:rsid w:val="00046EE9"/>
    <w:rsid w:val="000472DE"/>
    <w:rsid w:val="000476B7"/>
    <w:rsid w:val="000478DE"/>
    <w:rsid w:val="00047B07"/>
    <w:rsid w:val="00050676"/>
    <w:rsid w:val="00050871"/>
    <w:rsid w:val="00050E8A"/>
    <w:rsid w:val="00051963"/>
    <w:rsid w:val="00052059"/>
    <w:rsid w:val="000522DC"/>
    <w:rsid w:val="000523D7"/>
    <w:rsid w:val="00052442"/>
    <w:rsid w:val="00052750"/>
    <w:rsid w:val="00052B01"/>
    <w:rsid w:val="00053050"/>
    <w:rsid w:val="0005368A"/>
    <w:rsid w:val="000538D3"/>
    <w:rsid w:val="00053D27"/>
    <w:rsid w:val="000546CE"/>
    <w:rsid w:val="00054B62"/>
    <w:rsid w:val="00054EE2"/>
    <w:rsid w:val="00055004"/>
    <w:rsid w:val="00055A41"/>
    <w:rsid w:val="00055A92"/>
    <w:rsid w:val="00055B39"/>
    <w:rsid w:val="00055ED7"/>
    <w:rsid w:val="000566E2"/>
    <w:rsid w:val="00056AB7"/>
    <w:rsid w:val="00057A67"/>
    <w:rsid w:val="00060587"/>
    <w:rsid w:val="00060639"/>
    <w:rsid w:val="00061188"/>
    <w:rsid w:val="000618C8"/>
    <w:rsid w:val="00061A80"/>
    <w:rsid w:val="00061CC9"/>
    <w:rsid w:val="000622C6"/>
    <w:rsid w:val="0006257A"/>
    <w:rsid w:val="00063154"/>
    <w:rsid w:val="00063F10"/>
    <w:rsid w:val="00064528"/>
    <w:rsid w:val="00064EF0"/>
    <w:rsid w:val="0006597C"/>
    <w:rsid w:val="00065D55"/>
    <w:rsid w:val="0006625C"/>
    <w:rsid w:val="000664DC"/>
    <w:rsid w:val="0006656B"/>
    <w:rsid w:val="00066B9A"/>
    <w:rsid w:val="00066D39"/>
    <w:rsid w:val="00067021"/>
    <w:rsid w:val="00067601"/>
    <w:rsid w:val="00067F03"/>
    <w:rsid w:val="0007029F"/>
    <w:rsid w:val="00070D3C"/>
    <w:rsid w:val="00070D5C"/>
    <w:rsid w:val="00070F46"/>
    <w:rsid w:val="000711A5"/>
    <w:rsid w:val="000714E7"/>
    <w:rsid w:val="000717CB"/>
    <w:rsid w:val="00071AA1"/>
    <w:rsid w:val="00071E89"/>
    <w:rsid w:val="00071F11"/>
    <w:rsid w:val="00072D02"/>
    <w:rsid w:val="0007482A"/>
    <w:rsid w:val="00074C74"/>
    <w:rsid w:val="00075309"/>
    <w:rsid w:val="0007534B"/>
    <w:rsid w:val="000754DE"/>
    <w:rsid w:val="00076003"/>
    <w:rsid w:val="00076170"/>
    <w:rsid w:val="00076822"/>
    <w:rsid w:val="00076BFB"/>
    <w:rsid w:val="00076DE5"/>
    <w:rsid w:val="00076F34"/>
    <w:rsid w:val="000771C2"/>
    <w:rsid w:val="00077C99"/>
    <w:rsid w:val="00080088"/>
    <w:rsid w:val="00080D62"/>
    <w:rsid w:val="00080D85"/>
    <w:rsid w:val="000818B9"/>
    <w:rsid w:val="00081DDE"/>
    <w:rsid w:val="000825DE"/>
    <w:rsid w:val="00082FF7"/>
    <w:rsid w:val="00083235"/>
    <w:rsid w:val="00083259"/>
    <w:rsid w:val="00083837"/>
    <w:rsid w:val="00083BC6"/>
    <w:rsid w:val="00083E50"/>
    <w:rsid w:val="00086996"/>
    <w:rsid w:val="00087445"/>
    <w:rsid w:val="00087E7B"/>
    <w:rsid w:val="0009102E"/>
    <w:rsid w:val="00091E93"/>
    <w:rsid w:val="00092855"/>
    <w:rsid w:val="00092D0F"/>
    <w:rsid w:val="00092DF9"/>
    <w:rsid w:val="00093211"/>
    <w:rsid w:val="00093414"/>
    <w:rsid w:val="00093818"/>
    <w:rsid w:val="00093E45"/>
    <w:rsid w:val="000954F0"/>
    <w:rsid w:val="00095664"/>
    <w:rsid w:val="00095B41"/>
    <w:rsid w:val="00095CD0"/>
    <w:rsid w:val="00096B61"/>
    <w:rsid w:val="00096BE8"/>
    <w:rsid w:val="00097120"/>
    <w:rsid w:val="00097AD6"/>
    <w:rsid w:val="00097D44"/>
    <w:rsid w:val="000A0003"/>
    <w:rsid w:val="000A0980"/>
    <w:rsid w:val="000A09A2"/>
    <w:rsid w:val="000A0EFE"/>
    <w:rsid w:val="000A23FC"/>
    <w:rsid w:val="000A25DE"/>
    <w:rsid w:val="000A2A18"/>
    <w:rsid w:val="000A2EAB"/>
    <w:rsid w:val="000A334C"/>
    <w:rsid w:val="000A3E0D"/>
    <w:rsid w:val="000A3FD8"/>
    <w:rsid w:val="000A4A49"/>
    <w:rsid w:val="000A5361"/>
    <w:rsid w:val="000A6D40"/>
    <w:rsid w:val="000A6DE4"/>
    <w:rsid w:val="000A763C"/>
    <w:rsid w:val="000B0730"/>
    <w:rsid w:val="000B0EF0"/>
    <w:rsid w:val="000B0F43"/>
    <w:rsid w:val="000B161B"/>
    <w:rsid w:val="000B1C05"/>
    <w:rsid w:val="000B2831"/>
    <w:rsid w:val="000B3828"/>
    <w:rsid w:val="000B45D0"/>
    <w:rsid w:val="000B6139"/>
    <w:rsid w:val="000B6228"/>
    <w:rsid w:val="000B6487"/>
    <w:rsid w:val="000B725E"/>
    <w:rsid w:val="000B76D8"/>
    <w:rsid w:val="000B79DF"/>
    <w:rsid w:val="000B7C3E"/>
    <w:rsid w:val="000B7F90"/>
    <w:rsid w:val="000C10A9"/>
    <w:rsid w:val="000C1A52"/>
    <w:rsid w:val="000C1EE6"/>
    <w:rsid w:val="000C2226"/>
    <w:rsid w:val="000C27A2"/>
    <w:rsid w:val="000C2B49"/>
    <w:rsid w:val="000C2EFF"/>
    <w:rsid w:val="000C34DF"/>
    <w:rsid w:val="000C36CE"/>
    <w:rsid w:val="000C3755"/>
    <w:rsid w:val="000C39D7"/>
    <w:rsid w:val="000C39E5"/>
    <w:rsid w:val="000C3B44"/>
    <w:rsid w:val="000C4BC5"/>
    <w:rsid w:val="000C4C68"/>
    <w:rsid w:val="000C51AC"/>
    <w:rsid w:val="000C5878"/>
    <w:rsid w:val="000C59FE"/>
    <w:rsid w:val="000C5DF2"/>
    <w:rsid w:val="000C61E2"/>
    <w:rsid w:val="000C65AF"/>
    <w:rsid w:val="000C660F"/>
    <w:rsid w:val="000C6F87"/>
    <w:rsid w:val="000C748F"/>
    <w:rsid w:val="000C75D9"/>
    <w:rsid w:val="000C7692"/>
    <w:rsid w:val="000C7B12"/>
    <w:rsid w:val="000D0755"/>
    <w:rsid w:val="000D0AD1"/>
    <w:rsid w:val="000D0B79"/>
    <w:rsid w:val="000D0F08"/>
    <w:rsid w:val="000D1017"/>
    <w:rsid w:val="000D187C"/>
    <w:rsid w:val="000D24F7"/>
    <w:rsid w:val="000D2576"/>
    <w:rsid w:val="000D35C5"/>
    <w:rsid w:val="000D40F4"/>
    <w:rsid w:val="000D4872"/>
    <w:rsid w:val="000D53CF"/>
    <w:rsid w:val="000D56F9"/>
    <w:rsid w:val="000D61D3"/>
    <w:rsid w:val="000E001B"/>
    <w:rsid w:val="000E0545"/>
    <w:rsid w:val="000E0B61"/>
    <w:rsid w:val="000E0FF2"/>
    <w:rsid w:val="000E19F2"/>
    <w:rsid w:val="000E25FC"/>
    <w:rsid w:val="000E27EA"/>
    <w:rsid w:val="000E37EF"/>
    <w:rsid w:val="000E4391"/>
    <w:rsid w:val="000E44F4"/>
    <w:rsid w:val="000E4586"/>
    <w:rsid w:val="000E4891"/>
    <w:rsid w:val="000E4AB4"/>
    <w:rsid w:val="000E4D34"/>
    <w:rsid w:val="000E553E"/>
    <w:rsid w:val="000E5674"/>
    <w:rsid w:val="000E5EE6"/>
    <w:rsid w:val="000E6A51"/>
    <w:rsid w:val="000E6E82"/>
    <w:rsid w:val="000E7CD7"/>
    <w:rsid w:val="000E7DAE"/>
    <w:rsid w:val="000E7EDE"/>
    <w:rsid w:val="000F090C"/>
    <w:rsid w:val="000F0DAD"/>
    <w:rsid w:val="000F0DD5"/>
    <w:rsid w:val="000F14B6"/>
    <w:rsid w:val="000F15A5"/>
    <w:rsid w:val="000F1749"/>
    <w:rsid w:val="000F1F1B"/>
    <w:rsid w:val="000F2632"/>
    <w:rsid w:val="000F3F1F"/>
    <w:rsid w:val="000F4A15"/>
    <w:rsid w:val="000F518C"/>
    <w:rsid w:val="000F5789"/>
    <w:rsid w:val="000F593D"/>
    <w:rsid w:val="000F5D40"/>
    <w:rsid w:val="000F646E"/>
    <w:rsid w:val="000F6A07"/>
    <w:rsid w:val="000F6BDA"/>
    <w:rsid w:val="000F7D59"/>
    <w:rsid w:val="00100E79"/>
    <w:rsid w:val="00100FD6"/>
    <w:rsid w:val="00101AA3"/>
    <w:rsid w:val="00102423"/>
    <w:rsid w:val="0010255B"/>
    <w:rsid w:val="00102592"/>
    <w:rsid w:val="00102D92"/>
    <w:rsid w:val="001050D0"/>
    <w:rsid w:val="00105591"/>
    <w:rsid w:val="00105D95"/>
    <w:rsid w:val="0010604C"/>
    <w:rsid w:val="00106DAC"/>
    <w:rsid w:val="00106F28"/>
    <w:rsid w:val="001073D1"/>
    <w:rsid w:val="00107F17"/>
    <w:rsid w:val="00110003"/>
    <w:rsid w:val="0011037E"/>
    <w:rsid w:val="001107BB"/>
    <w:rsid w:val="001107F9"/>
    <w:rsid w:val="00111802"/>
    <w:rsid w:val="0011243F"/>
    <w:rsid w:val="00112AC2"/>
    <w:rsid w:val="0011322A"/>
    <w:rsid w:val="0011337D"/>
    <w:rsid w:val="001134FD"/>
    <w:rsid w:val="00113780"/>
    <w:rsid w:val="001138CA"/>
    <w:rsid w:val="00113923"/>
    <w:rsid w:val="00114262"/>
    <w:rsid w:val="001145D7"/>
    <w:rsid w:val="00114923"/>
    <w:rsid w:val="00114935"/>
    <w:rsid w:val="00114C08"/>
    <w:rsid w:val="00114E50"/>
    <w:rsid w:val="00115060"/>
    <w:rsid w:val="00115F1E"/>
    <w:rsid w:val="00116041"/>
    <w:rsid w:val="00117092"/>
    <w:rsid w:val="00117C0D"/>
    <w:rsid w:val="00117C11"/>
    <w:rsid w:val="00117F65"/>
    <w:rsid w:val="00120257"/>
    <w:rsid w:val="00120E2F"/>
    <w:rsid w:val="00121BB4"/>
    <w:rsid w:val="001225BF"/>
    <w:rsid w:val="00122663"/>
    <w:rsid w:val="0012323E"/>
    <w:rsid w:val="001236FA"/>
    <w:rsid w:val="001238FC"/>
    <w:rsid w:val="00123E3B"/>
    <w:rsid w:val="0012411E"/>
    <w:rsid w:val="001245F5"/>
    <w:rsid w:val="00124607"/>
    <w:rsid w:val="0012471D"/>
    <w:rsid w:val="00124794"/>
    <w:rsid w:val="00124DA2"/>
    <w:rsid w:val="00124FF5"/>
    <w:rsid w:val="0012512B"/>
    <w:rsid w:val="00125976"/>
    <w:rsid w:val="00126192"/>
    <w:rsid w:val="001266ED"/>
    <w:rsid w:val="0012756B"/>
    <w:rsid w:val="00127E76"/>
    <w:rsid w:val="001304E6"/>
    <w:rsid w:val="0013091D"/>
    <w:rsid w:val="00131850"/>
    <w:rsid w:val="00131DB8"/>
    <w:rsid w:val="00131F1F"/>
    <w:rsid w:val="001320B6"/>
    <w:rsid w:val="00132EFB"/>
    <w:rsid w:val="00133370"/>
    <w:rsid w:val="0013387A"/>
    <w:rsid w:val="00134202"/>
    <w:rsid w:val="00134891"/>
    <w:rsid w:val="001353F5"/>
    <w:rsid w:val="00136633"/>
    <w:rsid w:val="00136E82"/>
    <w:rsid w:val="00137382"/>
    <w:rsid w:val="00140774"/>
    <w:rsid w:val="001407C6"/>
    <w:rsid w:val="00140CA7"/>
    <w:rsid w:val="00142562"/>
    <w:rsid w:val="00142580"/>
    <w:rsid w:val="001425C8"/>
    <w:rsid w:val="00142664"/>
    <w:rsid w:val="00142839"/>
    <w:rsid w:val="00142941"/>
    <w:rsid w:val="00142A72"/>
    <w:rsid w:val="00143261"/>
    <w:rsid w:val="0014378B"/>
    <w:rsid w:val="00144397"/>
    <w:rsid w:val="0014584F"/>
    <w:rsid w:val="00145CAA"/>
    <w:rsid w:val="00145D85"/>
    <w:rsid w:val="00146576"/>
    <w:rsid w:val="0014687A"/>
    <w:rsid w:val="00146E97"/>
    <w:rsid w:val="00146E9A"/>
    <w:rsid w:val="001471A3"/>
    <w:rsid w:val="00147F07"/>
    <w:rsid w:val="001508DC"/>
    <w:rsid w:val="00150A8E"/>
    <w:rsid w:val="00150BBF"/>
    <w:rsid w:val="001518B2"/>
    <w:rsid w:val="0015196D"/>
    <w:rsid w:val="00151976"/>
    <w:rsid w:val="00152064"/>
    <w:rsid w:val="001531C5"/>
    <w:rsid w:val="00153574"/>
    <w:rsid w:val="00153662"/>
    <w:rsid w:val="0015382D"/>
    <w:rsid w:val="00153866"/>
    <w:rsid w:val="00153B93"/>
    <w:rsid w:val="00153BA2"/>
    <w:rsid w:val="00154A12"/>
    <w:rsid w:val="00154CDF"/>
    <w:rsid w:val="001551C2"/>
    <w:rsid w:val="00155260"/>
    <w:rsid w:val="001557F9"/>
    <w:rsid w:val="001558AB"/>
    <w:rsid w:val="00155DA9"/>
    <w:rsid w:val="00155E5A"/>
    <w:rsid w:val="001563AA"/>
    <w:rsid w:val="0015647E"/>
    <w:rsid w:val="00156733"/>
    <w:rsid w:val="0015678D"/>
    <w:rsid w:val="00157883"/>
    <w:rsid w:val="00157C73"/>
    <w:rsid w:val="00157EF7"/>
    <w:rsid w:val="00160F0B"/>
    <w:rsid w:val="001612EA"/>
    <w:rsid w:val="001614D6"/>
    <w:rsid w:val="00161575"/>
    <w:rsid w:val="00161AA9"/>
    <w:rsid w:val="00161B0E"/>
    <w:rsid w:val="00161D0E"/>
    <w:rsid w:val="00161ED8"/>
    <w:rsid w:val="00161FB7"/>
    <w:rsid w:val="00162484"/>
    <w:rsid w:val="001625F1"/>
    <w:rsid w:val="00162E88"/>
    <w:rsid w:val="0016301A"/>
    <w:rsid w:val="0016327A"/>
    <w:rsid w:val="001639CC"/>
    <w:rsid w:val="001641B0"/>
    <w:rsid w:val="001644EA"/>
    <w:rsid w:val="001658A8"/>
    <w:rsid w:val="00165B96"/>
    <w:rsid w:val="00165D28"/>
    <w:rsid w:val="00166672"/>
    <w:rsid w:val="00166938"/>
    <w:rsid w:val="00166C0D"/>
    <w:rsid w:val="00167CE0"/>
    <w:rsid w:val="00167F4A"/>
    <w:rsid w:val="00170B63"/>
    <w:rsid w:val="001714E4"/>
    <w:rsid w:val="001717D5"/>
    <w:rsid w:val="00171914"/>
    <w:rsid w:val="00171D5F"/>
    <w:rsid w:val="0017215B"/>
    <w:rsid w:val="00172452"/>
    <w:rsid w:val="001724D5"/>
    <w:rsid w:val="00172557"/>
    <w:rsid w:val="001726E8"/>
    <w:rsid w:val="00172F52"/>
    <w:rsid w:val="001734C3"/>
    <w:rsid w:val="001737A8"/>
    <w:rsid w:val="00174019"/>
    <w:rsid w:val="00174753"/>
    <w:rsid w:val="001748DD"/>
    <w:rsid w:val="0017576A"/>
    <w:rsid w:val="001758D1"/>
    <w:rsid w:val="00175FA8"/>
    <w:rsid w:val="001762A4"/>
    <w:rsid w:val="00176D0B"/>
    <w:rsid w:val="00177220"/>
    <w:rsid w:val="0017729F"/>
    <w:rsid w:val="0017775A"/>
    <w:rsid w:val="001777D1"/>
    <w:rsid w:val="00180008"/>
    <w:rsid w:val="00180C8B"/>
    <w:rsid w:val="00180D3D"/>
    <w:rsid w:val="0018123F"/>
    <w:rsid w:val="0018175C"/>
    <w:rsid w:val="001822F7"/>
    <w:rsid w:val="00182430"/>
    <w:rsid w:val="00182654"/>
    <w:rsid w:val="0018286F"/>
    <w:rsid w:val="00183839"/>
    <w:rsid w:val="00184939"/>
    <w:rsid w:val="0018511F"/>
    <w:rsid w:val="0018513E"/>
    <w:rsid w:val="00185219"/>
    <w:rsid w:val="001856F5"/>
    <w:rsid w:val="0018671A"/>
    <w:rsid w:val="00186951"/>
    <w:rsid w:val="00186B0A"/>
    <w:rsid w:val="00186E55"/>
    <w:rsid w:val="00186FA5"/>
    <w:rsid w:val="001873B0"/>
    <w:rsid w:val="001902A1"/>
    <w:rsid w:val="001908A1"/>
    <w:rsid w:val="00190B6A"/>
    <w:rsid w:val="00190BC7"/>
    <w:rsid w:val="00191778"/>
    <w:rsid w:val="00191DA3"/>
    <w:rsid w:val="0019299C"/>
    <w:rsid w:val="00192A40"/>
    <w:rsid w:val="00193712"/>
    <w:rsid w:val="001937F7"/>
    <w:rsid w:val="0019394E"/>
    <w:rsid w:val="00193CD0"/>
    <w:rsid w:val="001944C3"/>
    <w:rsid w:val="00194521"/>
    <w:rsid w:val="00194E88"/>
    <w:rsid w:val="00195720"/>
    <w:rsid w:val="001958B6"/>
    <w:rsid w:val="00196261"/>
    <w:rsid w:val="0019647E"/>
    <w:rsid w:val="00196610"/>
    <w:rsid w:val="00196DFB"/>
    <w:rsid w:val="00196E44"/>
    <w:rsid w:val="001973F8"/>
    <w:rsid w:val="00197945"/>
    <w:rsid w:val="001A081D"/>
    <w:rsid w:val="001A0886"/>
    <w:rsid w:val="001A1463"/>
    <w:rsid w:val="001A22A6"/>
    <w:rsid w:val="001A255C"/>
    <w:rsid w:val="001A299C"/>
    <w:rsid w:val="001A2DB7"/>
    <w:rsid w:val="001A3362"/>
    <w:rsid w:val="001A3C54"/>
    <w:rsid w:val="001A4534"/>
    <w:rsid w:val="001A4634"/>
    <w:rsid w:val="001A4708"/>
    <w:rsid w:val="001A489F"/>
    <w:rsid w:val="001A4977"/>
    <w:rsid w:val="001A4C46"/>
    <w:rsid w:val="001A4FBB"/>
    <w:rsid w:val="001A574E"/>
    <w:rsid w:val="001A621C"/>
    <w:rsid w:val="001A7B74"/>
    <w:rsid w:val="001A7DF8"/>
    <w:rsid w:val="001A7E4D"/>
    <w:rsid w:val="001A7E90"/>
    <w:rsid w:val="001B27CE"/>
    <w:rsid w:val="001B37AF"/>
    <w:rsid w:val="001B39C6"/>
    <w:rsid w:val="001B3FFB"/>
    <w:rsid w:val="001B432C"/>
    <w:rsid w:val="001B437C"/>
    <w:rsid w:val="001B44DB"/>
    <w:rsid w:val="001B49D7"/>
    <w:rsid w:val="001B4BCE"/>
    <w:rsid w:val="001B4F95"/>
    <w:rsid w:val="001B57A9"/>
    <w:rsid w:val="001B5B03"/>
    <w:rsid w:val="001B5D12"/>
    <w:rsid w:val="001B5F99"/>
    <w:rsid w:val="001B6E1D"/>
    <w:rsid w:val="001B70B7"/>
    <w:rsid w:val="001B7FAB"/>
    <w:rsid w:val="001C00AB"/>
    <w:rsid w:val="001C00FF"/>
    <w:rsid w:val="001C0645"/>
    <w:rsid w:val="001C0B25"/>
    <w:rsid w:val="001C0F76"/>
    <w:rsid w:val="001C1670"/>
    <w:rsid w:val="001C1C50"/>
    <w:rsid w:val="001C1DE7"/>
    <w:rsid w:val="001C2058"/>
    <w:rsid w:val="001C2405"/>
    <w:rsid w:val="001C261F"/>
    <w:rsid w:val="001C298F"/>
    <w:rsid w:val="001C29C1"/>
    <w:rsid w:val="001C29F6"/>
    <w:rsid w:val="001C2B22"/>
    <w:rsid w:val="001C2E20"/>
    <w:rsid w:val="001C3098"/>
    <w:rsid w:val="001C3528"/>
    <w:rsid w:val="001C3B63"/>
    <w:rsid w:val="001C3BE3"/>
    <w:rsid w:val="001C3D58"/>
    <w:rsid w:val="001C3D72"/>
    <w:rsid w:val="001C4D5D"/>
    <w:rsid w:val="001C4FCF"/>
    <w:rsid w:val="001C51D5"/>
    <w:rsid w:val="001C52A6"/>
    <w:rsid w:val="001C52FE"/>
    <w:rsid w:val="001C5676"/>
    <w:rsid w:val="001C58E9"/>
    <w:rsid w:val="001C59EA"/>
    <w:rsid w:val="001C5CD2"/>
    <w:rsid w:val="001C5DAF"/>
    <w:rsid w:val="001C64A6"/>
    <w:rsid w:val="001C6693"/>
    <w:rsid w:val="001C6899"/>
    <w:rsid w:val="001C6DB6"/>
    <w:rsid w:val="001C7262"/>
    <w:rsid w:val="001C729A"/>
    <w:rsid w:val="001C79EE"/>
    <w:rsid w:val="001D146F"/>
    <w:rsid w:val="001D2122"/>
    <w:rsid w:val="001D2B26"/>
    <w:rsid w:val="001D3346"/>
    <w:rsid w:val="001D36D9"/>
    <w:rsid w:val="001D3950"/>
    <w:rsid w:val="001D3A79"/>
    <w:rsid w:val="001D51D1"/>
    <w:rsid w:val="001D5418"/>
    <w:rsid w:val="001D5423"/>
    <w:rsid w:val="001D54A3"/>
    <w:rsid w:val="001D6674"/>
    <w:rsid w:val="001D6775"/>
    <w:rsid w:val="001D67CA"/>
    <w:rsid w:val="001D6FDD"/>
    <w:rsid w:val="001D7987"/>
    <w:rsid w:val="001D7A9A"/>
    <w:rsid w:val="001D7AF3"/>
    <w:rsid w:val="001E0171"/>
    <w:rsid w:val="001E05A8"/>
    <w:rsid w:val="001E0EE1"/>
    <w:rsid w:val="001E13F0"/>
    <w:rsid w:val="001E1B7C"/>
    <w:rsid w:val="001E230C"/>
    <w:rsid w:val="001E23BB"/>
    <w:rsid w:val="001E287B"/>
    <w:rsid w:val="001E2C71"/>
    <w:rsid w:val="001E2E5D"/>
    <w:rsid w:val="001E2FC9"/>
    <w:rsid w:val="001E3215"/>
    <w:rsid w:val="001E415B"/>
    <w:rsid w:val="001E41E8"/>
    <w:rsid w:val="001E60BE"/>
    <w:rsid w:val="001E6212"/>
    <w:rsid w:val="001E62D2"/>
    <w:rsid w:val="001E693D"/>
    <w:rsid w:val="001E6A07"/>
    <w:rsid w:val="001E6FE5"/>
    <w:rsid w:val="001E75BA"/>
    <w:rsid w:val="001E7725"/>
    <w:rsid w:val="001E7846"/>
    <w:rsid w:val="001E7BEA"/>
    <w:rsid w:val="001F18FB"/>
    <w:rsid w:val="001F21C3"/>
    <w:rsid w:val="001F3118"/>
    <w:rsid w:val="001F33E4"/>
    <w:rsid w:val="001F363A"/>
    <w:rsid w:val="001F3912"/>
    <w:rsid w:val="001F40D0"/>
    <w:rsid w:val="001F4929"/>
    <w:rsid w:val="001F57F9"/>
    <w:rsid w:val="001F586C"/>
    <w:rsid w:val="001F621A"/>
    <w:rsid w:val="001F6597"/>
    <w:rsid w:val="001F65D0"/>
    <w:rsid w:val="001F65E7"/>
    <w:rsid w:val="001F694B"/>
    <w:rsid w:val="001F6E60"/>
    <w:rsid w:val="001F6F68"/>
    <w:rsid w:val="001F72CC"/>
    <w:rsid w:val="001F792B"/>
    <w:rsid w:val="002000AA"/>
    <w:rsid w:val="00200422"/>
    <w:rsid w:val="00200E9F"/>
    <w:rsid w:val="00200F82"/>
    <w:rsid w:val="0020117E"/>
    <w:rsid w:val="00201723"/>
    <w:rsid w:val="00201B0A"/>
    <w:rsid w:val="002029A5"/>
    <w:rsid w:val="002029EE"/>
    <w:rsid w:val="00202C7F"/>
    <w:rsid w:val="002032D9"/>
    <w:rsid w:val="0020330C"/>
    <w:rsid w:val="00204357"/>
    <w:rsid w:val="00204817"/>
    <w:rsid w:val="00204A29"/>
    <w:rsid w:val="00205C25"/>
    <w:rsid w:val="00205D5C"/>
    <w:rsid w:val="00206631"/>
    <w:rsid w:val="0020673D"/>
    <w:rsid w:val="002067EF"/>
    <w:rsid w:val="00206FC4"/>
    <w:rsid w:val="00207371"/>
    <w:rsid w:val="002078E8"/>
    <w:rsid w:val="00207915"/>
    <w:rsid w:val="00207B69"/>
    <w:rsid w:val="00207C92"/>
    <w:rsid w:val="00210C0F"/>
    <w:rsid w:val="00210E7C"/>
    <w:rsid w:val="00211294"/>
    <w:rsid w:val="00211486"/>
    <w:rsid w:val="0021150A"/>
    <w:rsid w:val="00211570"/>
    <w:rsid w:val="00211C58"/>
    <w:rsid w:val="00211D21"/>
    <w:rsid w:val="00211D86"/>
    <w:rsid w:val="0021231C"/>
    <w:rsid w:val="002136C9"/>
    <w:rsid w:val="00213827"/>
    <w:rsid w:val="00213990"/>
    <w:rsid w:val="00213DFF"/>
    <w:rsid w:val="00213E4F"/>
    <w:rsid w:val="002140A0"/>
    <w:rsid w:val="00215257"/>
    <w:rsid w:val="00215537"/>
    <w:rsid w:val="00215664"/>
    <w:rsid w:val="002156B8"/>
    <w:rsid w:val="00215C15"/>
    <w:rsid w:val="00216731"/>
    <w:rsid w:val="002175AA"/>
    <w:rsid w:val="002178AE"/>
    <w:rsid w:val="00220086"/>
    <w:rsid w:val="002202D6"/>
    <w:rsid w:val="00220607"/>
    <w:rsid w:val="0022077A"/>
    <w:rsid w:val="002208DE"/>
    <w:rsid w:val="00220C4B"/>
    <w:rsid w:val="00221AB6"/>
    <w:rsid w:val="00221B70"/>
    <w:rsid w:val="00221C86"/>
    <w:rsid w:val="0022227F"/>
    <w:rsid w:val="00222D85"/>
    <w:rsid w:val="002230C7"/>
    <w:rsid w:val="002236EF"/>
    <w:rsid w:val="00223B3B"/>
    <w:rsid w:val="00224172"/>
    <w:rsid w:val="002245C6"/>
    <w:rsid w:val="002247DA"/>
    <w:rsid w:val="00224AA6"/>
    <w:rsid w:val="00225075"/>
    <w:rsid w:val="002255C1"/>
    <w:rsid w:val="002259EA"/>
    <w:rsid w:val="00226B22"/>
    <w:rsid w:val="00226C2C"/>
    <w:rsid w:val="00227135"/>
    <w:rsid w:val="002300DC"/>
    <w:rsid w:val="00230370"/>
    <w:rsid w:val="00230A91"/>
    <w:rsid w:val="00230AE2"/>
    <w:rsid w:val="0023199E"/>
    <w:rsid w:val="00232826"/>
    <w:rsid w:val="00232832"/>
    <w:rsid w:val="00232935"/>
    <w:rsid w:val="0023364B"/>
    <w:rsid w:val="00233919"/>
    <w:rsid w:val="00233D87"/>
    <w:rsid w:val="00233DB8"/>
    <w:rsid w:val="002340DC"/>
    <w:rsid w:val="00235297"/>
    <w:rsid w:val="00235DBD"/>
    <w:rsid w:val="002370AB"/>
    <w:rsid w:val="00237E69"/>
    <w:rsid w:val="002400EA"/>
    <w:rsid w:val="00240674"/>
    <w:rsid w:val="002415F1"/>
    <w:rsid w:val="00241842"/>
    <w:rsid w:val="0024265E"/>
    <w:rsid w:val="00242DA1"/>
    <w:rsid w:val="002435FF"/>
    <w:rsid w:val="002439F5"/>
    <w:rsid w:val="00243C97"/>
    <w:rsid w:val="00243E21"/>
    <w:rsid w:val="00243FB0"/>
    <w:rsid w:val="002441DD"/>
    <w:rsid w:val="00244346"/>
    <w:rsid w:val="00244B2D"/>
    <w:rsid w:val="00245FB7"/>
    <w:rsid w:val="0024692F"/>
    <w:rsid w:val="00246FC2"/>
    <w:rsid w:val="0024702C"/>
    <w:rsid w:val="00247789"/>
    <w:rsid w:val="002502E5"/>
    <w:rsid w:val="002504E2"/>
    <w:rsid w:val="0025106F"/>
    <w:rsid w:val="00252159"/>
    <w:rsid w:val="0025298F"/>
    <w:rsid w:val="00252A15"/>
    <w:rsid w:val="00252AEC"/>
    <w:rsid w:val="00252EE0"/>
    <w:rsid w:val="00253334"/>
    <w:rsid w:val="00253506"/>
    <w:rsid w:val="00253CDB"/>
    <w:rsid w:val="00253EB0"/>
    <w:rsid w:val="002552CC"/>
    <w:rsid w:val="00256818"/>
    <w:rsid w:val="00256C78"/>
    <w:rsid w:val="00256F25"/>
    <w:rsid w:val="002570C4"/>
    <w:rsid w:val="00257680"/>
    <w:rsid w:val="00257843"/>
    <w:rsid w:val="00257B24"/>
    <w:rsid w:val="00257EA9"/>
    <w:rsid w:val="00257EFA"/>
    <w:rsid w:val="00260E32"/>
    <w:rsid w:val="00261118"/>
    <w:rsid w:val="002615CC"/>
    <w:rsid w:val="00261E06"/>
    <w:rsid w:val="00261F2D"/>
    <w:rsid w:val="002622C8"/>
    <w:rsid w:val="00262532"/>
    <w:rsid w:val="002626A4"/>
    <w:rsid w:val="00262A7D"/>
    <w:rsid w:val="00262EF1"/>
    <w:rsid w:val="002633C4"/>
    <w:rsid w:val="002634B6"/>
    <w:rsid w:val="00263F60"/>
    <w:rsid w:val="00264048"/>
    <w:rsid w:val="002641AD"/>
    <w:rsid w:val="00264665"/>
    <w:rsid w:val="00264E3B"/>
    <w:rsid w:val="00265024"/>
    <w:rsid w:val="002663FD"/>
    <w:rsid w:val="002666AA"/>
    <w:rsid w:val="00266F70"/>
    <w:rsid w:val="002672FD"/>
    <w:rsid w:val="0026760D"/>
    <w:rsid w:val="002678C3"/>
    <w:rsid w:val="002703BB"/>
    <w:rsid w:val="00270984"/>
    <w:rsid w:val="00270E99"/>
    <w:rsid w:val="002719CA"/>
    <w:rsid w:val="00273364"/>
    <w:rsid w:val="0027353D"/>
    <w:rsid w:val="00273B32"/>
    <w:rsid w:val="00273DF7"/>
    <w:rsid w:val="002748A5"/>
    <w:rsid w:val="002749FC"/>
    <w:rsid w:val="00274D36"/>
    <w:rsid w:val="00274F1B"/>
    <w:rsid w:val="00274F3C"/>
    <w:rsid w:val="002756D3"/>
    <w:rsid w:val="002758D9"/>
    <w:rsid w:val="00275CE8"/>
    <w:rsid w:val="0027690C"/>
    <w:rsid w:val="00276ABF"/>
    <w:rsid w:val="00276DA1"/>
    <w:rsid w:val="00277611"/>
    <w:rsid w:val="00277635"/>
    <w:rsid w:val="00277718"/>
    <w:rsid w:val="00277F76"/>
    <w:rsid w:val="00280379"/>
    <w:rsid w:val="00280A2C"/>
    <w:rsid w:val="002814E2"/>
    <w:rsid w:val="002816C3"/>
    <w:rsid w:val="00281748"/>
    <w:rsid w:val="00281B10"/>
    <w:rsid w:val="00281B8B"/>
    <w:rsid w:val="00281E74"/>
    <w:rsid w:val="00282136"/>
    <w:rsid w:val="0028230C"/>
    <w:rsid w:val="00282677"/>
    <w:rsid w:val="00282832"/>
    <w:rsid w:val="002829DB"/>
    <w:rsid w:val="00283073"/>
    <w:rsid w:val="002838B7"/>
    <w:rsid w:val="002838EE"/>
    <w:rsid w:val="00283AE8"/>
    <w:rsid w:val="00286F21"/>
    <w:rsid w:val="002875AF"/>
    <w:rsid w:val="00287808"/>
    <w:rsid w:val="00287CC3"/>
    <w:rsid w:val="00290514"/>
    <w:rsid w:val="00290C2A"/>
    <w:rsid w:val="0029131C"/>
    <w:rsid w:val="00291D72"/>
    <w:rsid w:val="002923C1"/>
    <w:rsid w:val="00292496"/>
    <w:rsid w:val="00293F41"/>
    <w:rsid w:val="00294B3E"/>
    <w:rsid w:val="00294B81"/>
    <w:rsid w:val="00294F16"/>
    <w:rsid w:val="00295238"/>
    <w:rsid w:val="00295723"/>
    <w:rsid w:val="00295EC9"/>
    <w:rsid w:val="00296105"/>
    <w:rsid w:val="0029619F"/>
    <w:rsid w:val="002964B4"/>
    <w:rsid w:val="002966A6"/>
    <w:rsid w:val="00296E47"/>
    <w:rsid w:val="002973B0"/>
    <w:rsid w:val="00297DD8"/>
    <w:rsid w:val="00297E8B"/>
    <w:rsid w:val="002A00D2"/>
    <w:rsid w:val="002A07B3"/>
    <w:rsid w:val="002A0ED4"/>
    <w:rsid w:val="002A1305"/>
    <w:rsid w:val="002A1A8F"/>
    <w:rsid w:val="002A1E24"/>
    <w:rsid w:val="002A205D"/>
    <w:rsid w:val="002A239C"/>
    <w:rsid w:val="002A2BE3"/>
    <w:rsid w:val="002A3528"/>
    <w:rsid w:val="002A3A86"/>
    <w:rsid w:val="002A417E"/>
    <w:rsid w:val="002A4266"/>
    <w:rsid w:val="002A430C"/>
    <w:rsid w:val="002A4709"/>
    <w:rsid w:val="002A4E74"/>
    <w:rsid w:val="002A6665"/>
    <w:rsid w:val="002A6FE4"/>
    <w:rsid w:val="002A7010"/>
    <w:rsid w:val="002A7256"/>
    <w:rsid w:val="002A75EF"/>
    <w:rsid w:val="002A7959"/>
    <w:rsid w:val="002A7B76"/>
    <w:rsid w:val="002B0502"/>
    <w:rsid w:val="002B0791"/>
    <w:rsid w:val="002B0A7A"/>
    <w:rsid w:val="002B10C9"/>
    <w:rsid w:val="002B128F"/>
    <w:rsid w:val="002B157B"/>
    <w:rsid w:val="002B15D1"/>
    <w:rsid w:val="002B19C6"/>
    <w:rsid w:val="002B2A08"/>
    <w:rsid w:val="002B2F46"/>
    <w:rsid w:val="002B3873"/>
    <w:rsid w:val="002B3C1A"/>
    <w:rsid w:val="002B3F35"/>
    <w:rsid w:val="002B4034"/>
    <w:rsid w:val="002B4370"/>
    <w:rsid w:val="002B5F95"/>
    <w:rsid w:val="002B6462"/>
    <w:rsid w:val="002B64B5"/>
    <w:rsid w:val="002B6941"/>
    <w:rsid w:val="002B696E"/>
    <w:rsid w:val="002B79EF"/>
    <w:rsid w:val="002B7E0C"/>
    <w:rsid w:val="002C0C14"/>
    <w:rsid w:val="002C0F2F"/>
    <w:rsid w:val="002C11BE"/>
    <w:rsid w:val="002C1F62"/>
    <w:rsid w:val="002C261B"/>
    <w:rsid w:val="002C29DC"/>
    <w:rsid w:val="002C2D4B"/>
    <w:rsid w:val="002C2F74"/>
    <w:rsid w:val="002C301E"/>
    <w:rsid w:val="002C335C"/>
    <w:rsid w:val="002C37CD"/>
    <w:rsid w:val="002C38FD"/>
    <w:rsid w:val="002C3BB3"/>
    <w:rsid w:val="002C3DE1"/>
    <w:rsid w:val="002C4273"/>
    <w:rsid w:val="002C43D3"/>
    <w:rsid w:val="002C4841"/>
    <w:rsid w:val="002C4AE4"/>
    <w:rsid w:val="002C4DCC"/>
    <w:rsid w:val="002C55CB"/>
    <w:rsid w:val="002C5891"/>
    <w:rsid w:val="002C6247"/>
    <w:rsid w:val="002C6477"/>
    <w:rsid w:val="002C6A9C"/>
    <w:rsid w:val="002C6AA4"/>
    <w:rsid w:val="002C6F82"/>
    <w:rsid w:val="002C7D73"/>
    <w:rsid w:val="002D0274"/>
    <w:rsid w:val="002D057B"/>
    <w:rsid w:val="002D0638"/>
    <w:rsid w:val="002D0800"/>
    <w:rsid w:val="002D0E14"/>
    <w:rsid w:val="002D0F6A"/>
    <w:rsid w:val="002D0FB8"/>
    <w:rsid w:val="002D1181"/>
    <w:rsid w:val="002D1870"/>
    <w:rsid w:val="002D1D65"/>
    <w:rsid w:val="002D1D9B"/>
    <w:rsid w:val="002D1DAE"/>
    <w:rsid w:val="002D1E38"/>
    <w:rsid w:val="002D26BE"/>
    <w:rsid w:val="002D28DA"/>
    <w:rsid w:val="002D2DAA"/>
    <w:rsid w:val="002D2EFC"/>
    <w:rsid w:val="002D30A2"/>
    <w:rsid w:val="002D36B7"/>
    <w:rsid w:val="002D384A"/>
    <w:rsid w:val="002D3932"/>
    <w:rsid w:val="002D39FB"/>
    <w:rsid w:val="002D3B2A"/>
    <w:rsid w:val="002D3D1D"/>
    <w:rsid w:val="002D4FE1"/>
    <w:rsid w:val="002D5938"/>
    <w:rsid w:val="002D5CAD"/>
    <w:rsid w:val="002D631D"/>
    <w:rsid w:val="002D6A4F"/>
    <w:rsid w:val="002D6A8F"/>
    <w:rsid w:val="002D6C97"/>
    <w:rsid w:val="002D70C3"/>
    <w:rsid w:val="002D7CA9"/>
    <w:rsid w:val="002E0789"/>
    <w:rsid w:val="002E0794"/>
    <w:rsid w:val="002E17E7"/>
    <w:rsid w:val="002E1E91"/>
    <w:rsid w:val="002E2806"/>
    <w:rsid w:val="002E34DE"/>
    <w:rsid w:val="002E378D"/>
    <w:rsid w:val="002E38AA"/>
    <w:rsid w:val="002E3926"/>
    <w:rsid w:val="002E3EB2"/>
    <w:rsid w:val="002E6BD0"/>
    <w:rsid w:val="002E72D2"/>
    <w:rsid w:val="002E7A56"/>
    <w:rsid w:val="002E7F51"/>
    <w:rsid w:val="002F0B74"/>
    <w:rsid w:val="002F121A"/>
    <w:rsid w:val="002F16B4"/>
    <w:rsid w:val="002F1891"/>
    <w:rsid w:val="002F245D"/>
    <w:rsid w:val="002F27FD"/>
    <w:rsid w:val="002F2C1A"/>
    <w:rsid w:val="002F317E"/>
    <w:rsid w:val="002F3DB2"/>
    <w:rsid w:val="002F3F7D"/>
    <w:rsid w:val="002F4294"/>
    <w:rsid w:val="002F4854"/>
    <w:rsid w:val="002F52AF"/>
    <w:rsid w:val="002F572C"/>
    <w:rsid w:val="002F6800"/>
    <w:rsid w:val="002F7572"/>
    <w:rsid w:val="002F7D0A"/>
    <w:rsid w:val="0030004B"/>
    <w:rsid w:val="00300DF7"/>
    <w:rsid w:val="00301FD3"/>
    <w:rsid w:val="003025BB"/>
    <w:rsid w:val="003027B6"/>
    <w:rsid w:val="00302D05"/>
    <w:rsid w:val="00303647"/>
    <w:rsid w:val="0030411B"/>
    <w:rsid w:val="00304C3C"/>
    <w:rsid w:val="00304E5F"/>
    <w:rsid w:val="003053A7"/>
    <w:rsid w:val="00305460"/>
    <w:rsid w:val="003055FD"/>
    <w:rsid w:val="00306011"/>
    <w:rsid w:val="0030648C"/>
    <w:rsid w:val="003065FB"/>
    <w:rsid w:val="00306B7A"/>
    <w:rsid w:val="00306C0A"/>
    <w:rsid w:val="0030773C"/>
    <w:rsid w:val="00307797"/>
    <w:rsid w:val="003101F4"/>
    <w:rsid w:val="0031053E"/>
    <w:rsid w:val="0031070A"/>
    <w:rsid w:val="00310B9D"/>
    <w:rsid w:val="0031167E"/>
    <w:rsid w:val="003116AD"/>
    <w:rsid w:val="0031197C"/>
    <w:rsid w:val="0031232F"/>
    <w:rsid w:val="00312838"/>
    <w:rsid w:val="00312FBB"/>
    <w:rsid w:val="003133DD"/>
    <w:rsid w:val="0031399C"/>
    <w:rsid w:val="003139C1"/>
    <w:rsid w:val="00313A0A"/>
    <w:rsid w:val="00313BA1"/>
    <w:rsid w:val="00313DD6"/>
    <w:rsid w:val="0031438C"/>
    <w:rsid w:val="00314F85"/>
    <w:rsid w:val="00315291"/>
    <w:rsid w:val="00316136"/>
    <w:rsid w:val="00316343"/>
    <w:rsid w:val="00316A9A"/>
    <w:rsid w:val="0031737E"/>
    <w:rsid w:val="003175B5"/>
    <w:rsid w:val="003175ED"/>
    <w:rsid w:val="00320058"/>
    <w:rsid w:val="003202C9"/>
    <w:rsid w:val="00320743"/>
    <w:rsid w:val="00320920"/>
    <w:rsid w:val="003221D0"/>
    <w:rsid w:val="00322C94"/>
    <w:rsid w:val="003232F2"/>
    <w:rsid w:val="00323CDB"/>
    <w:rsid w:val="00323F7A"/>
    <w:rsid w:val="0032561A"/>
    <w:rsid w:val="00325635"/>
    <w:rsid w:val="0032569F"/>
    <w:rsid w:val="00325772"/>
    <w:rsid w:val="00325B45"/>
    <w:rsid w:val="00325CAC"/>
    <w:rsid w:val="00325F25"/>
    <w:rsid w:val="00325F3C"/>
    <w:rsid w:val="00326824"/>
    <w:rsid w:val="003276FD"/>
    <w:rsid w:val="00327FCA"/>
    <w:rsid w:val="003309B6"/>
    <w:rsid w:val="0033141C"/>
    <w:rsid w:val="003317F7"/>
    <w:rsid w:val="00331F0C"/>
    <w:rsid w:val="003322FB"/>
    <w:rsid w:val="00332693"/>
    <w:rsid w:val="003326F3"/>
    <w:rsid w:val="00332C70"/>
    <w:rsid w:val="00333992"/>
    <w:rsid w:val="00333C1F"/>
    <w:rsid w:val="0033431D"/>
    <w:rsid w:val="00334798"/>
    <w:rsid w:val="00334A92"/>
    <w:rsid w:val="00334C4F"/>
    <w:rsid w:val="0033501D"/>
    <w:rsid w:val="00335627"/>
    <w:rsid w:val="003357D1"/>
    <w:rsid w:val="0033589B"/>
    <w:rsid w:val="00335A2B"/>
    <w:rsid w:val="00335C84"/>
    <w:rsid w:val="00335D91"/>
    <w:rsid w:val="00335FF1"/>
    <w:rsid w:val="00337830"/>
    <w:rsid w:val="00340057"/>
    <w:rsid w:val="00340151"/>
    <w:rsid w:val="00341936"/>
    <w:rsid w:val="003420DF"/>
    <w:rsid w:val="003425DB"/>
    <w:rsid w:val="0034297B"/>
    <w:rsid w:val="00342C8E"/>
    <w:rsid w:val="00343633"/>
    <w:rsid w:val="003436C5"/>
    <w:rsid w:val="0034391A"/>
    <w:rsid w:val="00343A30"/>
    <w:rsid w:val="0034454B"/>
    <w:rsid w:val="00345273"/>
    <w:rsid w:val="00345656"/>
    <w:rsid w:val="003456E9"/>
    <w:rsid w:val="003465E7"/>
    <w:rsid w:val="00346A2D"/>
    <w:rsid w:val="0034716B"/>
    <w:rsid w:val="00347296"/>
    <w:rsid w:val="0034764A"/>
    <w:rsid w:val="00347B61"/>
    <w:rsid w:val="003504EA"/>
    <w:rsid w:val="00350F32"/>
    <w:rsid w:val="003513BE"/>
    <w:rsid w:val="003520FE"/>
    <w:rsid w:val="003522C8"/>
    <w:rsid w:val="003530BC"/>
    <w:rsid w:val="003532CE"/>
    <w:rsid w:val="00354186"/>
    <w:rsid w:val="0035429A"/>
    <w:rsid w:val="003558B0"/>
    <w:rsid w:val="00355EB6"/>
    <w:rsid w:val="00355F90"/>
    <w:rsid w:val="00356161"/>
    <w:rsid w:val="00356F9B"/>
    <w:rsid w:val="00356FCC"/>
    <w:rsid w:val="00357016"/>
    <w:rsid w:val="0035708F"/>
    <w:rsid w:val="003570BC"/>
    <w:rsid w:val="00357B68"/>
    <w:rsid w:val="00357EC9"/>
    <w:rsid w:val="0036031C"/>
    <w:rsid w:val="003603CE"/>
    <w:rsid w:val="00360C51"/>
    <w:rsid w:val="003619D2"/>
    <w:rsid w:val="00361C4F"/>
    <w:rsid w:val="003620DE"/>
    <w:rsid w:val="00363DA4"/>
    <w:rsid w:val="00363F75"/>
    <w:rsid w:val="00364330"/>
    <w:rsid w:val="00365903"/>
    <w:rsid w:val="00365BC2"/>
    <w:rsid w:val="00366233"/>
    <w:rsid w:val="00366715"/>
    <w:rsid w:val="003670A4"/>
    <w:rsid w:val="003670C2"/>
    <w:rsid w:val="00367442"/>
    <w:rsid w:val="00367A61"/>
    <w:rsid w:val="00367B88"/>
    <w:rsid w:val="00367B8A"/>
    <w:rsid w:val="00370378"/>
    <w:rsid w:val="00370489"/>
    <w:rsid w:val="00370EB5"/>
    <w:rsid w:val="0037175D"/>
    <w:rsid w:val="00371997"/>
    <w:rsid w:val="00371998"/>
    <w:rsid w:val="003751DC"/>
    <w:rsid w:val="0037528C"/>
    <w:rsid w:val="00375422"/>
    <w:rsid w:val="0037565E"/>
    <w:rsid w:val="003756BC"/>
    <w:rsid w:val="00375B94"/>
    <w:rsid w:val="003760B1"/>
    <w:rsid w:val="00376175"/>
    <w:rsid w:val="00376176"/>
    <w:rsid w:val="003763FC"/>
    <w:rsid w:val="00376E60"/>
    <w:rsid w:val="003779B1"/>
    <w:rsid w:val="00377DD0"/>
    <w:rsid w:val="00380A64"/>
    <w:rsid w:val="00381AD2"/>
    <w:rsid w:val="00381CA6"/>
    <w:rsid w:val="00382377"/>
    <w:rsid w:val="00383382"/>
    <w:rsid w:val="00383A94"/>
    <w:rsid w:val="00383D0F"/>
    <w:rsid w:val="00384807"/>
    <w:rsid w:val="00385213"/>
    <w:rsid w:val="00385473"/>
    <w:rsid w:val="0038658E"/>
    <w:rsid w:val="003867CE"/>
    <w:rsid w:val="00387401"/>
    <w:rsid w:val="00387CD9"/>
    <w:rsid w:val="00387EEA"/>
    <w:rsid w:val="00390035"/>
    <w:rsid w:val="003905A0"/>
    <w:rsid w:val="00390C63"/>
    <w:rsid w:val="003917BC"/>
    <w:rsid w:val="003924CC"/>
    <w:rsid w:val="003935B7"/>
    <w:rsid w:val="00393A05"/>
    <w:rsid w:val="00393B1D"/>
    <w:rsid w:val="00394184"/>
    <w:rsid w:val="00395D8C"/>
    <w:rsid w:val="003963A6"/>
    <w:rsid w:val="00396E11"/>
    <w:rsid w:val="003970DE"/>
    <w:rsid w:val="003978AD"/>
    <w:rsid w:val="003979AB"/>
    <w:rsid w:val="00397CE6"/>
    <w:rsid w:val="003A0AD6"/>
    <w:rsid w:val="003A14D9"/>
    <w:rsid w:val="003A1569"/>
    <w:rsid w:val="003A1F3F"/>
    <w:rsid w:val="003A3D68"/>
    <w:rsid w:val="003A528D"/>
    <w:rsid w:val="003A53C1"/>
    <w:rsid w:val="003A554A"/>
    <w:rsid w:val="003A5706"/>
    <w:rsid w:val="003A5874"/>
    <w:rsid w:val="003A5D8B"/>
    <w:rsid w:val="003A5DCD"/>
    <w:rsid w:val="003A5F2B"/>
    <w:rsid w:val="003A6C33"/>
    <w:rsid w:val="003B02EF"/>
    <w:rsid w:val="003B068B"/>
    <w:rsid w:val="003B0FFB"/>
    <w:rsid w:val="003B10BE"/>
    <w:rsid w:val="003B15BC"/>
    <w:rsid w:val="003B187F"/>
    <w:rsid w:val="003B1CC8"/>
    <w:rsid w:val="003B1FF4"/>
    <w:rsid w:val="003B20A9"/>
    <w:rsid w:val="003B20EC"/>
    <w:rsid w:val="003B21D2"/>
    <w:rsid w:val="003B2345"/>
    <w:rsid w:val="003B31E4"/>
    <w:rsid w:val="003B33A2"/>
    <w:rsid w:val="003B3754"/>
    <w:rsid w:val="003B3FB5"/>
    <w:rsid w:val="003B4880"/>
    <w:rsid w:val="003B48FE"/>
    <w:rsid w:val="003B4A62"/>
    <w:rsid w:val="003B64AF"/>
    <w:rsid w:val="003B7920"/>
    <w:rsid w:val="003C0673"/>
    <w:rsid w:val="003C06E3"/>
    <w:rsid w:val="003C0AAE"/>
    <w:rsid w:val="003C13AD"/>
    <w:rsid w:val="003C14C0"/>
    <w:rsid w:val="003C1E11"/>
    <w:rsid w:val="003C30CE"/>
    <w:rsid w:val="003C32FD"/>
    <w:rsid w:val="003C331B"/>
    <w:rsid w:val="003C3336"/>
    <w:rsid w:val="003C3C64"/>
    <w:rsid w:val="003C3FFC"/>
    <w:rsid w:val="003C46EE"/>
    <w:rsid w:val="003C499F"/>
    <w:rsid w:val="003C5111"/>
    <w:rsid w:val="003C5369"/>
    <w:rsid w:val="003C5763"/>
    <w:rsid w:val="003D01E3"/>
    <w:rsid w:val="003D0B95"/>
    <w:rsid w:val="003D1C8C"/>
    <w:rsid w:val="003D1E9B"/>
    <w:rsid w:val="003D2246"/>
    <w:rsid w:val="003D257B"/>
    <w:rsid w:val="003D2D66"/>
    <w:rsid w:val="003D2F60"/>
    <w:rsid w:val="003D3019"/>
    <w:rsid w:val="003D32A4"/>
    <w:rsid w:val="003D3545"/>
    <w:rsid w:val="003D3556"/>
    <w:rsid w:val="003D3B1A"/>
    <w:rsid w:val="003D43EA"/>
    <w:rsid w:val="003D47C4"/>
    <w:rsid w:val="003D4DCB"/>
    <w:rsid w:val="003D5679"/>
    <w:rsid w:val="003D5BB4"/>
    <w:rsid w:val="003D6592"/>
    <w:rsid w:val="003D6B58"/>
    <w:rsid w:val="003D6CBB"/>
    <w:rsid w:val="003D78FA"/>
    <w:rsid w:val="003E034F"/>
    <w:rsid w:val="003E08B1"/>
    <w:rsid w:val="003E1C34"/>
    <w:rsid w:val="003E2600"/>
    <w:rsid w:val="003E3325"/>
    <w:rsid w:val="003E3619"/>
    <w:rsid w:val="003E4895"/>
    <w:rsid w:val="003E4E2B"/>
    <w:rsid w:val="003E4F9A"/>
    <w:rsid w:val="003E5335"/>
    <w:rsid w:val="003E5AF3"/>
    <w:rsid w:val="003E5DF9"/>
    <w:rsid w:val="003E6434"/>
    <w:rsid w:val="003E6592"/>
    <w:rsid w:val="003E6D27"/>
    <w:rsid w:val="003E6DEA"/>
    <w:rsid w:val="003E6EB3"/>
    <w:rsid w:val="003E6F36"/>
    <w:rsid w:val="003E730E"/>
    <w:rsid w:val="003F030E"/>
    <w:rsid w:val="003F0322"/>
    <w:rsid w:val="003F0583"/>
    <w:rsid w:val="003F08B1"/>
    <w:rsid w:val="003F0B25"/>
    <w:rsid w:val="003F1449"/>
    <w:rsid w:val="003F3BA8"/>
    <w:rsid w:val="003F43E0"/>
    <w:rsid w:val="003F47FF"/>
    <w:rsid w:val="003F4C72"/>
    <w:rsid w:val="003F4CE2"/>
    <w:rsid w:val="003F5A6C"/>
    <w:rsid w:val="003F5CB1"/>
    <w:rsid w:val="003F639C"/>
    <w:rsid w:val="003F67E2"/>
    <w:rsid w:val="003F6DB9"/>
    <w:rsid w:val="003F7116"/>
    <w:rsid w:val="003F7154"/>
    <w:rsid w:val="003F731E"/>
    <w:rsid w:val="003F7768"/>
    <w:rsid w:val="003F7917"/>
    <w:rsid w:val="00401DD2"/>
    <w:rsid w:val="0040234A"/>
    <w:rsid w:val="0040306B"/>
    <w:rsid w:val="004037D7"/>
    <w:rsid w:val="0040453C"/>
    <w:rsid w:val="00404A0D"/>
    <w:rsid w:val="00404E5D"/>
    <w:rsid w:val="0040519B"/>
    <w:rsid w:val="00405B0C"/>
    <w:rsid w:val="004060D1"/>
    <w:rsid w:val="004069C3"/>
    <w:rsid w:val="00406BB8"/>
    <w:rsid w:val="00406FC4"/>
    <w:rsid w:val="0040706C"/>
    <w:rsid w:val="004079BF"/>
    <w:rsid w:val="00410090"/>
    <w:rsid w:val="00410C88"/>
    <w:rsid w:val="00410D1A"/>
    <w:rsid w:val="00411280"/>
    <w:rsid w:val="004117F5"/>
    <w:rsid w:val="00411E0D"/>
    <w:rsid w:val="00411E45"/>
    <w:rsid w:val="00411F18"/>
    <w:rsid w:val="004126EF"/>
    <w:rsid w:val="0041276A"/>
    <w:rsid w:val="0041295C"/>
    <w:rsid w:val="00413351"/>
    <w:rsid w:val="004134BE"/>
    <w:rsid w:val="0041389D"/>
    <w:rsid w:val="004138CE"/>
    <w:rsid w:val="00413B5A"/>
    <w:rsid w:val="00413ED8"/>
    <w:rsid w:val="00414030"/>
    <w:rsid w:val="00414276"/>
    <w:rsid w:val="004151A4"/>
    <w:rsid w:val="004152E6"/>
    <w:rsid w:val="00415416"/>
    <w:rsid w:val="00416173"/>
    <w:rsid w:val="00417769"/>
    <w:rsid w:val="00417999"/>
    <w:rsid w:val="00420024"/>
    <w:rsid w:val="00420ABD"/>
    <w:rsid w:val="00420E7E"/>
    <w:rsid w:val="0042196B"/>
    <w:rsid w:val="0042245B"/>
    <w:rsid w:val="00424679"/>
    <w:rsid w:val="00424AFD"/>
    <w:rsid w:val="00424DF1"/>
    <w:rsid w:val="0042509E"/>
    <w:rsid w:val="004265CD"/>
    <w:rsid w:val="00426C34"/>
    <w:rsid w:val="004278FA"/>
    <w:rsid w:val="00427B89"/>
    <w:rsid w:val="004300CF"/>
    <w:rsid w:val="00430A87"/>
    <w:rsid w:val="0043117D"/>
    <w:rsid w:val="004321BB"/>
    <w:rsid w:val="0043225A"/>
    <w:rsid w:val="00432414"/>
    <w:rsid w:val="00432C38"/>
    <w:rsid w:val="00433355"/>
    <w:rsid w:val="00433607"/>
    <w:rsid w:val="004337AE"/>
    <w:rsid w:val="0043380A"/>
    <w:rsid w:val="00433A46"/>
    <w:rsid w:val="0043468E"/>
    <w:rsid w:val="00434A9F"/>
    <w:rsid w:val="004356C4"/>
    <w:rsid w:val="00436DA8"/>
    <w:rsid w:val="0043727E"/>
    <w:rsid w:val="00440361"/>
    <w:rsid w:val="004409D8"/>
    <w:rsid w:val="004411D6"/>
    <w:rsid w:val="00441331"/>
    <w:rsid w:val="004413CA"/>
    <w:rsid w:val="0044198A"/>
    <w:rsid w:val="00441E02"/>
    <w:rsid w:val="00441E6C"/>
    <w:rsid w:val="004425C6"/>
    <w:rsid w:val="00442D4D"/>
    <w:rsid w:val="00443392"/>
    <w:rsid w:val="00443D2E"/>
    <w:rsid w:val="004440DA"/>
    <w:rsid w:val="0044469D"/>
    <w:rsid w:val="00444701"/>
    <w:rsid w:val="00444921"/>
    <w:rsid w:val="00444D5C"/>
    <w:rsid w:val="00445056"/>
    <w:rsid w:val="00445730"/>
    <w:rsid w:val="004459AA"/>
    <w:rsid w:val="00445A36"/>
    <w:rsid w:val="00446484"/>
    <w:rsid w:val="004475A6"/>
    <w:rsid w:val="004479D4"/>
    <w:rsid w:val="0045045D"/>
    <w:rsid w:val="004504BE"/>
    <w:rsid w:val="00451439"/>
    <w:rsid w:val="00452991"/>
    <w:rsid w:val="00452C7D"/>
    <w:rsid w:val="00453616"/>
    <w:rsid w:val="00453C5C"/>
    <w:rsid w:val="00454007"/>
    <w:rsid w:val="00454587"/>
    <w:rsid w:val="00454D03"/>
    <w:rsid w:val="00455A3A"/>
    <w:rsid w:val="00456081"/>
    <w:rsid w:val="00456243"/>
    <w:rsid w:val="00456803"/>
    <w:rsid w:val="00456A49"/>
    <w:rsid w:val="00456A57"/>
    <w:rsid w:val="00456C08"/>
    <w:rsid w:val="00457051"/>
    <w:rsid w:val="0045770F"/>
    <w:rsid w:val="00457859"/>
    <w:rsid w:val="00460783"/>
    <w:rsid w:val="00460906"/>
    <w:rsid w:val="00460BE3"/>
    <w:rsid w:val="00462163"/>
    <w:rsid w:val="0046385C"/>
    <w:rsid w:val="00463D90"/>
    <w:rsid w:val="00463EBB"/>
    <w:rsid w:val="0046403E"/>
    <w:rsid w:val="0046442E"/>
    <w:rsid w:val="00464B23"/>
    <w:rsid w:val="004652C8"/>
    <w:rsid w:val="004657D5"/>
    <w:rsid w:val="00465BCE"/>
    <w:rsid w:val="00465EDD"/>
    <w:rsid w:val="0046640E"/>
    <w:rsid w:val="004665BE"/>
    <w:rsid w:val="00466E01"/>
    <w:rsid w:val="00466E48"/>
    <w:rsid w:val="004672D2"/>
    <w:rsid w:val="004700CE"/>
    <w:rsid w:val="00470856"/>
    <w:rsid w:val="00471710"/>
    <w:rsid w:val="00472399"/>
    <w:rsid w:val="00473B75"/>
    <w:rsid w:val="00473CF4"/>
    <w:rsid w:val="00473D1E"/>
    <w:rsid w:val="00473DD8"/>
    <w:rsid w:val="0047459D"/>
    <w:rsid w:val="00474BFC"/>
    <w:rsid w:val="00474CCD"/>
    <w:rsid w:val="004755B0"/>
    <w:rsid w:val="00475743"/>
    <w:rsid w:val="00475CC1"/>
    <w:rsid w:val="00475E1A"/>
    <w:rsid w:val="00476445"/>
    <w:rsid w:val="0047795D"/>
    <w:rsid w:val="00477AC2"/>
    <w:rsid w:val="00477ACF"/>
    <w:rsid w:val="00480186"/>
    <w:rsid w:val="00480C98"/>
    <w:rsid w:val="00480E1C"/>
    <w:rsid w:val="0048124F"/>
    <w:rsid w:val="004812C5"/>
    <w:rsid w:val="00483493"/>
    <w:rsid w:val="00483551"/>
    <w:rsid w:val="00483968"/>
    <w:rsid w:val="00483E72"/>
    <w:rsid w:val="00483F43"/>
    <w:rsid w:val="004840CE"/>
    <w:rsid w:val="00484696"/>
    <w:rsid w:val="00485B5D"/>
    <w:rsid w:val="00485E6D"/>
    <w:rsid w:val="0048680B"/>
    <w:rsid w:val="0049020B"/>
    <w:rsid w:val="004909CC"/>
    <w:rsid w:val="00490EE8"/>
    <w:rsid w:val="00491550"/>
    <w:rsid w:val="0049171F"/>
    <w:rsid w:val="00491D33"/>
    <w:rsid w:val="004926D4"/>
    <w:rsid w:val="00492A81"/>
    <w:rsid w:val="0049304E"/>
    <w:rsid w:val="004945EF"/>
    <w:rsid w:val="004948BE"/>
    <w:rsid w:val="00494B5D"/>
    <w:rsid w:val="00494F4F"/>
    <w:rsid w:val="004951B0"/>
    <w:rsid w:val="00495384"/>
    <w:rsid w:val="004954AB"/>
    <w:rsid w:val="00495782"/>
    <w:rsid w:val="00495801"/>
    <w:rsid w:val="004972AE"/>
    <w:rsid w:val="0049731C"/>
    <w:rsid w:val="00497C8A"/>
    <w:rsid w:val="004A0576"/>
    <w:rsid w:val="004A0873"/>
    <w:rsid w:val="004A09C9"/>
    <w:rsid w:val="004A19C3"/>
    <w:rsid w:val="004A1ED3"/>
    <w:rsid w:val="004A21CA"/>
    <w:rsid w:val="004A2D56"/>
    <w:rsid w:val="004A2DD9"/>
    <w:rsid w:val="004A3385"/>
    <w:rsid w:val="004A3626"/>
    <w:rsid w:val="004A39BE"/>
    <w:rsid w:val="004A3C3C"/>
    <w:rsid w:val="004A3D97"/>
    <w:rsid w:val="004A4002"/>
    <w:rsid w:val="004A4153"/>
    <w:rsid w:val="004A4A08"/>
    <w:rsid w:val="004A51B9"/>
    <w:rsid w:val="004A51EB"/>
    <w:rsid w:val="004A5711"/>
    <w:rsid w:val="004A5A3C"/>
    <w:rsid w:val="004A5F38"/>
    <w:rsid w:val="004A68EA"/>
    <w:rsid w:val="004A6A17"/>
    <w:rsid w:val="004A7832"/>
    <w:rsid w:val="004A78C1"/>
    <w:rsid w:val="004A7E9F"/>
    <w:rsid w:val="004B07D4"/>
    <w:rsid w:val="004B09A5"/>
    <w:rsid w:val="004B0D05"/>
    <w:rsid w:val="004B109B"/>
    <w:rsid w:val="004B10E1"/>
    <w:rsid w:val="004B1492"/>
    <w:rsid w:val="004B1C79"/>
    <w:rsid w:val="004B1E3D"/>
    <w:rsid w:val="004B202D"/>
    <w:rsid w:val="004B28E6"/>
    <w:rsid w:val="004B2C37"/>
    <w:rsid w:val="004B3472"/>
    <w:rsid w:val="004B35AF"/>
    <w:rsid w:val="004B3BBF"/>
    <w:rsid w:val="004B4354"/>
    <w:rsid w:val="004B4972"/>
    <w:rsid w:val="004B5189"/>
    <w:rsid w:val="004B58E2"/>
    <w:rsid w:val="004B5AD7"/>
    <w:rsid w:val="004B60F2"/>
    <w:rsid w:val="004B6D40"/>
    <w:rsid w:val="004B6F2F"/>
    <w:rsid w:val="004B74C9"/>
    <w:rsid w:val="004B79CC"/>
    <w:rsid w:val="004B7AB4"/>
    <w:rsid w:val="004B7BC3"/>
    <w:rsid w:val="004B7E78"/>
    <w:rsid w:val="004C0105"/>
    <w:rsid w:val="004C04FC"/>
    <w:rsid w:val="004C1AD3"/>
    <w:rsid w:val="004C1BCD"/>
    <w:rsid w:val="004C251E"/>
    <w:rsid w:val="004C25BB"/>
    <w:rsid w:val="004C3117"/>
    <w:rsid w:val="004C34F5"/>
    <w:rsid w:val="004C4748"/>
    <w:rsid w:val="004C4F20"/>
    <w:rsid w:val="004C54F6"/>
    <w:rsid w:val="004C5595"/>
    <w:rsid w:val="004C5CDF"/>
    <w:rsid w:val="004C66A9"/>
    <w:rsid w:val="004C6825"/>
    <w:rsid w:val="004C6E0D"/>
    <w:rsid w:val="004C7619"/>
    <w:rsid w:val="004C7862"/>
    <w:rsid w:val="004D0A2C"/>
    <w:rsid w:val="004D0D08"/>
    <w:rsid w:val="004D0DDB"/>
    <w:rsid w:val="004D2002"/>
    <w:rsid w:val="004D2846"/>
    <w:rsid w:val="004D2DA9"/>
    <w:rsid w:val="004D34B9"/>
    <w:rsid w:val="004D376E"/>
    <w:rsid w:val="004D3A4B"/>
    <w:rsid w:val="004D3D6D"/>
    <w:rsid w:val="004D49DF"/>
    <w:rsid w:val="004D4BC0"/>
    <w:rsid w:val="004D5728"/>
    <w:rsid w:val="004D5B3B"/>
    <w:rsid w:val="004D629E"/>
    <w:rsid w:val="004D675B"/>
    <w:rsid w:val="004D6FCE"/>
    <w:rsid w:val="004D71DF"/>
    <w:rsid w:val="004D74E2"/>
    <w:rsid w:val="004D7D3C"/>
    <w:rsid w:val="004E0631"/>
    <w:rsid w:val="004E0A25"/>
    <w:rsid w:val="004E0D05"/>
    <w:rsid w:val="004E0D78"/>
    <w:rsid w:val="004E0FB4"/>
    <w:rsid w:val="004E0FB6"/>
    <w:rsid w:val="004E124B"/>
    <w:rsid w:val="004E140B"/>
    <w:rsid w:val="004E1669"/>
    <w:rsid w:val="004E2697"/>
    <w:rsid w:val="004E26E8"/>
    <w:rsid w:val="004E2C25"/>
    <w:rsid w:val="004E3138"/>
    <w:rsid w:val="004E32F6"/>
    <w:rsid w:val="004E337C"/>
    <w:rsid w:val="004E34C1"/>
    <w:rsid w:val="004E3EDF"/>
    <w:rsid w:val="004E44FD"/>
    <w:rsid w:val="004E450D"/>
    <w:rsid w:val="004E4647"/>
    <w:rsid w:val="004E46C0"/>
    <w:rsid w:val="004E4B2F"/>
    <w:rsid w:val="004E4D22"/>
    <w:rsid w:val="004E5360"/>
    <w:rsid w:val="004E6008"/>
    <w:rsid w:val="004E667C"/>
    <w:rsid w:val="004E6A11"/>
    <w:rsid w:val="004E7DDB"/>
    <w:rsid w:val="004F0362"/>
    <w:rsid w:val="004F0395"/>
    <w:rsid w:val="004F0E17"/>
    <w:rsid w:val="004F1F87"/>
    <w:rsid w:val="004F274C"/>
    <w:rsid w:val="004F2862"/>
    <w:rsid w:val="004F314D"/>
    <w:rsid w:val="004F3AB7"/>
    <w:rsid w:val="004F3CE9"/>
    <w:rsid w:val="004F40F2"/>
    <w:rsid w:val="004F413E"/>
    <w:rsid w:val="004F4E5B"/>
    <w:rsid w:val="004F5391"/>
    <w:rsid w:val="004F5764"/>
    <w:rsid w:val="004F5E05"/>
    <w:rsid w:val="004F7378"/>
    <w:rsid w:val="004F75A1"/>
    <w:rsid w:val="004F76EE"/>
    <w:rsid w:val="004F7FDE"/>
    <w:rsid w:val="0050086E"/>
    <w:rsid w:val="00501851"/>
    <w:rsid w:val="005021EF"/>
    <w:rsid w:val="0050249C"/>
    <w:rsid w:val="0050250D"/>
    <w:rsid w:val="005027B3"/>
    <w:rsid w:val="00502E1E"/>
    <w:rsid w:val="0050341E"/>
    <w:rsid w:val="00503439"/>
    <w:rsid w:val="00503601"/>
    <w:rsid w:val="005038F3"/>
    <w:rsid w:val="00503F7D"/>
    <w:rsid w:val="0050459D"/>
    <w:rsid w:val="00505A8C"/>
    <w:rsid w:val="00505E3A"/>
    <w:rsid w:val="00506285"/>
    <w:rsid w:val="00506856"/>
    <w:rsid w:val="0050685D"/>
    <w:rsid w:val="00506982"/>
    <w:rsid w:val="00506BDE"/>
    <w:rsid w:val="00507E8D"/>
    <w:rsid w:val="0051064D"/>
    <w:rsid w:val="00510BD6"/>
    <w:rsid w:val="00510D6C"/>
    <w:rsid w:val="005119A4"/>
    <w:rsid w:val="00511A27"/>
    <w:rsid w:val="00511E1E"/>
    <w:rsid w:val="00512C69"/>
    <w:rsid w:val="00513A40"/>
    <w:rsid w:val="00513E02"/>
    <w:rsid w:val="00514545"/>
    <w:rsid w:val="0051464A"/>
    <w:rsid w:val="0051489D"/>
    <w:rsid w:val="00514B06"/>
    <w:rsid w:val="00514FAC"/>
    <w:rsid w:val="00515420"/>
    <w:rsid w:val="00515B47"/>
    <w:rsid w:val="00515D8C"/>
    <w:rsid w:val="00515E29"/>
    <w:rsid w:val="0051611C"/>
    <w:rsid w:val="00516955"/>
    <w:rsid w:val="00517A6D"/>
    <w:rsid w:val="005216D3"/>
    <w:rsid w:val="005218B0"/>
    <w:rsid w:val="00521A75"/>
    <w:rsid w:val="00521D24"/>
    <w:rsid w:val="00521D8E"/>
    <w:rsid w:val="00521F44"/>
    <w:rsid w:val="005223E5"/>
    <w:rsid w:val="00522545"/>
    <w:rsid w:val="00522AA5"/>
    <w:rsid w:val="00523371"/>
    <w:rsid w:val="0052392F"/>
    <w:rsid w:val="0052393C"/>
    <w:rsid w:val="0052477B"/>
    <w:rsid w:val="005247A9"/>
    <w:rsid w:val="00524E67"/>
    <w:rsid w:val="00525412"/>
    <w:rsid w:val="005266D2"/>
    <w:rsid w:val="00526E25"/>
    <w:rsid w:val="0052722B"/>
    <w:rsid w:val="00527719"/>
    <w:rsid w:val="005303D2"/>
    <w:rsid w:val="0053056C"/>
    <w:rsid w:val="00530647"/>
    <w:rsid w:val="0053191A"/>
    <w:rsid w:val="0053270D"/>
    <w:rsid w:val="00532C48"/>
    <w:rsid w:val="00534D9F"/>
    <w:rsid w:val="00534E92"/>
    <w:rsid w:val="0053538A"/>
    <w:rsid w:val="00535A83"/>
    <w:rsid w:val="00535B7A"/>
    <w:rsid w:val="00535C41"/>
    <w:rsid w:val="00535F29"/>
    <w:rsid w:val="00537229"/>
    <w:rsid w:val="005377F7"/>
    <w:rsid w:val="00537858"/>
    <w:rsid w:val="00537EEE"/>
    <w:rsid w:val="00540354"/>
    <w:rsid w:val="00540B02"/>
    <w:rsid w:val="0054126D"/>
    <w:rsid w:val="005416CC"/>
    <w:rsid w:val="00541ACE"/>
    <w:rsid w:val="00541F04"/>
    <w:rsid w:val="00542B39"/>
    <w:rsid w:val="00543AD0"/>
    <w:rsid w:val="00543F32"/>
    <w:rsid w:val="00544BD2"/>
    <w:rsid w:val="00544D9B"/>
    <w:rsid w:val="00544DD4"/>
    <w:rsid w:val="00545221"/>
    <w:rsid w:val="005453B2"/>
    <w:rsid w:val="00545498"/>
    <w:rsid w:val="00545CC8"/>
    <w:rsid w:val="005465B7"/>
    <w:rsid w:val="005472F9"/>
    <w:rsid w:val="00547631"/>
    <w:rsid w:val="00547C6E"/>
    <w:rsid w:val="00550496"/>
    <w:rsid w:val="00550E71"/>
    <w:rsid w:val="00551715"/>
    <w:rsid w:val="00552A83"/>
    <w:rsid w:val="00552F88"/>
    <w:rsid w:val="00553A8F"/>
    <w:rsid w:val="00553AF1"/>
    <w:rsid w:val="0055562D"/>
    <w:rsid w:val="005557D2"/>
    <w:rsid w:val="00555BD3"/>
    <w:rsid w:val="0055719C"/>
    <w:rsid w:val="005571DD"/>
    <w:rsid w:val="005576A2"/>
    <w:rsid w:val="005578A4"/>
    <w:rsid w:val="00557B86"/>
    <w:rsid w:val="00557F59"/>
    <w:rsid w:val="00560109"/>
    <w:rsid w:val="00560290"/>
    <w:rsid w:val="0056050C"/>
    <w:rsid w:val="00561587"/>
    <w:rsid w:val="005615A4"/>
    <w:rsid w:val="00561691"/>
    <w:rsid w:val="005617B1"/>
    <w:rsid w:val="00561AFC"/>
    <w:rsid w:val="00561BBB"/>
    <w:rsid w:val="00561D06"/>
    <w:rsid w:val="00561E70"/>
    <w:rsid w:val="00562ECE"/>
    <w:rsid w:val="00563359"/>
    <w:rsid w:val="00563501"/>
    <w:rsid w:val="005639AB"/>
    <w:rsid w:val="00564383"/>
    <w:rsid w:val="0056467E"/>
    <w:rsid w:val="0056523C"/>
    <w:rsid w:val="005656B9"/>
    <w:rsid w:val="00565AD7"/>
    <w:rsid w:val="00565C00"/>
    <w:rsid w:val="0056605A"/>
    <w:rsid w:val="0056798F"/>
    <w:rsid w:val="00570407"/>
    <w:rsid w:val="00570DFE"/>
    <w:rsid w:val="00573648"/>
    <w:rsid w:val="00573B1B"/>
    <w:rsid w:val="00573CC4"/>
    <w:rsid w:val="0057489A"/>
    <w:rsid w:val="00574991"/>
    <w:rsid w:val="00575289"/>
    <w:rsid w:val="00575740"/>
    <w:rsid w:val="005757F9"/>
    <w:rsid w:val="00575849"/>
    <w:rsid w:val="00575999"/>
    <w:rsid w:val="0057656F"/>
    <w:rsid w:val="0057676B"/>
    <w:rsid w:val="0057789A"/>
    <w:rsid w:val="00577D97"/>
    <w:rsid w:val="005801EA"/>
    <w:rsid w:val="00580676"/>
    <w:rsid w:val="00581147"/>
    <w:rsid w:val="00581934"/>
    <w:rsid w:val="0058277C"/>
    <w:rsid w:val="0058298C"/>
    <w:rsid w:val="0058313E"/>
    <w:rsid w:val="005835F6"/>
    <w:rsid w:val="0058363E"/>
    <w:rsid w:val="0058373F"/>
    <w:rsid w:val="005837FF"/>
    <w:rsid w:val="00583C93"/>
    <w:rsid w:val="005846F0"/>
    <w:rsid w:val="00584ED6"/>
    <w:rsid w:val="0058524B"/>
    <w:rsid w:val="00585B78"/>
    <w:rsid w:val="00585F97"/>
    <w:rsid w:val="0058604A"/>
    <w:rsid w:val="00586E06"/>
    <w:rsid w:val="00586ECA"/>
    <w:rsid w:val="00587B02"/>
    <w:rsid w:val="00592B9C"/>
    <w:rsid w:val="0059413E"/>
    <w:rsid w:val="00594F77"/>
    <w:rsid w:val="0059503D"/>
    <w:rsid w:val="00595295"/>
    <w:rsid w:val="00595684"/>
    <w:rsid w:val="005958EE"/>
    <w:rsid w:val="00595DDE"/>
    <w:rsid w:val="00596002"/>
    <w:rsid w:val="00596638"/>
    <w:rsid w:val="0059788E"/>
    <w:rsid w:val="00597DEE"/>
    <w:rsid w:val="005A0738"/>
    <w:rsid w:val="005A0965"/>
    <w:rsid w:val="005A141A"/>
    <w:rsid w:val="005A1611"/>
    <w:rsid w:val="005A179A"/>
    <w:rsid w:val="005A1859"/>
    <w:rsid w:val="005A186A"/>
    <w:rsid w:val="005A1C6E"/>
    <w:rsid w:val="005A2268"/>
    <w:rsid w:val="005A24D6"/>
    <w:rsid w:val="005A28D4"/>
    <w:rsid w:val="005A2B55"/>
    <w:rsid w:val="005A3388"/>
    <w:rsid w:val="005A3733"/>
    <w:rsid w:val="005A43BD"/>
    <w:rsid w:val="005A43E1"/>
    <w:rsid w:val="005A46BC"/>
    <w:rsid w:val="005A4DD9"/>
    <w:rsid w:val="005A5422"/>
    <w:rsid w:val="005A54E0"/>
    <w:rsid w:val="005A5A72"/>
    <w:rsid w:val="005A5C8D"/>
    <w:rsid w:val="005A5CF5"/>
    <w:rsid w:val="005A5E6A"/>
    <w:rsid w:val="005A5EBE"/>
    <w:rsid w:val="005A6A49"/>
    <w:rsid w:val="005A6EC0"/>
    <w:rsid w:val="005A730C"/>
    <w:rsid w:val="005B0496"/>
    <w:rsid w:val="005B05B1"/>
    <w:rsid w:val="005B0A4B"/>
    <w:rsid w:val="005B0C84"/>
    <w:rsid w:val="005B0EA4"/>
    <w:rsid w:val="005B1A10"/>
    <w:rsid w:val="005B2490"/>
    <w:rsid w:val="005B2835"/>
    <w:rsid w:val="005B2A2F"/>
    <w:rsid w:val="005B3428"/>
    <w:rsid w:val="005B39E3"/>
    <w:rsid w:val="005B4068"/>
    <w:rsid w:val="005B45E4"/>
    <w:rsid w:val="005B4FFB"/>
    <w:rsid w:val="005B616C"/>
    <w:rsid w:val="005B73A0"/>
    <w:rsid w:val="005B79B2"/>
    <w:rsid w:val="005B7FBD"/>
    <w:rsid w:val="005C008A"/>
    <w:rsid w:val="005C045F"/>
    <w:rsid w:val="005C0486"/>
    <w:rsid w:val="005C06B9"/>
    <w:rsid w:val="005C07C7"/>
    <w:rsid w:val="005C09B8"/>
    <w:rsid w:val="005C0A73"/>
    <w:rsid w:val="005C0AD9"/>
    <w:rsid w:val="005C126E"/>
    <w:rsid w:val="005C12AB"/>
    <w:rsid w:val="005C12C9"/>
    <w:rsid w:val="005C1D90"/>
    <w:rsid w:val="005C1E09"/>
    <w:rsid w:val="005C1E32"/>
    <w:rsid w:val="005C21CF"/>
    <w:rsid w:val="005C24F2"/>
    <w:rsid w:val="005C2A25"/>
    <w:rsid w:val="005C2C93"/>
    <w:rsid w:val="005C36BF"/>
    <w:rsid w:val="005C3B40"/>
    <w:rsid w:val="005C440D"/>
    <w:rsid w:val="005C4AAD"/>
    <w:rsid w:val="005C4BAF"/>
    <w:rsid w:val="005C535D"/>
    <w:rsid w:val="005C623E"/>
    <w:rsid w:val="005C65EB"/>
    <w:rsid w:val="005C66CC"/>
    <w:rsid w:val="005C6763"/>
    <w:rsid w:val="005C6877"/>
    <w:rsid w:val="005C6EC7"/>
    <w:rsid w:val="005C740E"/>
    <w:rsid w:val="005D0B80"/>
    <w:rsid w:val="005D1239"/>
    <w:rsid w:val="005D155D"/>
    <w:rsid w:val="005D165B"/>
    <w:rsid w:val="005D21FD"/>
    <w:rsid w:val="005D2344"/>
    <w:rsid w:val="005D2E05"/>
    <w:rsid w:val="005D2FB5"/>
    <w:rsid w:val="005D303F"/>
    <w:rsid w:val="005D3349"/>
    <w:rsid w:val="005D4E3E"/>
    <w:rsid w:val="005D5136"/>
    <w:rsid w:val="005D5A50"/>
    <w:rsid w:val="005D6747"/>
    <w:rsid w:val="005D68E2"/>
    <w:rsid w:val="005E05F6"/>
    <w:rsid w:val="005E0BC3"/>
    <w:rsid w:val="005E0D77"/>
    <w:rsid w:val="005E0E06"/>
    <w:rsid w:val="005E1C56"/>
    <w:rsid w:val="005E262A"/>
    <w:rsid w:val="005E2A49"/>
    <w:rsid w:val="005E2CE8"/>
    <w:rsid w:val="005E3D85"/>
    <w:rsid w:val="005E4712"/>
    <w:rsid w:val="005E4CC5"/>
    <w:rsid w:val="005E4E74"/>
    <w:rsid w:val="005E5240"/>
    <w:rsid w:val="005E5BBB"/>
    <w:rsid w:val="005E62F8"/>
    <w:rsid w:val="005E66AE"/>
    <w:rsid w:val="005E6B8E"/>
    <w:rsid w:val="005F07CC"/>
    <w:rsid w:val="005F190F"/>
    <w:rsid w:val="005F1E39"/>
    <w:rsid w:val="005F243E"/>
    <w:rsid w:val="005F2508"/>
    <w:rsid w:val="005F2900"/>
    <w:rsid w:val="005F2A87"/>
    <w:rsid w:val="005F30C7"/>
    <w:rsid w:val="005F3424"/>
    <w:rsid w:val="005F34CF"/>
    <w:rsid w:val="005F3C6E"/>
    <w:rsid w:val="005F5264"/>
    <w:rsid w:val="005F5441"/>
    <w:rsid w:val="005F58C3"/>
    <w:rsid w:val="005F5D52"/>
    <w:rsid w:val="005F5D86"/>
    <w:rsid w:val="005F61A9"/>
    <w:rsid w:val="005F690E"/>
    <w:rsid w:val="005F7117"/>
    <w:rsid w:val="00600359"/>
    <w:rsid w:val="00600A36"/>
    <w:rsid w:val="00600C69"/>
    <w:rsid w:val="00601DC5"/>
    <w:rsid w:val="0060215A"/>
    <w:rsid w:val="0060261B"/>
    <w:rsid w:val="00602DBF"/>
    <w:rsid w:val="00603400"/>
    <w:rsid w:val="00603758"/>
    <w:rsid w:val="00603AA8"/>
    <w:rsid w:val="00603B9D"/>
    <w:rsid w:val="006042EA"/>
    <w:rsid w:val="00604361"/>
    <w:rsid w:val="00604649"/>
    <w:rsid w:val="00604CE7"/>
    <w:rsid w:val="00604CEB"/>
    <w:rsid w:val="00604F61"/>
    <w:rsid w:val="006065C9"/>
    <w:rsid w:val="0060669D"/>
    <w:rsid w:val="00606787"/>
    <w:rsid w:val="00607592"/>
    <w:rsid w:val="006103C7"/>
    <w:rsid w:val="006107A1"/>
    <w:rsid w:val="00610821"/>
    <w:rsid w:val="00610878"/>
    <w:rsid w:val="00610C61"/>
    <w:rsid w:val="00610FFE"/>
    <w:rsid w:val="0061108A"/>
    <w:rsid w:val="006115D1"/>
    <w:rsid w:val="00611AC5"/>
    <w:rsid w:val="00611FFD"/>
    <w:rsid w:val="0061249A"/>
    <w:rsid w:val="006129A9"/>
    <w:rsid w:val="00612E41"/>
    <w:rsid w:val="006149DD"/>
    <w:rsid w:val="006153A7"/>
    <w:rsid w:val="00615607"/>
    <w:rsid w:val="0061563E"/>
    <w:rsid w:val="00616465"/>
    <w:rsid w:val="00616903"/>
    <w:rsid w:val="00616C83"/>
    <w:rsid w:val="006175CE"/>
    <w:rsid w:val="0061767F"/>
    <w:rsid w:val="00617F4E"/>
    <w:rsid w:val="00620032"/>
    <w:rsid w:val="00620FA3"/>
    <w:rsid w:val="00621166"/>
    <w:rsid w:val="0062147A"/>
    <w:rsid w:val="0062223C"/>
    <w:rsid w:val="00622A0F"/>
    <w:rsid w:val="00622AFD"/>
    <w:rsid w:val="00622C0E"/>
    <w:rsid w:val="00622DD5"/>
    <w:rsid w:val="0062348F"/>
    <w:rsid w:val="00623852"/>
    <w:rsid w:val="00623E0E"/>
    <w:rsid w:val="00623E31"/>
    <w:rsid w:val="006240AE"/>
    <w:rsid w:val="0062467D"/>
    <w:rsid w:val="00624B57"/>
    <w:rsid w:val="006254B5"/>
    <w:rsid w:val="00625762"/>
    <w:rsid w:val="00625AFE"/>
    <w:rsid w:val="006263C6"/>
    <w:rsid w:val="0062663F"/>
    <w:rsid w:val="00626771"/>
    <w:rsid w:val="0062708A"/>
    <w:rsid w:val="00627344"/>
    <w:rsid w:val="006277EF"/>
    <w:rsid w:val="00627AFE"/>
    <w:rsid w:val="00630C32"/>
    <w:rsid w:val="00630D9D"/>
    <w:rsid w:val="00630D9E"/>
    <w:rsid w:val="00631594"/>
    <w:rsid w:val="00631A91"/>
    <w:rsid w:val="00633371"/>
    <w:rsid w:val="00633D63"/>
    <w:rsid w:val="00634243"/>
    <w:rsid w:val="006351ED"/>
    <w:rsid w:val="00636DFD"/>
    <w:rsid w:val="006375C4"/>
    <w:rsid w:val="006377FD"/>
    <w:rsid w:val="00640848"/>
    <w:rsid w:val="00640DA5"/>
    <w:rsid w:val="00640E2E"/>
    <w:rsid w:val="0064113F"/>
    <w:rsid w:val="00641691"/>
    <w:rsid w:val="00641BA5"/>
    <w:rsid w:val="00641BFB"/>
    <w:rsid w:val="00641EB1"/>
    <w:rsid w:val="00642AC7"/>
    <w:rsid w:val="0064348F"/>
    <w:rsid w:val="006438F3"/>
    <w:rsid w:val="00643E4A"/>
    <w:rsid w:val="00644046"/>
    <w:rsid w:val="00644638"/>
    <w:rsid w:val="00644BDA"/>
    <w:rsid w:val="00644C6B"/>
    <w:rsid w:val="0064664E"/>
    <w:rsid w:val="0064787C"/>
    <w:rsid w:val="00647F41"/>
    <w:rsid w:val="0065004A"/>
    <w:rsid w:val="00650354"/>
    <w:rsid w:val="00650501"/>
    <w:rsid w:val="0065194A"/>
    <w:rsid w:val="00652A2B"/>
    <w:rsid w:val="00653119"/>
    <w:rsid w:val="00653459"/>
    <w:rsid w:val="006544FF"/>
    <w:rsid w:val="00654904"/>
    <w:rsid w:val="00654C4D"/>
    <w:rsid w:val="006552E2"/>
    <w:rsid w:val="006555BB"/>
    <w:rsid w:val="0065570E"/>
    <w:rsid w:val="00655AF4"/>
    <w:rsid w:val="00656613"/>
    <w:rsid w:val="006568F2"/>
    <w:rsid w:val="00656A7F"/>
    <w:rsid w:val="00656BAE"/>
    <w:rsid w:val="00656FEF"/>
    <w:rsid w:val="0065708C"/>
    <w:rsid w:val="00657773"/>
    <w:rsid w:val="00660A10"/>
    <w:rsid w:val="00661295"/>
    <w:rsid w:val="00661AD2"/>
    <w:rsid w:val="00662573"/>
    <w:rsid w:val="006625BD"/>
    <w:rsid w:val="0066281C"/>
    <w:rsid w:val="00662B1D"/>
    <w:rsid w:val="00663094"/>
    <w:rsid w:val="00663E66"/>
    <w:rsid w:val="006643C8"/>
    <w:rsid w:val="00664933"/>
    <w:rsid w:val="00665166"/>
    <w:rsid w:val="00665757"/>
    <w:rsid w:val="00665868"/>
    <w:rsid w:val="00665E06"/>
    <w:rsid w:val="0066606B"/>
    <w:rsid w:val="0066621D"/>
    <w:rsid w:val="006663A5"/>
    <w:rsid w:val="0066642D"/>
    <w:rsid w:val="00666810"/>
    <w:rsid w:val="00667DF1"/>
    <w:rsid w:val="00670CDF"/>
    <w:rsid w:val="0067122E"/>
    <w:rsid w:val="006714D9"/>
    <w:rsid w:val="00671CDE"/>
    <w:rsid w:val="00672128"/>
    <w:rsid w:val="006721A3"/>
    <w:rsid w:val="00672427"/>
    <w:rsid w:val="00672896"/>
    <w:rsid w:val="00673CA5"/>
    <w:rsid w:val="00673EA7"/>
    <w:rsid w:val="00674796"/>
    <w:rsid w:val="0067495F"/>
    <w:rsid w:val="00674B9A"/>
    <w:rsid w:val="00675127"/>
    <w:rsid w:val="0067521D"/>
    <w:rsid w:val="00676170"/>
    <w:rsid w:val="00676226"/>
    <w:rsid w:val="0067693E"/>
    <w:rsid w:val="006769A8"/>
    <w:rsid w:val="006777C0"/>
    <w:rsid w:val="006777D0"/>
    <w:rsid w:val="006801D7"/>
    <w:rsid w:val="00680BDB"/>
    <w:rsid w:val="00680C55"/>
    <w:rsid w:val="006813C7"/>
    <w:rsid w:val="006813EB"/>
    <w:rsid w:val="00681492"/>
    <w:rsid w:val="006815DF"/>
    <w:rsid w:val="0068189A"/>
    <w:rsid w:val="006827D4"/>
    <w:rsid w:val="00683150"/>
    <w:rsid w:val="0068356E"/>
    <w:rsid w:val="00683F3C"/>
    <w:rsid w:val="006840A5"/>
    <w:rsid w:val="006847A4"/>
    <w:rsid w:val="00684F18"/>
    <w:rsid w:val="006850E0"/>
    <w:rsid w:val="006851AA"/>
    <w:rsid w:val="0068584C"/>
    <w:rsid w:val="00685A61"/>
    <w:rsid w:val="00685E8D"/>
    <w:rsid w:val="00686B72"/>
    <w:rsid w:val="00686E3B"/>
    <w:rsid w:val="0068736B"/>
    <w:rsid w:val="0068737D"/>
    <w:rsid w:val="0068789C"/>
    <w:rsid w:val="00687EA9"/>
    <w:rsid w:val="006900A5"/>
    <w:rsid w:val="00690952"/>
    <w:rsid w:val="006910E5"/>
    <w:rsid w:val="00691830"/>
    <w:rsid w:val="006923A9"/>
    <w:rsid w:val="00693151"/>
    <w:rsid w:val="00693703"/>
    <w:rsid w:val="00693C7C"/>
    <w:rsid w:val="00694C1A"/>
    <w:rsid w:val="00694C3B"/>
    <w:rsid w:val="00694EE6"/>
    <w:rsid w:val="0069551E"/>
    <w:rsid w:val="0069586F"/>
    <w:rsid w:val="00695DFF"/>
    <w:rsid w:val="00696C85"/>
    <w:rsid w:val="00697719"/>
    <w:rsid w:val="006979E5"/>
    <w:rsid w:val="006A027B"/>
    <w:rsid w:val="006A05DB"/>
    <w:rsid w:val="006A07BB"/>
    <w:rsid w:val="006A08E5"/>
    <w:rsid w:val="006A0C12"/>
    <w:rsid w:val="006A1320"/>
    <w:rsid w:val="006A1D13"/>
    <w:rsid w:val="006A2744"/>
    <w:rsid w:val="006A333A"/>
    <w:rsid w:val="006A33FF"/>
    <w:rsid w:val="006A4241"/>
    <w:rsid w:val="006A5B9C"/>
    <w:rsid w:val="006A6063"/>
    <w:rsid w:val="006A63A6"/>
    <w:rsid w:val="006A646B"/>
    <w:rsid w:val="006A668C"/>
    <w:rsid w:val="006A6B66"/>
    <w:rsid w:val="006A6FA0"/>
    <w:rsid w:val="006A7244"/>
    <w:rsid w:val="006B06C1"/>
    <w:rsid w:val="006B15D1"/>
    <w:rsid w:val="006B2625"/>
    <w:rsid w:val="006B265A"/>
    <w:rsid w:val="006B2744"/>
    <w:rsid w:val="006B3235"/>
    <w:rsid w:val="006B3B72"/>
    <w:rsid w:val="006B3CDF"/>
    <w:rsid w:val="006B4F20"/>
    <w:rsid w:val="006B5F4E"/>
    <w:rsid w:val="006B609F"/>
    <w:rsid w:val="006B6936"/>
    <w:rsid w:val="006B6DCD"/>
    <w:rsid w:val="006B6F65"/>
    <w:rsid w:val="006B7C6E"/>
    <w:rsid w:val="006C0670"/>
    <w:rsid w:val="006C1566"/>
    <w:rsid w:val="006C159E"/>
    <w:rsid w:val="006C2329"/>
    <w:rsid w:val="006C2BBB"/>
    <w:rsid w:val="006C344F"/>
    <w:rsid w:val="006C35BF"/>
    <w:rsid w:val="006C37C1"/>
    <w:rsid w:val="006C584B"/>
    <w:rsid w:val="006C5DC0"/>
    <w:rsid w:val="006C6428"/>
    <w:rsid w:val="006C6EF2"/>
    <w:rsid w:val="006C7ADE"/>
    <w:rsid w:val="006C7DE0"/>
    <w:rsid w:val="006D00EE"/>
    <w:rsid w:val="006D0203"/>
    <w:rsid w:val="006D023D"/>
    <w:rsid w:val="006D1C3F"/>
    <w:rsid w:val="006D2A7A"/>
    <w:rsid w:val="006D2C73"/>
    <w:rsid w:val="006D5523"/>
    <w:rsid w:val="006D5A45"/>
    <w:rsid w:val="006D5B1E"/>
    <w:rsid w:val="006D66B7"/>
    <w:rsid w:val="006D67EE"/>
    <w:rsid w:val="006D6877"/>
    <w:rsid w:val="006D757A"/>
    <w:rsid w:val="006D780B"/>
    <w:rsid w:val="006E0100"/>
    <w:rsid w:val="006E0EC0"/>
    <w:rsid w:val="006E1166"/>
    <w:rsid w:val="006E1430"/>
    <w:rsid w:val="006E15C6"/>
    <w:rsid w:val="006E3247"/>
    <w:rsid w:val="006E347D"/>
    <w:rsid w:val="006E354F"/>
    <w:rsid w:val="006E383E"/>
    <w:rsid w:val="006E38D1"/>
    <w:rsid w:val="006E3F3E"/>
    <w:rsid w:val="006E45C0"/>
    <w:rsid w:val="006E57E2"/>
    <w:rsid w:val="006E66DE"/>
    <w:rsid w:val="006E6ACE"/>
    <w:rsid w:val="006E6AF4"/>
    <w:rsid w:val="006E7756"/>
    <w:rsid w:val="006E7B8D"/>
    <w:rsid w:val="006E7C27"/>
    <w:rsid w:val="006E7D19"/>
    <w:rsid w:val="006F01D3"/>
    <w:rsid w:val="006F065F"/>
    <w:rsid w:val="006F159C"/>
    <w:rsid w:val="006F1DF4"/>
    <w:rsid w:val="006F2678"/>
    <w:rsid w:val="006F273F"/>
    <w:rsid w:val="006F2C3D"/>
    <w:rsid w:val="006F2DFD"/>
    <w:rsid w:val="006F2E07"/>
    <w:rsid w:val="006F352E"/>
    <w:rsid w:val="006F3F1A"/>
    <w:rsid w:val="006F446F"/>
    <w:rsid w:val="006F4668"/>
    <w:rsid w:val="006F479A"/>
    <w:rsid w:val="006F68BB"/>
    <w:rsid w:val="006F7CBD"/>
    <w:rsid w:val="006F7EBE"/>
    <w:rsid w:val="006F7EDF"/>
    <w:rsid w:val="00700758"/>
    <w:rsid w:val="00700B43"/>
    <w:rsid w:val="00700C2B"/>
    <w:rsid w:val="00700D56"/>
    <w:rsid w:val="00701593"/>
    <w:rsid w:val="007020FA"/>
    <w:rsid w:val="0070223D"/>
    <w:rsid w:val="007022A6"/>
    <w:rsid w:val="007023D1"/>
    <w:rsid w:val="00703CEF"/>
    <w:rsid w:val="007041C4"/>
    <w:rsid w:val="0070428D"/>
    <w:rsid w:val="00704871"/>
    <w:rsid w:val="007049B3"/>
    <w:rsid w:val="00704A3A"/>
    <w:rsid w:val="0070529C"/>
    <w:rsid w:val="00705692"/>
    <w:rsid w:val="00705774"/>
    <w:rsid w:val="00705785"/>
    <w:rsid w:val="00705FDB"/>
    <w:rsid w:val="00706474"/>
    <w:rsid w:val="007064FC"/>
    <w:rsid w:val="00706799"/>
    <w:rsid w:val="00706FBC"/>
    <w:rsid w:val="0070744D"/>
    <w:rsid w:val="00707826"/>
    <w:rsid w:val="0070799E"/>
    <w:rsid w:val="00707C1C"/>
    <w:rsid w:val="007107BC"/>
    <w:rsid w:val="0071091A"/>
    <w:rsid w:val="0071137F"/>
    <w:rsid w:val="00711D8D"/>
    <w:rsid w:val="00711E4F"/>
    <w:rsid w:val="00712528"/>
    <w:rsid w:val="00712980"/>
    <w:rsid w:val="00712C83"/>
    <w:rsid w:val="00712E8B"/>
    <w:rsid w:val="00714738"/>
    <w:rsid w:val="0071584B"/>
    <w:rsid w:val="00715A8D"/>
    <w:rsid w:val="00716182"/>
    <w:rsid w:val="007161C0"/>
    <w:rsid w:val="00716661"/>
    <w:rsid w:val="00716D3E"/>
    <w:rsid w:val="00716F44"/>
    <w:rsid w:val="007170C9"/>
    <w:rsid w:val="00717271"/>
    <w:rsid w:val="00717D0D"/>
    <w:rsid w:val="007213C6"/>
    <w:rsid w:val="00721521"/>
    <w:rsid w:val="00721591"/>
    <w:rsid w:val="007215AA"/>
    <w:rsid w:val="00722546"/>
    <w:rsid w:val="007225BF"/>
    <w:rsid w:val="007229C3"/>
    <w:rsid w:val="00722B9B"/>
    <w:rsid w:val="00722CA2"/>
    <w:rsid w:val="00722FE7"/>
    <w:rsid w:val="00723AFF"/>
    <w:rsid w:val="00723B7B"/>
    <w:rsid w:val="00724641"/>
    <w:rsid w:val="00724F77"/>
    <w:rsid w:val="00725002"/>
    <w:rsid w:val="00725077"/>
    <w:rsid w:val="0072514F"/>
    <w:rsid w:val="00725577"/>
    <w:rsid w:val="007256AA"/>
    <w:rsid w:val="00725F13"/>
    <w:rsid w:val="007267FF"/>
    <w:rsid w:val="00726D09"/>
    <w:rsid w:val="00727A7E"/>
    <w:rsid w:val="00730369"/>
    <w:rsid w:val="00730622"/>
    <w:rsid w:val="007307A6"/>
    <w:rsid w:val="007314CC"/>
    <w:rsid w:val="00731A88"/>
    <w:rsid w:val="00732A3F"/>
    <w:rsid w:val="0073341D"/>
    <w:rsid w:val="0073377E"/>
    <w:rsid w:val="00733EF2"/>
    <w:rsid w:val="007345F2"/>
    <w:rsid w:val="00734B11"/>
    <w:rsid w:val="007358A1"/>
    <w:rsid w:val="00736951"/>
    <w:rsid w:val="00736B52"/>
    <w:rsid w:val="00737163"/>
    <w:rsid w:val="007375C0"/>
    <w:rsid w:val="0073769E"/>
    <w:rsid w:val="00737CFC"/>
    <w:rsid w:val="00737D37"/>
    <w:rsid w:val="00740596"/>
    <w:rsid w:val="00740746"/>
    <w:rsid w:val="00740941"/>
    <w:rsid w:val="007412E6"/>
    <w:rsid w:val="007412E7"/>
    <w:rsid w:val="0074152A"/>
    <w:rsid w:val="007417F4"/>
    <w:rsid w:val="00741859"/>
    <w:rsid w:val="00741F8E"/>
    <w:rsid w:val="007421CB"/>
    <w:rsid w:val="00742E43"/>
    <w:rsid w:val="00742E4D"/>
    <w:rsid w:val="0074302A"/>
    <w:rsid w:val="00743586"/>
    <w:rsid w:val="007438CB"/>
    <w:rsid w:val="00743BCB"/>
    <w:rsid w:val="00743D5F"/>
    <w:rsid w:val="007444AC"/>
    <w:rsid w:val="00745B7F"/>
    <w:rsid w:val="00745F31"/>
    <w:rsid w:val="00746246"/>
    <w:rsid w:val="0074651A"/>
    <w:rsid w:val="0074656D"/>
    <w:rsid w:val="00747011"/>
    <w:rsid w:val="0074705B"/>
    <w:rsid w:val="00747461"/>
    <w:rsid w:val="00747EDD"/>
    <w:rsid w:val="00750DD8"/>
    <w:rsid w:val="00750F2D"/>
    <w:rsid w:val="007516FF"/>
    <w:rsid w:val="0075170E"/>
    <w:rsid w:val="0075239C"/>
    <w:rsid w:val="00752F30"/>
    <w:rsid w:val="007535BE"/>
    <w:rsid w:val="00753F30"/>
    <w:rsid w:val="0075415F"/>
    <w:rsid w:val="0075441B"/>
    <w:rsid w:val="0075445D"/>
    <w:rsid w:val="00754511"/>
    <w:rsid w:val="00754660"/>
    <w:rsid w:val="00754C8C"/>
    <w:rsid w:val="00755044"/>
    <w:rsid w:val="00755EB9"/>
    <w:rsid w:val="00755F25"/>
    <w:rsid w:val="00756398"/>
    <w:rsid w:val="007567A9"/>
    <w:rsid w:val="00756840"/>
    <w:rsid w:val="00756D97"/>
    <w:rsid w:val="00756EF9"/>
    <w:rsid w:val="00757175"/>
    <w:rsid w:val="00757CF9"/>
    <w:rsid w:val="00760071"/>
    <w:rsid w:val="00760B8B"/>
    <w:rsid w:val="00760BCF"/>
    <w:rsid w:val="007610B3"/>
    <w:rsid w:val="00761374"/>
    <w:rsid w:val="007613CB"/>
    <w:rsid w:val="0076167A"/>
    <w:rsid w:val="00761735"/>
    <w:rsid w:val="00761B3A"/>
    <w:rsid w:val="00761F3D"/>
    <w:rsid w:val="007625AB"/>
    <w:rsid w:val="007627C1"/>
    <w:rsid w:val="0076293C"/>
    <w:rsid w:val="00762C60"/>
    <w:rsid w:val="00762E96"/>
    <w:rsid w:val="0076417C"/>
    <w:rsid w:val="007644E6"/>
    <w:rsid w:val="00764CFB"/>
    <w:rsid w:val="00764D5C"/>
    <w:rsid w:val="007651A2"/>
    <w:rsid w:val="00765236"/>
    <w:rsid w:val="0076555C"/>
    <w:rsid w:val="00765AD6"/>
    <w:rsid w:val="00765EA2"/>
    <w:rsid w:val="00766115"/>
    <w:rsid w:val="007664B8"/>
    <w:rsid w:val="00766907"/>
    <w:rsid w:val="00766A81"/>
    <w:rsid w:val="00766FEE"/>
    <w:rsid w:val="00767998"/>
    <w:rsid w:val="007705BD"/>
    <w:rsid w:val="00770FBD"/>
    <w:rsid w:val="007713BE"/>
    <w:rsid w:val="00772807"/>
    <w:rsid w:val="00772FA6"/>
    <w:rsid w:val="0077351E"/>
    <w:rsid w:val="00773693"/>
    <w:rsid w:val="00773775"/>
    <w:rsid w:val="007739F0"/>
    <w:rsid w:val="00773F91"/>
    <w:rsid w:val="007740E0"/>
    <w:rsid w:val="007748F2"/>
    <w:rsid w:val="00775645"/>
    <w:rsid w:val="007774AC"/>
    <w:rsid w:val="007779C9"/>
    <w:rsid w:val="00780576"/>
    <w:rsid w:val="0078076C"/>
    <w:rsid w:val="00782254"/>
    <w:rsid w:val="007822ED"/>
    <w:rsid w:val="00782681"/>
    <w:rsid w:val="0078321A"/>
    <w:rsid w:val="00784C07"/>
    <w:rsid w:val="00785047"/>
    <w:rsid w:val="0078564B"/>
    <w:rsid w:val="00785765"/>
    <w:rsid w:val="00785B78"/>
    <w:rsid w:val="007864BE"/>
    <w:rsid w:val="00786810"/>
    <w:rsid w:val="00787286"/>
    <w:rsid w:val="00790316"/>
    <w:rsid w:val="007905EE"/>
    <w:rsid w:val="0079069C"/>
    <w:rsid w:val="007909CD"/>
    <w:rsid w:val="00790B10"/>
    <w:rsid w:val="00791260"/>
    <w:rsid w:val="0079132A"/>
    <w:rsid w:val="007913C4"/>
    <w:rsid w:val="007914CD"/>
    <w:rsid w:val="0079201A"/>
    <w:rsid w:val="007927F9"/>
    <w:rsid w:val="0079320C"/>
    <w:rsid w:val="0079329A"/>
    <w:rsid w:val="007939D0"/>
    <w:rsid w:val="00793BC2"/>
    <w:rsid w:val="00793C96"/>
    <w:rsid w:val="00793DE2"/>
    <w:rsid w:val="00794645"/>
    <w:rsid w:val="0079474A"/>
    <w:rsid w:val="00794873"/>
    <w:rsid w:val="00795360"/>
    <w:rsid w:val="00795387"/>
    <w:rsid w:val="00795AC5"/>
    <w:rsid w:val="00795D98"/>
    <w:rsid w:val="007961EC"/>
    <w:rsid w:val="00796690"/>
    <w:rsid w:val="007970A7"/>
    <w:rsid w:val="00797824"/>
    <w:rsid w:val="00797C68"/>
    <w:rsid w:val="007A02A8"/>
    <w:rsid w:val="007A1D65"/>
    <w:rsid w:val="007A2139"/>
    <w:rsid w:val="007A33ED"/>
    <w:rsid w:val="007A34D3"/>
    <w:rsid w:val="007A3C73"/>
    <w:rsid w:val="007A3D13"/>
    <w:rsid w:val="007A4396"/>
    <w:rsid w:val="007A49DE"/>
    <w:rsid w:val="007A574A"/>
    <w:rsid w:val="007A5792"/>
    <w:rsid w:val="007A5994"/>
    <w:rsid w:val="007A5D45"/>
    <w:rsid w:val="007A68A1"/>
    <w:rsid w:val="007A7213"/>
    <w:rsid w:val="007A7756"/>
    <w:rsid w:val="007A7D06"/>
    <w:rsid w:val="007B03AF"/>
    <w:rsid w:val="007B047B"/>
    <w:rsid w:val="007B0969"/>
    <w:rsid w:val="007B139E"/>
    <w:rsid w:val="007B1997"/>
    <w:rsid w:val="007B2017"/>
    <w:rsid w:val="007B24B2"/>
    <w:rsid w:val="007B2919"/>
    <w:rsid w:val="007B2C5F"/>
    <w:rsid w:val="007B30CD"/>
    <w:rsid w:val="007B31D8"/>
    <w:rsid w:val="007B332C"/>
    <w:rsid w:val="007B3984"/>
    <w:rsid w:val="007B406C"/>
    <w:rsid w:val="007B41D5"/>
    <w:rsid w:val="007B4C8D"/>
    <w:rsid w:val="007B4EB9"/>
    <w:rsid w:val="007B57A1"/>
    <w:rsid w:val="007B5D67"/>
    <w:rsid w:val="007B69A3"/>
    <w:rsid w:val="007B7397"/>
    <w:rsid w:val="007B767E"/>
    <w:rsid w:val="007C024F"/>
    <w:rsid w:val="007C0313"/>
    <w:rsid w:val="007C05CA"/>
    <w:rsid w:val="007C0D43"/>
    <w:rsid w:val="007C123B"/>
    <w:rsid w:val="007C1C81"/>
    <w:rsid w:val="007C2C36"/>
    <w:rsid w:val="007C2F76"/>
    <w:rsid w:val="007C3235"/>
    <w:rsid w:val="007C3290"/>
    <w:rsid w:val="007C33D3"/>
    <w:rsid w:val="007C3956"/>
    <w:rsid w:val="007C3BDA"/>
    <w:rsid w:val="007C461C"/>
    <w:rsid w:val="007C4721"/>
    <w:rsid w:val="007C4B39"/>
    <w:rsid w:val="007C5018"/>
    <w:rsid w:val="007C511E"/>
    <w:rsid w:val="007C5328"/>
    <w:rsid w:val="007C5918"/>
    <w:rsid w:val="007C5B7E"/>
    <w:rsid w:val="007C60FB"/>
    <w:rsid w:val="007C61BF"/>
    <w:rsid w:val="007C6D34"/>
    <w:rsid w:val="007C71E0"/>
    <w:rsid w:val="007C7896"/>
    <w:rsid w:val="007D03F7"/>
    <w:rsid w:val="007D04A3"/>
    <w:rsid w:val="007D06FC"/>
    <w:rsid w:val="007D07EC"/>
    <w:rsid w:val="007D09F9"/>
    <w:rsid w:val="007D0B46"/>
    <w:rsid w:val="007D0B88"/>
    <w:rsid w:val="007D177B"/>
    <w:rsid w:val="007D2455"/>
    <w:rsid w:val="007D268B"/>
    <w:rsid w:val="007D2759"/>
    <w:rsid w:val="007D2B4B"/>
    <w:rsid w:val="007D3538"/>
    <w:rsid w:val="007D3FEA"/>
    <w:rsid w:val="007D4963"/>
    <w:rsid w:val="007D4C29"/>
    <w:rsid w:val="007D5305"/>
    <w:rsid w:val="007D56E8"/>
    <w:rsid w:val="007D56FC"/>
    <w:rsid w:val="007D61DF"/>
    <w:rsid w:val="007D6BC2"/>
    <w:rsid w:val="007D6D14"/>
    <w:rsid w:val="007D705F"/>
    <w:rsid w:val="007D75B3"/>
    <w:rsid w:val="007D7EAF"/>
    <w:rsid w:val="007D7FCB"/>
    <w:rsid w:val="007E064A"/>
    <w:rsid w:val="007E12E0"/>
    <w:rsid w:val="007E1C86"/>
    <w:rsid w:val="007E22B9"/>
    <w:rsid w:val="007E3198"/>
    <w:rsid w:val="007E31FC"/>
    <w:rsid w:val="007E3302"/>
    <w:rsid w:val="007E375F"/>
    <w:rsid w:val="007E40D9"/>
    <w:rsid w:val="007E43E3"/>
    <w:rsid w:val="007E45E3"/>
    <w:rsid w:val="007E4787"/>
    <w:rsid w:val="007E48CB"/>
    <w:rsid w:val="007E50D0"/>
    <w:rsid w:val="007E5381"/>
    <w:rsid w:val="007E5535"/>
    <w:rsid w:val="007E58F3"/>
    <w:rsid w:val="007E58FC"/>
    <w:rsid w:val="007E5E74"/>
    <w:rsid w:val="007E675C"/>
    <w:rsid w:val="007E6817"/>
    <w:rsid w:val="007E6DD1"/>
    <w:rsid w:val="007E6F21"/>
    <w:rsid w:val="007E74C5"/>
    <w:rsid w:val="007E77CE"/>
    <w:rsid w:val="007E7D90"/>
    <w:rsid w:val="007F013F"/>
    <w:rsid w:val="007F02B6"/>
    <w:rsid w:val="007F0EB6"/>
    <w:rsid w:val="007F14E6"/>
    <w:rsid w:val="007F151C"/>
    <w:rsid w:val="007F154B"/>
    <w:rsid w:val="007F1BC4"/>
    <w:rsid w:val="007F1CFC"/>
    <w:rsid w:val="007F2AFE"/>
    <w:rsid w:val="007F3419"/>
    <w:rsid w:val="007F3A57"/>
    <w:rsid w:val="007F465B"/>
    <w:rsid w:val="007F483D"/>
    <w:rsid w:val="007F4A93"/>
    <w:rsid w:val="007F4E87"/>
    <w:rsid w:val="007F531E"/>
    <w:rsid w:val="007F54DF"/>
    <w:rsid w:val="007F57A3"/>
    <w:rsid w:val="007F6049"/>
    <w:rsid w:val="007F6A8F"/>
    <w:rsid w:val="007F6D4E"/>
    <w:rsid w:val="007F722D"/>
    <w:rsid w:val="007F724D"/>
    <w:rsid w:val="007F7268"/>
    <w:rsid w:val="00800609"/>
    <w:rsid w:val="00801DE8"/>
    <w:rsid w:val="00802154"/>
    <w:rsid w:val="00802931"/>
    <w:rsid w:val="00803BCC"/>
    <w:rsid w:val="00803CEF"/>
    <w:rsid w:val="008049DE"/>
    <w:rsid w:val="00805326"/>
    <w:rsid w:val="0080539B"/>
    <w:rsid w:val="00805A4F"/>
    <w:rsid w:val="00805EA3"/>
    <w:rsid w:val="00806270"/>
    <w:rsid w:val="00807919"/>
    <w:rsid w:val="00807ADB"/>
    <w:rsid w:val="00810203"/>
    <w:rsid w:val="008105AF"/>
    <w:rsid w:val="00810D80"/>
    <w:rsid w:val="00811378"/>
    <w:rsid w:val="00811698"/>
    <w:rsid w:val="008127FD"/>
    <w:rsid w:val="00813BF4"/>
    <w:rsid w:val="008140D4"/>
    <w:rsid w:val="0081437E"/>
    <w:rsid w:val="00814449"/>
    <w:rsid w:val="00814CAD"/>
    <w:rsid w:val="00815827"/>
    <w:rsid w:val="00815ABB"/>
    <w:rsid w:val="00815B47"/>
    <w:rsid w:val="00815BF0"/>
    <w:rsid w:val="00815C96"/>
    <w:rsid w:val="00815F3F"/>
    <w:rsid w:val="00816635"/>
    <w:rsid w:val="00816952"/>
    <w:rsid w:val="00816D55"/>
    <w:rsid w:val="008179C7"/>
    <w:rsid w:val="00817D7F"/>
    <w:rsid w:val="008200EA"/>
    <w:rsid w:val="0082054B"/>
    <w:rsid w:val="008209D0"/>
    <w:rsid w:val="00822393"/>
    <w:rsid w:val="00822418"/>
    <w:rsid w:val="008226F0"/>
    <w:rsid w:val="008239B5"/>
    <w:rsid w:val="00823D1D"/>
    <w:rsid w:val="00824259"/>
    <w:rsid w:val="008248AC"/>
    <w:rsid w:val="00824988"/>
    <w:rsid w:val="008252BF"/>
    <w:rsid w:val="008258AF"/>
    <w:rsid w:val="00825FC9"/>
    <w:rsid w:val="00826291"/>
    <w:rsid w:val="00826CB0"/>
    <w:rsid w:val="00830C81"/>
    <w:rsid w:val="00832144"/>
    <w:rsid w:val="008321D3"/>
    <w:rsid w:val="00832422"/>
    <w:rsid w:val="00832689"/>
    <w:rsid w:val="00833C90"/>
    <w:rsid w:val="0083484E"/>
    <w:rsid w:val="00834921"/>
    <w:rsid w:val="008350F8"/>
    <w:rsid w:val="0083533C"/>
    <w:rsid w:val="008354E2"/>
    <w:rsid w:val="00835D01"/>
    <w:rsid w:val="00835F92"/>
    <w:rsid w:val="00837006"/>
    <w:rsid w:val="00837455"/>
    <w:rsid w:val="008376C0"/>
    <w:rsid w:val="00837F23"/>
    <w:rsid w:val="00840199"/>
    <w:rsid w:val="008409C5"/>
    <w:rsid w:val="00840EA8"/>
    <w:rsid w:val="00840EDE"/>
    <w:rsid w:val="008415A5"/>
    <w:rsid w:val="00841612"/>
    <w:rsid w:val="00841C6F"/>
    <w:rsid w:val="0084283A"/>
    <w:rsid w:val="00842C09"/>
    <w:rsid w:val="00842F99"/>
    <w:rsid w:val="0084363F"/>
    <w:rsid w:val="00843642"/>
    <w:rsid w:val="008436B2"/>
    <w:rsid w:val="0084436E"/>
    <w:rsid w:val="0084456A"/>
    <w:rsid w:val="008446DC"/>
    <w:rsid w:val="0084480B"/>
    <w:rsid w:val="0084485D"/>
    <w:rsid w:val="00844A57"/>
    <w:rsid w:val="008458C0"/>
    <w:rsid w:val="008459A0"/>
    <w:rsid w:val="00845E00"/>
    <w:rsid w:val="00845F88"/>
    <w:rsid w:val="00846AF9"/>
    <w:rsid w:val="00846B0E"/>
    <w:rsid w:val="0084772A"/>
    <w:rsid w:val="00850022"/>
    <w:rsid w:val="00850070"/>
    <w:rsid w:val="00850224"/>
    <w:rsid w:val="008503E3"/>
    <w:rsid w:val="00851193"/>
    <w:rsid w:val="00851335"/>
    <w:rsid w:val="00851570"/>
    <w:rsid w:val="00851744"/>
    <w:rsid w:val="00851F8A"/>
    <w:rsid w:val="00852803"/>
    <w:rsid w:val="00853041"/>
    <w:rsid w:val="00853670"/>
    <w:rsid w:val="00853671"/>
    <w:rsid w:val="0085403F"/>
    <w:rsid w:val="00854872"/>
    <w:rsid w:val="008548CD"/>
    <w:rsid w:val="00854C17"/>
    <w:rsid w:val="00854D71"/>
    <w:rsid w:val="00854E1E"/>
    <w:rsid w:val="008550F0"/>
    <w:rsid w:val="0085523B"/>
    <w:rsid w:val="008553AF"/>
    <w:rsid w:val="00855679"/>
    <w:rsid w:val="00856462"/>
    <w:rsid w:val="008574E6"/>
    <w:rsid w:val="00857B18"/>
    <w:rsid w:val="00857C49"/>
    <w:rsid w:val="0086076B"/>
    <w:rsid w:val="00860D51"/>
    <w:rsid w:val="0086174D"/>
    <w:rsid w:val="00862225"/>
    <w:rsid w:val="008623CD"/>
    <w:rsid w:val="0086240F"/>
    <w:rsid w:val="0086277E"/>
    <w:rsid w:val="00862A4E"/>
    <w:rsid w:val="00862B96"/>
    <w:rsid w:val="008632A3"/>
    <w:rsid w:val="00863A32"/>
    <w:rsid w:val="008648B7"/>
    <w:rsid w:val="00864AF7"/>
    <w:rsid w:val="00864DB1"/>
    <w:rsid w:val="00864F61"/>
    <w:rsid w:val="008655A6"/>
    <w:rsid w:val="00865D59"/>
    <w:rsid w:val="00865E13"/>
    <w:rsid w:val="00867059"/>
    <w:rsid w:val="008673A5"/>
    <w:rsid w:val="00867B7E"/>
    <w:rsid w:val="00870AED"/>
    <w:rsid w:val="00870E3B"/>
    <w:rsid w:val="0087117A"/>
    <w:rsid w:val="008714FB"/>
    <w:rsid w:val="00871819"/>
    <w:rsid w:val="008728C6"/>
    <w:rsid w:val="008729BD"/>
    <w:rsid w:val="00874134"/>
    <w:rsid w:val="00874274"/>
    <w:rsid w:val="008757B2"/>
    <w:rsid w:val="00876017"/>
    <w:rsid w:val="0087613E"/>
    <w:rsid w:val="008762A5"/>
    <w:rsid w:val="00876730"/>
    <w:rsid w:val="008769B2"/>
    <w:rsid w:val="00876E9B"/>
    <w:rsid w:val="00877147"/>
    <w:rsid w:val="0088029E"/>
    <w:rsid w:val="008805D5"/>
    <w:rsid w:val="0088073D"/>
    <w:rsid w:val="00880D73"/>
    <w:rsid w:val="0088122D"/>
    <w:rsid w:val="008813DF"/>
    <w:rsid w:val="008818C2"/>
    <w:rsid w:val="00881B22"/>
    <w:rsid w:val="00881D44"/>
    <w:rsid w:val="00882100"/>
    <w:rsid w:val="00882444"/>
    <w:rsid w:val="008824DA"/>
    <w:rsid w:val="0088266E"/>
    <w:rsid w:val="00882D85"/>
    <w:rsid w:val="00883350"/>
    <w:rsid w:val="00885340"/>
    <w:rsid w:val="00885559"/>
    <w:rsid w:val="0088579E"/>
    <w:rsid w:val="00885860"/>
    <w:rsid w:val="00885C1F"/>
    <w:rsid w:val="008860C8"/>
    <w:rsid w:val="0088744F"/>
    <w:rsid w:val="008902B6"/>
    <w:rsid w:val="00890456"/>
    <w:rsid w:val="00890501"/>
    <w:rsid w:val="008905F6"/>
    <w:rsid w:val="00890CDE"/>
    <w:rsid w:val="00890EE0"/>
    <w:rsid w:val="00891070"/>
    <w:rsid w:val="008911FC"/>
    <w:rsid w:val="00892EBA"/>
    <w:rsid w:val="008938BC"/>
    <w:rsid w:val="00893C52"/>
    <w:rsid w:val="008941CD"/>
    <w:rsid w:val="00894320"/>
    <w:rsid w:val="008944F3"/>
    <w:rsid w:val="00894E88"/>
    <w:rsid w:val="00895111"/>
    <w:rsid w:val="008955D0"/>
    <w:rsid w:val="00895729"/>
    <w:rsid w:val="00896BC5"/>
    <w:rsid w:val="00896CEA"/>
    <w:rsid w:val="008A0077"/>
    <w:rsid w:val="008A09DB"/>
    <w:rsid w:val="008A0B4A"/>
    <w:rsid w:val="008A0CF0"/>
    <w:rsid w:val="008A240F"/>
    <w:rsid w:val="008A28F0"/>
    <w:rsid w:val="008A3900"/>
    <w:rsid w:val="008A3EB9"/>
    <w:rsid w:val="008A44BC"/>
    <w:rsid w:val="008A47D0"/>
    <w:rsid w:val="008A52D7"/>
    <w:rsid w:val="008A5D5F"/>
    <w:rsid w:val="008A6336"/>
    <w:rsid w:val="008A6E94"/>
    <w:rsid w:val="008B0116"/>
    <w:rsid w:val="008B0243"/>
    <w:rsid w:val="008B0560"/>
    <w:rsid w:val="008B1831"/>
    <w:rsid w:val="008B1DCE"/>
    <w:rsid w:val="008B21CD"/>
    <w:rsid w:val="008B273E"/>
    <w:rsid w:val="008B40E5"/>
    <w:rsid w:val="008B40F9"/>
    <w:rsid w:val="008B42B3"/>
    <w:rsid w:val="008B4768"/>
    <w:rsid w:val="008B6295"/>
    <w:rsid w:val="008B6888"/>
    <w:rsid w:val="008B7118"/>
    <w:rsid w:val="008C0038"/>
    <w:rsid w:val="008C0555"/>
    <w:rsid w:val="008C0E04"/>
    <w:rsid w:val="008C0E8F"/>
    <w:rsid w:val="008C1060"/>
    <w:rsid w:val="008C1F75"/>
    <w:rsid w:val="008C2456"/>
    <w:rsid w:val="008C271E"/>
    <w:rsid w:val="008C31CD"/>
    <w:rsid w:val="008C349B"/>
    <w:rsid w:val="008C3587"/>
    <w:rsid w:val="008C4787"/>
    <w:rsid w:val="008C48ED"/>
    <w:rsid w:val="008C525A"/>
    <w:rsid w:val="008C5A23"/>
    <w:rsid w:val="008C5BFD"/>
    <w:rsid w:val="008C6ED5"/>
    <w:rsid w:val="008C791D"/>
    <w:rsid w:val="008C7A15"/>
    <w:rsid w:val="008D0B43"/>
    <w:rsid w:val="008D0BD7"/>
    <w:rsid w:val="008D0D26"/>
    <w:rsid w:val="008D1001"/>
    <w:rsid w:val="008D14AA"/>
    <w:rsid w:val="008D2159"/>
    <w:rsid w:val="008D2C54"/>
    <w:rsid w:val="008D2EAB"/>
    <w:rsid w:val="008D2ED0"/>
    <w:rsid w:val="008D2F9E"/>
    <w:rsid w:val="008D377C"/>
    <w:rsid w:val="008D384A"/>
    <w:rsid w:val="008D46AE"/>
    <w:rsid w:val="008D4A84"/>
    <w:rsid w:val="008D4D0D"/>
    <w:rsid w:val="008D525B"/>
    <w:rsid w:val="008D5633"/>
    <w:rsid w:val="008D5FD3"/>
    <w:rsid w:val="008D6442"/>
    <w:rsid w:val="008D708E"/>
    <w:rsid w:val="008E03F1"/>
    <w:rsid w:val="008E04B7"/>
    <w:rsid w:val="008E05CF"/>
    <w:rsid w:val="008E07D7"/>
    <w:rsid w:val="008E123A"/>
    <w:rsid w:val="008E149D"/>
    <w:rsid w:val="008E28FF"/>
    <w:rsid w:val="008E2B7E"/>
    <w:rsid w:val="008E306C"/>
    <w:rsid w:val="008E30DE"/>
    <w:rsid w:val="008E359C"/>
    <w:rsid w:val="008E403D"/>
    <w:rsid w:val="008E4F04"/>
    <w:rsid w:val="008E5A65"/>
    <w:rsid w:val="008E5F42"/>
    <w:rsid w:val="008E6FAB"/>
    <w:rsid w:val="008E70AF"/>
    <w:rsid w:val="008F020C"/>
    <w:rsid w:val="008F0276"/>
    <w:rsid w:val="008F03DA"/>
    <w:rsid w:val="008F0C2B"/>
    <w:rsid w:val="008F0C85"/>
    <w:rsid w:val="008F165F"/>
    <w:rsid w:val="008F1A17"/>
    <w:rsid w:val="008F218E"/>
    <w:rsid w:val="008F2999"/>
    <w:rsid w:val="008F3C91"/>
    <w:rsid w:val="008F3E57"/>
    <w:rsid w:val="008F410A"/>
    <w:rsid w:val="008F4489"/>
    <w:rsid w:val="008F44D1"/>
    <w:rsid w:val="008F601C"/>
    <w:rsid w:val="008F629A"/>
    <w:rsid w:val="008F67BC"/>
    <w:rsid w:val="008F67FF"/>
    <w:rsid w:val="008F6B65"/>
    <w:rsid w:val="008F6CF5"/>
    <w:rsid w:val="008F6F60"/>
    <w:rsid w:val="008F6F8D"/>
    <w:rsid w:val="008F7ABB"/>
    <w:rsid w:val="008F7E90"/>
    <w:rsid w:val="009002B8"/>
    <w:rsid w:val="00900D8A"/>
    <w:rsid w:val="0090118F"/>
    <w:rsid w:val="00901712"/>
    <w:rsid w:val="00901B54"/>
    <w:rsid w:val="00901E49"/>
    <w:rsid w:val="00902122"/>
    <w:rsid w:val="0090218E"/>
    <w:rsid w:val="00902244"/>
    <w:rsid w:val="00902292"/>
    <w:rsid w:val="009026AB"/>
    <w:rsid w:val="0090270A"/>
    <w:rsid w:val="00902946"/>
    <w:rsid w:val="009029B5"/>
    <w:rsid w:val="00903138"/>
    <w:rsid w:val="0090360C"/>
    <w:rsid w:val="00904034"/>
    <w:rsid w:val="009044E4"/>
    <w:rsid w:val="00904E71"/>
    <w:rsid w:val="009058E5"/>
    <w:rsid w:val="00905CD1"/>
    <w:rsid w:val="00905F9C"/>
    <w:rsid w:val="00906549"/>
    <w:rsid w:val="0090669B"/>
    <w:rsid w:val="00907F2D"/>
    <w:rsid w:val="0091024A"/>
    <w:rsid w:val="00911557"/>
    <w:rsid w:val="00911839"/>
    <w:rsid w:val="00911E7B"/>
    <w:rsid w:val="009120C0"/>
    <w:rsid w:val="0091372D"/>
    <w:rsid w:val="00913850"/>
    <w:rsid w:val="00914A80"/>
    <w:rsid w:val="00914DD4"/>
    <w:rsid w:val="00914E1A"/>
    <w:rsid w:val="00916B1B"/>
    <w:rsid w:val="009173C2"/>
    <w:rsid w:val="0091758E"/>
    <w:rsid w:val="0092009B"/>
    <w:rsid w:val="009202D3"/>
    <w:rsid w:val="009203A3"/>
    <w:rsid w:val="00920B2D"/>
    <w:rsid w:val="0092109E"/>
    <w:rsid w:val="009215ED"/>
    <w:rsid w:val="009217B8"/>
    <w:rsid w:val="00921C59"/>
    <w:rsid w:val="009228BD"/>
    <w:rsid w:val="00922B13"/>
    <w:rsid w:val="00922BED"/>
    <w:rsid w:val="009230E0"/>
    <w:rsid w:val="00924A85"/>
    <w:rsid w:val="009251E2"/>
    <w:rsid w:val="0092545E"/>
    <w:rsid w:val="009258DF"/>
    <w:rsid w:val="00925AEE"/>
    <w:rsid w:val="00925D53"/>
    <w:rsid w:val="00925EF2"/>
    <w:rsid w:val="00926258"/>
    <w:rsid w:val="00926563"/>
    <w:rsid w:val="009269D5"/>
    <w:rsid w:val="00926C4B"/>
    <w:rsid w:val="009270F0"/>
    <w:rsid w:val="00927714"/>
    <w:rsid w:val="00927C10"/>
    <w:rsid w:val="00927D23"/>
    <w:rsid w:val="0093014A"/>
    <w:rsid w:val="00930365"/>
    <w:rsid w:val="00930B59"/>
    <w:rsid w:val="0093193F"/>
    <w:rsid w:val="00932117"/>
    <w:rsid w:val="009327A0"/>
    <w:rsid w:val="00932CAB"/>
    <w:rsid w:val="00932DB5"/>
    <w:rsid w:val="009335C5"/>
    <w:rsid w:val="009335F4"/>
    <w:rsid w:val="0093375D"/>
    <w:rsid w:val="00933BE4"/>
    <w:rsid w:val="009343BE"/>
    <w:rsid w:val="009349F7"/>
    <w:rsid w:val="00935DDD"/>
    <w:rsid w:val="00937019"/>
    <w:rsid w:val="0093758B"/>
    <w:rsid w:val="0093772B"/>
    <w:rsid w:val="00937B51"/>
    <w:rsid w:val="00940027"/>
    <w:rsid w:val="00940111"/>
    <w:rsid w:val="00941CDC"/>
    <w:rsid w:val="00941F42"/>
    <w:rsid w:val="009424A7"/>
    <w:rsid w:val="00942924"/>
    <w:rsid w:val="00942B61"/>
    <w:rsid w:val="00943027"/>
    <w:rsid w:val="0094304A"/>
    <w:rsid w:val="00943BE8"/>
    <w:rsid w:val="00943E30"/>
    <w:rsid w:val="009441E2"/>
    <w:rsid w:val="009442F7"/>
    <w:rsid w:val="009447A3"/>
    <w:rsid w:val="00944CA3"/>
    <w:rsid w:val="00944FD7"/>
    <w:rsid w:val="009451C6"/>
    <w:rsid w:val="0094537C"/>
    <w:rsid w:val="00945B9C"/>
    <w:rsid w:val="00945C58"/>
    <w:rsid w:val="00945D28"/>
    <w:rsid w:val="009462E9"/>
    <w:rsid w:val="00946870"/>
    <w:rsid w:val="00946C73"/>
    <w:rsid w:val="009470E6"/>
    <w:rsid w:val="00947E6E"/>
    <w:rsid w:val="00950DC1"/>
    <w:rsid w:val="00950ED8"/>
    <w:rsid w:val="00951753"/>
    <w:rsid w:val="00951913"/>
    <w:rsid w:val="00951E5D"/>
    <w:rsid w:val="009522E7"/>
    <w:rsid w:val="00952C20"/>
    <w:rsid w:val="00952EA7"/>
    <w:rsid w:val="0095364A"/>
    <w:rsid w:val="00953C33"/>
    <w:rsid w:val="00953FCB"/>
    <w:rsid w:val="009548CA"/>
    <w:rsid w:val="009557C0"/>
    <w:rsid w:val="00955974"/>
    <w:rsid w:val="00955B8F"/>
    <w:rsid w:val="009569BF"/>
    <w:rsid w:val="00956F76"/>
    <w:rsid w:val="00957495"/>
    <w:rsid w:val="009602FD"/>
    <w:rsid w:val="0096095F"/>
    <w:rsid w:val="0096105C"/>
    <w:rsid w:val="00961572"/>
    <w:rsid w:val="00961A7F"/>
    <w:rsid w:val="00961B00"/>
    <w:rsid w:val="00962908"/>
    <w:rsid w:val="00962C02"/>
    <w:rsid w:val="0096316D"/>
    <w:rsid w:val="00964D23"/>
    <w:rsid w:val="00965AFF"/>
    <w:rsid w:val="00966270"/>
    <w:rsid w:val="0096689F"/>
    <w:rsid w:val="00966BC7"/>
    <w:rsid w:val="00966DC8"/>
    <w:rsid w:val="009704DD"/>
    <w:rsid w:val="00970FF4"/>
    <w:rsid w:val="00971A4D"/>
    <w:rsid w:val="00972050"/>
    <w:rsid w:val="0097211A"/>
    <w:rsid w:val="009726ED"/>
    <w:rsid w:val="009732B3"/>
    <w:rsid w:val="009733A8"/>
    <w:rsid w:val="00973E66"/>
    <w:rsid w:val="00973F67"/>
    <w:rsid w:val="009740F2"/>
    <w:rsid w:val="00974611"/>
    <w:rsid w:val="00974840"/>
    <w:rsid w:val="00974F3B"/>
    <w:rsid w:val="00975991"/>
    <w:rsid w:val="00975BB0"/>
    <w:rsid w:val="00976B31"/>
    <w:rsid w:val="00976C5B"/>
    <w:rsid w:val="00981258"/>
    <w:rsid w:val="009815ED"/>
    <w:rsid w:val="00981E13"/>
    <w:rsid w:val="0098235C"/>
    <w:rsid w:val="009825A8"/>
    <w:rsid w:val="00982BB7"/>
    <w:rsid w:val="00983026"/>
    <w:rsid w:val="00983746"/>
    <w:rsid w:val="00983BC2"/>
    <w:rsid w:val="009841E4"/>
    <w:rsid w:val="009845FB"/>
    <w:rsid w:val="00984810"/>
    <w:rsid w:val="00984E7D"/>
    <w:rsid w:val="00984E98"/>
    <w:rsid w:val="00986440"/>
    <w:rsid w:val="00986545"/>
    <w:rsid w:val="009869F6"/>
    <w:rsid w:val="00987454"/>
    <w:rsid w:val="00987AC4"/>
    <w:rsid w:val="0099013C"/>
    <w:rsid w:val="009901C7"/>
    <w:rsid w:val="00990241"/>
    <w:rsid w:val="00990874"/>
    <w:rsid w:val="00991172"/>
    <w:rsid w:val="00992122"/>
    <w:rsid w:val="009926C4"/>
    <w:rsid w:val="00993C1A"/>
    <w:rsid w:val="00994E1D"/>
    <w:rsid w:val="00995121"/>
    <w:rsid w:val="00995701"/>
    <w:rsid w:val="009957CB"/>
    <w:rsid w:val="00995D96"/>
    <w:rsid w:val="009969C1"/>
    <w:rsid w:val="00997674"/>
    <w:rsid w:val="00997E6A"/>
    <w:rsid w:val="00997FC3"/>
    <w:rsid w:val="009A0031"/>
    <w:rsid w:val="009A18C9"/>
    <w:rsid w:val="009A1E58"/>
    <w:rsid w:val="009A2474"/>
    <w:rsid w:val="009A2496"/>
    <w:rsid w:val="009A2791"/>
    <w:rsid w:val="009A2B3C"/>
    <w:rsid w:val="009A3319"/>
    <w:rsid w:val="009A382E"/>
    <w:rsid w:val="009A389E"/>
    <w:rsid w:val="009A38F4"/>
    <w:rsid w:val="009A456B"/>
    <w:rsid w:val="009A47D7"/>
    <w:rsid w:val="009A47F8"/>
    <w:rsid w:val="009A5683"/>
    <w:rsid w:val="009A5E36"/>
    <w:rsid w:val="009A5FAE"/>
    <w:rsid w:val="009A6149"/>
    <w:rsid w:val="009A6154"/>
    <w:rsid w:val="009A6665"/>
    <w:rsid w:val="009B0550"/>
    <w:rsid w:val="009B0F84"/>
    <w:rsid w:val="009B0F9B"/>
    <w:rsid w:val="009B1091"/>
    <w:rsid w:val="009B1436"/>
    <w:rsid w:val="009B1551"/>
    <w:rsid w:val="009B1715"/>
    <w:rsid w:val="009B19D3"/>
    <w:rsid w:val="009B1FE4"/>
    <w:rsid w:val="009B2595"/>
    <w:rsid w:val="009B2A3E"/>
    <w:rsid w:val="009B2FE1"/>
    <w:rsid w:val="009B3468"/>
    <w:rsid w:val="009B3B26"/>
    <w:rsid w:val="009B3E26"/>
    <w:rsid w:val="009B3EB0"/>
    <w:rsid w:val="009B492D"/>
    <w:rsid w:val="009B4B18"/>
    <w:rsid w:val="009B5565"/>
    <w:rsid w:val="009B6208"/>
    <w:rsid w:val="009B74E0"/>
    <w:rsid w:val="009B7772"/>
    <w:rsid w:val="009B77AE"/>
    <w:rsid w:val="009B7C97"/>
    <w:rsid w:val="009B7F6C"/>
    <w:rsid w:val="009C0706"/>
    <w:rsid w:val="009C0AA4"/>
    <w:rsid w:val="009C0B01"/>
    <w:rsid w:val="009C1EA3"/>
    <w:rsid w:val="009C2C75"/>
    <w:rsid w:val="009C3022"/>
    <w:rsid w:val="009C3A04"/>
    <w:rsid w:val="009C3F21"/>
    <w:rsid w:val="009C41D4"/>
    <w:rsid w:val="009C4990"/>
    <w:rsid w:val="009C4B3D"/>
    <w:rsid w:val="009C52E0"/>
    <w:rsid w:val="009C5687"/>
    <w:rsid w:val="009C61E0"/>
    <w:rsid w:val="009C647C"/>
    <w:rsid w:val="009C678F"/>
    <w:rsid w:val="009C68B7"/>
    <w:rsid w:val="009C71C8"/>
    <w:rsid w:val="009C7743"/>
    <w:rsid w:val="009C7E66"/>
    <w:rsid w:val="009D00DF"/>
    <w:rsid w:val="009D024D"/>
    <w:rsid w:val="009D05EF"/>
    <w:rsid w:val="009D1A20"/>
    <w:rsid w:val="009D2A73"/>
    <w:rsid w:val="009D33EA"/>
    <w:rsid w:val="009D342E"/>
    <w:rsid w:val="009D39E8"/>
    <w:rsid w:val="009D3C8D"/>
    <w:rsid w:val="009D3F55"/>
    <w:rsid w:val="009D5CCB"/>
    <w:rsid w:val="009D5D83"/>
    <w:rsid w:val="009D5E04"/>
    <w:rsid w:val="009D622E"/>
    <w:rsid w:val="009D6311"/>
    <w:rsid w:val="009D64BE"/>
    <w:rsid w:val="009D7F5E"/>
    <w:rsid w:val="009E0653"/>
    <w:rsid w:val="009E0895"/>
    <w:rsid w:val="009E0998"/>
    <w:rsid w:val="009E0A70"/>
    <w:rsid w:val="009E11C5"/>
    <w:rsid w:val="009E14E6"/>
    <w:rsid w:val="009E21BD"/>
    <w:rsid w:val="009E242C"/>
    <w:rsid w:val="009E2744"/>
    <w:rsid w:val="009E3395"/>
    <w:rsid w:val="009E407A"/>
    <w:rsid w:val="009E43C2"/>
    <w:rsid w:val="009E47F5"/>
    <w:rsid w:val="009E4B56"/>
    <w:rsid w:val="009E4BCF"/>
    <w:rsid w:val="009E5804"/>
    <w:rsid w:val="009E5D1C"/>
    <w:rsid w:val="009E633B"/>
    <w:rsid w:val="009E6CDB"/>
    <w:rsid w:val="009E7202"/>
    <w:rsid w:val="009F0ABB"/>
    <w:rsid w:val="009F0B26"/>
    <w:rsid w:val="009F126D"/>
    <w:rsid w:val="009F13A3"/>
    <w:rsid w:val="009F155F"/>
    <w:rsid w:val="009F167F"/>
    <w:rsid w:val="009F2493"/>
    <w:rsid w:val="009F2C97"/>
    <w:rsid w:val="009F33D5"/>
    <w:rsid w:val="009F3568"/>
    <w:rsid w:val="009F37BA"/>
    <w:rsid w:val="009F3D5A"/>
    <w:rsid w:val="009F3FFF"/>
    <w:rsid w:val="009F4084"/>
    <w:rsid w:val="009F4322"/>
    <w:rsid w:val="009F43F9"/>
    <w:rsid w:val="009F54C2"/>
    <w:rsid w:val="009F6776"/>
    <w:rsid w:val="009F6827"/>
    <w:rsid w:val="009F6A03"/>
    <w:rsid w:val="009F7AC4"/>
    <w:rsid w:val="009F7E8B"/>
    <w:rsid w:val="00A0055D"/>
    <w:rsid w:val="00A00646"/>
    <w:rsid w:val="00A010F4"/>
    <w:rsid w:val="00A0252E"/>
    <w:rsid w:val="00A02623"/>
    <w:rsid w:val="00A027A7"/>
    <w:rsid w:val="00A02AA5"/>
    <w:rsid w:val="00A034B6"/>
    <w:rsid w:val="00A03D26"/>
    <w:rsid w:val="00A03EFC"/>
    <w:rsid w:val="00A042CD"/>
    <w:rsid w:val="00A045BD"/>
    <w:rsid w:val="00A04E6A"/>
    <w:rsid w:val="00A06C18"/>
    <w:rsid w:val="00A06C6A"/>
    <w:rsid w:val="00A07415"/>
    <w:rsid w:val="00A07715"/>
    <w:rsid w:val="00A0773B"/>
    <w:rsid w:val="00A079FC"/>
    <w:rsid w:val="00A10013"/>
    <w:rsid w:val="00A10C32"/>
    <w:rsid w:val="00A10DB5"/>
    <w:rsid w:val="00A11343"/>
    <w:rsid w:val="00A113B6"/>
    <w:rsid w:val="00A12450"/>
    <w:rsid w:val="00A124F0"/>
    <w:rsid w:val="00A1274E"/>
    <w:rsid w:val="00A13454"/>
    <w:rsid w:val="00A134DA"/>
    <w:rsid w:val="00A1392C"/>
    <w:rsid w:val="00A13D7F"/>
    <w:rsid w:val="00A14150"/>
    <w:rsid w:val="00A14782"/>
    <w:rsid w:val="00A14EDC"/>
    <w:rsid w:val="00A14F77"/>
    <w:rsid w:val="00A158F2"/>
    <w:rsid w:val="00A15D3F"/>
    <w:rsid w:val="00A16233"/>
    <w:rsid w:val="00A163E3"/>
    <w:rsid w:val="00A16DDC"/>
    <w:rsid w:val="00A1745C"/>
    <w:rsid w:val="00A20509"/>
    <w:rsid w:val="00A20659"/>
    <w:rsid w:val="00A211B1"/>
    <w:rsid w:val="00A21272"/>
    <w:rsid w:val="00A22B53"/>
    <w:rsid w:val="00A22BC9"/>
    <w:rsid w:val="00A22C73"/>
    <w:rsid w:val="00A22DF6"/>
    <w:rsid w:val="00A22F9F"/>
    <w:rsid w:val="00A234A8"/>
    <w:rsid w:val="00A23574"/>
    <w:rsid w:val="00A235CA"/>
    <w:rsid w:val="00A24683"/>
    <w:rsid w:val="00A24F37"/>
    <w:rsid w:val="00A25189"/>
    <w:rsid w:val="00A25CD1"/>
    <w:rsid w:val="00A264BC"/>
    <w:rsid w:val="00A26F6F"/>
    <w:rsid w:val="00A27F29"/>
    <w:rsid w:val="00A30009"/>
    <w:rsid w:val="00A301DC"/>
    <w:rsid w:val="00A30A3A"/>
    <w:rsid w:val="00A30F41"/>
    <w:rsid w:val="00A31217"/>
    <w:rsid w:val="00A31D6A"/>
    <w:rsid w:val="00A3298E"/>
    <w:rsid w:val="00A32DA9"/>
    <w:rsid w:val="00A32FB9"/>
    <w:rsid w:val="00A3331C"/>
    <w:rsid w:val="00A3385A"/>
    <w:rsid w:val="00A3387A"/>
    <w:rsid w:val="00A33CBF"/>
    <w:rsid w:val="00A34A9C"/>
    <w:rsid w:val="00A34B4E"/>
    <w:rsid w:val="00A34E06"/>
    <w:rsid w:val="00A35494"/>
    <w:rsid w:val="00A3671B"/>
    <w:rsid w:val="00A370FF"/>
    <w:rsid w:val="00A371B0"/>
    <w:rsid w:val="00A3752B"/>
    <w:rsid w:val="00A40270"/>
    <w:rsid w:val="00A40D26"/>
    <w:rsid w:val="00A41893"/>
    <w:rsid w:val="00A425D6"/>
    <w:rsid w:val="00A4267A"/>
    <w:rsid w:val="00A4267F"/>
    <w:rsid w:val="00A42C00"/>
    <w:rsid w:val="00A42D79"/>
    <w:rsid w:val="00A42EBD"/>
    <w:rsid w:val="00A43062"/>
    <w:rsid w:val="00A43713"/>
    <w:rsid w:val="00A43DC7"/>
    <w:rsid w:val="00A449AE"/>
    <w:rsid w:val="00A45197"/>
    <w:rsid w:val="00A45679"/>
    <w:rsid w:val="00A45B9E"/>
    <w:rsid w:val="00A461BC"/>
    <w:rsid w:val="00A464CD"/>
    <w:rsid w:val="00A46BBC"/>
    <w:rsid w:val="00A47092"/>
    <w:rsid w:val="00A47260"/>
    <w:rsid w:val="00A4763B"/>
    <w:rsid w:val="00A47716"/>
    <w:rsid w:val="00A50F1E"/>
    <w:rsid w:val="00A5242C"/>
    <w:rsid w:val="00A52589"/>
    <w:rsid w:val="00A529D1"/>
    <w:rsid w:val="00A535F1"/>
    <w:rsid w:val="00A53969"/>
    <w:rsid w:val="00A54C26"/>
    <w:rsid w:val="00A5570B"/>
    <w:rsid w:val="00A55A02"/>
    <w:rsid w:val="00A56129"/>
    <w:rsid w:val="00A561CA"/>
    <w:rsid w:val="00A56B34"/>
    <w:rsid w:val="00A56B98"/>
    <w:rsid w:val="00A60568"/>
    <w:rsid w:val="00A606CD"/>
    <w:rsid w:val="00A6079D"/>
    <w:rsid w:val="00A60AA8"/>
    <w:rsid w:val="00A60C62"/>
    <w:rsid w:val="00A60F9D"/>
    <w:rsid w:val="00A612D0"/>
    <w:rsid w:val="00A61638"/>
    <w:rsid w:val="00A62333"/>
    <w:rsid w:val="00A62F18"/>
    <w:rsid w:val="00A62F9A"/>
    <w:rsid w:val="00A63052"/>
    <w:rsid w:val="00A63122"/>
    <w:rsid w:val="00A6312A"/>
    <w:rsid w:val="00A63E3E"/>
    <w:rsid w:val="00A6419B"/>
    <w:rsid w:val="00A6456D"/>
    <w:rsid w:val="00A64643"/>
    <w:rsid w:val="00A64A8C"/>
    <w:rsid w:val="00A64B9C"/>
    <w:rsid w:val="00A65365"/>
    <w:rsid w:val="00A658BD"/>
    <w:rsid w:val="00A6615B"/>
    <w:rsid w:val="00A6650D"/>
    <w:rsid w:val="00A671EC"/>
    <w:rsid w:val="00A67AD8"/>
    <w:rsid w:val="00A702D0"/>
    <w:rsid w:val="00A705C6"/>
    <w:rsid w:val="00A7149D"/>
    <w:rsid w:val="00A719ED"/>
    <w:rsid w:val="00A71F29"/>
    <w:rsid w:val="00A72087"/>
    <w:rsid w:val="00A72EB8"/>
    <w:rsid w:val="00A73219"/>
    <w:rsid w:val="00A74F37"/>
    <w:rsid w:val="00A755AC"/>
    <w:rsid w:val="00A778E7"/>
    <w:rsid w:val="00A77B8D"/>
    <w:rsid w:val="00A77E60"/>
    <w:rsid w:val="00A77F35"/>
    <w:rsid w:val="00A800E1"/>
    <w:rsid w:val="00A80263"/>
    <w:rsid w:val="00A804CE"/>
    <w:rsid w:val="00A8092D"/>
    <w:rsid w:val="00A819E0"/>
    <w:rsid w:val="00A82122"/>
    <w:rsid w:val="00A824FC"/>
    <w:rsid w:val="00A82B17"/>
    <w:rsid w:val="00A82DFD"/>
    <w:rsid w:val="00A830F5"/>
    <w:rsid w:val="00A83F6B"/>
    <w:rsid w:val="00A842BE"/>
    <w:rsid w:val="00A8475E"/>
    <w:rsid w:val="00A84AC2"/>
    <w:rsid w:val="00A85224"/>
    <w:rsid w:val="00A8548B"/>
    <w:rsid w:val="00A8553F"/>
    <w:rsid w:val="00A87530"/>
    <w:rsid w:val="00A91888"/>
    <w:rsid w:val="00A92332"/>
    <w:rsid w:val="00A923EA"/>
    <w:rsid w:val="00A92CD5"/>
    <w:rsid w:val="00A92DA9"/>
    <w:rsid w:val="00A9343D"/>
    <w:rsid w:val="00A93BAE"/>
    <w:rsid w:val="00A93F1B"/>
    <w:rsid w:val="00A9407A"/>
    <w:rsid w:val="00A95A3D"/>
    <w:rsid w:val="00A9601D"/>
    <w:rsid w:val="00A970B0"/>
    <w:rsid w:val="00AA01DF"/>
    <w:rsid w:val="00AA0234"/>
    <w:rsid w:val="00AA13D3"/>
    <w:rsid w:val="00AA1638"/>
    <w:rsid w:val="00AA19AB"/>
    <w:rsid w:val="00AA2176"/>
    <w:rsid w:val="00AA2C3C"/>
    <w:rsid w:val="00AA36BF"/>
    <w:rsid w:val="00AA3BC6"/>
    <w:rsid w:val="00AA3FAD"/>
    <w:rsid w:val="00AA462D"/>
    <w:rsid w:val="00AA4854"/>
    <w:rsid w:val="00AA4FAF"/>
    <w:rsid w:val="00AA5841"/>
    <w:rsid w:val="00AA5A79"/>
    <w:rsid w:val="00AA5B27"/>
    <w:rsid w:val="00AA5CFB"/>
    <w:rsid w:val="00AA6276"/>
    <w:rsid w:val="00AA6ACF"/>
    <w:rsid w:val="00AA7A2B"/>
    <w:rsid w:val="00AA7F37"/>
    <w:rsid w:val="00AB06DB"/>
    <w:rsid w:val="00AB079F"/>
    <w:rsid w:val="00AB1117"/>
    <w:rsid w:val="00AB1BDB"/>
    <w:rsid w:val="00AB1C3E"/>
    <w:rsid w:val="00AB20C4"/>
    <w:rsid w:val="00AB225F"/>
    <w:rsid w:val="00AB2680"/>
    <w:rsid w:val="00AB2859"/>
    <w:rsid w:val="00AB2D53"/>
    <w:rsid w:val="00AB2EA4"/>
    <w:rsid w:val="00AB2F67"/>
    <w:rsid w:val="00AB3193"/>
    <w:rsid w:val="00AB3948"/>
    <w:rsid w:val="00AB3D96"/>
    <w:rsid w:val="00AB458D"/>
    <w:rsid w:val="00AB47E6"/>
    <w:rsid w:val="00AB5A9F"/>
    <w:rsid w:val="00AB5BF9"/>
    <w:rsid w:val="00AB629F"/>
    <w:rsid w:val="00AB62F9"/>
    <w:rsid w:val="00AB6776"/>
    <w:rsid w:val="00AB6CA0"/>
    <w:rsid w:val="00AB7977"/>
    <w:rsid w:val="00AB7A98"/>
    <w:rsid w:val="00AC0170"/>
    <w:rsid w:val="00AC033D"/>
    <w:rsid w:val="00AC03E9"/>
    <w:rsid w:val="00AC048C"/>
    <w:rsid w:val="00AC0681"/>
    <w:rsid w:val="00AC0A64"/>
    <w:rsid w:val="00AC14DC"/>
    <w:rsid w:val="00AC14E9"/>
    <w:rsid w:val="00AC183A"/>
    <w:rsid w:val="00AC1A60"/>
    <w:rsid w:val="00AC1E4B"/>
    <w:rsid w:val="00AC213C"/>
    <w:rsid w:val="00AC2425"/>
    <w:rsid w:val="00AC282A"/>
    <w:rsid w:val="00AC28DA"/>
    <w:rsid w:val="00AC29A0"/>
    <w:rsid w:val="00AC2A25"/>
    <w:rsid w:val="00AC41DA"/>
    <w:rsid w:val="00AC5660"/>
    <w:rsid w:val="00AC5D7C"/>
    <w:rsid w:val="00AC63ED"/>
    <w:rsid w:val="00AC68ED"/>
    <w:rsid w:val="00AC7C7F"/>
    <w:rsid w:val="00AD01F7"/>
    <w:rsid w:val="00AD06B4"/>
    <w:rsid w:val="00AD0708"/>
    <w:rsid w:val="00AD0A2A"/>
    <w:rsid w:val="00AD0F74"/>
    <w:rsid w:val="00AD1339"/>
    <w:rsid w:val="00AD15B7"/>
    <w:rsid w:val="00AD15D4"/>
    <w:rsid w:val="00AD17F7"/>
    <w:rsid w:val="00AD2532"/>
    <w:rsid w:val="00AD26BF"/>
    <w:rsid w:val="00AD30FD"/>
    <w:rsid w:val="00AD338A"/>
    <w:rsid w:val="00AD3A17"/>
    <w:rsid w:val="00AD3EEB"/>
    <w:rsid w:val="00AD4D09"/>
    <w:rsid w:val="00AD51E3"/>
    <w:rsid w:val="00AD5EED"/>
    <w:rsid w:val="00AD621A"/>
    <w:rsid w:val="00AD69B0"/>
    <w:rsid w:val="00AD70C5"/>
    <w:rsid w:val="00AD758D"/>
    <w:rsid w:val="00AD7993"/>
    <w:rsid w:val="00AD7D3B"/>
    <w:rsid w:val="00AD7F4D"/>
    <w:rsid w:val="00AE0243"/>
    <w:rsid w:val="00AE0639"/>
    <w:rsid w:val="00AE06EA"/>
    <w:rsid w:val="00AE088C"/>
    <w:rsid w:val="00AE0D0C"/>
    <w:rsid w:val="00AE1B1F"/>
    <w:rsid w:val="00AE1E3A"/>
    <w:rsid w:val="00AE1F7B"/>
    <w:rsid w:val="00AE20F8"/>
    <w:rsid w:val="00AE24D4"/>
    <w:rsid w:val="00AE2619"/>
    <w:rsid w:val="00AE2C5F"/>
    <w:rsid w:val="00AE3032"/>
    <w:rsid w:val="00AE38C2"/>
    <w:rsid w:val="00AE3916"/>
    <w:rsid w:val="00AE3BF0"/>
    <w:rsid w:val="00AE43AB"/>
    <w:rsid w:val="00AE515A"/>
    <w:rsid w:val="00AE5E5D"/>
    <w:rsid w:val="00AE669F"/>
    <w:rsid w:val="00AE6A86"/>
    <w:rsid w:val="00AE76DC"/>
    <w:rsid w:val="00AE7C2E"/>
    <w:rsid w:val="00AF09EB"/>
    <w:rsid w:val="00AF10BD"/>
    <w:rsid w:val="00AF1CC7"/>
    <w:rsid w:val="00AF1F36"/>
    <w:rsid w:val="00AF2512"/>
    <w:rsid w:val="00AF2836"/>
    <w:rsid w:val="00AF28E4"/>
    <w:rsid w:val="00AF2ACC"/>
    <w:rsid w:val="00AF360E"/>
    <w:rsid w:val="00AF37C5"/>
    <w:rsid w:val="00AF3D9A"/>
    <w:rsid w:val="00AF41D9"/>
    <w:rsid w:val="00AF4D15"/>
    <w:rsid w:val="00AF5209"/>
    <w:rsid w:val="00AF5631"/>
    <w:rsid w:val="00AF5E8E"/>
    <w:rsid w:val="00AF5F4E"/>
    <w:rsid w:val="00AF6222"/>
    <w:rsid w:val="00AF638F"/>
    <w:rsid w:val="00AF70A0"/>
    <w:rsid w:val="00AF710E"/>
    <w:rsid w:val="00AF7512"/>
    <w:rsid w:val="00AF7813"/>
    <w:rsid w:val="00AF787D"/>
    <w:rsid w:val="00AF7968"/>
    <w:rsid w:val="00AF7AD6"/>
    <w:rsid w:val="00AF7E34"/>
    <w:rsid w:val="00B00005"/>
    <w:rsid w:val="00B00FF4"/>
    <w:rsid w:val="00B02089"/>
    <w:rsid w:val="00B02D65"/>
    <w:rsid w:val="00B03378"/>
    <w:rsid w:val="00B03C62"/>
    <w:rsid w:val="00B03E52"/>
    <w:rsid w:val="00B04D2D"/>
    <w:rsid w:val="00B0503C"/>
    <w:rsid w:val="00B05234"/>
    <w:rsid w:val="00B05B88"/>
    <w:rsid w:val="00B063D4"/>
    <w:rsid w:val="00B063F0"/>
    <w:rsid w:val="00B07769"/>
    <w:rsid w:val="00B07FF4"/>
    <w:rsid w:val="00B10270"/>
    <w:rsid w:val="00B103DF"/>
    <w:rsid w:val="00B10D66"/>
    <w:rsid w:val="00B10E10"/>
    <w:rsid w:val="00B1115E"/>
    <w:rsid w:val="00B116E3"/>
    <w:rsid w:val="00B11F39"/>
    <w:rsid w:val="00B12063"/>
    <w:rsid w:val="00B1206C"/>
    <w:rsid w:val="00B124F5"/>
    <w:rsid w:val="00B12617"/>
    <w:rsid w:val="00B1286B"/>
    <w:rsid w:val="00B1288E"/>
    <w:rsid w:val="00B12F52"/>
    <w:rsid w:val="00B13310"/>
    <w:rsid w:val="00B135A8"/>
    <w:rsid w:val="00B13CB8"/>
    <w:rsid w:val="00B14511"/>
    <w:rsid w:val="00B15708"/>
    <w:rsid w:val="00B157E0"/>
    <w:rsid w:val="00B158A6"/>
    <w:rsid w:val="00B16921"/>
    <w:rsid w:val="00B16B3F"/>
    <w:rsid w:val="00B174B4"/>
    <w:rsid w:val="00B175DA"/>
    <w:rsid w:val="00B175F1"/>
    <w:rsid w:val="00B17B11"/>
    <w:rsid w:val="00B202ED"/>
    <w:rsid w:val="00B20386"/>
    <w:rsid w:val="00B20CE9"/>
    <w:rsid w:val="00B21FFC"/>
    <w:rsid w:val="00B236FA"/>
    <w:rsid w:val="00B23B42"/>
    <w:rsid w:val="00B23BFA"/>
    <w:rsid w:val="00B23E43"/>
    <w:rsid w:val="00B24240"/>
    <w:rsid w:val="00B24443"/>
    <w:rsid w:val="00B24505"/>
    <w:rsid w:val="00B24677"/>
    <w:rsid w:val="00B24C54"/>
    <w:rsid w:val="00B25195"/>
    <w:rsid w:val="00B2534F"/>
    <w:rsid w:val="00B25485"/>
    <w:rsid w:val="00B26284"/>
    <w:rsid w:val="00B273E9"/>
    <w:rsid w:val="00B2741E"/>
    <w:rsid w:val="00B30118"/>
    <w:rsid w:val="00B30E47"/>
    <w:rsid w:val="00B31533"/>
    <w:rsid w:val="00B31AFC"/>
    <w:rsid w:val="00B31DC5"/>
    <w:rsid w:val="00B32038"/>
    <w:rsid w:val="00B320DD"/>
    <w:rsid w:val="00B32329"/>
    <w:rsid w:val="00B32CAA"/>
    <w:rsid w:val="00B32FF1"/>
    <w:rsid w:val="00B337A2"/>
    <w:rsid w:val="00B337AE"/>
    <w:rsid w:val="00B33CA4"/>
    <w:rsid w:val="00B350F0"/>
    <w:rsid w:val="00B351CE"/>
    <w:rsid w:val="00B35812"/>
    <w:rsid w:val="00B364F5"/>
    <w:rsid w:val="00B3681C"/>
    <w:rsid w:val="00B3700C"/>
    <w:rsid w:val="00B37707"/>
    <w:rsid w:val="00B37D29"/>
    <w:rsid w:val="00B40301"/>
    <w:rsid w:val="00B40BB5"/>
    <w:rsid w:val="00B41254"/>
    <w:rsid w:val="00B415F5"/>
    <w:rsid w:val="00B4241B"/>
    <w:rsid w:val="00B428E6"/>
    <w:rsid w:val="00B42C62"/>
    <w:rsid w:val="00B438F1"/>
    <w:rsid w:val="00B44A50"/>
    <w:rsid w:val="00B4502C"/>
    <w:rsid w:val="00B45088"/>
    <w:rsid w:val="00B45E5D"/>
    <w:rsid w:val="00B45E88"/>
    <w:rsid w:val="00B46EEC"/>
    <w:rsid w:val="00B47257"/>
    <w:rsid w:val="00B474E8"/>
    <w:rsid w:val="00B50695"/>
    <w:rsid w:val="00B50F7F"/>
    <w:rsid w:val="00B51314"/>
    <w:rsid w:val="00B52106"/>
    <w:rsid w:val="00B523ED"/>
    <w:rsid w:val="00B52BBA"/>
    <w:rsid w:val="00B5306D"/>
    <w:rsid w:val="00B53173"/>
    <w:rsid w:val="00B5350F"/>
    <w:rsid w:val="00B53C15"/>
    <w:rsid w:val="00B541FB"/>
    <w:rsid w:val="00B5442E"/>
    <w:rsid w:val="00B55207"/>
    <w:rsid w:val="00B55827"/>
    <w:rsid w:val="00B56C1F"/>
    <w:rsid w:val="00B60499"/>
    <w:rsid w:val="00B6074F"/>
    <w:rsid w:val="00B6079B"/>
    <w:rsid w:val="00B60E04"/>
    <w:rsid w:val="00B60FDD"/>
    <w:rsid w:val="00B61544"/>
    <w:rsid w:val="00B61A4C"/>
    <w:rsid w:val="00B62116"/>
    <w:rsid w:val="00B62EAE"/>
    <w:rsid w:val="00B62F07"/>
    <w:rsid w:val="00B62FEE"/>
    <w:rsid w:val="00B630A7"/>
    <w:rsid w:val="00B633A1"/>
    <w:rsid w:val="00B6401D"/>
    <w:rsid w:val="00B6472B"/>
    <w:rsid w:val="00B647C3"/>
    <w:rsid w:val="00B64AC7"/>
    <w:rsid w:val="00B64B35"/>
    <w:rsid w:val="00B65B27"/>
    <w:rsid w:val="00B65E4C"/>
    <w:rsid w:val="00B663EC"/>
    <w:rsid w:val="00B676D9"/>
    <w:rsid w:val="00B701E1"/>
    <w:rsid w:val="00B7161B"/>
    <w:rsid w:val="00B7172A"/>
    <w:rsid w:val="00B71BF2"/>
    <w:rsid w:val="00B72603"/>
    <w:rsid w:val="00B72857"/>
    <w:rsid w:val="00B72A6B"/>
    <w:rsid w:val="00B72CFC"/>
    <w:rsid w:val="00B732B2"/>
    <w:rsid w:val="00B7333B"/>
    <w:rsid w:val="00B7356D"/>
    <w:rsid w:val="00B737EC"/>
    <w:rsid w:val="00B75580"/>
    <w:rsid w:val="00B75FB0"/>
    <w:rsid w:val="00B77F30"/>
    <w:rsid w:val="00B802DF"/>
    <w:rsid w:val="00B8044E"/>
    <w:rsid w:val="00B80873"/>
    <w:rsid w:val="00B80A51"/>
    <w:rsid w:val="00B80B52"/>
    <w:rsid w:val="00B80C3D"/>
    <w:rsid w:val="00B815B7"/>
    <w:rsid w:val="00B820FC"/>
    <w:rsid w:val="00B82286"/>
    <w:rsid w:val="00B826A9"/>
    <w:rsid w:val="00B83307"/>
    <w:rsid w:val="00B8366C"/>
    <w:rsid w:val="00B83A48"/>
    <w:rsid w:val="00B83B0D"/>
    <w:rsid w:val="00B85268"/>
    <w:rsid w:val="00B852B6"/>
    <w:rsid w:val="00B85AEE"/>
    <w:rsid w:val="00B85BC8"/>
    <w:rsid w:val="00B85F4F"/>
    <w:rsid w:val="00B864DD"/>
    <w:rsid w:val="00B87A8A"/>
    <w:rsid w:val="00B87B89"/>
    <w:rsid w:val="00B87F24"/>
    <w:rsid w:val="00B904CF"/>
    <w:rsid w:val="00B90609"/>
    <w:rsid w:val="00B90AD8"/>
    <w:rsid w:val="00B91071"/>
    <w:rsid w:val="00B91F33"/>
    <w:rsid w:val="00B922B8"/>
    <w:rsid w:val="00B93102"/>
    <w:rsid w:val="00B931A5"/>
    <w:rsid w:val="00B93B94"/>
    <w:rsid w:val="00B945F7"/>
    <w:rsid w:val="00B948D7"/>
    <w:rsid w:val="00B94C70"/>
    <w:rsid w:val="00B9501A"/>
    <w:rsid w:val="00B9534D"/>
    <w:rsid w:val="00B9548A"/>
    <w:rsid w:val="00B957D1"/>
    <w:rsid w:val="00B9644D"/>
    <w:rsid w:val="00B96649"/>
    <w:rsid w:val="00B971E1"/>
    <w:rsid w:val="00B97424"/>
    <w:rsid w:val="00B974DA"/>
    <w:rsid w:val="00B97924"/>
    <w:rsid w:val="00BA0309"/>
    <w:rsid w:val="00BA04AB"/>
    <w:rsid w:val="00BA08C2"/>
    <w:rsid w:val="00BA12C4"/>
    <w:rsid w:val="00BA12C7"/>
    <w:rsid w:val="00BA15FF"/>
    <w:rsid w:val="00BA1D47"/>
    <w:rsid w:val="00BA2983"/>
    <w:rsid w:val="00BA3324"/>
    <w:rsid w:val="00BA34C4"/>
    <w:rsid w:val="00BA3604"/>
    <w:rsid w:val="00BA3ACD"/>
    <w:rsid w:val="00BA4138"/>
    <w:rsid w:val="00BA4642"/>
    <w:rsid w:val="00BA57CA"/>
    <w:rsid w:val="00BA5DBC"/>
    <w:rsid w:val="00BA6053"/>
    <w:rsid w:val="00BA6C7A"/>
    <w:rsid w:val="00BA6CFD"/>
    <w:rsid w:val="00BA7396"/>
    <w:rsid w:val="00BA761B"/>
    <w:rsid w:val="00BA7909"/>
    <w:rsid w:val="00BA7DF1"/>
    <w:rsid w:val="00BB10CE"/>
    <w:rsid w:val="00BB15D4"/>
    <w:rsid w:val="00BB167B"/>
    <w:rsid w:val="00BB1CA5"/>
    <w:rsid w:val="00BB1D8B"/>
    <w:rsid w:val="00BB1EE8"/>
    <w:rsid w:val="00BB2A12"/>
    <w:rsid w:val="00BB3299"/>
    <w:rsid w:val="00BB3A76"/>
    <w:rsid w:val="00BB4D5A"/>
    <w:rsid w:val="00BB5775"/>
    <w:rsid w:val="00BB5C1C"/>
    <w:rsid w:val="00BB60DF"/>
    <w:rsid w:val="00BB6193"/>
    <w:rsid w:val="00BB72AE"/>
    <w:rsid w:val="00BC01D3"/>
    <w:rsid w:val="00BC0808"/>
    <w:rsid w:val="00BC0E12"/>
    <w:rsid w:val="00BC1A25"/>
    <w:rsid w:val="00BC1B0E"/>
    <w:rsid w:val="00BC2553"/>
    <w:rsid w:val="00BC27B5"/>
    <w:rsid w:val="00BC3741"/>
    <w:rsid w:val="00BC3746"/>
    <w:rsid w:val="00BC3ED9"/>
    <w:rsid w:val="00BC6345"/>
    <w:rsid w:val="00BC76A9"/>
    <w:rsid w:val="00BC7BDD"/>
    <w:rsid w:val="00BD015F"/>
    <w:rsid w:val="00BD0384"/>
    <w:rsid w:val="00BD071B"/>
    <w:rsid w:val="00BD090D"/>
    <w:rsid w:val="00BD19FC"/>
    <w:rsid w:val="00BD21C2"/>
    <w:rsid w:val="00BD3577"/>
    <w:rsid w:val="00BD3591"/>
    <w:rsid w:val="00BD3B80"/>
    <w:rsid w:val="00BD3CBD"/>
    <w:rsid w:val="00BD3D0A"/>
    <w:rsid w:val="00BD441B"/>
    <w:rsid w:val="00BD45CE"/>
    <w:rsid w:val="00BD501E"/>
    <w:rsid w:val="00BD5415"/>
    <w:rsid w:val="00BD589F"/>
    <w:rsid w:val="00BD5A6B"/>
    <w:rsid w:val="00BD644B"/>
    <w:rsid w:val="00BD6DF7"/>
    <w:rsid w:val="00BD6F78"/>
    <w:rsid w:val="00BD7768"/>
    <w:rsid w:val="00BD7852"/>
    <w:rsid w:val="00BE0DBC"/>
    <w:rsid w:val="00BE1199"/>
    <w:rsid w:val="00BE2100"/>
    <w:rsid w:val="00BE21AE"/>
    <w:rsid w:val="00BE2DEF"/>
    <w:rsid w:val="00BE2E9F"/>
    <w:rsid w:val="00BE33BC"/>
    <w:rsid w:val="00BE38E5"/>
    <w:rsid w:val="00BE3E18"/>
    <w:rsid w:val="00BE45EE"/>
    <w:rsid w:val="00BE4688"/>
    <w:rsid w:val="00BE4917"/>
    <w:rsid w:val="00BE4A8C"/>
    <w:rsid w:val="00BE4C2E"/>
    <w:rsid w:val="00BE4FB5"/>
    <w:rsid w:val="00BE52FA"/>
    <w:rsid w:val="00BE54E0"/>
    <w:rsid w:val="00BE5891"/>
    <w:rsid w:val="00BE5AE9"/>
    <w:rsid w:val="00BE5B41"/>
    <w:rsid w:val="00BE5D82"/>
    <w:rsid w:val="00BE6B8C"/>
    <w:rsid w:val="00BE6C90"/>
    <w:rsid w:val="00BE6E10"/>
    <w:rsid w:val="00BE7230"/>
    <w:rsid w:val="00BE7ADB"/>
    <w:rsid w:val="00BF02A3"/>
    <w:rsid w:val="00BF06FF"/>
    <w:rsid w:val="00BF12E2"/>
    <w:rsid w:val="00BF156D"/>
    <w:rsid w:val="00BF1C8B"/>
    <w:rsid w:val="00BF29F6"/>
    <w:rsid w:val="00BF38B8"/>
    <w:rsid w:val="00BF3C52"/>
    <w:rsid w:val="00BF3D4C"/>
    <w:rsid w:val="00BF3F2D"/>
    <w:rsid w:val="00BF4331"/>
    <w:rsid w:val="00BF5043"/>
    <w:rsid w:val="00BF53B7"/>
    <w:rsid w:val="00BF5593"/>
    <w:rsid w:val="00BF564E"/>
    <w:rsid w:val="00BF5CCD"/>
    <w:rsid w:val="00BF5D20"/>
    <w:rsid w:val="00BF5FC1"/>
    <w:rsid w:val="00BF624B"/>
    <w:rsid w:val="00BF7376"/>
    <w:rsid w:val="00BF7B51"/>
    <w:rsid w:val="00C00922"/>
    <w:rsid w:val="00C00DB0"/>
    <w:rsid w:val="00C01021"/>
    <w:rsid w:val="00C01578"/>
    <w:rsid w:val="00C01EBA"/>
    <w:rsid w:val="00C0234C"/>
    <w:rsid w:val="00C02355"/>
    <w:rsid w:val="00C02A57"/>
    <w:rsid w:val="00C03DCD"/>
    <w:rsid w:val="00C04BEF"/>
    <w:rsid w:val="00C057A6"/>
    <w:rsid w:val="00C0642A"/>
    <w:rsid w:val="00C0680C"/>
    <w:rsid w:val="00C069C0"/>
    <w:rsid w:val="00C06C36"/>
    <w:rsid w:val="00C06D08"/>
    <w:rsid w:val="00C0761F"/>
    <w:rsid w:val="00C07E05"/>
    <w:rsid w:val="00C100D8"/>
    <w:rsid w:val="00C102F0"/>
    <w:rsid w:val="00C1033C"/>
    <w:rsid w:val="00C114B0"/>
    <w:rsid w:val="00C12255"/>
    <w:rsid w:val="00C128BA"/>
    <w:rsid w:val="00C12C61"/>
    <w:rsid w:val="00C132B8"/>
    <w:rsid w:val="00C136AC"/>
    <w:rsid w:val="00C13F59"/>
    <w:rsid w:val="00C1404F"/>
    <w:rsid w:val="00C143D5"/>
    <w:rsid w:val="00C159CA"/>
    <w:rsid w:val="00C15C44"/>
    <w:rsid w:val="00C15F00"/>
    <w:rsid w:val="00C15F05"/>
    <w:rsid w:val="00C16909"/>
    <w:rsid w:val="00C1771E"/>
    <w:rsid w:val="00C17F39"/>
    <w:rsid w:val="00C2005A"/>
    <w:rsid w:val="00C206B3"/>
    <w:rsid w:val="00C210D3"/>
    <w:rsid w:val="00C2180E"/>
    <w:rsid w:val="00C2189E"/>
    <w:rsid w:val="00C232AB"/>
    <w:rsid w:val="00C2415A"/>
    <w:rsid w:val="00C2499A"/>
    <w:rsid w:val="00C2763C"/>
    <w:rsid w:val="00C278CF"/>
    <w:rsid w:val="00C307FA"/>
    <w:rsid w:val="00C31112"/>
    <w:rsid w:val="00C3122C"/>
    <w:rsid w:val="00C31B40"/>
    <w:rsid w:val="00C31E0A"/>
    <w:rsid w:val="00C32107"/>
    <w:rsid w:val="00C321AE"/>
    <w:rsid w:val="00C32FF4"/>
    <w:rsid w:val="00C33C82"/>
    <w:rsid w:val="00C341AA"/>
    <w:rsid w:val="00C34498"/>
    <w:rsid w:val="00C34DB5"/>
    <w:rsid w:val="00C359F3"/>
    <w:rsid w:val="00C36067"/>
    <w:rsid w:val="00C3655B"/>
    <w:rsid w:val="00C36A4B"/>
    <w:rsid w:val="00C403F1"/>
    <w:rsid w:val="00C4140A"/>
    <w:rsid w:val="00C41524"/>
    <w:rsid w:val="00C4176C"/>
    <w:rsid w:val="00C423A1"/>
    <w:rsid w:val="00C4272D"/>
    <w:rsid w:val="00C43A44"/>
    <w:rsid w:val="00C43D1D"/>
    <w:rsid w:val="00C43DBA"/>
    <w:rsid w:val="00C43F83"/>
    <w:rsid w:val="00C44504"/>
    <w:rsid w:val="00C44CC2"/>
    <w:rsid w:val="00C452DC"/>
    <w:rsid w:val="00C45502"/>
    <w:rsid w:val="00C4554D"/>
    <w:rsid w:val="00C45DE8"/>
    <w:rsid w:val="00C4637E"/>
    <w:rsid w:val="00C46AB4"/>
    <w:rsid w:val="00C470E5"/>
    <w:rsid w:val="00C4734E"/>
    <w:rsid w:val="00C47461"/>
    <w:rsid w:val="00C47862"/>
    <w:rsid w:val="00C47BF3"/>
    <w:rsid w:val="00C47CF5"/>
    <w:rsid w:val="00C50115"/>
    <w:rsid w:val="00C50303"/>
    <w:rsid w:val="00C50C66"/>
    <w:rsid w:val="00C513DE"/>
    <w:rsid w:val="00C51407"/>
    <w:rsid w:val="00C51495"/>
    <w:rsid w:val="00C516BE"/>
    <w:rsid w:val="00C51754"/>
    <w:rsid w:val="00C51771"/>
    <w:rsid w:val="00C518F6"/>
    <w:rsid w:val="00C5236A"/>
    <w:rsid w:val="00C531F2"/>
    <w:rsid w:val="00C532BF"/>
    <w:rsid w:val="00C53506"/>
    <w:rsid w:val="00C535A3"/>
    <w:rsid w:val="00C540C0"/>
    <w:rsid w:val="00C54C11"/>
    <w:rsid w:val="00C54C81"/>
    <w:rsid w:val="00C54E7F"/>
    <w:rsid w:val="00C55970"/>
    <w:rsid w:val="00C56629"/>
    <w:rsid w:val="00C56822"/>
    <w:rsid w:val="00C57600"/>
    <w:rsid w:val="00C57C4D"/>
    <w:rsid w:val="00C60997"/>
    <w:rsid w:val="00C609AE"/>
    <w:rsid w:val="00C60C4B"/>
    <w:rsid w:val="00C61643"/>
    <w:rsid w:val="00C616BD"/>
    <w:rsid w:val="00C61D3F"/>
    <w:rsid w:val="00C624F5"/>
    <w:rsid w:val="00C62B2B"/>
    <w:rsid w:val="00C6396E"/>
    <w:rsid w:val="00C639C7"/>
    <w:rsid w:val="00C63C5E"/>
    <w:rsid w:val="00C63F28"/>
    <w:rsid w:val="00C6499F"/>
    <w:rsid w:val="00C64F86"/>
    <w:rsid w:val="00C65384"/>
    <w:rsid w:val="00C66EBC"/>
    <w:rsid w:val="00C6734F"/>
    <w:rsid w:val="00C67B9C"/>
    <w:rsid w:val="00C67C3E"/>
    <w:rsid w:val="00C67CFB"/>
    <w:rsid w:val="00C700ED"/>
    <w:rsid w:val="00C703AB"/>
    <w:rsid w:val="00C70D61"/>
    <w:rsid w:val="00C70E91"/>
    <w:rsid w:val="00C7117C"/>
    <w:rsid w:val="00C71A1C"/>
    <w:rsid w:val="00C72952"/>
    <w:rsid w:val="00C7298E"/>
    <w:rsid w:val="00C72B0A"/>
    <w:rsid w:val="00C73131"/>
    <w:rsid w:val="00C734A8"/>
    <w:rsid w:val="00C73C74"/>
    <w:rsid w:val="00C73DC2"/>
    <w:rsid w:val="00C73E4E"/>
    <w:rsid w:val="00C742AE"/>
    <w:rsid w:val="00C74E8C"/>
    <w:rsid w:val="00C7574A"/>
    <w:rsid w:val="00C7578A"/>
    <w:rsid w:val="00C75828"/>
    <w:rsid w:val="00C75A36"/>
    <w:rsid w:val="00C75E8F"/>
    <w:rsid w:val="00C75F02"/>
    <w:rsid w:val="00C7653A"/>
    <w:rsid w:val="00C771C3"/>
    <w:rsid w:val="00C77347"/>
    <w:rsid w:val="00C77566"/>
    <w:rsid w:val="00C775A0"/>
    <w:rsid w:val="00C77CF1"/>
    <w:rsid w:val="00C77EAF"/>
    <w:rsid w:val="00C80522"/>
    <w:rsid w:val="00C80A61"/>
    <w:rsid w:val="00C8123C"/>
    <w:rsid w:val="00C812C2"/>
    <w:rsid w:val="00C81435"/>
    <w:rsid w:val="00C81838"/>
    <w:rsid w:val="00C81C94"/>
    <w:rsid w:val="00C8218F"/>
    <w:rsid w:val="00C82271"/>
    <w:rsid w:val="00C825F3"/>
    <w:rsid w:val="00C82631"/>
    <w:rsid w:val="00C82684"/>
    <w:rsid w:val="00C82D06"/>
    <w:rsid w:val="00C830D0"/>
    <w:rsid w:val="00C8342C"/>
    <w:rsid w:val="00C83761"/>
    <w:rsid w:val="00C84479"/>
    <w:rsid w:val="00C847FA"/>
    <w:rsid w:val="00C84C7E"/>
    <w:rsid w:val="00C84D07"/>
    <w:rsid w:val="00C8624D"/>
    <w:rsid w:val="00C86278"/>
    <w:rsid w:val="00C86AAD"/>
    <w:rsid w:val="00C86F77"/>
    <w:rsid w:val="00C8710A"/>
    <w:rsid w:val="00C871CD"/>
    <w:rsid w:val="00C87503"/>
    <w:rsid w:val="00C90425"/>
    <w:rsid w:val="00C913C5"/>
    <w:rsid w:val="00C91AF9"/>
    <w:rsid w:val="00C91E31"/>
    <w:rsid w:val="00C921DA"/>
    <w:rsid w:val="00C9225C"/>
    <w:rsid w:val="00C93B83"/>
    <w:rsid w:val="00C94C6F"/>
    <w:rsid w:val="00C95F59"/>
    <w:rsid w:val="00C95FE0"/>
    <w:rsid w:val="00C966D3"/>
    <w:rsid w:val="00C96AD5"/>
    <w:rsid w:val="00C96F2A"/>
    <w:rsid w:val="00C9764C"/>
    <w:rsid w:val="00CA1EEE"/>
    <w:rsid w:val="00CA321F"/>
    <w:rsid w:val="00CA3425"/>
    <w:rsid w:val="00CA4626"/>
    <w:rsid w:val="00CA49FC"/>
    <w:rsid w:val="00CA4E1D"/>
    <w:rsid w:val="00CA5A31"/>
    <w:rsid w:val="00CA6AFE"/>
    <w:rsid w:val="00CA71AC"/>
    <w:rsid w:val="00CA7309"/>
    <w:rsid w:val="00CB07E5"/>
    <w:rsid w:val="00CB08CB"/>
    <w:rsid w:val="00CB0AA5"/>
    <w:rsid w:val="00CB156D"/>
    <w:rsid w:val="00CB1773"/>
    <w:rsid w:val="00CB17C2"/>
    <w:rsid w:val="00CB1BF9"/>
    <w:rsid w:val="00CB213C"/>
    <w:rsid w:val="00CB27CF"/>
    <w:rsid w:val="00CB2E79"/>
    <w:rsid w:val="00CB2E8E"/>
    <w:rsid w:val="00CB33E9"/>
    <w:rsid w:val="00CB35F5"/>
    <w:rsid w:val="00CB42B2"/>
    <w:rsid w:val="00CB43E3"/>
    <w:rsid w:val="00CB489A"/>
    <w:rsid w:val="00CB4E53"/>
    <w:rsid w:val="00CB5042"/>
    <w:rsid w:val="00CB5375"/>
    <w:rsid w:val="00CB553F"/>
    <w:rsid w:val="00CB6728"/>
    <w:rsid w:val="00CB7551"/>
    <w:rsid w:val="00CB7761"/>
    <w:rsid w:val="00CC0124"/>
    <w:rsid w:val="00CC0B18"/>
    <w:rsid w:val="00CC1FD4"/>
    <w:rsid w:val="00CC22A3"/>
    <w:rsid w:val="00CC2E40"/>
    <w:rsid w:val="00CC2ED6"/>
    <w:rsid w:val="00CC2F00"/>
    <w:rsid w:val="00CC329B"/>
    <w:rsid w:val="00CC36CE"/>
    <w:rsid w:val="00CC44D9"/>
    <w:rsid w:val="00CC4AF1"/>
    <w:rsid w:val="00CC4EC8"/>
    <w:rsid w:val="00CC5343"/>
    <w:rsid w:val="00CC554B"/>
    <w:rsid w:val="00CC5DD3"/>
    <w:rsid w:val="00CC6213"/>
    <w:rsid w:val="00CC6340"/>
    <w:rsid w:val="00CC685B"/>
    <w:rsid w:val="00CC6A56"/>
    <w:rsid w:val="00CC6E1C"/>
    <w:rsid w:val="00CC6F9F"/>
    <w:rsid w:val="00CC76C1"/>
    <w:rsid w:val="00CD012E"/>
    <w:rsid w:val="00CD086B"/>
    <w:rsid w:val="00CD08FF"/>
    <w:rsid w:val="00CD0B31"/>
    <w:rsid w:val="00CD0BB9"/>
    <w:rsid w:val="00CD1B37"/>
    <w:rsid w:val="00CD1B58"/>
    <w:rsid w:val="00CD1F49"/>
    <w:rsid w:val="00CD25AA"/>
    <w:rsid w:val="00CD263D"/>
    <w:rsid w:val="00CD2684"/>
    <w:rsid w:val="00CD3298"/>
    <w:rsid w:val="00CD3495"/>
    <w:rsid w:val="00CD3769"/>
    <w:rsid w:val="00CD40DE"/>
    <w:rsid w:val="00CD57AA"/>
    <w:rsid w:val="00CD57FD"/>
    <w:rsid w:val="00CD5CCF"/>
    <w:rsid w:val="00CD5E47"/>
    <w:rsid w:val="00CD6341"/>
    <w:rsid w:val="00CD6A20"/>
    <w:rsid w:val="00CD6B5E"/>
    <w:rsid w:val="00CD6BCA"/>
    <w:rsid w:val="00CD6E5C"/>
    <w:rsid w:val="00CD77E6"/>
    <w:rsid w:val="00CE08EE"/>
    <w:rsid w:val="00CE0AE9"/>
    <w:rsid w:val="00CE0C47"/>
    <w:rsid w:val="00CE0F96"/>
    <w:rsid w:val="00CE166E"/>
    <w:rsid w:val="00CE17CE"/>
    <w:rsid w:val="00CE17F4"/>
    <w:rsid w:val="00CE2431"/>
    <w:rsid w:val="00CE2BBC"/>
    <w:rsid w:val="00CE39A4"/>
    <w:rsid w:val="00CE4105"/>
    <w:rsid w:val="00CE495A"/>
    <w:rsid w:val="00CE496E"/>
    <w:rsid w:val="00CE4E47"/>
    <w:rsid w:val="00CE4FFF"/>
    <w:rsid w:val="00CE557A"/>
    <w:rsid w:val="00CE5590"/>
    <w:rsid w:val="00CE622A"/>
    <w:rsid w:val="00CE6342"/>
    <w:rsid w:val="00CE6677"/>
    <w:rsid w:val="00CE67C4"/>
    <w:rsid w:val="00CE6D84"/>
    <w:rsid w:val="00CE7299"/>
    <w:rsid w:val="00CE7770"/>
    <w:rsid w:val="00CE7791"/>
    <w:rsid w:val="00CE78B1"/>
    <w:rsid w:val="00CE7F44"/>
    <w:rsid w:val="00CF069E"/>
    <w:rsid w:val="00CF0ED8"/>
    <w:rsid w:val="00CF1E58"/>
    <w:rsid w:val="00CF3088"/>
    <w:rsid w:val="00CF33D8"/>
    <w:rsid w:val="00CF44B1"/>
    <w:rsid w:val="00CF4DDA"/>
    <w:rsid w:val="00CF4E9E"/>
    <w:rsid w:val="00CF4F06"/>
    <w:rsid w:val="00CF4F43"/>
    <w:rsid w:val="00CF5264"/>
    <w:rsid w:val="00CF56A7"/>
    <w:rsid w:val="00CF56B0"/>
    <w:rsid w:val="00CF5A9E"/>
    <w:rsid w:val="00CF5AB6"/>
    <w:rsid w:val="00CF664A"/>
    <w:rsid w:val="00CF66B9"/>
    <w:rsid w:val="00CF738A"/>
    <w:rsid w:val="00CF7A59"/>
    <w:rsid w:val="00D009DF"/>
    <w:rsid w:val="00D00CD0"/>
    <w:rsid w:val="00D00FC1"/>
    <w:rsid w:val="00D010BF"/>
    <w:rsid w:val="00D01784"/>
    <w:rsid w:val="00D01D22"/>
    <w:rsid w:val="00D01DB2"/>
    <w:rsid w:val="00D02338"/>
    <w:rsid w:val="00D02357"/>
    <w:rsid w:val="00D02536"/>
    <w:rsid w:val="00D02F4F"/>
    <w:rsid w:val="00D0341F"/>
    <w:rsid w:val="00D03482"/>
    <w:rsid w:val="00D03C5F"/>
    <w:rsid w:val="00D03F9B"/>
    <w:rsid w:val="00D04C81"/>
    <w:rsid w:val="00D052B9"/>
    <w:rsid w:val="00D057E4"/>
    <w:rsid w:val="00D05AC9"/>
    <w:rsid w:val="00D06A91"/>
    <w:rsid w:val="00D07184"/>
    <w:rsid w:val="00D07969"/>
    <w:rsid w:val="00D07D2B"/>
    <w:rsid w:val="00D10113"/>
    <w:rsid w:val="00D102AA"/>
    <w:rsid w:val="00D1096F"/>
    <w:rsid w:val="00D10C50"/>
    <w:rsid w:val="00D10DC9"/>
    <w:rsid w:val="00D11771"/>
    <w:rsid w:val="00D11797"/>
    <w:rsid w:val="00D11928"/>
    <w:rsid w:val="00D11FA4"/>
    <w:rsid w:val="00D1251C"/>
    <w:rsid w:val="00D1277F"/>
    <w:rsid w:val="00D12DFE"/>
    <w:rsid w:val="00D13484"/>
    <w:rsid w:val="00D1384F"/>
    <w:rsid w:val="00D13C0B"/>
    <w:rsid w:val="00D13C96"/>
    <w:rsid w:val="00D14379"/>
    <w:rsid w:val="00D1484F"/>
    <w:rsid w:val="00D14ADA"/>
    <w:rsid w:val="00D14D98"/>
    <w:rsid w:val="00D154A1"/>
    <w:rsid w:val="00D158A8"/>
    <w:rsid w:val="00D1620F"/>
    <w:rsid w:val="00D16335"/>
    <w:rsid w:val="00D165E7"/>
    <w:rsid w:val="00D172C5"/>
    <w:rsid w:val="00D17509"/>
    <w:rsid w:val="00D17B11"/>
    <w:rsid w:val="00D20389"/>
    <w:rsid w:val="00D20E94"/>
    <w:rsid w:val="00D20EA3"/>
    <w:rsid w:val="00D21518"/>
    <w:rsid w:val="00D21B6C"/>
    <w:rsid w:val="00D21E1C"/>
    <w:rsid w:val="00D2257E"/>
    <w:rsid w:val="00D22E59"/>
    <w:rsid w:val="00D23075"/>
    <w:rsid w:val="00D238E1"/>
    <w:rsid w:val="00D23DB9"/>
    <w:rsid w:val="00D240FD"/>
    <w:rsid w:val="00D2442A"/>
    <w:rsid w:val="00D24CF6"/>
    <w:rsid w:val="00D253F3"/>
    <w:rsid w:val="00D25F57"/>
    <w:rsid w:val="00D25F89"/>
    <w:rsid w:val="00D26192"/>
    <w:rsid w:val="00D26363"/>
    <w:rsid w:val="00D26B29"/>
    <w:rsid w:val="00D276BF"/>
    <w:rsid w:val="00D27746"/>
    <w:rsid w:val="00D279FF"/>
    <w:rsid w:val="00D27A4F"/>
    <w:rsid w:val="00D30E83"/>
    <w:rsid w:val="00D31C23"/>
    <w:rsid w:val="00D32250"/>
    <w:rsid w:val="00D32355"/>
    <w:rsid w:val="00D323BF"/>
    <w:rsid w:val="00D327DD"/>
    <w:rsid w:val="00D3367F"/>
    <w:rsid w:val="00D33C7E"/>
    <w:rsid w:val="00D33D69"/>
    <w:rsid w:val="00D33E00"/>
    <w:rsid w:val="00D33E79"/>
    <w:rsid w:val="00D342D3"/>
    <w:rsid w:val="00D34744"/>
    <w:rsid w:val="00D35B43"/>
    <w:rsid w:val="00D3611D"/>
    <w:rsid w:val="00D3653C"/>
    <w:rsid w:val="00D36936"/>
    <w:rsid w:val="00D36A59"/>
    <w:rsid w:val="00D36D77"/>
    <w:rsid w:val="00D37033"/>
    <w:rsid w:val="00D371D6"/>
    <w:rsid w:val="00D378DC"/>
    <w:rsid w:val="00D3798E"/>
    <w:rsid w:val="00D37CE7"/>
    <w:rsid w:val="00D41649"/>
    <w:rsid w:val="00D41AB1"/>
    <w:rsid w:val="00D41E76"/>
    <w:rsid w:val="00D42670"/>
    <w:rsid w:val="00D42879"/>
    <w:rsid w:val="00D429E3"/>
    <w:rsid w:val="00D4303B"/>
    <w:rsid w:val="00D432EC"/>
    <w:rsid w:val="00D435CB"/>
    <w:rsid w:val="00D44783"/>
    <w:rsid w:val="00D45067"/>
    <w:rsid w:val="00D45955"/>
    <w:rsid w:val="00D45F3F"/>
    <w:rsid w:val="00D46021"/>
    <w:rsid w:val="00D46361"/>
    <w:rsid w:val="00D46917"/>
    <w:rsid w:val="00D4698F"/>
    <w:rsid w:val="00D46BD5"/>
    <w:rsid w:val="00D471DD"/>
    <w:rsid w:val="00D472FE"/>
    <w:rsid w:val="00D47432"/>
    <w:rsid w:val="00D50676"/>
    <w:rsid w:val="00D509F6"/>
    <w:rsid w:val="00D5141D"/>
    <w:rsid w:val="00D515CD"/>
    <w:rsid w:val="00D51757"/>
    <w:rsid w:val="00D51D2D"/>
    <w:rsid w:val="00D52496"/>
    <w:rsid w:val="00D5255A"/>
    <w:rsid w:val="00D53207"/>
    <w:rsid w:val="00D5333C"/>
    <w:rsid w:val="00D533AC"/>
    <w:rsid w:val="00D536F6"/>
    <w:rsid w:val="00D5382E"/>
    <w:rsid w:val="00D53B83"/>
    <w:rsid w:val="00D54BEF"/>
    <w:rsid w:val="00D54FD3"/>
    <w:rsid w:val="00D550D7"/>
    <w:rsid w:val="00D55429"/>
    <w:rsid w:val="00D55D5A"/>
    <w:rsid w:val="00D55F5A"/>
    <w:rsid w:val="00D56B1A"/>
    <w:rsid w:val="00D56D2E"/>
    <w:rsid w:val="00D5779E"/>
    <w:rsid w:val="00D57AB2"/>
    <w:rsid w:val="00D57F59"/>
    <w:rsid w:val="00D602F7"/>
    <w:rsid w:val="00D606B3"/>
    <w:rsid w:val="00D607A8"/>
    <w:rsid w:val="00D60F04"/>
    <w:rsid w:val="00D61300"/>
    <w:rsid w:val="00D615B0"/>
    <w:rsid w:val="00D61E76"/>
    <w:rsid w:val="00D62022"/>
    <w:rsid w:val="00D62781"/>
    <w:rsid w:val="00D62C07"/>
    <w:rsid w:val="00D62C3B"/>
    <w:rsid w:val="00D6352E"/>
    <w:rsid w:val="00D63720"/>
    <w:rsid w:val="00D63971"/>
    <w:rsid w:val="00D63BE2"/>
    <w:rsid w:val="00D63C13"/>
    <w:rsid w:val="00D63E38"/>
    <w:rsid w:val="00D64365"/>
    <w:rsid w:val="00D64BF3"/>
    <w:rsid w:val="00D6545F"/>
    <w:rsid w:val="00D65C41"/>
    <w:rsid w:val="00D6641D"/>
    <w:rsid w:val="00D66A39"/>
    <w:rsid w:val="00D66D73"/>
    <w:rsid w:val="00D67418"/>
    <w:rsid w:val="00D67936"/>
    <w:rsid w:val="00D70208"/>
    <w:rsid w:val="00D70B84"/>
    <w:rsid w:val="00D70D99"/>
    <w:rsid w:val="00D71276"/>
    <w:rsid w:val="00D714DD"/>
    <w:rsid w:val="00D7181B"/>
    <w:rsid w:val="00D7189A"/>
    <w:rsid w:val="00D7204A"/>
    <w:rsid w:val="00D72E17"/>
    <w:rsid w:val="00D72F51"/>
    <w:rsid w:val="00D7374D"/>
    <w:rsid w:val="00D741AB"/>
    <w:rsid w:val="00D74634"/>
    <w:rsid w:val="00D747B7"/>
    <w:rsid w:val="00D7495B"/>
    <w:rsid w:val="00D74D80"/>
    <w:rsid w:val="00D75251"/>
    <w:rsid w:val="00D754AA"/>
    <w:rsid w:val="00D75990"/>
    <w:rsid w:val="00D75B4E"/>
    <w:rsid w:val="00D75F4E"/>
    <w:rsid w:val="00D76F71"/>
    <w:rsid w:val="00D7733B"/>
    <w:rsid w:val="00D777FB"/>
    <w:rsid w:val="00D77812"/>
    <w:rsid w:val="00D779C0"/>
    <w:rsid w:val="00D80081"/>
    <w:rsid w:val="00D8016E"/>
    <w:rsid w:val="00D80268"/>
    <w:rsid w:val="00D809F8"/>
    <w:rsid w:val="00D80F35"/>
    <w:rsid w:val="00D813E1"/>
    <w:rsid w:val="00D821BF"/>
    <w:rsid w:val="00D82237"/>
    <w:rsid w:val="00D824E5"/>
    <w:rsid w:val="00D826C2"/>
    <w:rsid w:val="00D82A52"/>
    <w:rsid w:val="00D832EF"/>
    <w:rsid w:val="00D84BC9"/>
    <w:rsid w:val="00D853CD"/>
    <w:rsid w:val="00D858E5"/>
    <w:rsid w:val="00D868D3"/>
    <w:rsid w:val="00D86AD2"/>
    <w:rsid w:val="00D871EC"/>
    <w:rsid w:val="00D8787F"/>
    <w:rsid w:val="00D87966"/>
    <w:rsid w:val="00D90310"/>
    <w:rsid w:val="00D903D1"/>
    <w:rsid w:val="00D904DB"/>
    <w:rsid w:val="00D9083C"/>
    <w:rsid w:val="00D90C0B"/>
    <w:rsid w:val="00D90C14"/>
    <w:rsid w:val="00D90DAF"/>
    <w:rsid w:val="00D9145A"/>
    <w:rsid w:val="00D9181E"/>
    <w:rsid w:val="00D92F48"/>
    <w:rsid w:val="00D934FF"/>
    <w:rsid w:val="00D938DB"/>
    <w:rsid w:val="00D939BC"/>
    <w:rsid w:val="00D93FAA"/>
    <w:rsid w:val="00D94EBF"/>
    <w:rsid w:val="00D95000"/>
    <w:rsid w:val="00D950B4"/>
    <w:rsid w:val="00D95425"/>
    <w:rsid w:val="00D95AF5"/>
    <w:rsid w:val="00D964F6"/>
    <w:rsid w:val="00D967D2"/>
    <w:rsid w:val="00D96F3A"/>
    <w:rsid w:val="00D972D7"/>
    <w:rsid w:val="00D97306"/>
    <w:rsid w:val="00D975C4"/>
    <w:rsid w:val="00D979FD"/>
    <w:rsid w:val="00DA0029"/>
    <w:rsid w:val="00DA015D"/>
    <w:rsid w:val="00DA01A0"/>
    <w:rsid w:val="00DA0691"/>
    <w:rsid w:val="00DA0A0C"/>
    <w:rsid w:val="00DA0B7B"/>
    <w:rsid w:val="00DA0B99"/>
    <w:rsid w:val="00DA1027"/>
    <w:rsid w:val="00DA157C"/>
    <w:rsid w:val="00DA19C7"/>
    <w:rsid w:val="00DA1E1D"/>
    <w:rsid w:val="00DA20CD"/>
    <w:rsid w:val="00DA2A7B"/>
    <w:rsid w:val="00DA2ABD"/>
    <w:rsid w:val="00DA31F2"/>
    <w:rsid w:val="00DA32D2"/>
    <w:rsid w:val="00DA46DF"/>
    <w:rsid w:val="00DA499F"/>
    <w:rsid w:val="00DA4A47"/>
    <w:rsid w:val="00DA4F23"/>
    <w:rsid w:val="00DA65BE"/>
    <w:rsid w:val="00DA6616"/>
    <w:rsid w:val="00DA6E7B"/>
    <w:rsid w:val="00DA6E98"/>
    <w:rsid w:val="00DA6F80"/>
    <w:rsid w:val="00DA70DA"/>
    <w:rsid w:val="00DA79E8"/>
    <w:rsid w:val="00DA7C76"/>
    <w:rsid w:val="00DA7E1F"/>
    <w:rsid w:val="00DB04D3"/>
    <w:rsid w:val="00DB0658"/>
    <w:rsid w:val="00DB0A1F"/>
    <w:rsid w:val="00DB15B4"/>
    <w:rsid w:val="00DB23D5"/>
    <w:rsid w:val="00DB27AA"/>
    <w:rsid w:val="00DB3321"/>
    <w:rsid w:val="00DB39F0"/>
    <w:rsid w:val="00DB3C26"/>
    <w:rsid w:val="00DB40BA"/>
    <w:rsid w:val="00DB4357"/>
    <w:rsid w:val="00DB480A"/>
    <w:rsid w:val="00DB4DAC"/>
    <w:rsid w:val="00DB51A5"/>
    <w:rsid w:val="00DB5403"/>
    <w:rsid w:val="00DB5A7B"/>
    <w:rsid w:val="00DB5C14"/>
    <w:rsid w:val="00DB5D15"/>
    <w:rsid w:val="00DB6573"/>
    <w:rsid w:val="00DB78BE"/>
    <w:rsid w:val="00DB7CC8"/>
    <w:rsid w:val="00DC09BA"/>
    <w:rsid w:val="00DC1667"/>
    <w:rsid w:val="00DC1FA2"/>
    <w:rsid w:val="00DC2DF1"/>
    <w:rsid w:val="00DC30AB"/>
    <w:rsid w:val="00DC417D"/>
    <w:rsid w:val="00DC4916"/>
    <w:rsid w:val="00DC49F6"/>
    <w:rsid w:val="00DC4C17"/>
    <w:rsid w:val="00DC4F05"/>
    <w:rsid w:val="00DC5429"/>
    <w:rsid w:val="00DC5492"/>
    <w:rsid w:val="00DC59AE"/>
    <w:rsid w:val="00DC5A4A"/>
    <w:rsid w:val="00DC6465"/>
    <w:rsid w:val="00DC6A24"/>
    <w:rsid w:val="00DC6D6C"/>
    <w:rsid w:val="00DC71F5"/>
    <w:rsid w:val="00DC7774"/>
    <w:rsid w:val="00DC77D3"/>
    <w:rsid w:val="00DC7A93"/>
    <w:rsid w:val="00DC7C8A"/>
    <w:rsid w:val="00DC7CD7"/>
    <w:rsid w:val="00DD0448"/>
    <w:rsid w:val="00DD06EB"/>
    <w:rsid w:val="00DD0B40"/>
    <w:rsid w:val="00DD129B"/>
    <w:rsid w:val="00DD1992"/>
    <w:rsid w:val="00DD1AB3"/>
    <w:rsid w:val="00DD1E0F"/>
    <w:rsid w:val="00DD2A54"/>
    <w:rsid w:val="00DD2A61"/>
    <w:rsid w:val="00DD2CFE"/>
    <w:rsid w:val="00DD35C1"/>
    <w:rsid w:val="00DD45F4"/>
    <w:rsid w:val="00DD499B"/>
    <w:rsid w:val="00DD505D"/>
    <w:rsid w:val="00DD5ECB"/>
    <w:rsid w:val="00DD77AE"/>
    <w:rsid w:val="00DD7E7F"/>
    <w:rsid w:val="00DE041A"/>
    <w:rsid w:val="00DE0F65"/>
    <w:rsid w:val="00DE0F9A"/>
    <w:rsid w:val="00DE2534"/>
    <w:rsid w:val="00DE2828"/>
    <w:rsid w:val="00DE2928"/>
    <w:rsid w:val="00DE294C"/>
    <w:rsid w:val="00DE2D0B"/>
    <w:rsid w:val="00DE2F2A"/>
    <w:rsid w:val="00DE32C9"/>
    <w:rsid w:val="00DE3396"/>
    <w:rsid w:val="00DE40B5"/>
    <w:rsid w:val="00DE42E7"/>
    <w:rsid w:val="00DE45A3"/>
    <w:rsid w:val="00DE4A80"/>
    <w:rsid w:val="00DE5897"/>
    <w:rsid w:val="00DE58E7"/>
    <w:rsid w:val="00DE5C7E"/>
    <w:rsid w:val="00DE6A76"/>
    <w:rsid w:val="00DE716B"/>
    <w:rsid w:val="00DF038E"/>
    <w:rsid w:val="00DF0834"/>
    <w:rsid w:val="00DF0922"/>
    <w:rsid w:val="00DF0B6D"/>
    <w:rsid w:val="00DF16ED"/>
    <w:rsid w:val="00DF1C3B"/>
    <w:rsid w:val="00DF1D98"/>
    <w:rsid w:val="00DF240D"/>
    <w:rsid w:val="00DF2569"/>
    <w:rsid w:val="00DF3315"/>
    <w:rsid w:val="00DF3631"/>
    <w:rsid w:val="00DF3B10"/>
    <w:rsid w:val="00DF3D5E"/>
    <w:rsid w:val="00DF437D"/>
    <w:rsid w:val="00DF4BA9"/>
    <w:rsid w:val="00DF4EA8"/>
    <w:rsid w:val="00DF5BC4"/>
    <w:rsid w:val="00DF5E63"/>
    <w:rsid w:val="00DF616C"/>
    <w:rsid w:val="00DF6725"/>
    <w:rsid w:val="00DF6E5B"/>
    <w:rsid w:val="00DF71A8"/>
    <w:rsid w:val="00DF7475"/>
    <w:rsid w:val="00DF750F"/>
    <w:rsid w:val="00DF7DDA"/>
    <w:rsid w:val="00DF7FE8"/>
    <w:rsid w:val="00E0031F"/>
    <w:rsid w:val="00E00D6F"/>
    <w:rsid w:val="00E00E75"/>
    <w:rsid w:val="00E01090"/>
    <w:rsid w:val="00E01C3D"/>
    <w:rsid w:val="00E01E97"/>
    <w:rsid w:val="00E01E9B"/>
    <w:rsid w:val="00E01F38"/>
    <w:rsid w:val="00E027E6"/>
    <w:rsid w:val="00E02BD9"/>
    <w:rsid w:val="00E03AC6"/>
    <w:rsid w:val="00E04127"/>
    <w:rsid w:val="00E04624"/>
    <w:rsid w:val="00E04B6D"/>
    <w:rsid w:val="00E05223"/>
    <w:rsid w:val="00E0526A"/>
    <w:rsid w:val="00E054F1"/>
    <w:rsid w:val="00E06B7D"/>
    <w:rsid w:val="00E06D9F"/>
    <w:rsid w:val="00E06EA9"/>
    <w:rsid w:val="00E072FE"/>
    <w:rsid w:val="00E0751F"/>
    <w:rsid w:val="00E0758C"/>
    <w:rsid w:val="00E077F8"/>
    <w:rsid w:val="00E07C7E"/>
    <w:rsid w:val="00E07EA8"/>
    <w:rsid w:val="00E104D4"/>
    <w:rsid w:val="00E1074B"/>
    <w:rsid w:val="00E107FF"/>
    <w:rsid w:val="00E10B15"/>
    <w:rsid w:val="00E10BA1"/>
    <w:rsid w:val="00E10D42"/>
    <w:rsid w:val="00E10EBB"/>
    <w:rsid w:val="00E1106C"/>
    <w:rsid w:val="00E112BC"/>
    <w:rsid w:val="00E113D9"/>
    <w:rsid w:val="00E114C3"/>
    <w:rsid w:val="00E115BB"/>
    <w:rsid w:val="00E1199A"/>
    <w:rsid w:val="00E11B59"/>
    <w:rsid w:val="00E11CEF"/>
    <w:rsid w:val="00E12177"/>
    <w:rsid w:val="00E12DF5"/>
    <w:rsid w:val="00E13A01"/>
    <w:rsid w:val="00E13D0C"/>
    <w:rsid w:val="00E1487A"/>
    <w:rsid w:val="00E14B7C"/>
    <w:rsid w:val="00E14DE8"/>
    <w:rsid w:val="00E15641"/>
    <w:rsid w:val="00E15735"/>
    <w:rsid w:val="00E159ED"/>
    <w:rsid w:val="00E16D4E"/>
    <w:rsid w:val="00E17438"/>
    <w:rsid w:val="00E17F66"/>
    <w:rsid w:val="00E206A2"/>
    <w:rsid w:val="00E2091E"/>
    <w:rsid w:val="00E20CE8"/>
    <w:rsid w:val="00E2194C"/>
    <w:rsid w:val="00E21FDD"/>
    <w:rsid w:val="00E2258C"/>
    <w:rsid w:val="00E22AC6"/>
    <w:rsid w:val="00E22F2A"/>
    <w:rsid w:val="00E22F34"/>
    <w:rsid w:val="00E2315D"/>
    <w:rsid w:val="00E234EA"/>
    <w:rsid w:val="00E23886"/>
    <w:rsid w:val="00E240A9"/>
    <w:rsid w:val="00E249B6"/>
    <w:rsid w:val="00E25B7E"/>
    <w:rsid w:val="00E25CCA"/>
    <w:rsid w:val="00E26379"/>
    <w:rsid w:val="00E265DA"/>
    <w:rsid w:val="00E2684D"/>
    <w:rsid w:val="00E2755A"/>
    <w:rsid w:val="00E27581"/>
    <w:rsid w:val="00E30931"/>
    <w:rsid w:val="00E30F9F"/>
    <w:rsid w:val="00E3191A"/>
    <w:rsid w:val="00E31C8D"/>
    <w:rsid w:val="00E31FAC"/>
    <w:rsid w:val="00E320E4"/>
    <w:rsid w:val="00E32266"/>
    <w:rsid w:val="00E32B1A"/>
    <w:rsid w:val="00E32C04"/>
    <w:rsid w:val="00E32F63"/>
    <w:rsid w:val="00E33040"/>
    <w:rsid w:val="00E330F4"/>
    <w:rsid w:val="00E33366"/>
    <w:rsid w:val="00E334A6"/>
    <w:rsid w:val="00E3371F"/>
    <w:rsid w:val="00E33D13"/>
    <w:rsid w:val="00E33E22"/>
    <w:rsid w:val="00E340E9"/>
    <w:rsid w:val="00E34388"/>
    <w:rsid w:val="00E352FB"/>
    <w:rsid w:val="00E3561E"/>
    <w:rsid w:val="00E35BA6"/>
    <w:rsid w:val="00E35F64"/>
    <w:rsid w:val="00E3601F"/>
    <w:rsid w:val="00E36BD6"/>
    <w:rsid w:val="00E36C21"/>
    <w:rsid w:val="00E36CB2"/>
    <w:rsid w:val="00E37651"/>
    <w:rsid w:val="00E4016E"/>
    <w:rsid w:val="00E403ED"/>
    <w:rsid w:val="00E413F3"/>
    <w:rsid w:val="00E41624"/>
    <w:rsid w:val="00E41A80"/>
    <w:rsid w:val="00E42605"/>
    <w:rsid w:val="00E4295B"/>
    <w:rsid w:val="00E42C84"/>
    <w:rsid w:val="00E42CAC"/>
    <w:rsid w:val="00E4386B"/>
    <w:rsid w:val="00E43DBA"/>
    <w:rsid w:val="00E44084"/>
    <w:rsid w:val="00E440F5"/>
    <w:rsid w:val="00E4473E"/>
    <w:rsid w:val="00E44E99"/>
    <w:rsid w:val="00E4527F"/>
    <w:rsid w:val="00E45A25"/>
    <w:rsid w:val="00E45BBD"/>
    <w:rsid w:val="00E45D8D"/>
    <w:rsid w:val="00E46687"/>
    <w:rsid w:val="00E46D37"/>
    <w:rsid w:val="00E47AEB"/>
    <w:rsid w:val="00E50633"/>
    <w:rsid w:val="00E50A8B"/>
    <w:rsid w:val="00E50FF0"/>
    <w:rsid w:val="00E51297"/>
    <w:rsid w:val="00E5135D"/>
    <w:rsid w:val="00E5158B"/>
    <w:rsid w:val="00E518EF"/>
    <w:rsid w:val="00E52548"/>
    <w:rsid w:val="00E52ADD"/>
    <w:rsid w:val="00E52D24"/>
    <w:rsid w:val="00E5370E"/>
    <w:rsid w:val="00E53EA0"/>
    <w:rsid w:val="00E53ECB"/>
    <w:rsid w:val="00E540D1"/>
    <w:rsid w:val="00E542E4"/>
    <w:rsid w:val="00E549CC"/>
    <w:rsid w:val="00E54CC3"/>
    <w:rsid w:val="00E54DAA"/>
    <w:rsid w:val="00E54DD6"/>
    <w:rsid w:val="00E54E4A"/>
    <w:rsid w:val="00E553B5"/>
    <w:rsid w:val="00E556F7"/>
    <w:rsid w:val="00E55920"/>
    <w:rsid w:val="00E55B94"/>
    <w:rsid w:val="00E56114"/>
    <w:rsid w:val="00E5684C"/>
    <w:rsid w:val="00E56996"/>
    <w:rsid w:val="00E56C47"/>
    <w:rsid w:val="00E573DD"/>
    <w:rsid w:val="00E60854"/>
    <w:rsid w:val="00E614E7"/>
    <w:rsid w:val="00E61A51"/>
    <w:rsid w:val="00E61B02"/>
    <w:rsid w:val="00E61F2E"/>
    <w:rsid w:val="00E62787"/>
    <w:rsid w:val="00E63062"/>
    <w:rsid w:val="00E63948"/>
    <w:rsid w:val="00E63BD3"/>
    <w:rsid w:val="00E644D1"/>
    <w:rsid w:val="00E64CB1"/>
    <w:rsid w:val="00E64E30"/>
    <w:rsid w:val="00E6520A"/>
    <w:rsid w:val="00E65555"/>
    <w:rsid w:val="00E655CC"/>
    <w:rsid w:val="00E662E8"/>
    <w:rsid w:val="00E66531"/>
    <w:rsid w:val="00E66920"/>
    <w:rsid w:val="00E70176"/>
    <w:rsid w:val="00E70D5D"/>
    <w:rsid w:val="00E7139F"/>
    <w:rsid w:val="00E71551"/>
    <w:rsid w:val="00E71DA2"/>
    <w:rsid w:val="00E71E69"/>
    <w:rsid w:val="00E72091"/>
    <w:rsid w:val="00E726F5"/>
    <w:rsid w:val="00E72A59"/>
    <w:rsid w:val="00E72F95"/>
    <w:rsid w:val="00E7300F"/>
    <w:rsid w:val="00E73238"/>
    <w:rsid w:val="00E73284"/>
    <w:rsid w:val="00E737FF"/>
    <w:rsid w:val="00E739AA"/>
    <w:rsid w:val="00E73DA8"/>
    <w:rsid w:val="00E73E32"/>
    <w:rsid w:val="00E74439"/>
    <w:rsid w:val="00E7548F"/>
    <w:rsid w:val="00E75619"/>
    <w:rsid w:val="00E765FB"/>
    <w:rsid w:val="00E76B5F"/>
    <w:rsid w:val="00E7737F"/>
    <w:rsid w:val="00E773FD"/>
    <w:rsid w:val="00E80292"/>
    <w:rsid w:val="00E8054D"/>
    <w:rsid w:val="00E80570"/>
    <w:rsid w:val="00E80795"/>
    <w:rsid w:val="00E809CA"/>
    <w:rsid w:val="00E809D6"/>
    <w:rsid w:val="00E80DF8"/>
    <w:rsid w:val="00E82103"/>
    <w:rsid w:val="00E82788"/>
    <w:rsid w:val="00E84200"/>
    <w:rsid w:val="00E84D5E"/>
    <w:rsid w:val="00E85397"/>
    <w:rsid w:val="00E86698"/>
    <w:rsid w:val="00E86926"/>
    <w:rsid w:val="00E86970"/>
    <w:rsid w:val="00E86EB7"/>
    <w:rsid w:val="00E87033"/>
    <w:rsid w:val="00E872FD"/>
    <w:rsid w:val="00E87630"/>
    <w:rsid w:val="00E90328"/>
    <w:rsid w:val="00E9078D"/>
    <w:rsid w:val="00E91E55"/>
    <w:rsid w:val="00E922E4"/>
    <w:rsid w:val="00E9303F"/>
    <w:rsid w:val="00E93B50"/>
    <w:rsid w:val="00E93D8B"/>
    <w:rsid w:val="00E940E2"/>
    <w:rsid w:val="00E94173"/>
    <w:rsid w:val="00E947E3"/>
    <w:rsid w:val="00E94EE1"/>
    <w:rsid w:val="00E9523B"/>
    <w:rsid w:val="00E9648B"/>
    <w:rsid w:val="00E96A63"/>
    <w:rsid w:val="00E97407"/>
    <w:rsid w:val="00E97623"/>
    <w:rsid w:val="00E97D2F"/>
    <w:rsid w:val="00EA002C"/>
    <w:rsid w:val="00EA1419"/>
    <w:rsid w:val="00EA1771"/>
    <w:rsid w:val="00EA24C5"/>
    <w:rsid w:val="00EA298F"/>
    <w:rsid w:val="00EA2A8F"/>
    <w:rsid w:val="00EA3405"/>
    <w:rsid w:val="00EA341C"/>
    <w:rsid w:val="00EA34B8"/>
    <w:rsid w:val="00EA36B3"/>
    <w:rsid w:val="00EA548C"/>
    <w:rsid w:val="00EA5EA9"/>
    <w:rsid w:val="00EA6771"/>
    <w:rsid w:val="00EA6F12"/>
    <w:rsid w:val="00EA759A"/>
    <w:rsid w:val="00EA7832"/>
    <w:rsid w:val="00EA7E47"/>
    <w:rsid w:val="00EB01FC"/>
    <w:rsid w:val="00EB0E9F"/>
    <w:rsid w:val="00EB1AF8"/>
    <w:rsid w:val="00EB2A6D"/>
    <w:rsid w:val="00EB2EF9"/>
    <w:rsid w:val="00EB30B1"/>
    <w:rsid w:val="00EB4077"/>
    <w:rsid w:val="00EB4A12"/>
    <w:rsid w:val="00EB4AA2"/>
    <w:rsid w:val="00EB5CBA"/>
    <w:rsid w:val="00EB5F3E"/>
    <w:rsid w:val="00EB695F"/>
    <w:rsid w:val="00EC005F"/>
    <w:rsid w:val="00EC032E"/>
    <w:rsid w:val="00EC06DB"/>
    <w:rsid w:val="00EC1480"/>
    <w:rsid w:val="00EC14F1"/>
    <w:rsid w:val="00EC1582"/>
    <w:rsid w:val="00EC182B"/>
    <w:rsid w:val="00EC1999"/>
    <w:rsid w:val="00EC1F16"/>
    <w:rsid w:val="00EC2A4C"/>
    <w:rsid w:val="00EC2A6F"/>
    <w:rsid w:val="00EC2F95"/>
    <w:rsid w:val="00EC3281"/>
    <w:rsid w:val="00EC3627"/>
    <w:rsid w:val="00EC38A8"/>
    <w:rsid w:val="00EC3B20"/>
    <w:rsid w:val="00EC47C7"/>
    <w:rsid w:val="00EC4B6C"/>
    <w:rsid w:val="00EC6B2D"/>
    <w:rsid w:val="00EC7279"/>
    <w:rsid w:val="00EC7985"/>
    <w:rsid w:val="00ED03F2"/>
    <w:rsid w:val="00ED05D4"/>
    <w:rsid w:val="00ED063A"/>
    <w:rsid w:val="00ED0855"/>
    <w:rsid w:val="00ED0B6B"/>
    <w:rsid w:val="00ED0C6C"/>
    <w:rsid w:val="00ED0D6A"/>
    <w:rsid w:val="00ED0EBF"/>
    <w:rsid w:val="00ED11EF"/>
    <w:rsid w:val="00ED2FFD"/>
    <w:rsid w:val="00ED3F2A"/>
    <w:rsid w:val="00ED47B0"/>
    <w:rsid w:val="00ED4919"/>
    <w:rsid w:val="00ED5ECA"/>
    <w:rsid w:val="00ED7249"/>
    <w:rsid w:val="00ED7265"/>
    <w:rsid w:val="00ED77A6"/>
    <w:rsid w:val="00ED7E06"/>
    <w:rsid w:val="00EE0791"/>
    <w:rsid w:val="00EE0AC8"/>
    <w:rsid w:val="00EE0BB2"/>
    <w:rsid w:val="00EE1530"/>
    <w:rsid w:val="00EE1A07"/>
    <w:rsid w:val="00EE1AD6"/>
    <w:rsid w:val="00EE1F79"/>
    <w:rsid w:val="00EE2619"/>
    <w:rsid w:val="00EE2719"/>
    <w:rsid w:val="00EE3A39"/>
    <w:rsid w:val="00EE4346"/>
    <w:rsid w:val="00EE465C"/>
    <w:rsid w:val="00EE4AE2"/>
    <w:rsid w:val="00EE5000"/>
    <w:rsid w:val="00EE535F"/>
    <w:rsid w:val="00EE5958"/>
    <w:rsid w:val="00EE5CFE"/>
    <w:rsid w:val="00EE60DB"/>
    <w:rsid w:val="00EE65B6"/>
    <w:rsid w:val="00EE692A"/>
    <w:rsid w:val="00EE6B4D"/>
    <w:rsid w:val="00EE6FB0"/>
    <w:rsid w:val="00EE7AA0"/>
    <w:rsid w:val="00EF02BB"/>
    <w:rsid w:val="00EF040D"/>
    <w:rsid w:val="00EF08A2"/>
    <w:rsid w:val="00EF08E6"/>
    <w:rsid w:val="00EF0C0C"/>
    <w:rsid w:val="00EF1B9B"/>
    <w:rsid w:val="00EF1F50"/>
    <w:rsid w:val="00EF26C3"/>
    <w:rsid w:val="00EF2AB2"/>
    <w:rsid w:val="00EF2E57"/>
    <w:rsid w:val="00EF3198"/>
    <w:rsid w:val="00EF35C8"/>
    <w:rsid w:val="00EF622A"/>
    <w:rsid w:val="00EF63A3"/>
    <w:rsid w:val="00EF652C"/>
    <w:rsid w:val="00EF6B73"/>
    <w:rsid w:val="00EF6C12"/>
    <w:rsid w:val="00EF7045"/>
    <w:rsid w:val="00EF7789"/>
    <w:rsid w:val="00EF7C51"/>
    <w:rsid w:val="00F0013F"/>
    <w:rsid w:val="00F00651"/>
    <w:rsid w:val="00F01171"/>
    <w:rsid w:val="00F02F4F"/>
    <w:rsid w:val="00F030E4"/>
    <w:rsid w:val="00F0323D"/>
    <w:rsid w:val="00F033EF"/>
    <w:rsid w:val="00F03E82"/>
    <w:rsid w:val="00F03F08"/>
    <w:rsid w:val="00F0567C"/>
    <w:rsid w:val="00F06752"/>
    <w:rsid w:val="00F06B59"/>
    <w:rsid w:val="00F06DDC"/>
    <w:rsid w:val="00F07377"/>
    <w:rsid w:val="00F07720"/>
    <w:rsid w:val="00F07B3F"/>
    <w:rsid w:val="00F07C5B"/>
    <w:rsid w:val="00F1038A"/>
    <w:rsid w:val="00F1066A"/>
    <w:rsid w:val="00F10D61"/>
    <w:rsid w:val="00F1173F"/>
    <w:rsid w:val="00F12029"/>
    <w:rsid w:val="00F123EA"/>
    <w:rsid w:val="00F129EE"/>
    <w:rsid w:val="00F12A5C"/>
    <w:rsid w:val="00F132F9"/>
    <w:rsid w:val="00F13DB6"/>
    <w:rsid w:val="00F13E52"/>
    <w:rsid w:val="00F1530D"/>
    <w:rsid w:val="00F153C7"/>
    <w:rsid w:val="00F15BB1"/>
    <w:rsid w:val="00F15EE6"/>
    <w:rsid w:val="00F163E5"/>
    <w:rsid w:val="00F165C6"/>
    <w:rsid w:val="00F16BC1"/>
    <w:rsid w:val="00F170A8"/>
    <w:rsid w:val="00F1756F"/>
    <w:rsid w:val="00F200D1"/>
    <w:rsid w:val="00F20407"/>
    <w:rsid w:val="00F205D4"/>
    <w:rsid w:val="00F20F73"/>
    <w:rsid w:val="00F213C4"/>
    <w:rsid w:val="00F21664"/>
    <w:rsid w:val="00F223E9"/>
    <w:rsid w:val="00F228A6"/>
    <w:rsid w:val="00F2297E"/>
    <w:rsid w:val="00F23456"/>
    <w:rsid w:val="00F23789"/>
    <w:rsid w:val="00F239BB"/>
    <w:rsid w:val="00F23CAC"/>
    <w:rsid w:val="00F23FBF"/>
    <w:rsid w:val="00F24364"/>
    <w:rsid w:val="00F24423"/>
    <w:rsid w:val="00F244C5"/>
    <w:rsid w:val="00F24774"/>
    <w:rsid w:val="00F2478B"/>
    <w:rsid w:val="00F24BDD"/>
    <w:rsid w:val="00F2534A"/>
    <w:rsid w:val="00F255FF"/>
    <w:rsid w:val="00F25A93"/>
    <w:rsid w:val="00F2656F"/>
    <w:rsid w:val="00F26F37"/>
    <w:rsid w:val="00F2702C"/>
    <w:rsid w:val="00F27408"/>
    <w:rsid w:val="00F274C2"/>
    <w:rsid w:val="00F27A1C"/>
    <w:rsid w:val="00F27EAC"/>
    <w:rsid w:val="00F30896"/>
    <w:rsid w:val="00F30D8B"/>
    <w:rsid w:val="00F3186B"/>
    <w:rsid w:val="00F31886"/>
    <w:rsid w:val="00F3220C"/>
    <w:rsid w:val="00F32754"/>
    <w:rsid w:val="00F330E6"/>
    <w:rsid w:val="00F33D0A"/>
    <w:rsid w:val="00F33D58"/>
    <w:rsid w:val="00F34397"/>
    <w:rsid w:val="00F34782"/>
    <w:rsid w:val="00F355FE"/>
    <w:rsid w:val="00F36103"/>
    <w:rsid w:val="00F3736B"/>
    <w:rsid w:val="00F37898"/>
    <w:rsid w:val="00F37D7C"/>
    <w:rsid w:val="00F41D45"/>
    <w:rsid w:val="00F41FA8"/>
    <w:rsid w:val="00F42091"/>
    <w:rsid w:val="00F4242D"/>
    <w:rsid w:val="00F4254C"/>
    <w:rsid w:val="00F42609"/>
    <w:rsid w:val="00F43013"/>
    <w:rsid w:val="00F43D23"/>
    <w:rsid w:val="00F43D90"/>
    <w:rsid w:val="00F44019"/>
    <w:rsid w:val="00F4401D"/>
    <w:rsid w:val="00F44BCC"/>
    <w:rsid w:val="00F44E1D"/>
    <w:rsid w:val="00F452B7"/>
    <w:rsid w:val="00F45B51"/>
    <w:rsid w:val="00F45C54"/>
    <w:rsid w:val="00F46584"/>
    <w:rsid w:val="00F46FF2"/>
    <w:rsid w:val="00F4710F"/>
    <w:rsid w:val="00F47412"/>
    <w:rsid w:val="00F47870"/>
    <w:rsid w:val="00F47A2B"/>
    <w:rsid w:val="00F500FA"/>
    <w:rsid w:val="00F50AFF"/>
    <w:rsid w:val="00F50B20"/>
    <w:rsid w:val="00F5192B"/>
    <w:rsid w:val="00F51A6F"/>
    <w:rsid w:val="00F51CBB"/>
    <w:rsid w:val="00F53357"/>
    <w:rsid w:val="00F53D9E"/>
    <w:rsid w:val="00F543FE"/>
    <w:rsid w:val="00F54A7F"/>
    <w:rsid w:val="00F55604"/>
    <w:rsid w:val="00F55969"/>
    <w:rsid w:val="00F55994"/>
    <w:rsid w:val="00F55F9C"/>
    <w:rsid w:val="00F571C8"/>
    <w:rsid w:val="00F5731B"/>
    <w:rsid w:val="00F613CB"/>
    <w:rsid w:val="00F613E9"/>
    <w:rsid w:val="00F6163B"/>
    <w:rsid w:val="00F61FBA"/>
    <w:rsid w:val="00F62CDB"/>
    <w:rsid w:val="00F632DF"/>
    <w:rsid w:val="00F636D5"/>
    <w:rsid w:val="00F63A7F"/>
    <w:rsid w:val="00F63F75"/>
    <w:rsid w:val="00F64924"/>
    <w:rsid w:val="00F64E3D"/>
    <w:rsid w:val="00F6564A"/>
    <w:rsid w:val="00F658E0"/>
    <w:rsid w:val="00F65920"/>
    <w:rsid w:val="00F65A88"/>
    <w:rsid w:val="00F65D50"/>
    <w:rsid w:val="00F669D8"/>
    <w:rsid w:val="00F679AD"/>
    <w:rsid w:val="00F71F0E"/>
    <w:rsid w:val="00F72B36"/>
    <w:rsid w:val="00F72D5D"/>
    <w:rsid w:val="00F733EA"/>
    <w:rsid w:val="00F746D6"/>
    <w:rsid w:val="00F7580D"/>
    <w:rsid w:val="00F75C6B"/>
    <w:rsid w:val="00F769DC"/>
    <w:rsid w:val="00F76A20"/>
    <w:rsid w:val="00F77464"/>
    <w:rsid w:val="00F777FD"/>
    <w:rsid w:val="00F77E9A"/>
    <w:rsid w:val="00F77FC4"/>
    <w:rsid w:val="00F80930"/>
    <w:rsid w:val="00F80C4E"/>
    <w:rsid w:val="00F80CEE"/>
    <w:rsid w:val="00F8122E"/>
    <w:rsid w:val="00F81668"/>
    <w:rsid w:val="00F81D48"/>
    <w:rsid w:val="00F82A52"/>
    <w:rsid w:val="00F82BCA"/>
    <w:rsid w:val="00F83316"/>
    <w:rsid w:val="00F83AEB"/>
    <w:rsid w:val="00F84EE5"/>
    <w:rsid w:val="00F85235"/>
    <w:rsid w:val="00F855A1"/>
    <w:rsid w:val="00F856F0"/>
    <w:rsid w:val="00F85B8C"/>
    <w:rsid w:val="00F8657D"/>
    <w:rsid w:val="00F86981"/>
    <w:rsid w:val="00F8718E"/>
    <w:rsid w:val="00F878EA"/>
    <w:rsid w:val="00F87CAE"/>
    <w:rsid w:val="00F905F4"/>
    <w:rsid w:val="00F90927"/>
    <w:rsid w:val="00F90AF5"/>
    <w:rsid w:val="00F91C26"/>
    <w:rsid w:val="00F925E3"/>
    <w:rsid w:val="00F92A39"/>
    <w:rsid w:val="00F92F3A"/>
    <w:rsid w:val="00F92FED"/>
    <w:rsid w:val="00F93164"/>
    <w:rsid w:val="00F9380E"/>
    <w:rsid w:val="00F93906"/>
    <w:rsid w:val="00F93D17"/>
    <w:rsid w:val="00F94179"/>
    <w:rsid w:val="00F94998"/>
    <w:rsid w:val="00F960D3"/>
    <w:rsid w:val="00F96A3E"/>
    <w:rsid w:val="00F96D2B"/>
    <w:rsid w:val="00F96FEB"/>
    <w:rsid w:val="00F97E6E"/>
    <w:rsid w:val="00FA0B6A"/>
    <w:rsid w:val="00FA0BDB"/>
    <w:rsid w:val="00FA1642"/>
    <w:rsid w:val="00FA20EE"/>
    <w:rsid w:val="00FA24EC"/>
    <w:rsid w:val="00FA297B"/>
    <w:rsid w:val="00FA3156"/>
    <w:rsid w:val="00FA340E"/>
    <w:rsid w:val="00FA34C7"/>
    <w:rsid w:val="00FA3E7D"/>
    <w:rsid w:val="00FA4337"/>
    <w:rsid w:val="00FA491B"/>
    <w:rsid w:val="00FA4BD2"/>
    <w:rsid w:val="00FA4CE5"/>
    <w:rsid w:val="00FA5137"/>
    <w:rsid w:val="00FA59A9"/>
    <w:rsid w:val="00FA5DCA"/>
    <w:rsid w:val="00FA602D"/>
    <w:rsid w:val="00FA66C7"/>
    <w:rsid w:val="00FA7D7F"/>
    <w:rsid w:val="00FA7FBE"/>
    <w:rsid w:val="00FB0A7F"/>
    <w:rsid w:val="00FB1F42"/>
    <w:rsid w:val="00FB20B6"/>
    <w:rsid w:val="00FB229D"/>
    <w:rsid w:val="00FB252B"/>
    <w:rsid w:val="00FB3846"/>
    <w:rsid w:val="00FB3EDB"/>
    <w:rsid w:val="00FB424F"/>
    <w:rsid w:val="00FB461A"/>
    <w:rsid w:val="00FB5C96"/>
    <w:rsid w:val="00FB667E"/>
    <w:rsid w:val="00FB7411"/>
    <w:rsid w:val="00FB794A"/>
    <w:rsid w:val="00FC01DC"/>
    <w:rsid w:val="00FC07D4"/>
    <w:rsid w:val="00FC0BAD"/>
    <w:rsid w:val="00FC113A"/>
    <w:rsid w:val="00FC129D"/>
    <w:rsid w:val="00FC1393"/>
    <w:rsid w:val="00FC14CA"/>
    <w:rsid w:val="00FC1C68"/>
    <w:rsid w:val="00FC1C7E"/>
    <w:rsid w:val="00FC243E"/>
    <w:rsid w:val="00FC2B47"/>
    <w:rsid w:val="00FC32B0"/>
    <w:rsid w:val="00FC3619"/>
    <w:rsid w:val="00FC4302"/>
    <w:rsid w:val="00FC4520"/>
    <w:rsid w:val="00FC5384"/>
    <w:rsid w:val="00FC5E74"/>
    <w:rsid w:val="00FC607B"/>
    <w:rsid w:val="00FC6A6F"/>
    <w:rsid w:val="00FC75FC"/>
    <w:rsid w:val="00FC767B"/>
    <w:rsid w:val="00FD04BC"/>
    <w:rsid w:val="00FD06A0"/>
    <w:rsid w:val="00FD06C2"/>
    <w:rsid w:val="00FD09D2"/>
    <w:rsid w:val="00FD10B1"/>
    <w:rsid w:val="00FD13AF"/>
    <w:rsid w:val="00FD146A"/>
    <w:rsid w:val="00FD1D11"/>
    <w:rsid w:val="00FD2A94"/>
    <w:rsid w:val="00FD2AA2"/>
    <w:rsid w:val="00FD3C84"/>
    <w:rsid w:val="00FD3CA7"/>
    <w:rsid w:val="00FD3FBE"/>
    <w:rsid w:val="00FD3FE0"/>
    <w:rsid w:val="00FD4371"/>
    <w:rsid w:val="00FD440B"/>
    <w:rsid w:val="00FD49DB"/>
    <w:rsid w:val="00FD5265"/>
    <w:rsid w:val="00FD5339"/>
    <w:rsid w:val="00FD5664"/>
    <w:rsid w:val="00FD57CB"/>
    <w:rsid w:val="00FD590B"/>
    <w:rsid w:val="00FD5D7F"/>
    <w:rsid w:val="00FD5F66"/>
    <w:rsid w:val="00FD6536"/>
    <w:rsid w:val="00FD7291"/>
    <w:rsid w:val="00FE03A9"/>
    <w:rsid w:val="00FE03B7"/>
    <w:rsid w:val="00FE081C"/>
    <w:rsid w:val="00FE0FCB"/>
    <w:rsid w:val="00FE24DE"/>
    <w:rsid w:val="00FE2D64"/>
    <w:rsid w:val="00FE2FA6"/>
    <w:rsid w:val="00FE34B1"/>
    <w:rsid w:val="00FE3A82"/>
    <w:rsid w:val="00FE3FE2"/>
    <w:rsid w:val="00FE4D77"/>
    <w:rsid w:val="00FE5538"/>
    <w:rsid w:val="00FE5805"/>
    <w:rsid w:val="00FE5A5F"/>
    <w:rsid w:val="00FE6DE2"/>
    <w:rsid w:val="00FE71E0"/>
    <w:rsid w:val="00FE725C"/>
    <w:rsid w:val="00FE75D5"/>
    <w:rsid w:val="00FE7703"/>
    <w:rsid w:val="00FF0F30"/>
    <w:rsid w:val="00FF177E"/>
    <w:rsid w:val="00FF192C"/>
    <w:rsid w:val="00FF1959"/>
    <w:rsid w:val="00FF2626"/>
    <w:rsid w:val="00FF2817"/>
    <w:rsid w:val="00FF28A0"/>
    <w:rsid w:val="00FF29BF"/>
    <w:rsid w:val="00FF2ADA"/>
    <w:rsid w:val="00FF2B9C"/>
    <w:rsid w:val="00FF3224"/>
    <w:rsid w:val="00FF33C0"/>
    <w:rsid w:val="00FF3ACA"/>
    <w:rsid w:val="00FF3EFA"/>
    <w:rsid w:val="00FF40C5"/>
    <w:rsid w:val="00FF4E85"/>
    <w:rsid w:val="00FF507C"/>
    <w:rsid w:val="00FF5903"/>
    <w:rsid w:val="00FF5DDB"/>
    <w:rsid w:val="00FF6488"/>
    <w:rsid w:val="00FF6826"/>
    <w:rsid w:val="00FF68B9"/>
    <w:rsid w:val="00FF6948"/>
    <w:rsid w:val="00FF6B31"/>
    <w:rsid w:val="00FF6EF9"/>
    <w:rsid w:val="00FF7DA2"/>
    <w:rsid w:val="00FF7EC6"/>
    <w:rsid w:val="01703D47"/>
    <w:rsid w:val="02C9128A"/>
    <w:rsid w:val="02FE1661"/>
    <w:rsid w:val="0321749F"/>
    <w:rsid w:val="04AF4CB5"/>
    <w:rsid w:val="06DF334A"/>
    <w:rsid w:val="07B86CA8"/>
    <w:rsid w:val="08521636"/>
    <w:rsid w:val="088B67B7"/>
    <w:rsid w:val="095B0284"/>
    <w:rsid w:val="0B251D07"/>
    <w:rsid w:val="0B253457"/>
    <w:rsid w:val="0BBD4300"/>
    <w:rsid w:val="0CD47978"/>
    <w:rsid w:val="0D3951EA"/>
    <w:rsid w:val="0D432123"/>
    <w:rsid w:val="0D464E96"/>
    <w:rsid w:val="0D6B7DCE"/>
    <w:rsid w:val="0DA0368C"/>
    <w:rsid w:val="0F66250E"/>
    <w:rsid w:val="10B1398D"/>
    <w:rsid w:val="10F15F73"/>
    <w:rsid w:val="1131229C"/>
    <w:rsid w:val="13070A44"/>
    <w:rsid w:val="13711084"/>
    <w:rsid w:val="144A50CE"/>
    <w:rsid w:val="147E0838"/>
    <w:rsid w:val="15576918"/>
    <w:rsid w:val="15EA3897"/>
    <w:rsid w:val="16183139"/>
    <w:rsid w:val="17377529"/>
    <w:rsid w:val="17FE442A"/>
    <w:rsid w:val="187249A4"/>
    <w:rsid w:val="187622BE"/>
    <w:rsid w:val="1A742092"/>
    <w:rsid w:val="1B621995"/>
    <w:rsid w:val="1B6B59D2"/>
    <w:rsid w:val="1C454CAA"/>
    <w:rsid w:val="1CEF34C4"/>
    <w:rsid w:val="1D73002F"/>
    <w:rsid w:val="1E2858A6"/>
    <w:rsid w:val="1E680AB4"/>
    <w:rsid w:val="1EAC5531"/>
    <w:rsid w:val="1F4152D7"/>
    <w:rsid w:val="20654A36"/>
    <w:rsid w:val="20655E00"/>
    <w:rsid w:val="20C76DE5"/>
    <w:rsid w:val="20DC726C"/>
    <w:rsid w:val="212224E9"/>
    <w:rsid w:val="2156275E"/>
    <w:rsid w:val="218F765B"/>
    <w:rsid w:val="21BF42EF"/>
    <w:rsid w:val="22461A9D"/>
    <w:rsid w:val="22862442"/>
    <w:rsid w:val="23233632"/>
    <w:rsid w:val="23905143"/>
    <w:rsid w:val="23F9127F"/>
    <w:rsid w:val="246C6B37"/>
    <w:rsid w:val="24730272"/>
    <w:rsid w:val="25103C8F"/>
    <w:rsid w:val="2512532A"/>
    <w:rsid w:val="251E3FD0"/>
    <w:rsid w:val="253142EB"/>
    <w:rsid w:val="25727F3B"/>
    <w:rsid w:val="25B76A6F"/>
    <w:rsid w:val="26C36F33"/>
    <w:rsid w:val="276329C8"/>
    <w:rsid w:val="27881424"/>
    <w:rsid w:val="27BE137F"/>
    <w:rsid w:val="28B966FF"/>
    <w:rsid w:val="29660683"/>
    <w:rsid w:val="29B822C2"/>
    <w:rsid w:val="2ADA6E2A"/>
    <w:rsid w:val="2B26292F"/>
    <w:rsid w:val="2B525BAE"/>
    <w:rsid w:val="2BC015BF"/>
    <w:rsid w:val="2D6C62E4"/>
    <w:rsid w:val="2E601BAA"/>
    <w:rsid w:val="2E89782D"/>
    <w:rsid w:val="2F8A1212"/>
    <w:rsid w:val="30350AE9"/>
    <w:rsid w:val="30C352B0"/>
    <w:rsid w:val="31F72EB3"/>
    <w:rsid w:val="326037B9"/>
    <w:rsid w:val="32BE34CE"/>
    <w:rsid w:val="32ED2C3E"/>
    <w:rsid w:val="34060B1C"/>
    <w:rsid w:val="34467543"/>
    <w:rsid w:val="346D158F"/>
    <w:rsid w:val="34A27EF1"/>
    <w:rsid w:val="34CE6D20"/>
    <w:rsid w:val="34D84F80"/>
    <w:rsid w:val="37F64E5A"/>
    <w:rsid w:val="382C13BF"/>
    <w:rsid w:val="39A15577"/>
    <w:rsid w:val="3A64139F"/>
    <w:rsid w:val="3AAC2987"/>
    <w:rsid w:val="3B324F0A"/>
    <w:rsid w:val="3C915CEA"/>
    <w:rsid w:val="3CC64842"/>
    <w:rsid w:val="3D826FB7"/>
    <w:rsid w:val="3E026795"/>
    <w:rsid w:val="3E505B15"/>
    <w:rsid w:val="3E950E30"/>
    <w:rsid w:val="3F20542C"/>
    <w:rsid w:val="3F452F1F"/>
    <w:rsid w:val="3FA66E2C"/>
    <w:rsid w:val="405C3CEF"/>
    <w:rsid w:val="41015E36"/>
    <w:rsid w:val="4132102E"/>
    <w:rsid w:val="416C2DEC"/>
    <w:rsid w:val="41A62B12"/>
    <w:rsid w:val="41B5654C"/>
    <w:rsid w:val="42811A67"/>
    <w:rsid w:val="428A43DB"/>
    <w:rsid w:val="4317087A"/>
    <w:rsid w:val="44076CF3"/>
    <w:rsid w:val="44491F39"/>
    <w:rsid w:val="44F80B7D"/>
    <w:rsid w:val="44F847B8"/>
    <w:rsid w:val="454065CB"/>
    <w:rsid w:val="45557649"/>
    <w:rsid w:val="461421F4"/>
    <w:rsid w:val="46BA1BAF"/>
    <w:rsid w:val="47CA3692"/>
    <w:rsid w:val="48097153"/>
    <w:rsid w:val="48715367"/>
    <w:rsid w:val="49795073"/>
    <w:rsid w:val="4A554004"/>
    <w:rsid w:val="4BB60F0B"/>
    <w:rsid w:val="4D843F2D"/>
    <w:rsid w:val="4E39448B"/>
    <w:rsid w:val="4E743362"/>
    <w:rsid w:val="501F67D6"/>
    <w:rsid w:val="509249AF"/>
    <w:rsid w:val="51AF5995"/>
    <w:rsid w:val="52124A5D"/>
    <w:rsid w:val="529D0AD8"/>
    <w:rsid w:val="52FC1A62"/>
    <w:rsid w:val="53360754"/>
    <w:rsid w:val="54330A96"/>
    <w:rsid w:val="543935BF"/>
    <w:rsid w:val="557471B2"/>
    <w:rsid w:val="5612773D"/>
    <w:rsid w:val="572F53A3"/>
    <w:rsid w:val="580402B5"/>
    <w:rsid w:val="593C6C29"/>
    <w:rsid w:val="59A000D2"/>
    <w:rsid w:val="5A403287"/>
    <w:rsid w:val="5A992DDA"/>
    <w:rsid w:val="5ABC6031"/>
    <w:rsid w:val="5B1D1C39"/>
    <w:rsid w:val="5B8D3A0D"/>
    <w:rsid w:val="5BE53248"/>
    <w:rsid w:val="5CED25E8"/>
    <w:rsid w:val="5DBD7723"/>
    <w:rsid w:val="5DCB1A25"/>
    <w:rsid w:val="5E492F33"/>
    <w:rsid w:val="5E784513"/>
    <w:rsid w:val="5EB8654E"/>
    <w:rsid w:val="5F8039B2"/>
    <w:rsid w:val="5FDA7E6F"/>
    <w:rsid w:val="60010E7B"/>
    <w:rsid w:val="605440F6"/>
    <w:rsid w:val="60F76C10"/>
    <w:rsid w:val="61001FD9"/>
    <w:rsid w:val="617C34F5"/>
    <w:rsid w:val="61D041D6"/>
    <w:rsid w:val="61F21B32"/>
    <w:rsid w:val="626649A7"/>
    <w:rsid w:val="635E6E54"/>
    <w:rsid w:val="63BC6840"/>
    <w:rsid w:val="643568ED"/>
    <w:rsid w:val="644145B6"/>
    <w:rsid w:val="645E499E"/>
    <w:rsid w:val="64D54C4B"/>
    <w:rsid w:val="658F73E8"/>
    <w:rsid w:val="659F030B"/>
    <w:rsid w:val="665A1887"/>
    <w:rsid w:val="668867A4"/>
    <w:rsid w:val="671051F8"/>
    <w:rsid w:val="6739134E"/>
    <w:rsid w:val="67DF4E9D"/>
    <w:rsid w:val="684733AB"/>
    <w:rsid w:val="68E72E4E"/>
    <w:rsid w:val="68EA034D"/>
    <w:rsid w:val="69596C0B"/>
    <w:rsid w:val="69A363F7"/>
    <w:rsid w:val="6A100096"/>
    <w:rsid w:val="6A48377B"/>
    <w:rsid w:val="6AD46B0B"/>
    <w:rsid w:val="6AE74452"/>
    <w:rsid w:val="6BC903CF"/>
    <w:rsid w:val="6BFD0DAF"/>
    <w:rsid w:val="6C5A04C7"/>
    <w:rsid w:val="6C732537"/>
    <w:rsid w:val="6C7D3E8A"/>
    <w:rsid w:val="6D433460"/>
    <w:rsid w:val="6EB47D19"/>
    <w:rsid w:val="6F1F0F4B"/>
    <w:rsid w:val="701C582C"/>
    <w:rsid w:val="703813E8"/>
    <w:rsid w:val="708243A0"/>
    <w:rsid w:val="718E6B6A"/>
    <w:rsid w:val="71A371BE"/>
    <w:rsid w:val="71FC2250"/>
    <w:rsid w:val="72B604C4"/>
    <w:rsid w:val="72CE2769"/>
    <w:rsid w:val="73D000C7"/>
    <w:rsid w:val="73F439B2"/>
    <w:rsid w:val="7408093E"/>
    <w:rsid w:val="743250D3"/>
    <w:rsid w:val="74902198"/>
    <w:rsid w:val="759B5BE5"/>
    <w:rsid w:val="75AC700E"/>
    <w:rsid w:val="75BF44A3"/>
    <w:rsid w:val="75E75A9F"/>
    <w:rsid w:val="76130B46"/>
    <w:rsid w:val="77767EF4"/>
    <w:rsid w:val="78726190"/>
    <w:rsid w:val="78857C92"/>
    <w:rsid w:val="79C925E6"/>
    <w:rsid w:val="7A696F8D"/>
    <w:rsid w:val="7A732714"/>
    <w:rsid w:val="7B356549"/>
    <w:rsid w:val="7BD140FF"/>
    <w:rsid w:val="7BDC516A"/>
    <w:rsid w:val="7BE537FF"/>
    <w:rsid w:val="7CC84E37"/>
    <w:rsid w:val="7D4517A8"/>
    <w:rsid w:val="7DB80AC4"/>
    <w:rsid w:val="7E680957"/>
    <w:rsid w:val="7E7B1E8E"/>
    <w:rsid w:val="7ED87E7D"/>
    <w:rsid w:val="7EDA752C"/>
    <w:rsid w:val="7EF93F72"/>
    <w:rsid w:val="7FAB1FCB"/>
    <w:rsid w:val="7FD0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仿宋_GB2312" w:cstheme="minorBidi"/>
      <w:sz w:val="32"/>
      <w:szCs w:val="22"/>
      <w:lang w:val="en-US" w:eastAsia="zh-CN" w:bidi="ar-SA"/>
    </w:rPr>
  </w:style>
  <w:style w:type="paragraph" w:styleId="3">
    <w:name w:val="heading 1"/>
    <w:basedOn w:val="1"/>
    <w:next w:val="1"/>
    <w:link w:val="36"/>
    <w:qFormat/>
    <w:uiPriority w:val="0"/>
    <w:pPr>
      <w:keepNext/>
      <w:keepLines/>
      <w:spacing w:before="240" w:beforeLines="100" w:after="240" w:afterLines="100" w:line="240" w:lineRule="auto"/>
      <w:ind w:firstLine="643"/>
      <w:outlineLvl w:val="0"/>
    </w:pPr>
    <w:rPr>
      <w:rFonts w:eastAsia="楷体" w:cstheme="majorBidi"/>
      <w:b/>
      <w:bCs/>
      <w:szCs w:val="28"/>
    </w:rPr>
  </w:style>
  <w:style w:type="paragraph" w:styleId="4">
    <w:name w:val="heading 2"/>
    <w:basedOn w:val="1"/>
    <w:next w:val="1"/>
    <w:link w:val="38"/>
    <w:unhideWhenUsed/>
    <w:qFormat/>
    <w:uiPriority w:val="9"/>
    <w:pPr>
      <w:keepNext/>
      <w:keepLines/>
      <w:snapToGrid w:val="0"/>
      <w:spacing w:before="100" w:beforeLines="100"/>
      <w:ind w:firstLine="562"/>
      <w:outlineLvl w:val="1"/>
    </w:pPr>
    <w:rPr>
      <w:rFonts w:eastAsia="楷体_GB2312" w:cstheme="majorBidi"/>
      <w:bCs/>
      <w:szCs w:val="26"/>
    </w:rPr>
  </w:style>
  <w:style w:type="paragraph" w:styleId="5">
    <w:name w:val="heading 3"/>
    <w:basedOn w:val="1"/>
    <w:next w:val="1"/>
    <w:link w:val="37"/>
    <w:unhideWhenUsed/>
    <w:qFormat/>
    <w:uiPriority w:val="9"/>
    <w:pPr>
      <w:keepNext/>
      <w:keepLines/>
      <w:snapToGrid w:val="0"/>
      <w:ind w:firstLine="562"/>
      <w:outlineLvl w:val="2"/>
    </w:pPr>
    <w:rPr>
      <w:rFonts w:cstheme="majorBidi"/>
      <w:b/>
      <w:bCs/>
    </w:rPr>
  </w:style>
  <w:style w:type="paragraph" w:styleId="6">
    <w:name w:val="heading 4"/>
    <w:basedOn w:val="1"/>
    <w:next w:val="1"/>
    <w:link w:val="39"/>
    <w:unhideWhenUsed/>
    <w:qFormat/>
    <w:uiPriority w:val="9"/>
    <w:pPr>
      <w:keepNext/>
      <w:keepLines/>
      <w:spacing w:before="240" w:after="240" w:line="240" w:lineRule="auto"/>
      <w:outlineLvl w:val="3"/>
    </w:pPr>
    <w:rPr>
      <w:rFonts w:ascii="仿宋_GB2312" w:hAnsi="仿宋_GB2312" w:cstheme="majorBidi"/>
      <w:bCs/>
      <w:iCs/>
    </w:rPr>
  </w:style>
  <w:style w:type="paragraph" w:styleId="7">
    <w:name w:val="heading 5"/>
    <w:basedOn w:val="1"/>
    <w:next w:val="1"/>
    <w:link w:val="47"/>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8">
    <w:name w:val="annotation subject"/>
    <w:basedOn w:val="9"/>
    <w:next w:val="9"/>
    <w:link w:val="135"/>
    <w:semiHidden/>
    <w:unhideWhenUsed/>
    <w:qFormat/>
    <w:uiPriority w:val="99"/>
    <w:rPr>
      <w:b/>
      <w:bCs/>
    </w:rPr>
  </w:style>
  <w:style w:type="paragraph" w:styleId="9">
    <w:name w:val="annotation text"/>
    <w:basedOn w:val="1"/>
    <w:link w:val="134"/>
    <w:semiHidden/>
    <w:unhideWhenUsed/>
    <w:qFormat/>
    <w:uiPriority w:val="99"/>
  </w:style>
  <w:style w:type="paragraph" w:styleId="10">
    <w:name w:val="toc 7"/>
    <w:basedOn w:val="1"/>
    <w:next w:val="1"/>
    <w:unhideWhenUsed/>
    <w:qFormat/>
    <w:uiPriority w:val="39"/>
    <w:pPr>
      <w:ind w:left="1440"/>
    </w:pPr>
    <w:rPr>
      <w:rFonts w:asciiTheme="minorHAnsi" w:hAnsiTheme="minorHAnsi" w:cstheme="minorHAnsi"/>
      <w:sz w:val="18"/>
      <w:szCs w:val="18"/>
    </w:rPr>
  </w:style>
  <w:style w:type="paragraph" w:styleId="11">
    <w:name w:val="Body Text"/>
    <w:basedOn w:val="1"/>
    <w:qFormat/>
    <w:uiPriority w:val="0"/>
  </w:style>
  <w:style w:type="paragraph" w:styleId="12">
    <w:name w:val="toc 5"/>
    <w:basedOn w:val="1"/>
    <w:next w:val="1"/>
    <w:unhideWhenUsed/>
    <w:qFormat/>
    <w:uiPriority w:val="39"/>
    <w:pPr>
      <w:ind w:left="960"/>
    </w:pPr>
    <w:rPr>
      <w:rFonts w:asciiTheme="minorHAnsi" w:hAnsiTheme="minorHAnsi" w:cstheme="minorHAnsi"/>
      <w:sz w:val="18"/>
      <w:szCs w:val="18"/>
    </w:rPr>
  </w:style>
  <w:style w:type="paragraph" w:styleId="13">
    <w:name w:val="toc 3"/>
    <w:basedOn w:val="1"/>
    <w:next w:val="1"/>
    <w:unhideWhenUsed/>
    <w:qFormat/>
    <w:uiPriority w:val="39"/>
    <w:pPr>
      <w:ind w:left="480"/>
    </w:pPr>
    <w:rPr>
      <w:rFonts w:asciiTheme="minorHAnsi" w:hAnsiTheme="minorHAnsi" w:cstheme="minorHAnsi"/>
      <w:i/>
      <w:iCs/>
      <w:sz w:val="20"/>
      <w:szCs w:val="20"/>
    </w:rPr>
  </w:style>
  <w:style w:type="paragraph" w:styleId="14">
    <w:name w:val="Plain Text"/>
    <w:basedOn w:val="1"/>
    <w:qFormat/>
    <w:uiPriority w:val="0"/>
    <w:rPr>
      <w:rFonts w:ascii="宋体" w:hAnsi="Courier New"/>
    </w:rPr>
  </w:style>
  <w:style w:type="paragraph" w:styleId="15">
    <w:name w:val="toc 8"/>
    <w:basedOn w:val="1"/>
    <w:next w:val="1"/>
    <w:unhideWhenUsed/>
    <w:qFormat/>
    <w:uiPriority w:val="39"/>
    <w:pPr>
      <w:ind w:left="1680"/>
    </w:pPr>
    <w:rPr>
      <w:rFonts w:asciiTheme="minorHAnsi" w:hAnsiTheme="minorHAnsi" w:cstheme="minorHAnsi"/>
      <w:sz w:val="18"/>
      <w:szCs w:val="18"/>
    </w:rPr>
  </w:style>
  <w:style w:type="paragraph" w:styleId="16">
    <w:name w:val="endnote text"/>
    <w:basedOn w:val="1"/>
    <w:link w:val="131"/>
    <w:unhideWhenUsed/>
    <w:qFormat/>
    <w:uiPriority w:val="99"/>
    <w:pPr>
      <w:snapToGrid w:val="0"/>
    </w:pPr>
  </w:style>
  <w:style w:type="paragraph" w:styleId="17">
    <w:name w:val="Balloon Text"/>
    <w:basedOn w:val="1"/>
    <w:link w:val="45"/>
    <w:unhideWhenUsed/>
    <w:qFormat/>
    <w:uiPriority w:val="99"/>
    <w:pPr>
      <w:spacing w:line="240" w:lineRule="auto"/>
    </w:pPr>
    <w:rPr>
      <w:rFonts w:ascii="宋体" w:eastAsia="宋体"/>
      <w:sz w:val="18"/>
      <w:szCs w:val="18"/>
    </w:rPr>
  </w:style>
  <w:style w:type="paragraph" w:styleId="18">
    <w:name w:val="footer"/>
    <w:basedOn w:val="1"/>
    <w:link w:val="43"/>
    <w:unhideWhenUsed/>
    <w:qFormat/>
    <w:uiPriority w:val="99"/>
    <w:pPr>
      <w:tabs>
        <w:tab w:val="center" w:pos="4320"/>
        <w:tab w:val="right" w:pos="8640"/>
      </w:tabs>
      <w:spacing w:line="240" w:lineRule="auto"/>
    </w:pPr>
  </w:style>
  <w:style w:type="paragraph" w:styleId="19">
    <w:name w:val="header"/>
    <w:basedOn w:val="1"/>
    <w:link w:val="42"/>
    <w:unhideWhenUsed/>
    <w:qFormat/>
    <w:uiPriority w:val="99"/>
    <w:pPr>
      <w:tabs>
        <w:tab w:val="center" w:pos="4320"/>
        <w:tab w:val="right" w:pos="8640"/>
      </w:tabs>
      <w:spacing w:line="240" w:lineRule="auto"/>
    </w:pPr>
  </w:style>
  <w:style w:type="paragraph" w:styleId="20">
    <w:name w:val="toc 1"/>
    <w:basedOn w:val="1"/>
    <w:next w:val="1"/>
    <w:unhideWhenUsed/>
    <w:qFormat/>
    <w:uiPriority w:val="39"/>
    <w:pPr>
      <w:tabs>
        <w:tab w:val="right" w:leader="dot" w:pos="8297"/>
      </w:tabs>
      <w:spacing w:before="120" w:after="120"/>
      <w:ind w:firstLine="0" w:firstLineChars="0"/>
      <w:jc w:val="center"/>
    </w:pPr>
    <w:rPr>
      <w:rFonts w:ascii="黑体" w:hAnsi="黑体" w:eastAsia="黑体" w:cstheme="minorHAnsi"/>
      <w:b/>
      <w:bCs/>
      <w:caps/>
      <w:szCs w:val="24"/>
    </w:rPr>
  </w:style>
  <w:style w:type="paragraph" w:styleId="21">
    <w:name w:val="toc 4"/>
    <w:basedOn w:val="1"/>
    <w:next w:val="1"/>
    <w:unhideWhenUsed/>
    <w:qFormat/>
    <w:uiPriority w:val="39"/>
    <w:pPr>
      <w:ind w:left="720"/>
    </w:pPr>
    <w:rPr>
      <w:rFonts w:asciiTheme="minorHAnsi" w:hAnsiTheme="minorHAnsi" w:cstheme="minorHAnsi"/>
      <w:sz w:val="18"/>
      <w:szCs w:val="18"/>
    </w:rPr>
  </w:style>
  <w:style w:type="paragraph" w:styleId="22">
    <w:name w:val="footnote text"/>
    <w:basedOn w:val="1"/>
    <w:link w:val="41"/>
    <w:unhideWhenUsed/>
    <w:qFormat/>
    <w:uiPriority w:val="99"/>
    <w:pPr>
      <w:spacing w:line="240" w:lineRule="auto"/>
      <w:ind w:firstLine="0" w:firstLineChars="0"/>
    </w:pPr>
    <w:rPr>
      <w:rFonts w:cs="Times New Roman"/>
      <w:sz w:val="20"/>
      <w:szCs w:val="20"/>
    </w:rPr>
  </w:style>
  <w:style w:type="paragraph" w:styleId="23">
    <w:name w:val="toc 6"/>
    <w:basedOn w:val="1"/>
    <w:next w:val="1"/>
    <w:unhideWhenUsed/>
    <w:qFormat/>
    <w:uiPriority w:val="39"/>
    <w:pPr>
      <w:ind w:left="1200"/>
    </w:pPr>
    <w:rPr>
      <w:rFonts w:asciiTheme="minorHAnsi" w:hAnsiTheme="minorHAnsi" w:cstheme="minorHAnsi"/>
      <w:sz w:val="18"/>
      <w:szCs w:val="18"/>
    </w:rPr>
  </w:style>
  <w:style w:type="paragraph" w:styleId="24">
    <w:name w:val="toc 2"/>
    <w:basedOn w:val="1"/>
    <w:next w:val="1"/>
    <w:unhideWhenUsed/>
    <w:qFormat/>
    <w:uiPriority w:val="39"/>
    <w:pPr>
      <w:tabs>
        <w:tab w:val="right" w:leader="dot" w:pos="8297"/>
      </w:tabs>
      <w:ind w:left="240" w:firstLine="0" w:firstLineChars="0"/>
    </w:pPr>
    <w:rPr>
      <w:rFonts w:ascii="黑体" w:hAnsi="黑体" w:eastAsia="黑体" w:cs="Times New Roman"/>
      <w:smallCaps/>
      <w:sz w:val="24"/>
      <w:szCs w:val="20"/>
    </w:rPr>
  </w:style>
  <w:style w:type="paragraph" w:styleId="25">
    <w:name w:val="toc 9"/>
    <w:basedOn w:val="1"/>
    <w:next w:val="1"/>
    <w:unhideWhenUsed/>
    <w:qFormat/>
    <w:uiPriority w:val="39"/>
    <w:pPr>
      <w:ind w:left="1920"/>
    </w:pPr>
    <w:rPr>
      <w:rFonts w:asciiTheme="minorHAnsi" w:hAnsiTheme="minorHAnsi" w:cstheme="minorHAnsi"/>
      <w:sz w:val="18"/>
      <w:szCs w:val="18"/>
    </w:rPr>
  </w:style>
  <w:style w:type="paragraph" w:styleId="26">
    <w:name w:val="Normal (Web)"/>
    <w:basedOn w:val="1"/>
    <w:unhideWhenUsed/>
    <w:qFormat/>
    <w:uiPriority w:val="0"/>
    <w:pPr>
      <w:spacing w:before="100" w:beforeAutospacing="1" w:after="100" w:afterAutospacing="1" w:line="240" w:lineRule="auto"/>
      <w:ind w:firstLine="0" w:firstLineChars="0"/>
    </w:pPr>
    <w:rPr>
      <w:rFonts w:cs="Times New Roman" w:eastAsiaTheme="minorEastAsia"/>
      <w:szCs w:val="24"/>
    </w:rPr>
  </w:style>
  <w:style w:type="paragraph" w:styleId="27">
    <w:name w:val="Title"/>
    <w:basedOn w:val="1"/>
    <w:next w:val="1"/>
    <w:link w:val="40"/>
    <w:qFormat/>
    <w:uiPriority w:val="10"/>
    <w:pPr>
      <w:spacing w:before="240" w:after="240"/>
      <w:ind w:firstLine="0" w:firstLineChars="0"/>
      <w:contextualSpacing/>
      <w:jc w:val="center"/>
    </w:pPr>
    <w:rPr>
      <w:rFonts w:eastAsia="黑体" w:cstheme="majorBidi"/>
      <w:spacing w:val="5"/>
      <w:kern w:val="28"/>
      <w:sz w:val="44"/>
      <w:szCs w:val="52"/>
    </w:rPr>
  </w:style>
  <w:style w:type="character" w:styleId="29">
    <w:name w:val="endnote reference"/>
    <w:basedOn w:val="28"/>
    <w:unhideWhenUsed/>
    <w:qFormat/>
    <w:uiPriority w:val="99"/>
    <w:rPr>
      <w:vertAlign w:val="superscript"/>
    </w:rPr>
  </w:style>
  <w:style w:type="character" w:styleId="30">
    <w:name w:val="FollowedHyperlink"/>
    <w:basedOn w:val="28"/>
    <w:unhideWhenUsed/>
    <w:qFormat/>
    <w:uiPriority w:val="99"/>
    <w:rPr>
      <w:color w:val="800080"/>
      <w:u w:val="single"/>
    </w:rPr>
  </w:style>
  <w:style w:type="character" w:styleId="31">
    <w:name w:val="Hyperlink"/>
    <w:basedOn w:val="28"/>
    <w:unhideWhenUsed/>
    <w:qFormat/>
    <w:uiPriority w:val="99"/>
    <w:rPr>
      <w:color w:val="0000FF"/>
      <w:u w:val="single"/>
    </w:rPr>
  </w:style>
  <w:style w:type="character" w:styleId="32">
    <w:name w:val="annotation reference"/>
    <w:basedOn w:val="28"/>
    <w:semiHidden/>
    <w:unhideWhenUsed/>
    <w:qFormat/>
    <w:uiPriority w:val="99"/>
    <w:rPr>
      <w:sz w:val="21"/>
      <w:szCs w:val="21"/>
    </w:rPr>
  </w:style>
  <w:style w:type="character" w:styleId="33">
    <w:name w:val="footnote reference"/>
    <w:unhideWhenUsed/>
    <w:qFormat/>
    <w:uiPriority w:val="99"/>
    <w:rPr>
      <w:vertAlign w:val="superscript"/>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标题 1 字符"/>
    <w:basedOn w:val="28"/>
    <w:link w:val="3"/>
    <w:qFormat/>
    <w:uiPriority w:val="9"/>
    <w:rPr>
      <w:rFonts w:ascii="Times New Roman" w:hAnsi="Times New Roman" w:eastAsia="楷体" w:cstheme="majorBidi"/>
      <w:b/>
      <w:bCs/>
      <w:sz w:val="32"/>
      <w:szCs w:val="28"/>
    </w:rPr>
  </w:style>
  <w:style w:type="character" w:customStyle="1" w:styleId="37">
    <w:name w:val="标题 3 字符"/>
    <w:basedOn w:val="28"/>
    <w:link w:val="5"/>
    <w:qFormat/>
    <w:uiPriority w:val="9"/>
    <w:rPr>
      <w:rFonts w:ascii="Times New Roman" w:hAnsi="Times New Roman" w:eastAsia="仿宋_GB2312" w:cstheme="majorBidi"/>
      <w:b/>
      <w:bCs/>
      <w:sz w:val="28"/>
    </w:rPr>
  </w:style>
  <w:style w:type="character" w:customStyle="1" w:styleId="38">
    <w:name w:val="标题 2 字符"/>
    <w:basedOn w:val="28"/>
    <w:link w:val="4"/>
    <w:qFormat/>
    <w:uiPriority w:val="9"/>
    <w:rPr>
      <w:rFonts w:ascii="Times New Roman" w:hAnsi="Times New Roman" w:eastAsia="楷体_GB2312" w:cstheme="majorBidi"/>
      <w:bCs/>
      <w:sz w:val="28"/>
      <w:szCs w:val="26"/>
    </w:rPr>
  </w:style>
  <w:style w:type="character" w:customStyle="1" w:styleId="39">
    <w:name w:val="标题 4 字符"/>
    <w:basedOn w:val="28"/>
    <w:link w:val="6"/>
    <w:qFormat/>
    <w:uiPriority w:val="9"/>
    <w:rPr>
      <w:rFonts w:ascii="仿宋_GB2312" w:hAnsi="仿宋_GB2312" w:eastAsia="仿宋_GB2312" w:cstheme="majorBidi"/>
      <w:bCs/>
      <w:iCs/>
      <w:sz w:val="28"/>
    </w:rPr>
  </w:style>
  <w:style w:type="character" w:customStyle="1" w:styleId="40">
    <w:name w:val="标题 字符"/>
    <w:basedOn w:val="28"/>
    <w:link w:val="27"/>
    <w:qFormat/>
    <w:uiPriority w:val="10"/>
    <w:rPr>
      <w:rFonts w:ascii="Times New Roman" w:hAnsi="Times New Roman" w:eastAsia="黑体" w:cstheme="majorBidi"/>
      <w:spacing w:val="5"/>
      <w:kern w:val="28"/>
      <w:sz w:val="44"/>
      <w:szCs w:val="52"/>
    </w:rPr>
  </w:style>
  <w:style w:type="character" w:customStyle="1" w:styleId="41">
    <w:name w:val="脚注文本 字符"/>
    <w:basedOn w:val="28"/>
    <w:link w:val="22"/>
    <w:semiHidden/>
    <w:qFormat/>
    <w:uiPriority w:val="99"/>
    <w:rPr>
      <w:rFonts w:ascii="Times New Roman" w:hAnsi="Times New Roman" w:eastAsia="仿宋_GB2312" w:cs="Times New Roman"/>
      <w:sz w:val="20"/>
      <w:szCs w:val="20"/>
    </w:rPr>
  </w:style>
  <w:style w:type="character" w:customStyle="1" w:styleId="42">
    <w:name w:val="页眉 字符"/>
    <w:basedOn w:val="28"/>
    <w:link w:val="19"/>
    <w:qFormat/>
    <w:uiPriority w:val="99"/>
    <w:rPr>
      <w:rFonts w:ascii="Times New Roman" w:hAnsi="Times New Roman" w:eastAsia="仿宋_GB2312"/>
      <w:sz w:val="24"/>
    </w:rPr>
  </w:style>
  <w:style w:type="character" w:customStyle="1" w:styleId="43">
    <w:name w:val="页脚 字符"/>
    <w:basedOn w:val="28"/>
    <w:link w:val="18"/>
    <w:qFormat/>
    <w:uiPriority w:val="99"/>
    <w:rPr>
      <w:rFonts w:ascii="Times New Roman" w:hAnsi="Times New Roman" w:eastAsia="仿宋_GB2312"/>
      <w:sz w:val="24"/>
    </w:rPr>
  </w:style>
  <w:style w:type="paragraph" w:customStyle="1" w:styleId="44">
    <w:name w:val="列表段落1"/>
    <w:basedOn w:val="1"/>
    <w:qFormat/>
    <w:uiPriority w:val="34"/>
    <w:pPr>
      <w:ind w:left="720"/>
      <w:contextualSpacing/>
    </w:pPr>
  </w:style>
  <w:style w:type="character" w:customStyle="1" w:styleId="45">
    <w:name w:val="批注框文本 字符"/>
    <w:basedOn w:val="28"/>
    <w:link w:val="17"/>
    <w:semiHidden/>
    <w:qFormat/>
    <w:uiPriority w:val="99"/>
    <w:rPr>
      <w:rFonts w:ascii="宋体" w:hAnsi="Times New Roman" w:eastAsia="宋体"/>
      <w:sz w:val="18"/>
      <w:szCs w:val="18"/>
    </w:rPr>
  </w:style>
  <w:style w:type="paragraph" w:customStyle="1" w:styleId="46">
    <w:name w:val="Char"/>
    <w:basedOn w:val="1"/>
    <w:qFormat/>
    <w:uiPriority w:val="0"/>
    <w:pPr>
      <w:spacing w:after="160" w:line="240" w:lineRule="exact"/>
      <w:ind w:firstLine="0" w:firstLineChars="0"/>
    </w:pPr>
    <w:rPr>
      <w:rFonts w:cs="Times New Roman"/>
      <w:szCs w:val="32"/>
    </w:rPr>
  </w:style>
  <w:style w:type="character" w:customStyle="1" w:styleId="47">
    <w:name w:val="标题 5 字符"/>
    <w:basedOn w:val="28"/>
    <w:link w:val="7"/>
    <w:semiHidden/>
    <w:qFormat/>
    <w:uiPriority w:val="9"/>
    <w:rPr>
      <w:rFonts w:asciiTheme="majorHAnsi" w:hAnsiTheme="majorHAnsi" w:eastAsiaTheme="majorEastAsia" w:cstheme="majorBidi"/>
      <w:color w:val="254061" w:themeColor="accent1" w:themeShade="80"/>
      <w:sz w:val="24"/>
    </w:rPr>
  </w:style>
  <w:style w:type="paragraph" w:customStyle="1" w:styleId="48">
    <w:name w:val="font0"/>
    <w:basedOn w:val="1"/>
    <w:qFormat/>
    <w:uiPriority w:val="0"/>
    <w:pPr>
      <w:spacing w:before="100" w:beforeAutospacing="1" w:after="100" w:afterAutospacing="1" w:line="240" w:lineRule="auto"/>
      <w:ind w:firstLine="0" w:firstLineChars="0"/>
    </w:pPr>
    <w:rPr>
      <w:rFonts w:eastAsia="Times New Roman" w:cs="Times New Roman"/>
      <w:color w:val="000000"/>
      <w:szCs w:val="24"/>
    </w:rPr>
  </w:style>
  <w:style w:type="paragraph" w:customStyle="1" w:styleId="49">
    <w:name w:val="font5"/>
    <w:basedOn w:val="1"/>
    <w:qFormat/>
    <w:uiPriority w:val="0"/>
    <w:pPr>
      <w:spacing w:before="100" w:beforeAutospacing="1" w:after="100" w:afterAutospacing="1" w:line="240" w:lineRule="auto"/>
      <w:ind w:firstLine="0" w:firstLineChars="0"/>
    </w:pPr>
    <w:rPr>
      <w:rFonts w:eastAsia="Times New Roman" w:cs="Times New Roman"/>
      <w:b/>
      <w:bCs/>
      <w:color w:val="000000"/>
      <w:sz w:val="40"/>
      <w:szCs w:val="40"/>
    </w:rPr>
  </w:style>
  <w:style w:type="paragraph" w:customStyle="1" w:styleId="50">
    <w:name w:val="font6"/>
    <w:basedOn w:val="1"/>
    <w:qFormat/>
    <w:uiPriority w:val="0"/>
    <w:pPr>
      <w:spacing w:before="100" w:beforeAutospacing="1" w:after="100" w:afterAutospacing="1" w:line="240" w:lineRule="auto"/>
      <w:ind w:firstLine="0" w:firstLineChars="0"/>
    </w:pPr>
    <w:rPr>
      <w:rFonts w:ascii="宋体" w:hAnsi="宋体" w:eastAsia="宋体" w:cs="Times New Roman"/>
      <w:b/>
      <w:bCs/>
      <w:color w:val="000000"/>
      <w:sz w:val="40"/>
      <w:szCs w:val="40"/>
    </w:rPr>
  </w:style>
  <w:style w:type="paragraph" w:customStyle="1" w:styleId="51">
    <w:name w:val="font7"/>
    <w:basedOn w:val="1"/>
    <w:qFormat/>
    <w:uiPriority w:val="0"/>
    <w:pPr>
      <w:spacing w:before="100" w:beforeAutospacing="1" w:after="100" w:afterAutospacing="1" w:line="240" w:lineRule="auto"/>
      <w:ind w:firstLine="0" w:firstLineChars="0"/>
    </w:pPr>
    <w:rPr>
      <w:rFonts w:ascii="宋体" w:hAnsi="宋体" w:eastAsia="宋体" w:cs="Times New Roman"/>
      <w:color w:val="000000"/>
      <w:szCs w:val="24"/>
    </w:rPr>
  </w:style>
  <w:style w:type="paragraph" w:customStyle="1" w:styleId="52">
    <w:name w:val="font8"/>
    <w:basedOn w:val="1"/>
    <w:qFormat/>
    <w:uiPriority w:val="0"/>
    <w:pPr>
      <w:spacing w:before="100" w:beforeAutospacing="1" w:after="100" w:afterAutospacing="1" w:line="240" w:lineRule="auto"/>
      <w:ind w:firstLine="0" w:firstLineChars="0"/>
    </w:pPr>
    <w:rPr>
      <w:rFonts w:ascii="宋体" w:hAnsi="宋体" w:eastAsia="宋体" w:cs="Times New Roman"/>
      <w:szCs w:val="24"/>
    </w:rPr>
  </w:style>
  <w:style w:type="paragraph" w:customStyle="1" w:styleId="53">
    <w:name w:val="font9"/>
    <w:basedOn w:val="1"/>
    <w:qFormat/>
    <w:uiPriority w:val="0"/>
    <w:pPr>
      <w:spacing w:before="100" w:beforeAutospacing="1" w:after="100" w:afterAutospacing="1" w:line="240" w:lineRule="auto"/>
      <w:ind w:firstLine="0" w:firstLineChars="0"/>
    </w:pPr>
    <w:rPr>
      <w:rFonts w:eastAsia="Times New Roman" w:cs="Times New Roman"/>
      <w:szCs w:val="24"/>
    </w:rPr>
  </w:style>
  <w:style w:type="paragraph" w:customStyle="1" w:styleId="54">
    <w:name w:val="xl65"/>
    <w:basedOn w:val="1"/>
    <w:qFormat/>
    <w:uiPriority w:val="0"/>
    <w:pPr>
      <w:pBdr>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55">
    <w:name w:val="xl66"/>
    <w:basedOn w:val="1"/>
    <w:qFormat/>
    <w:uiPriority w:val="0"/>
    <w:pP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6">
    <w:name w:val="xl67"/>
    <w:basedOn w:val="1"/>
    <w:qFormat/>
    <w:uiPriority w:val="0"/>
    <w:pPr>
      <w:pBdr>
        <w:bottom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7">
    <w:name w:val="xl73"/>
    <w:basedOn w:val="1"/>
    <w:qFormat/>
    <w:uiPriority w:val="0"/>
    <w:pPr>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58">
    <w:name w:val="xl74"/>
    <w:basedOn w:val="1"/>
    <w:qFormat/>
    <w:uiPriority w:val="0"/>
    <w:pPr>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59">
    <w:name w:val="xl75"/>
    <w:basedOn w:val="1"/>
    <w:qFormat/>
    <w:uiPriority w:val="0"/>
    <w:pPr>
      <w:pBdr>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60">
    <w:name w:val="xl76"/>
    <w:basedOn w:val="1"/>
    <w:qFormat/>
    <w:uiPriority w:val="0"/>
    <w:pP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61">
    <w:name w:val="xl7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6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6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64">
    <w:name w:val="xl8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65">
    <w:name w:val="xl8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66">
    <w:name w:val="xl83"/>
    <w:basedOn w:val="1"/>
    <w:qFormat/>
    <w:uiPriority w:val="0"/>
    <w:pPr>
      <w:pBdr>
        <w:left w:val="single" w:color="auto" w:sz="8" w:space="0"/>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67">
    <w:name w:val="xl84"/>
    <w:basedOn w:val="1"/>
    <w:qFormat/>
    <w:uiPriority w:val="0"/>
    <w:pPr>
      <w:spacing w:before="100" w:beforeAutospacing="1" w:after="100" w:afterAutospacing="1" w:line="240" w:lineRule="auto"/>
      <w:ind w:firstLine="0" w:firstLineChars="0"/>
      <w:jc w:val="center"/>
      <w:textAlignment w:val="center"/>
    </w:pPr>
    <w:rPr>
      <w:rFonts w:eastAsia="Times New Roman" w:cs="Times New Roman"/>
      <w:b/>
      <w:bCs/>
      <w:sz w:val="40"/>
      <w:szCs w:val="40"/>
    </w:rPr>
  </w:style>
  <w:style w:type="paragraph" w:customStyle="1" w:styleId="68">
    <w:name w:val="xl85"/>
    <w:basedOn w:val="1"/>
    <w:qFormat/>
    <w:uiPriority w:val="0"/>
    <w:pPr>
      <w:spacing w:before="100" w:beforeAutospacing="1" w:after="100" w:afterAutospacing="1" w:line="240" w:lineRule="auto"/>
      <w:ind w:firstLine="0" w:firstLineChars="0"/>
      <w:textAlignment w:val="center"/>
    </w:pPr>
    <w:rPr>
      <w:rFonts w:eastAsia="Times New Roman" w:cs="Times New Roman"/>
      <w:b/>
      <w:bCs/>
      <w:sz w:val="40"/>
      <w:szCs w:val="40"/>
    </w:rPr>
  </w:style>
  <w:style w:type="paragraph" w:customStyle="1" w:styleId="69">
    <w:name w:val="xl86"/>
    <w:basedOn w:val="1"/>
    <w:qFormat/>
    <w:uiPriority w:val="0"/>
    <w:pPr>
      <w:pBdr>
        <w:bottom w:val="single" w:color="auto" w:sz="8" w:space="0"/>
      </w:pBdr>
      <w:spacing w:before="100" w:beforeAutospacing="1" w:after="100" w:afterAutospacing="1" w:line="240" w:lineRule="auto"/>
      <w:ind w:firstLine="0" w:firstLineChars="0"/>
      <w:jc w:val="right"/>
      <w:textAlignment w:val="center"/>
    </w:pPr>
    <w:rPr>
      <w:rFonts w:eastAsia="Times New Roman" w:cs="Times New Roman"/>
      <w:b/>
      <w:bCs/>
      <w:sz w:val="40"/>
      <w:szCs w:val="40"/>
    </w:rPr>
  </w:style>
  <w:style w:type="paragraph" w:customStyle="1" w:styleId="70">
    <w:name w:val="xl87"/>
    <w:basedOn w:val="1"/>
    <w:qFormat/>
    <w:uiPriority w:val="0"/>
    <w:pPr>
      <w:pBdr>
        <w:top w:val="single" w:color="auto" w:sz="8" w:space="0"/>
        <w:left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1">
    <w:name w:val="xl88"/>
    <w:basedOn w:val="1"/>
    <w:qFormat/>
    <w:uiPriority w:val="0"/>
    <w:pPr>
      <w:pBdr>
        <w:top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2">
    <w:name w:val="xl89"/>
    <w:basedOn w:val="1"/>
    <w:qFormat/>
    <w:uiPriority w:val="0"/>
    <w:pPr>
      <w:pBdr>
        <w:top w:val="single" w:color="auto" w:sz="8" w:space="0"/>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3">
    <w:name w:val="xl90"/>
    <w:basedOn w:val="1"/>
    <w:qFormat/>
    <w:uiPriority w:val="0"/>
    <w:pPr>
      <w:pBdr>
        <w:top w:val="single" w:color="auto" w:sz="8" w:space="0"/>
        <w:left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4">
    <w:name w:val="xl91"/>
    <w:basedOn w:val="1"/>
    <w:qFormat/>
    <w:uiPriority w:val="0"/>
    <w:pPr>
      <w:pBdr>
        <w:left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5">
    <w:name w:val="xl92"/>
    <w:basedOn w:val="1"/>
    <w:qFormat/>
    <w:uiPriority w:val="0"/>
    <w:pPr>
      <w:pBdr>
        <w:top w:val="single" w:color="auto" w:sz="8" w:space="0"/>
        <w:lef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6">
    <w:name w:val="xl93"/>
    <w:basedOn w:val="1"/>
    <w:qFormat/>
    <w:uiPriority w:val="0"/>
    <w:pPr>
      <w:pBdr>
        <w:lef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7">
    <w:name w:val="xl94"/>
    <w:basedOn w:val="1"/>
    <w:qFormat/>
    <w:uiPriority w:val="0"/>
    <w:pPr>
      <w:pBdr>
        <w:left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8">
    <w:name w:val="xl95"/>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79">
    <w:name w:val="xl96"/>
    <w:basedOn w:val="1"/>
    <w:qFormat/>
    <w:uiPriority w:val="0"/>
    <w:pPr>
      <w:pBdr>
        <w:top w:val="single" w:color="auto" w:sz="8" w:space="0"/>
        <w:left w:val="single" w:color="auto" w:sz="8" w:space="0"/>
        <w:bottom w:val="single" w:color="auto" w:sz="4"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80">
    <w:name w:val="xl97"/>
    <w:basedOn w:val="1"/>
    <w:qFormat/>
    <w:uiPriority w:val="0"/>
    <w:pPr>
      <w:pBdr>
        <w:top w:val="single" w:color="auto" w:sz="4" w:space="0"/>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81">
    <w:name w:val="xl98"/>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2">
    <w:name w:val="xl99"/>
    <w:basedOn w:val="1"/>
    <w:qFormat/>
    <w:uiPriority w:val="0"/>
    <w:pPr>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3">
    <w:name w:val="xl10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4">
    <w:name w:val="xl101"/>
    <w:basedOn w:val="1"/>
    <w:qFormat/>
    <w:uiPriority w:val="0"/>
    <w:pPr>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5">
    <w:name w:val="xl102"/>
    <w:basedOn w:val="1"/>
    <w:qFormat/>
    <w:uiPriority w:val="0"/>
    <w:pPr>
      <w:pBdr>
        <w:left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6">
    <w:name w:val="xl103"/>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7">
    <w:name w:val="xl104"/>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8">
    <w:name w:val="xl105"/>
    <w:basedOn w:val="1"/>
    <w:qFormat/>
    <w:uiPriority w:val="0"/>
    <w:pPr>
      <w:pBdr>
        <w:left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9">
    <w:name w:val="xl106"/>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90">
    <w:name w:val="xl107"/>
    <w:basedOn w:val="1"/>
    <w:qFormat/>
    <w:uiPriority w:val="0"/>
    <w:pPr>
      <w:pBdr>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91">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2">
    <w:name w:val="xl109"/>
    <w:basedOn w:val="1"/>
    <w:qFormat/>
    <w:uiPriority w:val="0"/>
    <w:pPr>
      <w:pBdr>
        <w:top w:val="single" w:color="auto" w:sz="8" w:space="0"/>
        <w:left w:val="single" w:color="auto" w:sz="8" w:space="0"/>
        <w:bottom w:val="single" w:color="auto" w:sz="4"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3">
    <w:name w:val="xl110"/>
    <w:basedOn w:val="1"/>
    <w:qFormat/>
    <w:uiPriority w:val="0"/>
    <w:pPr>
      <w:pBdr>
        <w:top w:val="single" w:color="auto" w:sz="4" w:space="0"/>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4">
    <w:name w:val="xl111"/>
    <w:basedOn w:val="1"/>
    <w:qFormat/>
    <w:uiPriority w:val="0"/>
    <w:pPr>
      <w:pBdr>
        <w:top w:val="single" w:color="auto" w:sz="8" w:space="0"/>
        <w:left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5">
    <w:name w:val="xl112"/>
    <w:basedOn w:val="1"/>
    <w:qFormat/>
    <w:uiPriority w:val="0"/>
    <w:pPr>
      <w:pBdr>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6">
    <w:name w:val="xl11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97">
    <w:name w:val="xl114"/>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8">
    <w:name w:val="xl115"/>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9">
    <w:name w:val="xl11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top"/>
    </w:pPr>
    <w:rPr>
      <w:rFonts w:eastAsia="Times New Roman" w:cs="Times New Roman"/>
      <w:szCs w:val="24"/>
    </w:rPr>
  </w:style>
  <w:style w:type="paragraph" w:customStyle="1" w:styleId="100">
    <w:name w:val="xl117"/>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1">
    <w:name w:val="xl118"/>
    <w:basedOn w:val="1"/>
    <w:qFormat/>
    <w:uiPriority w:val="0"/>
    <w:pPr>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2">
    <w:name w:val="xl11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3">
    <w:name w:val="xl12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4">
    <w:name w:val="xl121"/>
    <w:basedOn w:val="1"/>
    <w:qFormat/>
    <w:uiPriority w:val="0"/>
    <w:pPr>
      <w:pBdr>
        <w:left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5">
    <w:name w:val="xl122"/>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6">
    <w:name w:val="xl123"/>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07">
    <w:name w:val="xl12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08">
    <w:name w:val="xl125"/>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9">
    <w:name w:val="xl12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10">
    <w:name w:val="xl127"/>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11">
    <w:name w:val="xl128"/>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12">
    <w:name w:val="xl129"/>
    <w:basedOn w:val="1"/>
    <w:qFormat/>
    <w:uiPriority w:val="0"/>
    <w:pPr>
      <w:pBdr>
        <w:top w:val="single" w:color="auto" w:sz="8" w:space="0"/>
        <w:left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b/>
      <w:bCs/>
      <w:szCs w:val="32"/>
    </w:rPr>
  </w:style>
  <w:style w:type="paragraph" w:customStyle="1" w:styleId="113">
    <w:name w:val="xl130"/>
    <w:basedOn w:val="1"/>
    <w:qFormat/>
    <w:uiPriority w:val="0"/>
    <w:pPr>
      <w:pBdr>
        <w:top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b/>
      <w:bCs/>
      <w:szCs w:val="32"/>
    </w:rPr>
  </w:style>
  <w:style w:type="paragraph" w:customStyle="1" w:styleId="114">
    <w:name w:val="xl131"/>
    <w:basedOn w:val="1"/>
    <w:qFormat/>
    <w:uiPriority w:val="0"/>
    <w:pPr>
      <w:pBdr>
        <w:top w:val="single" w:color="auto" w:sz="8" w:space="0"/>
        <w:left w:val="single" w:color="auto" w:sz="8" w:space="0"/>
        <w:bottom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5">
    <w:name w:val="xl132"/>
    <w:basedOn w:val="1"/>
    <w:qFormat/>
    <w:uiPriority w:val="0"/>
    <w:pPr>
      <w:pBdr>
        <w:top w:val="single" w:color="auto" w:sz="8" w:space="0"/>
        <w:bottom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6">
    <w:name w:val="xl133"/>
    <w:basedOn w:val="1"/>
    <w:qFormat/>
    <w:uiPriority w:val="0"/>
    <w:pPr>
      <w:pBdr>
        <w:top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7">
    <w:name w:val="xl134"/>
    <w:basedOn w:val="1"/>
    <w:qFormat/>
    <w:uiPriority w:val="0"/>
    <w:pPr>
      <w:pBdr>
        <w:left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Cs w:val="32"/>
    </w:rPr>
  </w:style>
  <w:style w:type="paragraph" w:customStyle="1" w:styleId="118">
    <w:name w:val="xl135"/>
    <w:basedOn w:val="1"/>
    <w:qFormat/>
    <w:uiPriority w:val="0"/>
    <w:pPr>
      <w:pBdr>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Cs w:val="32"/>
    </w:rPr>
  </w:style>
  <w:style w:type="paragraph" w:customStyle="1" w:styleId="119">
    <w:name w:val="xl136"/>
    <w:basedOn w:val="1"/>
    <w:qFormat/>
    <w:uiPriority w:val="0"/>
    <w:pPr>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Cs w:val="32"/>
    </w:rPr>
  </w:style>
  <w:style w:type="paragraph" w:customStyle="1" w:styleId="120">
    <w:name w:val="xl13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121">
    <w:name w:val="xl138"/>
    <w:basedOn w:val="1"/>
    <w:qFormat/>
    <w:uiPriority w:val="0"/>
    <w:pPr>
      <w:pBdr>
        <w:left w:val="single" w:color="auto" w:sz="4" w:space="0"/>
        <w:bottom w:val="single" w:color="auto" w:sz="8"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22">
    <w:name w:val="xl139"/>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3">
    <w:name w:val="xl140"/>
    <w:basedOn w:val="1"/>
    <w:qFormat/>
    <w:uiPriority w:val="0"/>
    <w:pPr>
      <w:pBdr>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4">
    <w:name w:val="xl141"/>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5">
    <w:name w:val="xl142"/>
    <w:basedOn w:val="1"/>
    <w:qFormat/>
    <w:uiPriority w:val="0"/>
    <w:pPr>
      <w:pBdr>
        <w:left w:val="single" w:color="auto" w:sz="4" w:space="0"/>
        <w:bottom w:val="single" w:color="auto" w:sz="8"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table" w:customStyle="1" w:styleId="126">
    <w:name w:val="网格型1"/>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7">
    <w:name w:val="TOC 标题1"/>
    <w:basedOn w:val="3"/>
    <w:next w:val="1"/>
    <w:unhideWhenUsed/>
    <w:qFormat/>
    <w:uiPriority w:val="39"/>
    <w:pPr>
      <w:spacing w:before="480" w:after="0" w:line="276" w:lineRule="auto"/>
      <w:ind w:firstLine="0" w:firstLineChars="0"/>
      <w:outlineLvl w:val="9"/>
    </w:pPr>
    <w:rPr>
      <w:rFonts w:asciiTheme="majorHAnsi" w:hAnsiTheme="majorHAnsi" w:eastAsiaTheme="majorEastAsia"/>
      <w:color w:val="376092" w:themeColor="accent1" w:themeShade="BF"/>
    </w:rPr>
  </w:style>
  <w:style w:type="table" w:customStyle="1" w:styleId="128">
    <w:name w:val="网格型2"/>
    <w:basedOn w:val="34"/>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9">
    <w:name w:val="网格型3"/>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0">
    <w:name w:val="网格型5"/>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1">
    <w:name w:val="尾注文本 字符"/>
    <w:basedOn w:val="28"/>
    <w:link w:val="16"/>
    <w:semiHidden/>
    <w:qFormat/>
    <w:uiPriority w:val="99"/>
    <w:rPr>
      <w:rFonts w:ascii="Times New Roman" w:hAnsi="Times New Roman" w:eastAsia="仿宋_GB2312"/>
      <w:sz w:val="28"/>
    </w:rPr>
  </w:style>
  <w:style w:type="paragraph" w:customStyle="1" w:styleId="132">
    <w:name w:val="TOC 标题2"/>
    <w:basedOn w:val="3"/>
    <w:next w:val="1"/>
    <w:unhideWhenUsed/>
    <w:qFormat/>
    <w:uiPriority w:val="39"/>
    <w:pPr>
      <w:spacing w:before="340" w:beforeLines="0" w:after="330" w:afterLines="0" w:line="578" w:lineRule="auto"/>
      <w:ind w:firstLine="200"/>
      <w:outlineLvl w:val="9"/>
    </w:pPr>
    <w:rPr>
      <w:rFonts w:eastAsia="仿宋_GB2312" w:cstheme="minorBidi"/>
      <w:kern w:val="44"/>
      <w:sz w:val="44"/>
      <w:szCs w:val="44"/>
    </w:rPr>
  </w:style>
  <w:style w:type="paragraph" w:styleId="133">
    <w:name w:val="List Paragraph"/>
    <w:basedOn w:val="1"/>
    <w:qFormat/>
    <w:uiPriority w:val="99"/>
    <w:pPr>
      <w:ind w:firstLine="420"/>
    </w:pPr>
  </w:style>
  <w:style w:type="character" w:customStyle="1" w:styleId="134">
    <w:name w:val="批注文字 字符"/>
    <w:basedOn w:val="28"/>
    <w:link w:val="9"/>
    <w:semiHidden/>
    <w:qFormat/>
    <w:uiPriority w:val="99"/>
    <w:rPr>
      <w:rFonts w:ascii="Times New Roman" w:hAnsi="Times New Roman" w:eastAsia="仿宋_GB2312"/>
      <w:sz w:val="28"/>
      <w:szCs w:val="22"/>
    </w:rPr>
  </w:style>
  <w:style w:type="character" w:customStyle="1" w:styleId="135">
    <w:name w:val="批注主题 字符"/>
    <w:basedOn w:val="134"/>
    <w:link w:val="8"/>
    <w:semiHidden/>
    <w:qFormat/>
    <w:uiPriority w:val="99"/>
    <w:rPr>
      <w:rFonts w:ascii="Times New Roman" w:hAnsi="Times New Roman" w:eastAsia="仿宋_GB2312"/>
      <w:b/>
      <w:bCs/>
      <w:sz w:val="28"/>
      <w:szCs w:val="22"/>
    </w:rPr>
  </w:style>
  <w:style w:type="character" w:customStyle="1" w:styleId="136">
    <w:name w:val="font31"/>
    <w:basedOn w:val="28"/>
    <w:qFormat/>
    <w:uiPriority w:val="0"/>
    <w:rPr>
      <w:rFonts w:hint="eastAsia" w:ascii="仿宋_GB2312" w:eastAsia="仿宋_GB2312" w:cs="仿宋_GB2312"/>
      <w:b/>
      <w:bCs/>
      <w:color w:val="000000"/>
      <w:sz w:val="22"/>
      <w:szCs w:val="22"/>
      <w:u w:val="none"/>
    </w:rPr>
  </w:style>
  <w:style w:type="character" w:customStyle="1" w:styleId="137">
    <w:name w:val="font21"/>
    <w:basedOn w:val="28"/>
    <w:qFormat/>
    <w:uiPriority w:val="0"/>
    <w:rPr>
      <w:rFonts w:hint="eastAsia" w:ascii="仿宋_GB2312" w:eastAsia="仿宋_GB2312" w:cs="仿宋_GB2312"/>
      <w:color w:val="000000"/>
      <w:sz w:val="22"/>
      <w:szCs w:val="22"/>
      <w:u w:val="none"/>
    </w:rPr>
  </w:style>
  <w:style w:type="paragraph" w:customStyle="1" w:styleId="138">
    <w:name w:val="WPSOffice手动目录 1"/>
    <w:qFormat/>
    <w:uiPriority w:val="0"/>
    <w:rPr>
      <w:rFonts w:ascii="Times New Roman" w:hAnsi="Times New Roman" w:eastAsia="宋体" w:cs="Times New Roman"/>
      <w:lang w:val="en-US" w:eastAsia="zh-CN" w:bidi="ar-SA"/>
    </w:rPr>
  </w:style>
  <w:style w:type="paragraph" w:customStyle="1" w:styleId="139">
    <w:name w:val="WPSOffice手动目录 2"/>
    <w:qFormat/>
    <w:uiPriority w:val="0"/>
    <w:pPr>
      <w:ind w:left="200" w:leftChars="200"/>
    </w:pPr>
    <w:rPr>
      <w:rFonts w:ascii="Times New Roman" w:hAnsi="Times New Roman" w:eastAsia="宋体" w:cs="Times New Roman"/>
      <w:lang w:val="en-US" w:eastAsia="zh-CN" w:bidi="ar-SA"/>
    </w:rPr>
  </w:style>
  <w:style w:type="paragraph" w:styleId="140">
    <w:name w:val="Quote"/>
    <w:basedOn w:val="1"/>
    <w:next w:val="1"/>
    <w:qFormat/>
    <w:uiPriority w:val="29"/>
    <w:pPr>
      <w:spacing w:line="240" w:lineRule="auto"/>
    </w:pPr>
    <w:rPr>
      <w:rFonts w:ascii="仿宋_GB2312" w:hAnsiTheme="minorHAnsi"/>
      <w:sz w:val="24"/>
      <w:szCs w:val="24"/>
    </w:rPr>
  </w:style>
  <w:style w:type="character" w:customStyle="1" w:styleId="141">
    <w:name w:val="fontstyle01"/>
    <w:basedOn w:val="28"/>
    <w:qFormat/>
    <w:uiPriority w:val="0"/>
    <w:rPr>
      <w:rFonts w:ascii="仿宋_GB2312" w:hAnsi="仿宋_GB2312" w:eastAsia="仿宋_GB2312" w:cs="仿宋_GB2312"/>
      <w:color w:val="000000"/>
      <w:sz w:val="32"/>
      <w:szCs w:val="32"/>
    </w:rPr>
  </w:style>
  <w:style w:type="paragraph" w:customStyle="1" w:styleId="142">
    <w:name w:val="目录 1 New"/>
    <w:basedOn w:val="143"/>
    <w:next w:val="143"/>
    <w:qFormat/>
    <w:uiPriority w:val="0"/>
  </w:style>
  <w:style w:type="paragraph" w:customStyle="1" w:styleId="14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header" Target="header2.xml"/><Relationship Id="rId79" Type="http://schemas.openxmlformats.org/officeDocument/2006/relationships/image" Target="media/image57.png"/><Relationship Id="rId78" Type="http://schemas.openxmlformats.org/officeDocument/2006/relationships/image" Target="media/image56.png"/><Relationship Id="rId77" Type="http://schemas.openxmlformats.org/officeDocument/2006/relationships/image" Target="media/image55.png"/><Relationship Id="rId76" Type="http://schemas.openxmlformats.org/officeDocument/2006/relationships/image" Target="media/image54.png"/><Relationship Id="rId75" Type="http://schemas.openxmlformats.org/officeDocument/2006/relationships/image" Target="media/image53.png"/><Relationship Id="rId74" Type="http://schemas.openxmlformats.org/officeDocument/2006/relationships/image" Target="media/image52.png"/><Relationship Id="rId73" Type="http://schemas.openxmlformats.org/officeDocument/2006/relationships/image" Target="media/image51.png"/><Relationship Id="rId72" Type="http://schemas.openxmlformats.org/officeDocument/2006/relationships/image" Target="media/image50.png"/><Relationship Id="rId71" Type="http://schemas.openxmlformats.org/officeDocument/2006/relationships/image" Target="media/image49.png"/><Relationship Id="rId70" Type="http://schemas.openxmlformats.org/officeDocument/2006/relationships/image" Target="media/image48.png"/><Relationship Id="rId7" Type="http://schemas.openxmlformats.org/officeDocument/2006/relationships/footer" Target="footer3.xml"/><Relationship Id="rId69" Type="http://schemas.openxmlformats.org/officeDocument/2006/relationships/image" Target="media/image47.png"/><Relationship Id="rId68" Type="http://schemas.openxmlformats.org/officeDocument/2006/relationships/image" Target="media/image46.png"/><Relationship Id="rId67" Type="http://schemas.openxmlformats.org/officeDocument/2006/relationships/image" Target="media/image45.png"/><Relationship Id="rId66" Type="http://schemas.openxmlformats.org/officeDocument/2006/relationships/image" Target="media/image44.png"/><Relationship Id="rId65" Type="http://schemas.openxmlformats.org/officeDocument/2006/relationships/image" Target="media/image43.png"/><Relationship Id="rId64" Type="http://schemas.openxmlformats.org/officeDocument/2006/relationships/image" Target="media/image42.png"/><Relationship Id="rId63" Type="http://schemas.openxmlformats.org/officeDocument/2006/relationships/image" Target="media/image41.png"/><Relationship Id="rId62" Type="http://schemas.openxmlformats.org/officeDocument/2006/relationships/image" Target="media/image40.png"/><Relationship Id="rId61" Type="http://schemas.openxmlformats.org/officeDocument/2006/relationships/image" Target="media/image39.png"/><Relationship Id="rId60" Type="http://schemas.openxmlformats.org/officeDocument/2006/relationships/image" Target="media/image38.png"/><Relationship Id="rId6" Type="http://schemas.openxmlformats.org/officeDocument/2006/relationships/footer" Target="footer2.xml"/><Relationship Id="rId59" Type="http://schemas.openxmlformats.org/officeDocument/2006/relationships/image" Target="media/image37.png"/><Relationship Id="rId58" Type="http://schemas.openxmlformats.org/officeDocument/2006/relationships/image" Target="media/image36.png"/><Relationship Id="rId57" Type="http://schemas.openxmlformats.org/officeDocument/2006/relationships/image" Target="media/image35.png"/><Relationship Id="rId56" Type="http://schemas.openxmlformats.org/officeDocument/2006/relationships/image" Target="media/image34.png"/><Relationship Id="rId55" Type="http://schemas.openxmlformats.org/officeDocument/2006/relationships/image" Target="media/image33.png"/><Relationship Id="rId54" Type="http://schemas.openxmlformats.org/officeDocument/2006/relationships/image" Target="media/image32.png"/><Relationship Id="rId53" Type="http://schemas.openxmlformats.org/officeDocument/2006/relationships/image" Target="media/image31.png"/><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footer" Target="footer1.xml"/><Relationship Id="rId49" Type="http://schemas.openxmlformats.org/officeDocument/2006/relationships/image" Target="media/image27.png"/><Relationship Id="rId48" Type="http://schemas.openxmlformats.org/officeDocument/2006/relationships/image" Target="media/image26.png"/><Relationship Id="rId47" Type="http://schemas.openxmlformats.org/officeDocument/2006/relationships/image" Target="media/image25.png"/><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header" Target="header1.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MP\Desktop\&#27531;&#32852;&#35780;&#20998;&#34920;-0714&#29616;&#22330;&#21518;&#35780;&#20998;(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My%20Documents\&#25991;&#26723;\WXWork\1688850002104701\Cache\File\2022-07\&#27531;&#32852;&#35780;&#20998;&#34920;-0714&#29616;&#22330;&#21518;&#35780;&#20998;(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MP\Desktop\&#27531;&#32852;&#35780;&#20998;&#34920;-0714&#29616;&#22330;&#21518;&#35780;&#20998;(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MP\Desktop\&#27531;&#32852;&#35780;&#20998;&#34920;-0714&#29616;&#22330;&#21518;&#35780;&#20998;(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P\Desktop\&#27531;&#32852;&#35780;&#20998;&#34920;-0714&#29616;&#22330;&#21518;&#35780;&#20998;(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MP\Desktop\&#38902;&#20851;&#25253;&#21578;&#20462;&#25913;\&#38468;&#20214;1&#65306;&#38902;&#20851;&#24066;&#27531;&#30142;&#20154;&#32852;&#21512;&#20250;2021&#24180;&#24230;&#37096;&#38376;&#25972;&#20307;&#25903;&#20986;&#32489;&#25928;&#35780;&#20215;&#25351;&#26631;&#35780;&#20998;&#34920;-&#20013;&#22823;&#21672;&#35810;-20220728.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MP\Desktop\&#38902;&#20851;&#25253;&#21578;&#20462;&#25913;\&#38468;&#20214;1&#65306;&#38902;&#20851;&#24066;&#27531;&#30142;&#20154;&#32852;&#21512;&#20250;2021&#24180;&#24230;&#37096;&#38376;&#25972;&#20307;&#25903;&#20986;&#32489;&#25928;&#35780;&#20215;&#25351;&#26631;&#35780;&#20998;&#34920;-&#20013;&#22823;&#21672;&#35810;-20220728.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MP\Desktop\&#38902;&#20851;&#25253;&#21578;&#20462;&#25913;\&#25253;&#21578;&#20462;&#25913;&#36807;&#31243;\&#38468;&#20214;1&#65306;&#38902;&#20851;&#24066;&#27531;&#30142;&#20154;&#32852;&#21512;&#20250;2021&#24180;&#24230;&#37096;&#38376;&#25972;&#20307;&#25903;&#20986;&#32489;&#25928;&#35780;&#20215;&#25351;&#26631;&#35780;&#20998;&#34920;-&#20013;&#22823;&#21672;&#35810;-202207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Sheet2!$O$4:$O$5</c:f>
              <c:strCache>
                <c:ptCount val="2"/>
                <c:pt idx="0">
                  <c:v>预算编制规范性</c:v>
                </c:pt>
                <c:pt idx="1">
                  <c:v>预算调整率</c:v>
                </c:pt>
              </c:strCache>
            </c:strRef>
          </c:cat>
          <c:val>
            <c:numRef>
              <c:f>Sheet2!$P$4:$P$5</c:f>
              <c:numCache>
                <c:formatCode>0%</c:formatCode>
                <c:ptCount val="2"/>
                <c:pt idx="0">
                  <c:v>1</c:v>
                </c:pt>
                <c:pt idx="1" c:formatCode="0.00%">
                  <c:v>0.4633</c:v>
                </c:pt>
              </c:numCache>
            </c:numRef>
          </c:val>
        </c:ser>
        <c:dLbls>
          <c:showLegendKey val="0"/>
          <c:showVal val="1"/>
          <c:showCatName val="0"/>
          <c:showSerName val="0"/>
          <c:showPercent val="0"/>
          <c:showBubbleSize val="0"/>
        </c:dLbls>
        <c:gapWidth val="182"/>
        <c:axId val="627305907"/>
        <c:axId val="800841889"/>
      </c:barChart>
      <c:catAx>
        <c:axId val="627305907"/>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800841889"/>
        <c:crosses val="autoZero"/>
        <c:auto val="1"/>
        <c:lblAlgn val="ctr"/>
        <c:lblOffset val="100"/>
        <c:noMultiLvlLbl val="0"/>
      </c:catAx>
      <c:valAx>
        <c:axId val="800841889"/>
        <c:scaling>
          <c:orientation val="minMax"/>
        </c:scaling>
        <c:delete val="0"/>
        <c:axPos val="b"/>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627305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04891606448"/>
          <c:y val="0.263586956521739"/>
          <c:w val="0.784313507504169"/>
          <c:h val="0.57690217391304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'[残联评分表-0714现场后评分(1).xlsx]Sheet2'!$O$6:$O$8</c:f>
              <c:strCache>
                <c:ptCount val="3"/>
                <c:pt idx="0">
                  <c:v>绩效目标覆盖率</c:v>
                </c:pt>
                <c:pt idx="1">
                  <c:v>绩效目标合理性</c:v>
                </c:pt>
                <c:pt idx="2">
                  <c:v>绩效指标明确性</c:v>
                </c:pt>
              </c:strCache>
            </c:strRef>
          </c:cat>
          <c:val>
            <c:numRef>
              <c:f>'[残联评分表-0714现场后评分(1).xlsx]Sheet2'!$P$6:$P$8</c:f>
              <c:numCache>
                <c:formatCode>0.00%</c:formatCode>
                <c:ptCount val="3"/>
                <c:pt idx="0">
                  <c:v>1</c:v>
                </c:pt>
                <c:pt idx="1">
                  <c:v>0.75</c:v>
                </c:pt>
                <c:pt idx="2">
                  <c:v>0.666666666666667</c:v>
                </c:pt>
              </c:numCache>
            </c:numRef>
          </c:val>
        </c:ser>
        <c:dLbls>
          <c:showLegendKey val="0"/>
          <c:showVal val="1"/>
          <c:showCatName val="0"/>
          <c:showSerName val="0"/>
          <c:showPercent val="0"/>
          <c:showBubbleSize val="0"/>
        </c:dLbls>
        <c:gapWidth val="182"/>
        <c:axId val="677612522"/>
        <c:axId val="757205595"/>
      </c:barChart>
      <c:catAx>
        <c:axId val="677612522"/>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757205595"/>
        <c:crosses val="autoZero"/>
        <c:auto val="1"/>
        <c:lblAlgn val="ctr"/>
        <c:lblOffset val="100"/>
        <c:noMultiLvlLbl val="0"/>
      </c:catAx>
      <c:valAx>
        <c:axId val="757205595"/>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6776125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'[残联评分表-0714现场后评分(1).xlsx]Sheet2'!$O$9:$O$13</c:f>
              <c:strCache>
                <c:ptCount val="5"/>
                <c:pt idx="0">
                  <c:v>部门预算支出率</c:v>
                </c:pt>
                <c:pt idx="1">
                  <c:v>结转结余率</c:v>
                </c:pt>
                <c:pt idx="2">
                  <c:v>政府采购合规性</c:v>
                </c:pt>
                <c:pt idx="3">
                  <c:v>财务合规性</c:v>
                </c:pt>
                <c:pt idx="4">
                  <c:v>预决算信息公开</c:v>
                </c:pt>
              </c:strCache>
            </c:strRef>
          </c:cat>
          <c:val>
            <c:numRef>
              <c:f>'[残联评分表-0714现场后评分(1).xlsx]Sheet2'!$P$9:$P$13</c:f>
              <c:numCache>
                <c:formatCode>0.00%</c:formatCode>
                <c:ptCount val="5"/>
                <c:pt idx="0">
                  <c:v>0.7067</c:v>
                </c:pt>
                <c:pt idx="1" c:formatCode="0%">
                  <c:v>1</c:v>
                </c:pt>
                <c:pt idx="2" c:formatCode="0%">
                  <c:v>0.5</c:v>
                </c:pt>
                <c:pt idx="3" c:formatCode="0%">
                  <c:v>1</c:v>
                </c:pt>
                <c:pt idx="4" c:formatCode="0%">
                  <c:v>1</c:v>
                </c:pt>
              </c:numCache>
            </c:numRef>
          </c:val>
        </c:ser>
        <c:dLbls>
          <c:showLegendKey val="0"/>
          <c:showVal val="1"/>
          <c:showCatName val="0"/>
          <c:showSerName val="0"/>
          <c:showPercent val="0"/>
          <c:showBubbleSize val="0"/>
        </c:dLbls>
        <c:gapWidth val="182"/>
        <c:axId val="460773760"/>
        <c:axId val="940050664"/>
      </c:barChart>
      <c:catAx>
        <c:axId val="460773760"/>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940050664"/>
        <c:crosses val="autoZero"/>
        <c:auto val="1"/>
        <c:lblAlgn val="ctr"/>
        <c:lblOffset val="100"/>
        <c:noMultiLvlLbl val="0"/>
      </c:catAx>
      <c:valAx>
        <c:axId val="940050664"/>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46077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'[残联评分表-0714现场后评分(1).xlsx]Sheet2'!$O$14:$O$15</c:f>
              <c:strCache>
                <c:ptCount val="2"/>
                <c:pt idx="0">
                  <c:v>项目实施程序</c:v>
                </c:pt>
                <c:pt idx="1">
                  <c:v>项目监管</c:v>
                </c:pt>
              </c:strCache>
            </c:strRef>
          </c:cat>
          <c:val>
            <c:numRef>
              <c:f>'[残联评分表-0714现场后评分(1).xlsx]Sheet2'!$P$14:$P$15</c:f>
              <c:numCache>
                <c:formatCode>0%</c:formatCode>
                <c:ptCount val="2"/>
                <c:pt idx="0">
                  <c:v>0.75</c:v>
                </c:pt>
                <c:pt idx="1">
                  <c:v>0.5</c:v>
                </c:pt>
              </c:numCache>
            </c:numRef>
          </c:val>
        </c:ser>
        <c:dLbls>
          <c:showLegendKey val="0"/>
          <c:showVal val="1"/>
          <c:showCatName val="0"/>
          <c:showSerName val="0"/>
          <c:showPercent val="0"/>
          <c:showBubbleSize val="0"/>
        </c:dLbls>
        <c:gapWidth val="182"/>
        <c:axId val="49922279"/>
        <c:axId val="601428106"/>
      </c:barChart>
      <c:catAx>
        <c:axId val="49922279"/>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601428106"/>
        <c:crosses val="autoZero"/>
        <c:auto val="1"/>
        <c:lblAlgn val="ctr"/>
        <c:lblOffset val="100"/>
        <c:noMultiLvlLbl val="0"/>
      </c:catAx>
      <c:valAx>
        <c:axId val="601428106"/>
        <c:scaling>
          <c:orientation val="minMax"/>
        </c:scaling>
        <c:delete val="0"/>
        <c:axPos val="b"/>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499222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'[残联评分表-0714现场后评分(1).xlsx]Sheet2'!$O$16:$O$17</c:f>
              <c:strCache>
                <c:ptCount val="2"/>
                <c:pt idx="0">
                  <c:v>资产管理安全性</c:v>
                </c:pt>
                <c:pt idx="1">
                  <c:v>固定资产利用率</c:v>
                </c:pt>
              </c:strCache>
            </c:strRef>
          </c:cat>
          <c:val>
            <c:numRef>
              <c:f>'[残联评分表-0714现场后评分(1).xlsx]Sheet2'!$P$16:$P$17</c:f>
              <c:numCache>
                <c:formatCode>0%</c:formatCode>
                <c:ptCount val="2"/>
                <c:pt idx="0">
                  <c:v>0.75</c:v>
                </c:pt>
                <c:pt idx="1">
                  <c:v>1</c:v>
                </c:pt>
              </c:numCache>
            </c:numRef>
          </c:val>
        </c:ser>
        <c:dLbls>
          <c:showLegendKey val="0"/>
          <c:showVal val="1"/>
          <c:showCatName val="0"/>
          <c:showSerName val="0"/>
          <c:showPercent val="0"/>
          <c:showBubbleSize val="0"/>
        </c:dLbls>
        <c:gapWidth val="182"/>
        <c:axId val="199155351"/>
        <c:axId val="768570060"/>
      </c:barChart>
      <c:catAx>
        <c:axId val="199155351"/>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768570060"/>
        <c:crosses val="autoZero"/>
        <c:auto val="1"/>
        <c:lblAlgn val="ctr"/>
        <c:lblOffset val="100"/>
        <c:noMultiLvlLbl val="0"/>
      </c:catAx>
      <c:valAx>
        <c:axId val="768570060"/>
        <c:scaling>
          <c:orientation val="minMax"/>
        </c:scaling>
        <c:delete val="0"/>
        <c:axPos val="b"/>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99155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900">
                        <a:latin typeface="宋体" panose="02010600030101010101" charset="-122"/>
                        <a:ea typeface="宋体" panose="02010600030101010101" charset="-122"/>
                        <a:cs typeface="宋体" panose="02010600030101010101" charset="-122"/>
                        <a:sym typeface="宋体" panose="02010600030101010101" charset="-122"/>
                      </a:rPr>
                      <a:t>100.%</a:t>
                    </a:r>
                    <a:endParaRPr sz="900">
                      <a:latin typeface="宋体" panose="02010600030101010101" charset="-122"/>
                      <a:ea typeface="宋体" panose="02010600030101010101" charset="-122"/>
                      <a:cs typeface="宋体" panose="02010600030101010101" charset="-122"/>
                      <a:sym typeface="宋体" panose="02010600030101010101" charset="-122"/>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'[附件1：韶关市残疾人联合会2021年度部门整体支出绩效评价指标评分表-中大咨询-20220728.xlsx]Sheet2'!$O$19:$O$21</c:f>
              <c:strCache>
                <c:ptCount val="3"/>
                <c:pt idx="0">
                  <c:v>公用经费控制率</c:v>
                </c:pt>
                <c:pt idx="1">
                  <c:v>“三公”经费控制率</c:v>
                </c:pt>
                <c:pt idx="2">
                  <c:v>完成成本合理性</c:v>
                </c:pt>
              </c:strCache>
            </c:strRef>
          </c:cat>
          <c:val>
            <c:numRef>
              <c:f>'[附件1：韶关市残疾人联合会2021年度部门整体支出绩效评价指标评分表-中大咨询-20220728.xlsx]Sheet2'!$P$19:$P$21</c:f>
              <c:numCache>
                <c:formatCode>0%</c:formatCode>
                <c:ptCount val="3"/>
                <c:pt idx="0">
                  <c:v>1</c:v>
                </c:pt>
                <c:pt idx="1">
                  <c:v>1</c:v>
                </c:pt>
                <c:pt idx="2" c:formatCode="0.00%">
                  <c:v>1</c:v>
                </c:pt>
              </c:numCache>
            </c:numRef>
          </c:val>
        </c:ser>
        <c:dLbls>
          <c:showLegendKey val="0"/>
          <c:showVal val="1"/>
          <c:showCatName val="0"/>
          <c:showSerName val="0"/>
          <c:showPercent val="0"/>
          <c:showBubbleSize val="0"/>
        </c:dLbls>
        <c:gapWidth val="182"/>
        <c:axId val="130241296"/>
        <c:axId val="66891678"/>
      </c:barChart>
      <c:catAx>
        <c:axId val="1302412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66891678"/>
        <c:crosses val="autoZero"/>
        <c:auto val="1"/>
        <c:lblAlgn val="ctr"/>
        <c:lblOffset val="100"/>
        <c:noMultiLvlLbl val="0"/>
      </c:catAx>
      <c:valAx>
        <c:axId val="66891678"/>
        <c:scaling>
          <c:orientation val="minMax"/>
        </c:scaling>
        <c:delete val="0"/>
        <c:axPos val="b"/>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024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'[附件1：韶关市残疾人联合会2021年度部门整体支出绩效评价指标评分表-中大咨询-20220728.xlsx]Sheet2'!$O$22:$O$24</c:f>
              <c:strCache>
                <c:ptCount val="3"/>
                <c:pt idx="0">
                  <c:v>重点工作完成率</c:v>
                </c:pt>
                <c:pt idx="1">
                  <c:v>绩效目标完成率</c:v>
                </c:pt>
                <c:pt idx="2">
                  <c:v>项目完成及时性</c:v>
                </c:pt>
              </c:strCache>
            </c:strRef>
          </c:cat>
          <c:val>
            <c:numRef>
              <c:f>'[附件1：韶关市残疾人联合会2021年度部门整体支出绩效评价指标评分表-中大咨询-20220728.xlsx]Sheet2'!$P$22:$P$24</c:f>
              <c:numCache>
                <c:formatCode>0.00%</c:formatCode>
                <c:ptCount val="3"/>
                <c:pt idx="0">
                  <c:v>1</c:v>
                </c:pt>
                <c:pt idx="1">
                  <c:v>1</c:v>
                </c:pt>
                <c:pt idx="2">
                  <c:v>1</c:v>
                </c:pt>
              </c:numCache>
            </c:numRef>
          </c:val>
        </c:ser>
        <c:dLbls>
          <c:showLegendKey val="0"/>
          <c:showVal val="1"/>
          <c:showCatName val="0"/>
          <c:showSerName val="0"/>
          <c:showPercent val="0"/>
          <c:showBubbleSize val="0"/>
        </c:dLbls>
        <c:gapWidth val="182"/>
        <c:overlap val="0"/>
        <c:axId val="943088210"/>
        <c:axId val="814890546"/>
      </c:barChart>
      <c:catAx>
        <c:axId val="943088210"/>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814890546"/>
        <c:crosses val="autoZero"/>
        <c:auto val="1"/>
        <c:lblAlgn val="ctr"/>
        <c:lblOffset val="100"/>
        <c:noMultiLvlLbl val="0"/>
      </c:catAx>
      <c:valAx>
        <c:axId val="814890546"/>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9430882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rPr>
              <a:t>效果性三级指标得分率</a:t>
            </a:r>
            <a:endParaRPr b="1">
              <a:solidFill>
                <a:sysClr val="windowText" lastClr="000000"/>
              </a:solidFill>
            </a:endParaRP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'[附件1：韶关市残疾人联合会2021年度部门整体支出绩效评价指标评分表-中大咨询-20220728.xlsx]Sheet2'!$O$25:$O$29</c:f>
              <c:strCache>
                <c:ptCount val="5"/>
                <c:pt idx="0">
                  <c:v>残疾人康复工作</c:v>
                </c:pt>
                <c:pt idx="1">
                  <c:v>残疾人教育工作</c:v>
                </c:pt>
                <c:pt idx="2">
                  <c:v>残疾人就业工作</c:v>
                </c:pt>
                <c:pt idx="3">
                  <c:v>残疾人保障工作</c:v>
                </c:pt>
                <c:pt idx="4">
                  <c:v>残疾人权益工作</c:v>
                </c:pt>
              </c:strCache>
            </c:strRef>
          </c:cat>
          <c:val>
            <c:numRef>
              <c:f>'[附件1：韶关市残疾人联合会2021年度部门整体支出绩效评价指标评分表-中大咨询-20220728.xlsx]Sheet2'!$P$25:$P$29</c:f>
              <c:numCache>
                <c:formatCode>0%</c:formatCode>
                <c:ptCount val="5"/>
                <c:pt idx="0">
                  <c:v>0.75</c:v>
                </c:pt>
                <c:pt idx="1">
                  <c:v>1</c:v>
                </c:pt>
                <c:pt idx="2">
                  <c:v>1</c:v>
                </c:pt>
                <c:pt idx="3">
                  <c:v>1</c:v>
                </c:pt>
                <c:pt idx="4" c:formatCode="0.00%">
                  <c:v>0.8333</c:v>
                </c:pt>
              </c:numCache>
            </c:numRef>
          </c:val>
        </c:ser>
        <c:dLbls>
          <c:showLegendKey val="0"/>
          <c:showVal val="1"/>
          <c:showCatName val="0"/>
          <c:showSerName val="0"/>
          <c:showPercent val="0"/>
          <c:showBubbleSize val="0"/>
        </c:dLbls>
        <c:gapWidth val="182"/>
        <c:overlap val="0"/>
        <c:axId val="176850899"/>
        <c:axId val="207894896"/>
      </c:barChart>
      <c:catAx>
        <c:axId val="176850899"/>
        <c:scaling>
          <c:orientation val="minMax"/>
        </c:scaling>
        <c:delete val="0"/>
        <c:axPos val="l"/>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894896"/>
        <c:crosses val="autoZero"/>
        <c:auto val="1"/>
        <c:lblAlgn val="ctr"/>
        <c:lblOffset val="100"/>
        <c:noMultiLvlLbl val="0"/>
      </c:catAx>
      <c:valAx>
        <c:axId val="207894896"/>
        <c:scaling>
          <c:orientation val="minMax"/>
        </c:scaling>
        <c:delete val="0"/>
        <c:axPos val="b"/>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Times New Roman" panose="02020603050405020304" charset="0"/>
                <a:ea typeface="+mn-ea"/>
                <a:cs typeface="+mn-cs"/>
              </a:defRPr>
            </a:pPr>
          </a:p>
        </c:txPr>
        <c:crossAx val="1768508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435FF-C942-49BC-93E7-54F38A713B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5551</Words>
  <Characters>31646</Characters>
  <Lines>263</Lines>
  <Paragraphs>74</Paragraphs>
  <TotalTime>3</TotalTime>
  <ScaleCrop>false</ScaleCrop>
  <LinksUpToDate>false</LinksUpToDate>
  <CharactersWithSpaces>37123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2022-11-23T10:01:00Z</dcterms:created>
  <dc:creator>QUEENIE DENG</dc:creator>
  <cp:lastModifiedBy>何艳</cp:lastModifiedBy>
  <cp:lastPrinted>2018-08-21T14:06:00Z</cp:lastPrinted>
  <dcterms:modified xsi:type="dcterms:W3CDTF">2023-02-07T02:28:08Z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DDDDDC99D1134FA49D442EA378FD20C2</vt:lpwstr>
  </property>
  <property fmtid="{D5CDD505-2E9C-101B-9397-08002B2CF9AE}" pid="4" name="ribbonExt">
    <vt:lpwstr>{"WPSExtOfficeTab":{"OnGetEnabled":false,"OnGetVisible":false}}</vt:lpwstr>
  </property>
</Properties>
</file>