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宋体" w:hAnsi="宋体" w:eastAsia="宋体" w:cs="宋体"/>
          <w:b/>
          <w:bCs/>
          <w:sz w:val="52"/>
          <w:szCs w:val="52"/>
          <w:lang w:val="en-US" w:eastAsia="zh-CN"/>
        </w:rPr>
      </w:pPr>
    </w:p>
    <w:p>
      <w:pPr>
        <w:jc w:val="center"/>
        <w:outlineLvl w:val="9"/>
        <w:rPr>
          <w:rFonts w:hint="eastAsia" w:ascii="宋体" w:hAnsi="宋体" w:eastAsia="宋体" w:cs="宋体"/>
          <w:b/>
          <w:bCs/>
          <w:sz w:val="52"/>
          <w:szCs w:val="52"/>
          <w:lang w:val="en-US" w:eastAsia="zh-CN"/>
        </w:rPr>
      </w:pPr>
      <w:bookmarkStart w:id="0" w:name="_Toc8033"/>
      <w:bookmarkStart w:id="1" w:name="_Toc29452"/>
    </w:p>
    <w:p>
      <w:pPr>
        <w:jc w:val="center"/>
        <w:outlineLvl w:val="9"/>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中共韶关市委机构编制委员会办公室</w:t>
      </w:r>
      <w:bookmarkEnd w:id="0"/>
      <w:bookmarkEnd w:id="1"/>
    </w:p>
    <w:p>
      <w:pPr>
        <w:jc w:val="center"/>
        <w:outlineLvl w:val="9"/>
        <w:rPr>
          <w:rFonts w:hint="eastAsia" w:ascii="宋体" w:hAnsi="宋体" w:eastAsia="宋体" w:cs="宋体"/>
          <w:b/>
          <w:bCs/>
          <w:sz w:val="52"/>
          <w:szCs w:val="52"/>
          <w:lang w:val="en-US" w:eastAsia="zh-CN"/>
        </w:rPr>
      </w:pPr>
      <w:bookmarkStart w:id="2" w:name="_Toc28277"/>
      <w:bookmarkStart w:id="3" w:name="_Toc10409"/>
      <w:r>
        <w:rPr>
          <w:rFonts w:hint="eastAsia" w:ascii="宋体" w:hAnsi="宋体" w:eastAsia="宋体" w:cs="宋体"/>
          <w:b/>
          <w:bCs/>
          <w:sz w:val="52"/>
          <w:szCs w:val="52"/>
          <w:lang w:val="en-US" w:eastAsia="zh-CN"/>
        </w:rPr>
        <w:t>部门整体支出第三方绩效评价报告</w:t>
      </w:r>
      <w:bookmarkEnd w:id="2"/>
      <w:bookmarkEnd w:id="3"/>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pStyle w:val="6"/>
        <w:rPr>
          <w:rFonts w:hint="eastAsia" w:ascii="黑体" w:hAnsi="黑体" w:eastAsia="黑体" w:cs="黑体"/>
          <w:sz w:val="32"/>
          <w:szCs w:val="32"/>
          <w:lang w:val="en-US" w:eastAsia="zh-CN"/>
        </w:rPr>
      </w:pPr>
    </w:p>
    <w:p>
      <w:pPr>
        <w:pStyle w:val="6"/>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评价机构：广东省南方绩效评价中心</w:t>
      </w:r>
    </w:p>
    <w:p>
      <w:pPr>
        <w:pStyle w:val="6"/>
        <w:keepNext w:val="0"/>
        <w:keepLines w:val="0"/>
        <w:pageBreakBefore w:val="0"/>
        <w:widowControl w:val="0"/>
        <w:kinsoku/>
        <w:wordWrap/>
        <w:overflowPunct/>
        <w:topLinePunct w:val="0"/>
        <w:autoSpaceDE/>
        <w:autoSpaceDN/>
        <w:bidi w:val="0"/>
        <w:adjustRightInd/>
        <w:snapToGrid/>
        <w:spacing w:after="0"/>
        <w:ind w:firstLine="1920" w:firstLineChars="6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机构负责人：陈海莲</w:t>
      </w:r>
    </w:p>
    <w:p>
      <w:pPr>
        <w:pStyle w:val="6"/>
        <w:keepNext w:val="0"/>
        <w:keepLines w:val="0"/>
        <w:pageBreakBefore w:val="0"/>
        <w:widowControl w:val="0"/>
        <w:kinsoku/>
        <w:wordWrap/>
        <w:overflowPunct/>
        <w:topLinePunct w:val="0"/>
        <w:autoSpaceDE/>
        <w:autoSpaceDN/>
        <w:bidi w:val="0"/>
        <w:adjustRightInd/>
        <w:snapToGrid/>
        <w:spacing w:after="0"/>
        <w:ind w:firstLine="1920" w:firstLineChars="6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项目负责人：赖妙芳</w:t>
      </w:r>
    </w:p>
    <w:p>
      <w:pPr>
        <w:pStyle w:val="6"/>
        <w:keepNext w:val="0"/>
        <w:keepLines w:val="0"/>
        <w:pageBreakBefore w:val="0"/>
        <w:widowControl w:val="0"/>
        <w:kinsoku/>
        <w:wordWrap/>
        <w:overflowPunct/>
        <w:topLinePunct w:val="0"/>
        <w:autoSpaceDE/>
        <w:autoSpaceDN/>
        <w:bidi w:val="0"/>
        <w:adjustRightInd/>
        <w:snapToGrid/>
        <w:spacing w:after="0"/>
        <w:ind w:firstLine="1920" w:firstLineChars="6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日期：202</w:t>
      </w:r>
      <w:r>
        <w:rPr>
          <w:rFonts w:hint="eastAsia" w:ascii="宋体" w:hAnsi="宋体" w:cs="宋体"/>
          <w:sz w:val="32"/>
          <w:szCs w:val="32"/>
          <w:lang w:val="en-US" w:eastAsia="zh-CN"/>
        </w:rPr>
        <w:t>3</w:t>
      </w:r>
      <w:r>
        <w:rPr>
          <w:rFonts w:hint="eastAsia" w:ascii="宋体" w:hAnsi="宋体" w:eastAsia="宋体" w:cs="宋体"/>
          <w:sz w:val="32"/>
          <w:szCs w:val="32"/>
          <w:lang w:val="en-US" w:eastAsia="zh-CN"/>
        </w:rPr>
        <w:t>年</w:t>
      </w:r>
      <w:r>
        <w:rPr>
          <w:rFonts w:hint="eastAsia" w:ascii="宋体" w:hAnsi="宋体" w:cs="宋体"/>
          <w:sz w:val="32"/>
          <w:szCs w:val="32"/>
          <w:lang w:val="en-US" w:eastAsia="zh-CN"/>
        </w:rPr>
        <w:t>2</w:t>
      </w:r>
      <w:r>
        <w:rPr>
          <w:rFonts w:hint="eastAsia" w:ascii="宋体" w:hAnsi="宋体" w:eastAsia="宋体" w:cs="宋体"/>
          <w:sz w:val="32"/>
          <w:szCs w:val="32"/>
          <w:lang w:val="en-US" w:eastAsia="zh-CN"/>
        </w:rPr>
        <w:t>月</w:t>
      </w:r>
      <w:r>
        <w:rPr>
          <w:rFonts w:hint="eastAsia" w:ascii="宋体" w:hAnsi="宋体" w:cs="宋体"/>
          <w:sz w:val="32"/>
          <w:szCs w:val="32"/>
          <w:lang w:val="en-US" w:eastAsia="zh-CN"/>
        </w:rPr>
        <w:t>7</w:t>
      </w:r>
      <w:r>
        <w:rPr>
          <w:rFonts w:hint="eastAsia" w:ascii="宋体" w:hAnsi="宋体" w:eastAsia="宋体" w:cs="宋体"/>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firstLine="1920" w:firstLineChars="600"/>
        <w:jc w:val="center"/>
        <w:textAlignment w:val="auto"/>
        <w:rPr>
          <w:rFonts w:hint="eastAsia" w:ascii="黑体" w:hAnsi="黑体" w:eastAsia="黑体" w:cs="黑体"/>
          <w:sz w:val="32"/>
          <w:szCs w:val="32"/>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outlineLvl w:val="9"/>
        <w:rPr>
          <w:rFonts w:hint="eastAsia" w:ascii="黑体" w:hAnsi="黑体" w:eastAsia="黑体" w:cs="黑体"/>
          <w:sz w:val="32"/>
          <w:szCs w:val="32"/>
          <w:lang w:val="en-US" w:eastAsia="zh-CN"/>
        </w:rPr>
      </w:pPr>
      <w:bookmarkStart w:id="4" w:name="_Toc31014"/>
      <w:bookmarkStart w:id="5" w:name="_Toc13125"/>
      <w:r>
        <w:rPr>
          <w:rFonts w:hint="eastAsia" w:ascii="黑体" w:hAnsi="黑体" w:eastAsia="黑体" w:cs="黑体"/>
          <w:sz w:val="32"/>
          <w:szCs w:val="32"/>
          <w:lang w:val="en-US" w:eastAsia="zh-CN"/>
        </w:rPr>
        <w:t>摘 要</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受韶关市财政局（以下简称市财政局）委托广东省南方绩效评价中心（以下简称评价组）对</w:t>
      </w:r>
      <w:r>
        <w:rPr>
          <w:rFonts w:hint="default" w:ascii="仿宋_GB2312" w:hAnsi="仿宋_GB2312" w:eastAsia="仿宋_GB2312" w:cs="仿宋_GB2312"/>
          <w:color w:val="auto"/>
          <w:sz w:val="32"/>
          <w:szCs w:val="32"/>
          <w:highlight w:val="none"/>
          <w:lang w:val="en-US" w:eastAsia="zh-CN"/>
        </w:rPr>
        <w:t>202</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中共韶关市委机构编制委员会办公室（以下简称市委编办）部门整体支出进行第三方绩效评价。经过自评材料审核、现场核查评价、综合分析评价等一系列评价程序，形成本绩效评价报告。</w:t>
      </w:r>
      <w:r>
        <w:rPr>
          <w:rFonts w:hint="eastAsia" w:ascii="仿宋_GB2312" w:hAnsi="仿宋_GB2312" w:eastAsia="仿宋_GB2312" w:cs="仿宋_GB2312"/>
          <w:b w:val="0"/>
          <w:bCs w:val="0"/>
          <w:color w:val="auto"/>
          <w:sz w:val="32"/>
          <w:szCs w:val="32"/>
          <w:highlight w:val="none"/>
          <w:lang w:val="en-US" w:eastAsia="zh-CN"/>
        </w:rPr>
        <w:t>2021年市委编办部门整体支出绩效评价得分90.28分，绩效等级为“优”。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b w:val="0"/>
          <w:bCs w:val="0"/>
          <w:color w:val="auto"/>
          <w:sz w:val="32"/>
          <w:szCs w:val="32"/>
          <w:highlight w:val="none"/>
          <w:lang w:val="en-US"/>
        </w:rPr>
      </w:pPr>
      <w:r>
        <w:rPr>
          <w:rFonts w:hint="eastAsia" w:ascii="仿宋_GB2312" w:hAnsi="仿宋_GB2312" w:eastAsia="仿宋_GB2312" w:cs="仿宋_GB2312"/>
          <w:b w:val="0"/>
          <w:bCs w:val="0"/>
          <w:color w:val="auto"/>
          <w:sz w:val="32"/>
          <w:szCs w:val="32"/>
          <w:highlight w:val="none"/>
          <w:lang w:val="en-US" w:eastAsia="zh-CN"/>
        </w:rPr>
        <w:t>主要绩效体现在以下四方面：一是</w:t>
      </w:r>
      <w:bookmarkStart w:id="6" w:name="_Toc10251"/>
      <w:bookmarkStart w:id="7" w:name="_Toc7772"/>
      <w:r>
        <w:rPr>
          <w:rFonts w:hint="eastAsia" w:ascii="仿宋_GB2312" w:hAnsi="仿宋_GB2312" w:eastAsia="仿宋_GB2312" w:cs="仿宋_GB2312"/>
          <w:b w:val="0"/>
          <w:bCs w:val="0"/>
          <w:color w:val="auto"/>
          <w:sz w:val="32"/>
          <w:szCs w:val="32"/>
          <w:highlight w:val="none"/>
          <w:lang w:val="en-US" w:eastAsia="zh-CN"/>
        </w:rPr>
        <w:t>聚焦市委编办主责主业，全面提升部门履职效能</w:t>
      </w:r>
      <w:bookmarkEnd w:id="6"/>
      <w:bookmarkEnd w:id="7"/>
      <w:r>
        <w:rPr>
          <w:rFonts w:hint="eastAsia" w:ascii="仿宋_GB2312" w:hAnsi="仿宋_GB2312" w:eastAsia="仿宋_GB2312" w:cs="仿宋_GB2312"/>
          <w:b w:val="0"/>
          <w:bCs w:val="0"/>
          <w:color w:val="auto"/>
          <w:sz w:val="32"/>
          <w:szCs w:val="32"/>
          <w:highlight w:val="none"/>
          <w:lang w:val="en-US" w:eastAsia="zh-CN"/>
        </w:rPr>
        <w:t>；二是</w:t>
      </w:r>
      <w:bookmarkStart w:id="8" w:name="_Toc27541"/>
      <w:bookmarkStart w:id="9" w:name="_Toc8804"/>
      <w:r>
        <w:rPr>
          <w:rFonts w:hint="eastAsia" w:ascii="仿宋_GB2312" w:hAnsi="仿宋_GB2312" w:eastAsia="仿宋_GB2312" w:cs="仿宋_GB2312"/>
          <w:b w:val="0"/>
          <w:bCs w:val="0"/>
          <w:color w:val="auto"/>
          <w:sz w:val="32"/>
          <w:szCs w:val="32"/>
          <w:highlight w:val="none"/>
          <w:lang w:val="en-US" w:eastAsia="zh-CN"/>
        </w:rPr>
        <w:t>加强教育培训，有效提升干部队伍素质和专业化水平</w:t>
      </w:r>
      <w:bookmarkEnd w:id="8"/>
      <w:bookmarkEnd w:id="9"/>
      <w:r>
        <w:rPr>
          <w:rFonts w:hint="eastAsia" w:ascii="仿宋_GB2312" w:hAnsi="仿宋_GB2312" w:eastAsia="仿宋_GB2312" w:cs="仿宋_GB2312"/>
          <w:b w:val="0"/>
          <w:bCs w:val="0"/>
          <w:color w:val="auto"/>
          <w:sz w:val="32"/>
          <w:szCs w:val="32"/>
          <w:highlight w:val="none"/>
          <w:lang w:val="en-US" w:eastAsia="zh-CN"/>
        </w:rPr>
        <w:t>；三是</w:t>
      </w:r>
      <w:bookmarkStart w:id="10" w:name="_Toc16697"/>
      <w:bookmarkStart w:id="11" w:name="_Toc31645"/>
      <w:r>
        <w:rPr>
          <w:rFonts w:hint="eastAsia" w:ascii="仿宋_GB2312" w:hAnsi="仿宋_GB2312" w:eastAsia="仿宋_GB2312" w:cs="仿宋_GB2312"/>
          <w:b w:val="0"/>
          <w:bCs w:val="0"/>
          <w:color w:val="auto"/>
          <w:sz w:val="32"/>
          <w:szCs w:val="32"/>
          <w:highlight w:val="none"/>
          <w:lang w:val="en-US" w:eastAsia="zh-CN"/>
        </w:rPr>
        <w:t>探索创新机制，有效提升管理效率</w:t>
      </w:r>
      <w:bookmarkEnd w:id="10"/>
      <w:bookmarkEnd w:id="11"/>
      <w:r>
        <w:rPr>
          <w:rFonts w:hint="eastAsia" w:ascii="仿宋_GB2312" w:hAnsi="仿宋_GB2312" w:eastAsia="仿宋_GB2312" w:cs="仿宋_GB2312"/>
          <w:b w:val="0"/>
          <w:bCs w:val="0"/>
          <w:color w:val="auto"/>
          <w:sz w:val="32"/>
          <w:szCs w:val="32"/>
          <w:highlight w:val="none"/>
          <w:lang w:val="en-US" w:eastAsia="zh-CN"/>
        </w:rPr>
        <w:t>；四是强化履职担当，创新谋划机构编制各项工作，为韶关乘势而上开启“十四五”规划新征程。通过“四个坚持”，达</w:t>
      </w:r>
      <w:r>
        <w:rPr>
          <w:rFonts w:hint="eastAsia" w:ascii="仿宋_GB2312" w:hAnsi="仿宋_GB2312" w:eastAsia="仿宋_GB2312" w:cs="仿宋_GB2312"/>
          <w:b w:val="0"/>
          <w:bCs w:val="0"/>
          <w:color w:val="auto"/>
          <w:kern w:val="0"/>
          <w:sz w:val="32"/>
          <w:szCs w:val="32"/>
          <w:highlight w:val="none"/>
          <w:lang w:val="en-US" w:eastAsia="zh-CN" w:bidi="ar"/>
        </w:rPr>
        <w:t>到全面提升机关党建水平、不断优化机构职能体系、持续提升管理服务效益、深入推进机构编制法定化。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bookmarkStart w:id="12" w:name="_Toc14272"/>
      <w:bookmarkStart w:id="13" w:name="_Toc22210"/>
      <w:r>
        <w:rPr>
          <w:rFonts w:hint="eastAsia" w:ascii="仿宋_GB2312" w:hAnsi="仿宋_GB2312" w:eastAsia="仿宋_GB2312" w:cs="仿宋_GB2312"/>
          <w:b w:val="0"/>
          <w:bCs w:val="0"/>
          <w:color w:val="auto"/>
          <w:sz w:val="32"/>
          <w:szCs w:val="32"/>
          <w:highlight w:val="none"/>
          <w:lang w:val="en-US" w:eastAsia="zh-CN"/>
        </w:rPr>
        <w:t>市委编办存在的主要问题</w:t>
      </w:r>
      <w:bookmarkEnd w:id="12"/>
      <w:r>
        <w:rPr>
          <w:rFonts w:hint="eastAsia" w:ascii="仿宋_GB2312" w:hAnsi="仿宋_GB2312" w:eastAsia="仿宋_GB2312" w:cs="仿宋_GB2312"/>
          <w:b w:val="0"/>
          <w:bCs w:val="0"/>
          <w:color w:val="auto"/>
          <w:sz w:val="32"/>
          <w:szCs w:val="32"/>
          <w:highlight w:val="none"/>
          <w:lang w:val="en-US" w:eastAsia="zh-CN"/>
        </w:rPr>
        <w:t>有三个：</w:t>
      </w:r>
      <w:bookmarkEnd w:id="13"/>
      <w:r>
        <w:rPr>
          <w:rFonts w:hint="eastAsia" w:ascii="仿宋_GB2312" w:hAnsi="仿宋_GB2312" w:eastAsia="仿宋_GB2312" w:cs="仿宋_GB2312"/>
          <w:color w:val="auto"/>
          <w:kern w:val="2"/>
          <w:sz w:val="32"/>
          <w:szCs w:val="32"/>
          <w:highlight w:val="none"/>
          <w:lang w:val="en-US" w:eastAsia="zh-CN" w:bidi="ar-SA"/>
        </w:rPr>
        <w:t>一是部门编报设置的绩效指标明确性不够，2021年度设置的绩效指标计算标准范围不明确、个别指标值设置偏低等问题</w:t>
      </w:r>
      <w:r>
        <w:rPr>
          <w:rFonts w:hint="eastAsia" w:ascii="仿宋_GB2312" w:hAnsi="仿宋_GB2312" w:eastAsia="仿宋_GB2312" w:cs="仿宋_GB2312"/>
          <w:b w:val="0"/>
          <w:bCs w:val="0"/>
          <w:color w:val="auto"/>
          <w:sz w:val="32"/>
          <w:szCs w:val="32"/>
          <w:highlight w:val="none"/>
          <w:lang w:val="en-US" w:eastAsia="zh-CN"/>
        </w:rPr>
        <w:t>；二是资产管理制度贯彻落实存在不到位的情况，存在没有定期资产清查、体现账实相符等相关资料，报废固定资产账务处理不及时等现象；三是</w:t>
      </w:r>
      <w:r>
        <w:rPr>
          <w:rFonts w:hint="eastAsia" w:ascii="仿宋_GB2312" w:hAnsi="仿宋_GB2312" w:eastAsia="仿宋_GB2312" w:cs="仿宋_GB2312"/>
          <w:color w:val="auto"/>
          <w:sz w:val="32"/>
          <w:szCs w:val="32"/>
          <w:highlight w:val="none"/>
        </w:rPr>
        <w:t>存在工作监管不到位的情况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缺乏有效的监管手段，没有实地检查的相关资料。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针对上述问题提出的改进建议是：一</w:t>
      </w:r>
      <w:r>
        <w:rPr>
          <w:rFonts w:hint="eastAsia" w:ascii="仿宋_GB2312" w:hAnsi="仿宋_GB2312" w:eastAsia="仿宋_GB2312" w:cs="仿宋_GB2312"/>
          <w:b w:val="0"/>
          <w:bCs w:val="0"/>
          <w:color w:val="auto"/>
          <w:kern w:val="2"/>
          <w:sz w:val="32"/>
          <w:szCs w:val="32"/>
          <w:highlight w:val="none"/>
          <w:lang w:val="en-US" w:eastAsia="zh-CN" w:bidi="ar-SA"/>
        </w:rPr>
        <w:t>是加强预算绩效管理工作，科学编制绩效目标和指标。绩效指标设置要和绩效目标匹配，要和部门职能相关，指标量化能够用于考核和评价的要求，指标值的设置符合实际的工作量；二是进一步落实固定资产管理制度，实现全过程管理。如定期对固定资产进行清查，合理配置资产，按照要求及时处置报废固定资产等；</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完善日常工作的监管体系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加强工作检查与督促，保证监督检查工作落实到位</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sectPr>
          <w:footerReference r:id="rId3" w:type="default"/>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hint="eastAsia" w:ascii="宋体" w:hAnsi="宋体" w:eastAsia="宋体" w:cs="宋体"/>
          <w:color w:val="auto"/>
          <w:kern w:val="2"/>
          <w:sz w:val="21"/>
          <w:szCs w:val="24"/>
          <w:highlight w:val="none"/>
          <w:lang w:val="en-US" w:eastAsia="zh-CN" w:bidi="ar-SA"/>
        </w:rPr>
        <w:id w:val="147452947"/>
        <w15:color w:val="DBDBDB"/>
        <w:docPartObj>
          <w:docPartGallery w:val="Table of Contents"/>
          <w:docPartUnique/>
        </w:docPartObj>
      </w:sdtPr>
      <w:sdtEndPr>
        <w:rPr>
          <w:rFonts w:hint="eastAsia" w:ascii="宋体" w:hAnsi="宋体" w:eastAsia="宋体" w:cs="宋体"/>
          <w:b/>
          <w:color w:val="auto"/>
          <w:kern w:val="2"/>
          <w:sz w:val="21"/>
          <w:szCs w:val="24"/>
          <w:highlight w:val="none"/>
          <w:lang w:val="en-US" w:eastAsia="zh-CN" w:bidi="ar-SA"/>
        </w:rPr>
      </w:sdtEndPr>
      <w:sdtContent>
        <w:p>
          <w:pPr>
            <w:pStyle w:val="16"/>
            <w:keepNext w:val="0"/>
            <w:keepLines w:val="0"/>
            <w:pageBreakBefore w:val="0"/>
            <w:widowControl/>
            <w:tabs>
              <w:tab w:val="right" w:leader="dot" w:pos="8958"/>
            </w:tabs>
            <w:kinsoku/>
            <w:wordWrap/>
            <w:overflowPunct/>
            <w:topLinePunct w:val="0"/>
            <w:autoSpaceDE/>
            <w:autoSpaceDN/>
            <w:bidi w:val="0"/>
            <w:adjustRightInd/>
            <w:snapToGrid/>
            <w:spacing w:before="157" w:beforeLines="50" w:line="5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40"/>
              <w:szCs w:val="40"/>
              <w:highlight w:val="none"/>
            </w:rPr>
            <w:t>目录</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color w:val="auto"/>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_Toc24525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32"/>
              <w:highlight w:val="none"/>
              <w:lang w:val="en-US" w:eastAsia="zh-CN"/>
            </w:rPr>
            <w:t>一、部门基本情况</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_Toc24525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- 1 -</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_Toc22396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2"/>
              <w:highlight w:val="none"/>
              <w:lang w:val="en-US" w:eastAsia="zh-CN"/>
            </w:rPr>
            <w:t>（一）部门概要。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_Toc11901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2"/>
              <w:highlight w:val="none"/>
              <w:lang w:val="en-US" w:eastAsia="zh-CN"/>
            </w:rPr>
            <w:t>（二）年度总体工作任务及重点工作任务。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_Toc12092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2"/>
              <w:highlight w:val="none"/>
              <w:lang w:val="en-US" w:eastAsia="zh-CN"/>
            </w:rPr>
            <w:t>（三）资金使用的绩效目标及指标。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_Toc7144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2"/>
              <w:highlight w:val="none"/>
              <w:lang w:val="en-US" w:eastAsia="zh-CN"/>
            </w:rPr>
            <w:t>（四）部门整体收支情况。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_Toc18585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二、绩效评价指标分析</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_Toc18585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- 5 -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_Toc27672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（一）年度工作任务及绩效目标完成情况。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_Toc27672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- 5 -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_Toc16340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（二）部门整体绩效评价指标分析。</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_Toc16340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- 7 -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_Toc6434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三、评价结论</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_Toc6434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- 19 -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_Toc8740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四、主要绩效</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_Toc8740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- 19 -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_Toc20751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（一）聚焦市委编办主责主业，全面提升部门履职效能。</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_Toc20751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- 20 -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_Toc3180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（二）加强教育培训，有效提升干部队伍素质和专业化水平。</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_Toc3180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- 20 -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_Toc20524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（三）探索创新机制，有效提升管理效率。</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_Toc20524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- 20 -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_Toc30936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（四）强化履职担当，创新谋划机构编制各项工作，为韶关乘势而上开启“十四五”规划新征程。</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_Toc30936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- 20 -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_Toc25278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五、存在问题</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_Toc25278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- 21 -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_Toc31291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（一）部门编报的绩效指标设置明确性不够。</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_Toc31291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- 21 -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_Toc29035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（二）资产管理制度贯彻落实存在不到位的情况。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_Toc29035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- 22 -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_Toc23381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（三）存在工作监管不到位的情况。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_Toc23381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- 22 -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_Toc21976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六、相关建议</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_Toc21976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- 22 -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_Toc2424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（一）加强预算绩效管理工作，科学编制绩效目标和指标。</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_Toc2424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- 22 -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_Toc24909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（二）进一步落实固定资产管理制度，实现全过程管理。</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_Toc24909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- 22 -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280" w:firstLineChars="1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_Toc11552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（三）完善日常工作的监管体系。</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PAGEREF _Toc11552 \h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- 23 -</w:t>
          </w: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_Toc3420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附件1</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_Toc3420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- 24 -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HYPERLINK \l _Toc10362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lang w:val="en-US" w:eastAsia="zh-CN"/>
            </w:rPr>
            <w:t>附件2</w:t>
          </w:r>
          <w:r>
            <w:rPr>
              <w:rFonts w:hint="eastAsia" w:ascii="宋体" w:hAnsi="宋体" w:eastAsia="宋体" w:cs="宋体"/>
              <w:b/>
              <w:bCs/>
              <w:color w:val="auto"/>
              <w:szCs w:val="28"/>
              <w:highlight w:val="none"/>
            </w:rPr>
            <w:tab/>
          </w:r>
          <w:r>
            <w:rPr>
              <w:rFonts w:hint="eastAsia" w:ascii="宋体" w:hAnsi="宋体" w:eastAsia="宋体" w:cs="宋体"/>
              <w:b/>
              <w:bCs/>
              <w:color w:val="auto"/>
              <w:szCs w:val="28"/>
              <w:highlight w:val="none"/>
            </w:rPr>
            <w:fldChar w:fldCharType="begin"/>
          </w:r>
          <w:r>
            <w:rPr>
              <w:rFonts w:hint="eastAsia" w:ascii="宋体" w:hAnsi="宋体" w:eastAsia="宋体" w:cs="宋体"/>
              <w:b/>
              <w:bCs/>
              <w:color w:val="auto"/>
              <w:szCs w:val="28"/>
              <w:highlight w:val="none"/>
            </w:rPr>
            <w:instrText xml:space="preserve"> PAGEREF _Toc10362 \h </w:instrText>
          </w:r>
          <w:r>
            <w:rPr>
              <w:rFonts w:hint="eastAsia" w:ascii="宋体" w:hAnsi="宋体" w:eastAsia="宋体" w:cs="宋体"/>
              <w:b/>
              <w:bCs/>
              <w:color w:val="auto"/>
              <w:szCs w:val="28"/>
              <w:highlight w:val="none"/>
            </w:rPr>
            <w:fldChar w:fldCharType="separate"/>
          </w:r>
          <w:r>
            <w:rPr>
              <w:rFonts w:hint="eastAsia" w:ascii="宋体" w:hAnsi="宋体" w:eastAsia="宋体" w:cs="宋体"/>
              <w:b/>
              <w:bCs/>
              <w:color w:val="auto"/>
              <w:szCs w:val="28"/>
              <w:highlight w:val="none"/>
            </w:rPr>
            <w:t>- 31 -</w:t>
          </w:r>
          <w:r>
            <w:rPr>
              <w:rFonts w:hint="eastAsia" w:ascii="宋体" w:hAnsi="宋体" w:eastAsia="宋体" w:cs="宋体"/>
              <w:b/>
              <w:bCs/>
              <w:color w:val="auto"/>
              <w:szCs w:val="28"/>
              <w:highlight w:val="none"/>
            </w:rPr>
            <w:fldChar w:fldCharType="end"/>
          </w:r>
          <w:r>
            <w:rPr>
              <w:rFonts w:hint="eastAsia" w:ascii="宋体" w:hAnsi="宋体" w:eastAsia="宋体" w:cs="宋体"/>
              <w:b/>
              <w:bCs/>
              <w:color w:val="auto"/>
              <w:szCs w:val="28"/>
              <w:highlight w:val="none"/>
            </w:rPr>
            <w:fldChar w:fldCharType="end"/>
          </w:r>
        </w:p>
        <w:p>
          <w:pPr>
            <w:pStyle w:val="16"/>
            <w:keepNext w:val="0"/>
            <w:keepLines w:val="0"/>
            <w:pageBreakBefore w:val="0"/>
            <w:widowControl/>
            <w:tabs>
              <w:tab w:val="right" w:leader="dot" w:pos="8958"/>
            </w:tabs>
            <w:kinsoku/>
            <w:wordWrap/>
            <w:overflowPunct/>
            <w:topLinePunct w:val="0"/>
            <w:autoSpaceDE/>
            <w:autoSpaceDN/>
            <w:bidi w:val="0"/>
            <w:adjustRightInd/>
            <w:snapToGrid/>
            <w:spacing w:before="157" w:beforeLines="50" w:line="560" w:lineRule="exact"/>
            <w:jc w:val="center"/>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sz w:val="28"/>
              <w:szCs w:val="28"/>
              <w:highlight w:val="none"/>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highlight w:val="none"/>
          <w:lang w:val="en-US" w:eastAsia="zh-CN"/>
        </w:rPr>
        <w:sectPr>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color w:val="auto"/>
          <w:sz w:val="32"/>
          <w:szCs w:val="32"/>
          <w:highlight w:val="none"/>
          <w:lang w:val="en-US" w:eastAsia="zh-CN"/>
        </w:rPr>
      </w:pPr>
      <w:bookmarkStart w:id="14" w:name="_Toc24525"/>
      <w:r>
        <w:rPr>
          <w:rFonts w:hint="eastAsia" w:ascii="黑体" w:hAnsi="黑体" w:eastAsia="黑体" w:cs="黑体"/>
          <w:color w:val="auto"/>
          <w:sz w:val="32"/>
          <w:szCs w:val="32"/>
          <w:highlight w:val="none"/>
          <w:lang w:val="en-US" w:eastAsia="zh-CN"/>
        </w:rPr>
        <w:t>一、部门基本情况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15" w:name="_Toc22396"/>
      <w:r>
        <w:rPr>
          <w:rFonts w:hint="eastAsia" w:ascii="楷体_GB2312" w:hAnsi="楷体_GB2312" w:eastAsia="楷体_GB2312" w:cs="楷体_GB2312"/>
          <w:color w:val="auto"/>
          <w:sz w:val="32"/>
          <w:szCs w:val="32"/>
          <w:highlight w:val="none"/>
          <w:lang w:val="en-US" w:eastAsia="zh-CN"/>
        </w:rPr>
        <w:t>（一）部门概要。</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韶关市原市机构编制委员会改为市委机构编制委员会，作为市委议事协调机构。市委机构编制委员会办公室（以下简称市委编办）为市委机构编制委员会的办事机构，作为市委工作机关，归口韶关市委组织部管理。主要职能是承担市委编委日常事务，协调督促有关方面落实市委、市委编委决策部署；根据授权和规定程序处理机构编制具体事宜；研究提出机构编制工作的政策意见，推进机构编制法定化；负责事业单位登记管理工作；承担机构编制监督检查以及实名制管理与统计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bookmarkStart w:id="16" w:name="_Toc3141"/>
      <w:r>
        <w:rPr>
          <w:rFonts w:hint="eastAsia" w:ascii="仿宋_GB2312" w:hAnsi="仿宋_GB2312" w:eastAsia="仿宋_GB2312" w:cs="仿宋_GB2312"/>
          <w:color w:val="auto"/>
          <w:sz w:val="32"/>
          <w:szCs w:val="32"/>
          <w:highlight w:val="none"/>
          <w:lang w:val="en-US" w:eastAsia="zh-CN"/>
        </w:rPr>
        <w:t>2.部门机构设置。</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市委编办内设6个机构：综合科、机构改革科、行政机构编制科、事业机构编制科、事业单位登记管理科和监督检查科，无下属单位。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3.部门人员编制构成。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截至2021年12月底，市委编办</w:t>
      </w:r>
      <w:r>
        <w:rPr>
          <w:rFonts w:hint="eastAsia" w:ascii="仿宋_GB2312" w:hAnsi="仿宋" w:eastAsia="仿宋_GB2312"/>
          <w:color w:val="auto"/>
          <w:sz w:val="32"/>
          <w:szCs w:val="32"/>
          <w:highlight w:val="none"/>
          <w:lang w:val="en-US" w:eastAsia="zh-CN"/>
        </w:rPr>
        <w:t>在编在职人员25人（其中主任1名、副主任2名、副处职干部1名、科长和一、二级主任科员共8名、副科长和三、四级主任科员共9名、一级科员4名），工勤人员2人，退休老干部8人。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17" w:name="_Toc11901"/>
      <w:r>
        <w:rPr>
          <w:rFonts w:hint="eastAsia" w:ascii="楷体_GB2312" w:hAnsi="楷体_GB2312" w:eastAsia="楷体_GB2312" w:cs="楷体_GB2312"/>
          <w:color w:val="auto"/>
          <w:sz w:val="32"/>
          <w:szCs w:val="32"/>
          <w:highlight w:val="none"/>
          <w:lang w:val="en-US" w:eastAsia="zh-CN"/>
        </w:rPr>
        <w:t>（二）年度总体工作任务及重点工作任务。</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市委编办年度总体工作任务是：坚持以习近平新时代中国特色社会主义思想为指导，创新谋划机构编制各项工作，管住管好用活机构编制资源，深化体制机制改革，提升机构编制管理效益，为韶关市高质量发展提供体制机制支撑。年度具体工作任务主要是：完成市全面深化改革要点任务；完成市委、市政府交办的重点任务；做好机关事业单位机构编制管理；做好机构编制监督检查和实名制管理；做好事业单位法人单位登记管理。</w:t>
      </w:r>
    </w:p>
    <w:p>
      <w:pPr>
        <w:pStyle w:val="15"/>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市委编办2021年重点工作任务有一项：加快出台韶关新区改革实施方案，坚定不移去机关化、去行政化，将社会事务回归属地政府管理，把新区的职能集中到招商引资、产业发展、平台建设、产业发展、平台建设、政策配套和服务延伸上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18" w:name="_Toc12092"/>
      <w:r>
        <w:rPr>
          <w:rFonts w:hint="eastAsia" w:ascii="楷体_GB2312" w:hAnsi="楷体_GB2312" w:eastAsia="楷体_GB2312" w:cs="楷体_GB2312"/>
          <w:color w:val="auto"/>
          <w:sz w:val="32"/>
          <w:szCs w:val="32"/>
          <w:highlight w:val="none"/>
          <w:lang w:val="en-US" w:eastAsia="zh-CN"/>
        </w:rPr>
        <w:t>（三）资金使用的绩效目标及指标。</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1.年初</w:t>
      </w: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及指标</w:t>
      </w:r>
      <w:r>
        <w:rPr>
          <w:rFonts w:hint="eastAsia" w:ascii="仿宋_GB2312" w:hAnsi="仿宋_GB2312" w:eastAsia="仿宋_GB2312" w:cs="仿宋_GB2312"/>
          <w:color w:val="auto"/>
          <w:sz w:val="32"/>
          <w:szCs w:val="32"/>
          <w:highlight w:val="none"/>
          <w:lang w:val="en-US" w:eastAsia="zh-CN"/>
        </w:rPr>
        <w:t>设置情况。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2021年市委编办年初填报的《</w:t>
      </w:r>
      <w:r>
        <w:rPr>
          <w:rFonts w:hint="eastAsia" w:ascii="仿宋_GB2312" w:hAnsi="仿宋_GB2312" w:eastAsia="仿宋_GB2312" w:cs="仿宋_GB2312"/>
          <w:color w:val="auto"/>
          <w:sz w:val="32"/>
          <w:szCs w:val="32"/>
          <w:highlight w:val="none"/>
        </w:rPr>
        <w:t>部门整体支出绩效目标申报表</w:t>
      </w:r>
      <w:r>
        <w:rPr>
          <w:rFonts w:hint="eastAsia" w:ascii="仿宋_GB2312" w:hAnsi="仿宋_GB2312" w:eastAsia="仿宋_GB2312" w:cs="仿宋_GB2312"/>
          <w:color w:val="auto"/>
          <w:sz w:val="32"/>
          <w:szCs w:val="32"/>
          <w:highlight w:val="none"/>
          <w:lang w:val="en-US" w:eastAsia="zh-CN"/>
        </w:rPr>
        <w:t>》中设置的绩效目标与指标情况如表1-1所示。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表1-1 部门整体预算绩效目标申报表</w:t>
      </w:r>
      <w:r>
        <w:rPr>
          <w:rFonts w:hint="eastAsia" w:ascii="宋体" w:hAnsi="宋体" w:cs="宋体"/>
          <w:b/>
          <w:bCs/>
          <w:color w:val="auto"/>
          <w:kern w:val="2"/>
          <w:sz w:val="28"/>
          <w:szCs w:val="28"/>
          <w:highlight w:val="none"/>
          <w:lang w:val="en-US" w:eastAsia="zh-CN" w:bidi="ar-SA"/>
        </w:rPr>
        <w:t>（年初申报）</w:t>
      </w:r>
    </w:p>
    <w:tbl>
      <w:tblPr>
        <w:tblStyle w:val="13"/>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1"/>
        <w:gridCol w:w="471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一、绩效目标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textAlignment w:val="auto"/>
              <w:outlineLvl w:val="9"/>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贯彻落实中央和省关于机构编制工作的方针政策和决策部署；2.研究起草机构编制工作的政策和规范性文件；3.进一步优化机构职能体系；4.统筹推进各领域机构和体制机制改革；5.深化事业单位改革；6.管住管好用活机构编制资源；7.开展机构编制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outlineLvl w:val="9"/>
              <w:rPr>
                <w:rFonts w:hint="default" w:ascii="仿宋_GB2312" w:hAnsi="仿宋_GB2312" w:eastAsia="仿宋_GB2312" w:cs="仿宋_GB2312"/>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序号</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指标名称</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spacing w:val="-6"/>
                <w:kern w:val="0"/>
                <w:sz w:val="21"/>
                <w:szCs w:val="21"/>
                <w:highlight w:val="none"/>
                <w:u w:val="none"/>
                <w:lang w:val="en-US" w:eastAsia="zh-CN" w:bidi="ar"/>
              </w:rPr>
              <w:t>2021年预期值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市全面深化改革要点任务完成率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全面深化改革年第三督导组督导次数</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市直机关事业单位编制使用申请事项办结率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市直机关事业单位人员入编事项办结率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涉及机构编制调整事项完成率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部门执行机构编制报告制度覆盖率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机构编制核查覆盖率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实名制系统的数据更新、维护及报送及时率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事业单位法人登记申请按时办结率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市直机关群团统一社会信用代码申请按时办结率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简易注销登记按时办结率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spacing w:val="-11"/>
                <w:kern w:val="2"/>
                <w:sz w:val="21"/>
                <w:szCs w:val="21"/>
                <w:highlight w:val="none"/>
                <w:lang w:val="en-US" w:eastAsia="zh-CN" w:bidi="ar-SA"/>
              </w:rPr>
            </w:pPr>
            <w:r>
              <w:rPr>
                <w:rFonts w:hint="eastAsia" w:ascii="宋体" w:hAnsi="宋体" w:cs="宋体"/>
                <w:color w:val="auto"/>
                <w:spacing w:val="-11"/>
                <w:kern w:val="2"/>
                <w:sz w:val="21"/>
                <w:szCs w:val="21"/>
                <w:highlight w:val="none"/>
                <w:lang w:val="en-US" w:eastAsia="zh-CN" w:bidi="ar-SA"/>
              </w:rPr>
              <w:t>12</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项目支出完成及时性</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项目预算控制率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开展春节慰问次数</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春节慰问金标准</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采购固定资产节能环保率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社会影响力</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服务对象满意度</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2.绩效目标及指标优化确认情况。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委编办2021年年初申报的《部门整体支出绩效目标申报表》总体比较完整，但存在个别绩效指标计算口径和计算标准不明确的情况。评价组根据2021年编制的《部门整体支出绩效目标申报表》《部门整体支出绩效评价基本情况表》以及单位提供的自评材料等，在《部门整体支出绩效目标申报表》的基础上进行完善、修改，经与市委编办商议设置评价绩效目标及指标如表1-2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表1-</w:t>
      </w:r>
      <w:r>
        <w:rPr>
          <w:rFonts w:hint="eastAsia" w:ascii="宋体" w:hAnsi="宋体" w:cs="宋体"/>
          <w:b/>
          <w:bCs/>
          <w:color w:val="auto"/>
          <w:kern w:val="2"/>
          <w:sz w:val="28"/>
          <w:szCs w:val="28"/>
          <w:highlight w:val="none"/>
          <w:lang w:val="en-US" w:eastAsia="zh-CN" w:bidi="ar-SA"/>
        </w:rPr>
        <w:t>2</w:t>
      </w:r>
      <w:r>
        <w:rPr>
          <w:rFonts w:hint="eastAsia" w:ascii="宋体" w:hAnsi="宋体" w:eastAsia="宋体" w:cs="宋体"/>
          <w:b/>
          <w:bCs/>
          <w:color w:val="auto"/>
          <w:kern w:val="2"/>
          <w:sz w:val="28"/>
          <w:szCs w:val="28"/>
          <w:highlight w:val="none"/>
          <w:lang w:val="en-US" w:eastAsia="zh-CN" w:bidi="ar-SA"/>
        </w:rPr>
        <w:t xml:space="preserve"> 部门整体预算绩效目标申报表</w:t>
      </w:r>
      <w:r>
        <w:rPr>
          <w:rFonts w:hint="eastAsia" w:ascii="宋体" w:hAnsi="宋体" w:cs="宋体"/>
          <w:b/>
          <w:bCs/>
          <w:color w:val="auto"/>
          <w:kern w:val="2"/>
          <w:sz w:val="28"/>
          <w:szCs w:val="28"/>
          <w:highlight w:val="none"/>
          <w:lang w:val="en-US" w:eastAsia="zh-CN" w:bidi="ar-SA"/>
        </w:rPr>
        <w:t>（商议完善）</w:t>
      </w:r>
    </w:p>
    <w:tbl>
      <w:tblPr>
        <w:tblStyle w:val="13"/>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1"/>
        <w:gridCol w:w="471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一、绩效目标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贯彻落实中央和省关于机构编制工作的方针政策和决策部署；2.研究起草机构编制工作的政策和规范性文件；3.进一步优化机构职能体系；4.统筹推进各领域机构和体制机制改革；5.深化事业单位改革；6.管住管好用活机构编制资源；7.开展机构编制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0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指标名称</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spacing w:val="-6"/>
                <w:kern w:val="0"/>
                <w:sz w:val="21"/>
                <w:szCs w:val="21"/>
                <w:highlight w:val="none"/>
                <w:u w:val="none"/>
                <w:lang w:val="en-US" w:eastAsia="zh-CN" w:bidi="ar"/>
              </w:rPr>
              <w:t>2021年</w:t>
            </w:r>
            <w:r>
              <w:rPr>
                <w:rFonts w:hint="eastAsia" w:ascii="宋体" w:hAnsi="宋体" w:eastAsia="宋体" w:cs="宋体"/>
                <w:b/>
                <w:bCs/>
                <w:i w:val="0"/>
                <w:iCs w:val="0"/>
                <w:color w:val="auto"/>
                <w:spacing w:val="-6"/>
                <w:kern w:val="0"/>
                <w:sz w:val="21"/>
                <w:szCs w:val="21"/>
                <w:highlight w:val="none"/>
                <w:u w:val="none"/>
                <w:lang w:val="en-US" w:eastAsia="zh-CN" w:bidi="ar"/>
              </w:rPr>
              <w:t>预</w:t>
            </w:r>
            <w:r>
              <w:rPr>
                <w:rFonts w:hint="eastAsia" w:ascii="宋体" w:hAnsi="宋体" w:cs="宋体"/>
                <w:b/>
                <w:bCs/>
                <w:i w:val="0"/>
                <w:iCs w:val="0"/>
                <w:color w:val="auto"/>
                <w:spacing w:val="-6"/>
                <w:kern w:val="0"/>
                <w:sz w:val="21"/>
                <w:szCs w:val="21"/>
                <w:highlight w:val="none"/>
                <w:u w:val="none"/>
                <w:lang w:val="en-US" w:eastAsia="zh-CN" w:bidi="ar"/>
              </w:rPr>
              <w:t>期</w:t>
            </w:r>
            <w:r>
              <w:rPr>
                <w:rFonts w:hint="eastAsia" w:ascii="宋体" w:hAnsi="宋体" w:eastAsia="宋体" w:cs="宋体"/>
                <w:b/>
                <w:bCs/>
                <w:i w:val="0"/>
                <w:iCs w:val="0"/>
                <w:color w:val="auto"/>
                <w:spacing w:val="-6"/>
                <w:kern w:val="0"/>
                <w:sz w:val="21"/>
                <w:szCs w:val="21"/>
                <w:highlight w:val="none"/>
                <w:u w:val="none"/>
                <w:lang w:val="en-US" w:eastAsia="zh-CN"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涉及机构编制调整事项完成率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印发有关机构编制政策和规范性文件数量</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市直机关事业单位编制使用申请事项办结率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市直机关事业单位人员入编事项办结率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部门执行机构编制报告制度覆盖率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机构编制核查覆盖率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事业单位法人登记申请按时办结率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高层次人才入编登记工作完成率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市全面深化改革要点任务完成率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全面深化改革年第三督导组督导次数</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市直机关群团统一社会信用代码申请按时办结率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简易注销登记按时办结率</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群众信访办理情况</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47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公众或服务对象满意度</w:t>
            </w:r>
          </w:p>
        </w:tc>
        <w:tc>
          <w:tcPr>
            <w:tcW w:w="274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19" w:name="_Toc7144"/>
      <w:r>
        <w:rPr>
          <w:rFonts w:hint="eastAsia" w:ascii="楷体_GB2312" w:hAnsi="楷体_GB2312" w:eastAsia="楷体_GB2312" w:cs="楷体_GB2312"/>
          <w:color w:val="auto"/>
          <w:sz w:val="32"/>
          <w:szCs w:val="32"/>
          <w:highlight w:val="none"/>
          <w:lang w:val="en-US" w:eastAsia="zh-CN"/>
        </w:rPr>
        <w:t>（四）部门整体收支情况。</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1.整体收入情况。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2021年度市委编办</w:t>
      </w:r>
      <w:bookmarkStart w:id="20" w:name="PO_part3A1B1Amount1"/>
      <w:r>
        <w:rPr>
          <w:rFonts w:hint="eastAsia" w:ascii="仿宋_GB2312" w:hAnsi="仿宋_GB2312" w:eastAsia="仿宋_GB2312" w:cs="仿宋_GB2312"/>
          <w:color w:val="auto"/>
          <w:sz w:val="32"/>
          <w:szCs w:val="32"/>
          <w:highlight w:val="none"/>
          <w:lang w:val="en-US" w:eastAsia="zh-CN"/>
        </w:rPr>
        <w:t>年初预算</w:t>
      </w:r>
      <w:bookmarkEnd w:id="20"/>
      <w:r>
        <w:rPr>
          <w:rFonts w:hint="eastAsia" w:ascii="仿宋_GB2312" w:hAnsi="仿宋_GB2312" w:eastAsia="仿宋_GB2312" w:cs="仿宋_GB2312"/>
          <w:color w:val="auto"/>
          <w:sz w:val="32"/>
          <w:szCs w:val="32"/>
          <w:highlight w:val="none"/>
          <w:lang w:val="en-US" w:eastAsia="zh-CN"/>
        </w:rPr>
        <w:t>为595.64万元，全年实际收入为770.17万元，全部为一般公共预算财政拨款收入，比年初预算数增加174.53万元，增长29.3%。产生差异的主要原因：一是2020年度绩效考核奖励金及住房改革补贴、住房公积金核增部分未纳入2021年度年初预算范围，因此收入有所增加；二是年中追加5万元经费用于公务用车购置。部门整体收入基本情况如表1-3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表1-</w:t>
      </w:r>
      <w:r>
        <w:rPr>
          <w:rFonts w:hint="eastAsia" w:ascii="宋体" w:hAnsi="宋体" w:cs="宋体"/>
          <w:b/>
          <w:bCs/>
          <w:color w:val="auto"/>
          <w:kern w:val="2"/>
          <w:sz w:val="28"/>
          <w:szCs w:val="28"/>
          <w:highlight w:val="none"/>
          <w:lang w:val="en-US" w:eastAsia="zh-CN" w:bidi="ar-SA"/>
        </w:rPr>
        <w:t xml:space="preserve">3 </w:t>
      </w:r>
      <w:r>
        <w:rPr>
          <w:rFonts w:hint="eastAsia" w:ascii="宋体" w:hAnsi="宋体" w:eastAsia="宋体" w:cs="宋体"/>
          <w:b/>
          <w:bCs/>
          <w:color w:val="auto"/>
          <w:kern w:val="2"/>
          <w:sz w:val="28"/>
          <w:szCs w:val="28"/>
          <w:highlight w:val="none"/>
          <w:lang w:val="en-US" w:eastAsia="zh-CN" w:bidi="ar-SA"/>
        </w:rPr>
        <w:t>部门整体收入基本情况表</w:t>
      </w:r>
    </w:p>
    <w:tbl>
      <w:tblPr>
        <w:tblStyle w:val="13"/>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746"/>
        <w:gridCol w:w="1769"/>
        <w:gridCol w:w="147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1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年初预算数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6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调整预算数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47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决算数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与总收入占比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一般公共预算财政拨款收入</w:t>
            </w:r>
          </w:p>
        </w:tc>
        <w:tc>
          <w:tcPr>
            <w:tcW w:w="1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595.64</w:t>
            </w:r>
          </w:p>
        </w:tc>
        <w:tc>
          <w:tcPr>
            <w:tcW w:w="176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770.17</w:t>
            </w:r>
          </w:p>
        </w:tc>
        <w:tc>
          <w:tcPr>
            <w:tcW w:w="147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770.17</w:t>
            </w:r>
          </w:p>
        </w:tc>
        <w:tc>
          <w:tcPr>
            <w:tcW w:w="17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本年收入合计</w:t>
            </w:r>
          </w:p>
        </w:tc>
        <w:tc>
          <w:tcPr>
            <w:tcW w:w="1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595.64</w:t>
            </w:r>
          </w:p>
        </w:tc>
        <w:tc>
          <w:tcPr>
            <w:tcW w:w="176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47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7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总</w:t>
            </w:r>
            <w:r>
              <w:rPr>
                <w:rFonts w:hint="eastAsia" w:ascii="宋体" w:hAnsi="宋体" w:eastAsia="宋体" w:cs="宋体"/>
                <w:b w:val="0"/>
                <w:bCs w:val="0"/>
                <w:i w:val="0"/>
                <w:iCs w:val="0"/>
                <w:color w:val="auto"/>
                <w:kern w:val="0"/>
                <w:sz w:val="21"/>
                <w:szCs w:val="21"/>
                <w:highlight w:val="none"/>
                <w:u w:val="none"/>
                <w:lang w:val="en-US" w:eastAsia="zh-CN" w:bidi="ar"/>
              </w:rPr>
              <w:t>计</w:t>
            </w:r>
          </w:p>
        </w:tc>
        <w:tc>
          <w:tcPr>
            <w:tcW w:w="1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595.64</w:t>
            </w:r>
          </w:p>
        </w:tc>
        <w:tc>
          <w:tcPr>
            <w:tcW w:w="176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47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75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市委编办2021年度部门整体决算报表，市委编办的支出预算数为595.64万元，其中基本支出为591.64万元，项目支出为4万元。2021年度部门整体支出共计770.17万元，其中基本支出为575.7万元，项目支出为194.47万元，支出率为100%。部门整体支出基本情况如表1-4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表1-</w:t>
      </w:r>
      <w:r>
        <w:rPr>
          <w:rFonts w:hint="eastAsia" w:ascii="宋体" w:hAnsi="宋体" w:cs="宋体"/>
          <w:b/>
          <w:bCs/>
          <w:color w:val="auto"/>
          <w:kern w:val="2"/>
          <w:sz w:val="28"/>
          <w:szCs w:val="28"/>
          <w:highlight w:val="none"/>
          <w:lang w:val="en-US" w:eastAsia="zh-CN" w:bidi="ar-SA"/>
        </w:rPr>
        <w:t>4</w:t>
      </w:r>
      <w:r>
        <w:rPr>
          <w:rFonts w:hint="eastAsia" w:ascii="宋体" w:hAnsi="宋体" w:eastAsia="宋体" w:cs="宋体"/>
          <w:b/>
          <w:bCs/>
          <w:color w:val="auto"/>
          <w:kern w:val="2"/>
          <w:sz w:val="28"/>
          <w:szCs w:val="28"/>
          <w:highlight w:val="none"/>
          <w:lang w:val="en-US" w:eastAsia="zh-CN" w:bidi="ar-SA"/>
        </w:rPr>
        <w:t xml:space="preserve"> 部门整体支出基本情况表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871"/>
        <w:gridCol w:w="1772"/>
        <w:gridCol w:w="159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年初预算数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调整预算数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决算数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Hans" w:bidi="ar"/>
              </w:rPr>
            </w:pPr>
            <w:r>
              <w:rPr>
                <w:rFonts w:hint="eastAsia" w:ascii="宋体" w:hAnsi="宋体" w:eastAsia="宋体" w:cs="宋体"/>
                <w:b/>
                <w:bCs/>
                <w:i w:val="0"/>
                <w:iCs w:val="0"/>
                <w:color w:val="auto"/>
                <w:kern w:val="0"/>
                <w:sz w:val="21"/>
                <w:szCs w:val="21"/>
                <w:highlight w:val="none"/>
                <w:u w:val="none"/>
                <w:lang w:val="en-US" w:eastAsia="zh-Hans" w:bidi="ar"/>
              </w:rPr>
              <w:t>支出占比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一、</w:t>
            </w:r>
            <w:r>
              <w:rPr>
                <w:rFonts w:hint="eastAsia" w:ascii="宋体" w:hAnsi="宋体" w:eastAsia="宋体" w:cs="宋体"/>
                <w:color w:val="auto"/>
                <w:kern w:val="2"/>
                <w:sz w:val="21"/>
                <w:szCs w:val="21"/>
                <w:highlight w:val="none"/>
                <w:lang w:val="en-US" w:eastAsia="zh-CN" w:bidi="ar-SA"/>
              </w:rPr>
              <w:t>基本支出</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591.64</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575.70</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575.70</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74.75</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人员经费</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501.81</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487.37</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487.37</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63.28</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公用经费</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89.83</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88.33</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88.33</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11.47</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ascii="仿宋_GB2312" w:hAnsi="仿宋_GB2312" w:eastAsia="仿宋_GB2312" w:cs="仿宋_GB2312"/>
                <w:bCs/>
                <w:color w:val="auto"/>
                <w:sz w:val="21"/>
                <w:szCs w:val="21"/>
                <w:highlight w:val="none"/>
              </w:rPr>
            </w:pPr>
            <w:r>
              <w:rPr>
                <w:rFonts w:hint="eastAsia" w:ascii="宋体" w:hAnsi="宋体" w:eastAsia="宋体" w:cs="宋体"/>
                <w:color w:val="auto"/>
                <w:kern w:val="2"/>
                <w:sz w:val="21"/>
                <w:szCs w:val="21"/>
                <w:highlight w:val="none"/>
                <w:lang w:val="en-US" w:eastAsia="zh-Hans" w:bidi="ar-SA"/>
              </w:rPr>
              <w:t>二、</w:t>
            </w:r>
            <w:r>
              <w:rPr>
                <w:rFonts w:hint="eastAsia" w:ascii="宋体" w:hAnsi="宋体" w:eastAsia="宋体" w:cs="宋体"/>
                <w:color w:val="auto"/>
                <w:kern w:val="2"/>
                <w:sz w:val="21"/>
                <w:szCs w:val="21"/>
                <w:highlight w:val="none"/>
                <w:lang w:val="en-US" w:eastAsia="zh-CN" w:bidi="ar-SA"/>
              </w:rPr>
              <w:t>项目支出</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4.00</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194.47</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194.47</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25.25</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本年支出合计</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595.64</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总计</w:t>
            </w:r>
          </w:p>
        </w:tc>
        <w:tc>
          <w:tcPr>
            <w:tcW w:w="1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595.64</w:t>
            </w:r>
          </w:p>
        </w:tc>
        <w:tc>
          <w:tcPr>
            <w:tcW w:w="177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770.17</w:t>
            </w:r>
          </w:p>
        </w:tc>
        <w:tc>
          <w:tcPr>
            <w:tcW w:w="12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2021年度支出调整预算数为770.17万元，其中基本支出调整为575.7万元，比年初预算数减少15.94万元，下降2.69%；项目支出调整为194.47万元，比年初预算数增加190.47万元，增长4761.75%。主要变动情况分析：一是2021年调出人员3名，分别为主任1名、四级调研员2名，其中，按照2020年决算统计口径，主任刘晓佳同志未统计入该年年末人数，实际2021年预算仍由项目单位编报。2021年调入人员3名，分别为副主任1名、一级科员2名，总体工资水平降低，因此人员经费支出有所减少；二是将2020年度绩效考核奖励金及住房改革补贴、住房公积金核增部分纳入2021年度预算项目范围；三是年中追加经费5万元用于公务用车购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highlight w:val="none"/>
          <w:lang w:val="en-US" w:eastAsia="zh-CN"/>
        </w:rPr>
      </w:pPr>
      <w:bookmarkStart w:id="21" w:name="_Toc18585"/>
      <w:r>
        <w:rPr>
          <w:rFonts w:hint="eastAsia" w:ascii="黑体" w:hAnsi="黑体" w:eastAsia="黑体" w:cs="黑体"/>
          <w:color w:val="auto"/>
          <w:sz w:val="32"/>
          <w:szCs w:val="32"/>
          <w:highlight w:val="none"/>
          <w:lang w:val="en-US" w:eastAsia="zh-CN"/>
        </w:rPr>
        <w:t>二、绩效评价指标分析</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22" w:name="_Toc27672"/>
      <w:r>
        <w:rPr>
          <w:rFonts w:hint="eastAsia" w:ascii="楷体_GB2312" w:hAnsi="楷体_GB2312" w:eastAsia="楷体_GB2312" w:cs="楷体_GB2312"/>
          <w:color w:val="auto"/>
          <w:sz w:val="32"/>
          <w:szCs w:val="32"/>
          <w:highlight w:val="none"/>
          <w:lang w:val="en-US" w:eastAsia="zh-CN"/>
        </w:rPr>
        <w:t>（一）年度工作任务及绩效目标完成情况。</w:t>
      </w:r>
      <w:bookmarkEnd w:id="22"/>
    </w:p>
    <w:p>
      <w:pPr>
        <w:pStyle w:val="1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评价组根据市委编办提供的自评材料，经实地评价情况核实后进行综合分析，截至2021年12月31日，市委编办2021年度工作任务及绩效目标均已全部完成。工作任务完成情况、绩效目标完成情况分别如表2-1、2-2所示。</w:t>
      </w:r>
    </w:p>
    <w:p>
      <w:pPr>
        <w:pStyle w:val="1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表2-1</w:t>
      </w:r>
      <w:r>
        <w:rPr>
          <w:rFonts w:hint="eastAsia" w:ascii="宋体" w:hAnsi="宋体" w:cs="宋体"/>
          <w:b/>
          <w:bCs/>
          <w:color w:val="auto"/>
          <w:kern w:val="2"/>
          <w:sz w:val="28"/>
          <w:szCs w:val="28"/>
          <w:highlight w:val="none"/>
          <w:lang w:val="en-US" w:eastAsia="zh-CN" w:bidi="ar-SA"/>
        </w:rPr>
        <w:t xml:space="preserve"> </w:t>
      </w:r>
      <w:r>
        <w:rPr>
          <w:rFonts w:hint="eastAsia" w:ascii="宋体" w:hAnsi="宋体" w:eastAsia="宋体" w:cs="宋体"/>
          <w:b/>
          <w:bCs/>
          <w:color w:val="auto"/>
          <w:sz w:val="28"/>
          <w:szCs w:val="28"/>
          <w:highlight w:val="none"/>
          <w:lang w:val="en-US" w:eastAsia="zh-CN"/>
        </w:rPr>
        <w:t>工作任务完成情况表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97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序号</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工作任务</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完成市全面深化改革要点任务</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highlight w:val="none"/>
                <w:u w:val="none"/>
              </w:rPr>
            </w:pPr>
            <w:r>
              <w:rPr>
                <w:rFonts w:hint="eastAsia"/>
                <w:b/>
                <w:bCs/>
                <w:color w:val="auto"/>
                <w:highlight w:val="none"/>
                <w:lang w:val="en-US" w:eastAsia="zh-CN"/>
              </w:rPr>
              <w:t>已完成。</w:t>
            </w:r>
            <w:r>
              <w:rPr>
                <w:rFonts w:hint="eastAsia" w:ascii="宋体" w:hAnsi="宋体" w:eastAsia="宋体" w:cs="宋体"/>
                <w:i w:val="0"/>
                <w:iCs w:val="0"/>
                <w:color w:val="auto"/>
                <w:kern w:val="0"/>
                <w:sz w:val="21"/>
                <w:szCs w:val="21"/>
                <w:highlight w:val="none"/>
                <w:u w:val="none"/>
                <w:lang w:val="en-US" w:eastAsia="zh-CN" w:bidi="ar"/>
              </w:rPr>
              <w:t>紧扣市委中心工作全面完成深化镇街综合行政执法改革、事业单位改革等13项改革任务。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完成全面深化改革年第三督导组督察工作</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已完成。</w:t>
            </w:r>
            <w:r>
              <w:rPr>
                <w:rFonts w:hint="eastAsia" w:ascii="宋体" w:hAnsi="宋体" w:eastAsia="宋体" w:cs="宋体"/>
                <w:i w:val="0"/>
                <w:iCs w:val="0"/>
                <w:color w:val="auto"/>
                <w:kern w:val="0"/>
                <w:sz w:val="21"/>
                <w:szCs w:val="21"/>
                <w:highlight w:val="none"/>
                <w:u w:val="none"/>
                <w:lang w:val="en-US" w:eastAsia="zh-CN" w:bidi="ar"/>
              </w:rPr>
              <w:t>履行好市委深改委行政管理体制改革专项小组牵头单位职责，扎实做好全面深化改革年第三督导组督察工作及改革绩效考核工作，开展书面督导、实地督导，形成督导台账及报告。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3</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机关事业单位机构编制管理</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已完成。</w:t>
            </w:r>
            <w:r>
              <w:rPr>
                <w:rFonts w:hint="eastAsia" w:ascii="宋体" w:hAnsi="宋体" w:eastAsia="宋体" w:cs="宋体"/>
                <w:i w:val="0"/>
                <w:iCs w:val="0"/>
                <w:color w:val="auto"/>
                <w:sz w:val="21"/>
                <w:szCs w:val="21"/>
                <w:highlight w:val="none"/>
                <w:u w:val="none"/>
              </w:rPr>
              <w:t>2021年市委编办完成市直机关事业单位编制使用申请736人，其中完成党政机关和群团用编申请113人，事业单位用编申请623人，及时满足申请单位的人才需求；完成市直机关事业单位人员入编人数985人次，其中，完成党政机关和群团列编391人次，事业单位列编594人次，进一步优化市直机关单位的人才配置；完成涉及机构编制调整事项225个，进一步优化机构的人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4</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机构编制监督检查和实名制管理</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已完成。</w:t>
            </w:r>
            <w:r>
              <w:rPr>
                <w:rFonts w:hint="eastAsia" w:ascii="宋体" w:hAnsi="宋体" w:eastAsia="宋体" w:cs="宋体"/>
                <w:i w:val="0"/>
                <w:iCs w:val="0"/>
                <w:color w:val="auto"/>
                <w:kern w:val="0"/>
                <w:sz w:val="21"/>
                <w:szCs w:val="21"/>
                <w:highlight w:val="none"/>
                <w:u w:val="none"/>
                <w:lang w:val="en-US" w:eastAsia="zh-CN" w:bidi="ar"/>
              </w:rPr>
              <w:t>2021年市委编办执行机构编制报告制度的部门76个，进一步加强全市的编制部门的管理和指导；随机实施编制实地核查136家市本级机关单位，核查覆盖率为47.7%，完成</w:t>
            </w:r>
            <w:r>
              <w:rPr>
                <w:rFonts w:hint="eastAsia" w:ascii="宋体" w:hAnsi="宋体" w:cs="宋体"/>
                <w:i w:val="0"/>
                <w:iCs w:val="0"/>
                <w:color w:val="auto"/>
                <w:kern w:val="0"/>
                <w:sz w:val="21"/>
                <w:szCs w:val="21"/>
                <w:highlight w:val="none"/>
                <w:u w:val="none"/>
                <w:lang w:val="en-US" w:eastAsia="zh-CN" w:bidi="ar"/>
              </w:rPr>
              <w:t>机构</w:t>
            </w:r>
            <w:r>
              <w:rPr>
                <w:rFonts w:hint="eastAsia" w:ascii="宋体" w:hAnsi="宋体" w:eastAsia="宋体" w:cs="宋体"/>
                <w:i w:val="0"/>
                <w:iCs w:val="0"/>
                <w:color w:val="auto"/>
                <w:kern w:val="0"/>
                <w:sz w:val="21"/>
                <w:szCs w:val="21"/>
                <w:highlight w:val="none"/>
                <w:u w:val="none"/>
                <w:lang w:val="en-US" w:eastAsia="zh-CN" w:bidi="ar"/>
              </w:rPr>
              <w:t>编制监督检查工作，确保机构编制符合该市高质量发展的需要；完成新实名制系统数据迁移并推动上线运行；做好实名制数据库动态更新，并及时为市委办、市委组织部、市公安局、市财政局等部门提供数据支撑。同时，认真做好机构编制统计工作，2020-2021年度统计工作受到省委编办通报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5</w:t>
            </w:r>
          </w:p>
        </w:tc>
        <w:tc>
          <w:tcPr>
            <w:tcW w:w="19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事业单位法人登记管理</w:t>
            </w:r>
          </w:p>
        </w:tc>
        <w:tc>
          <w:tcPr>
            <w:tcW w:w="60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已完成。</w:t>
            </w:r>
            <w:r>
              <w:rPr>
                <w:rFonts w:hint="eastAsia" w:ascii="宋体" w:hAnsi="宋体" w:eastAsia="宋体" w:cs="宋体"/>
                <w:i w:val="0"/>
                <w:iCs w:val="0"/>
                <w:color w:val="auto"/>
                <w:kern w:val="0"/>
                <w:sz w:val="21"/>
                <w:szCs w:val="21"/>
                <w:highlight w:val="none"/>
                <w:u w:val="none"/>
                <w:lang w:val="en-US" w:eastAsia="zh-CN" w:bidi="ar"/>
              </w:rPr>
              <w:t>2021年市委编办继续做好事业单位法人设立、变更等登记工作，完成事业单位法人登记审核172人；简化事业单位登记办理程序，全面推行“简易注销”“全程网办”等模式，全年共办理事业单位法人注销登记320家，其中简易注销200多家，清理“僵尸”事业单位50多家。</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 xml:space="preserve">2 </w:t>
      </w:r>
      <w:r>
        <w:rPr>
          <w:rFonts w:hint="eastAsia" w:ascii="宋体" w:hAnsi="宋体" w:eastAsia="宋体" w:cs="宋体"/>
          <w:b/>
          <w:bCs/>
          <w:color w:val="auto"/>
          <w:kern w:val="2"/>
          <w:sz w:val="28"/>
          <w:szCs w:val="28"/>
          <w:highlight w:val="none"/>
          <w:lang w:val="en-US" w:eastAsia="zh-CN" w:bidi="ar-SA"/>
        </w:rPr>
        <w:t>绩效目标完成情况表</w:t>
      </w:r>
    </w:p>
    <w:tbl>
      <w:tblPr>
        <w:tblStyle w:val="14"/>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14"/>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序号</w:t>
            </w:r>
          </w:p>
        </w:tc>
        <w:tc>
          <w:tcPr>
            <w:tcW w:w="161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绩效目标</w:t>
            </w:r>
          </w:p>
        </w:tc>
        <w:tc>
          <w:tcPr>
            <w:tcW w:w="636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完成</w:t>
            </w:r>
            <w:r>
              <w:rPr>
                <w:rFonts w:hint="eastAsia" w:ascii="宋体" w:hAnsi="宋体" w:cs="宋体"/>
                <w:b/>
                <w:bCs/>
                <w:i w:val="0"/>
                <w:iCs w:val="0"/>
                <w:color w:val="auto"/>
                <w:kern w:val="0"/>
                <w:sz w:val="21"/>
                <w:szCs w:val="21"/>
                <w:highlight w:val="none"/>
                <w:u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贯彻落实中央和省关于机构编制工作的方针政策和决策部署。</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b/>
                <w:bCs/>
                <w:color w:val="auto"/>
                <w:highlight w:val="none"/>
                <w:lang w:val="en-US" w:eastAsia="zh-CN"/>
              </w:rPr>
              <w:t>已完成。</w:t>
            </w:r>
            <w:r>
              <w:rPr>
                <w:rFonts w:hint="default" w:ascii="宋体" w:hAnsi="宋体" w:eastAsia="宋体" w:cs="宋体"/>
                <w:color w:val="auto"/>
                <w:kern w:val="2"/>
                <w:sz w:val="21"/>
                <w:szCs w:val="21"/>
                <w:highlight w:val="none"/>
                <w:lang w:val="en" w:eastAsia="zh-CN" w:bidi="ar-SA"/>
              </w:rPr>
              <w:t>2021</w:t>
            </w:r>
            <w:r>
              <w:rPr>
                <w:rFonts w:hint="eastAsia" w:ascii="宋体" w:hAnsi="宋体" w:eastAsia="宋体" w:cs="宋体"/>
                <w:color w:val="auto"/>
                <w:kern w:val="2"/>
                <w:sz w:val="21"/>
                <w:szCs w:val="21"/>
                <w:highlight w:val="none"/>
                <w:lang w:val="en" w:eastAsia="zh-CN" w:bidi="ar-SA"/>
              </w:rPr>
              <w:t>年市委编办</w:t>
            </w:r>
            <w:r>
              <w:rPr>
                <w:rFonts w:hint="eastAsia" w:ascii="宋体" w:hAnsi="宋体" w:eastAsia="宋体" w:cs="宋体"/>
                <w:color w:val="auto"/>
                <w:kern w:val="2"/>
                <w:sz w:val="21"/>
                <w:szCs w:val="21"/>
                <w:highlight w:val="none"/>
                <w:lang w:val="en-US" w:eastAsia="zh-CN" w:bidi="ar-SA"/>
              </w:rPr>
              <w:t>深入贯彻落实《中国共产党机构编制工作条例》，推动将《条例》纳入党校主体班培训课程，组织办业务骨干分别为市委党校、浈江区培训班学员开展专题授课，培训学员近200人。同时，印发专门通知，督促指导各地各部门加强对《条例》及配套法规的贯彻落实；印发《市委编办关于健全完善机构编制管理的制度》，进一步规范机构编制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研究起草机构编制工作的政策和规范性文件。</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 w:eastAsia="zh-CN" w:bidi="ar-SA"/>
              </w:rPr>
              <w:t>已完成。</w:t>
            </w:r>
            <w:r>
              <w:rPr>
                <w:rFonts w:hint="default" w:ascii="宋体" w:hAnsi="宋体" w:eastAsia="宋体" w:cs="宋体"/>
                <w:color w:val="auto"/>
                <w:kern w:val="2"/>
                <w:sz w:val="21"/>
                <w:szCs w:val="21"/>
                <w:highlight w:val="none"/>
                <w:lang w:val="en" w:eastAsia="zh-CN" w:bidi="ar-SA"/>
              </w:rPr>
              <w:t>2021</w:t>
            </w:r>
            <w:r>
              <w:rPr>
                <w:rFonts w:hint="eastAsia" w:ascii="宋体" w:hAnsi="宋体" w:eastAsia="宋体" w:cs="宋体"/>
                <w:color w:val="auto"/>
                <w:kern w:val="2"/>
                <w:sz w:val="21"/>
                <w:szCs w:val="21"/>
                <w:highlight w:val="none"/>
                <w:lang w:val="en" w:eastAsia="zh-CN" w:bidi="ar-SA"/>
              </w:rPr>
              <w:t>年市委编办共起草印发规范性文件</w:t>
            </w:r>
            <w:r>
              <w:rPr>
                <w:rFonts w:hint="eastAsia" w:ascii="宋体" w:hAnsi="宋体" w:eastAsia="宋体" w:cs="宋体"/>
                <w:color w:val="auto"/>
                <w:kern w:val="2"/>
                <w:sz w:val="21"/>
                <w:szCs w:val="21"/>
                <w:highlight w:val="none"/>
                <w:lang w:val="en-US" w:eastAsia="zh-CN" w:bidi="ar-SA"/>
              </w:rPr>
              <w:t>19份，其中，党内规范性文件《关于进一步挖潜创新加强中小学教职工管理的实施意见》1份，事业单位机构编制方案16份，提请印发部门“三定”规定2份，完成了研究起草机构编制工作的政策和规范性文件工作。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进一步优化机构职能体系。</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 w:eastAsia="zh-CN" w:bidi="ar-SA"/>
              </w:rPr>
              <w:t>已完成。</w:t>
            </w:r>
            <w:r>
              <w:rPr>
                <w:rFonts w:hint="default" w:ascii="宋体" w:hAnsi="宋体" w:eastAsia="宋体" w:cs="宋体"/>
                <w:color w:val="auto"/>
                <w:kern w:val="2"/>
                <w:sz w:val="21"/>
                <w:szCs w:val="21"/>
                <w:highlight w:val="none"/>
                <w:lang w:val="en" w:eastAsia="zh-CN" w:bidi="ar-SA"/>
              </w:rPr>
              <w:t>2021</w:t>
            </w:r>
            <w:r>
              <w:rPr>
                <w:rFonts w:hint="eastAsia" w:ascii="宋体" w:hAnsi="宋体" w:eastAsia="宋体" w:cs="宋体"/>
                <w:color w:val="auto"/>
                <w:kern w:val="2"/>
                <w:sz w:val="21"/>
                <w:szCs w:val="21"/>
                <w:highlight w:val="none"/>
                <w:lang w:val="en" w:eastAsia="zh-CN" w:bidi="ar-SA"/>
              </w:rPr>
              <w:t>年市委编办</w:t>
            </w:r>
            <w:r>
              <w:rPr>
                <w:rFonts w:hint="eastAsia" w:ascii="宋体" w:hAnsi="宋体" w:eastAsia="宋体" w:cs="宋体"/>
                <w:color w:val="auto"/>
                <w:kern w:val="2"/>
                <w:sz w:val="21"/>
                <w:szCs w:val="21"/>
                <w:highlight w:val="none"/>
                <w:lang w:val="en-US" w:eastAsia="zh-CN" w:bidi="ar-SA"/>
              </w:rPr>
              <w:t>不断优化机构职能体系。一是加强和完善党的全面领导。二是优化机构职能配置。三是清理规范开发区管理机构。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统筹推进各领域机构和体制机制改革。</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已完成。</w:t>
            </w:r>
            <w:r>
              <w:rPr>
                <w:rFonts w:hint="eastAsia" w:ascii="宋体" w:hAnsi="宋体" w:eastAsia="宋体" w:cs="宋体"/>
                <w:color w:val="auto"/>
                <w:kern w:val="2"/>
                <w:sz w:val="21"/>
                <w:szCs w:val="21"/>
                <w:highlight w:val="none"/>
                <w:lang w:val="en-US" w:eastAsia="zh-CN" w:bidi="ar-SA"/>
              </w:rPr>
              <w:t>2021年市委编办统筹推进各领域机构和体制机制改革。一是深化镇街综合行政执法改革。二是深化韶关高新区管理体制机制改革。三是配合推进其他领域改革工作。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深化事业单位改革。</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已完成。</w:t>
            </w:r>
            <w:r>
              <w:rPr>
                <w:rFonts w:hint="eastAsia" w:ascii="宋体" w:hAnsi="宋体" w:eastAsia="宋体" w:cs="宋体"/>
                <w:color w:val="auto"/>
                <w:kern w:val="2"/>
                <w:sz w:val="21"/>
                <w:szCs w:val="21"/>
                <w:highlight w:val="none"/>
                <w:lang w:val="en-US" w:eastAsia="zh-CN" w:bidi="ar-SA"/>
              </w:rPr>
              <w:t>2021年市委编办深入推进市直从事生产经营活动事业单位改革，纳入改革范围的42家单位中，19家已全面完成改革，20家涉及转企改制、撤销单位已印发改革实施方案，剩余3家单位也正有序推进。截至目前，共撤销事业单位5家，收回事业编制84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管住管好用活机构编制资源。</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已完成。</w:t>
            </w:r>
            <w:r>
              <w:rPr>
                <w:rFonts w:hint="eastAsia" w:ascii="宋体" w:hAnsi="宋体" w:eastAsia="宋体" w:cs="宋体"/>
                <w:color w:val="auto"/>
                <w:kern w:val="2"/>
                <w:sz w:val="21"/>
                <w:szCs w:val="21"/>
                <w:highlight w:val="none"/>
                <w:lang w:val="en-US" w:eastAsia="zh-CN" w:bidi="ar-SA"/>
              </w:rPr>
              <w:t>2021年市委编办坚持守正创新，持续提升管理服务效益。一是创新中小学教职工编制管理。将市、县两级2.7万余名中小学教职工编制纳入全市统筹管理。全年共调剂400多名编制给武江区、仁化县学校使用。二是加强高层次人才服务保障。全年共为党政储备类、教育教学类、医疗卫生类等高层次人才办理列编389人，下达高层次人才专项事业编制51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开展机构编制监督检查。</w:t>
            </w:r>
          </w:p>
        </w:tc>
        <w:tc>
          <w:tcPr>
            <w:tcW w:w="63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已完成。</w:t>
            </w:r>
            <w:r>
              <w:rPr>
                <w:rFonts w:hint="eastAsia" w:ascii="宋体" w:hAnsi="宋体" w:eastAsia="宋体" w:cs="宋体"/>
                <w:color w:val="auto"/>
                <w:kern w:val="2"/>
                <w:sz w:val="21"/>
                <w:szCs w:val="21"/>
                <w:highlight w:val="none"/>
                <w:lang w:val="en-US" w:eastAsia="zh-CN" w:bidi="ar-SA"/>
              </w:rPr>
              <w:t>2021年市委编办执行编制报告管理情况为全市共有76个部门执行机构编制报告制度，执行率100%；韶关市本级机关事业单位一共285个，市委编办核查136个部门机构编制，核查覆盖率为47.7%，完成</w:t>
            </w:r>
            <w:r>
              <w:rPr>
                <w:rFonts w:hint="eastAsia" w:ascii="宋体" w:hAnsi="宋体" w:cs="宋体"/>
                <w:color w:val="auto"/>
                <w:kern w:val="2"/>
                <w:sz w:val="21"/>
                <w:szCs w:val="21"/>
                <w:highlight w:val="none"/>
                <w:lang w:val="en-US" w:eastAsia="zh-CN" w:bidi="ar-SA"/>
              </w:rPr>
              <w:t>机构</w:t>
            </w:r>
            <w:r>
              <w:rPr>
                <w:rFonts w:hint="eastAsia" w:ascii="宋体" w:hAnsi="宋体" w:eastAsia="宋体" w:cs="宋体"/>
                <w:color w:val="auto"/>
                <w:kern w:val="2"/>
                <w:sz w:val="21"/>
                <w:szCs w:val="21"/>
                <w:highlight w:val="none"/>
                <w:lang w:val="en-US" w:eastAsia="zh-CN" w:bidi="ar-SA"/>
              </w:rPr>
              <w:t>编制监督检查和实名制管理工作。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23" w:name="_Toc16340"/>
      <w:r>
        <w:rPr>
          <w:rFonts w:hint="eastAsia" w:ascii="楷体_GB2312" w:hAnsi="楷体_GB2312" w:eastAsia="楷体_GB2312" w:cs="楷体_GB2312"/>
          <w:color w:val="auto"/>
          <w:sz w:val="32"/>
          <w:szCs w:val="32"/>
          <w:highlight w:val="none"/>
          <w:lang w:val="en-US" w:eastAsia="zh-CN"/>
        </w:rPr>
        <w:t>（二）部门整体绩效评价指标分析。</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1.预算编制情况分析。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指标反映预算编制的合理性、准确性，考察绩效目标设置的科学性和可操作性。由预算编制、目标设置两个二级指标构成。指标分值15分，扣4分，得11分，得分率为73.33%。预算编制情况指标的得分情况如表2-3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3</w:t>
      </w:r>
      <w:r>
        <w:rPr>
          <w:rFonts w:hint="eastAsia" w:ascii="宋体" w:hAnsi="宋体" w:eastAsia="宋体" w:cs="宋体"/>
          <w:b/>
          <w:bCs/>
          <w:color w:val="auto"/>
          <w:kern w:val="2"/>
          <w:sz w:val="28"/>
          <w:szCs w:val="28"/>
          <w:highlight w:val="none"/>
          <w:lang w:val="en-US" w:eastAsia="zh-CN" w:bidi="ar-SA"/>
        </w:rPr>
        <w:t xml:space="preserve"> 预算编制情况指标的得分情况表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5"/>
        <w:gridCol w:w="896"/>
        <w:gridCol w:w="2337"/>
        <w:gridCol w:w="960"/>
        <w:gridCol w:w="152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4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二级指标</w:t>
            </w:r>
          </w:p>
        </w:tc>
        <w:tc>
          <w:tcPr>
            <w:tcW w:w="8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三级指标</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评价得分</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预算编制</w:t>
            </w:r>
          </w:p>
        </w:tc>
        <w:tc>
          <w:tcPr>
            <w:tcW w:w="896"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预算编制规范性</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24" w:type="dxa"/>
            <w:shd w:val="clear" w:color="auto" w:fill="auto"/>
            <w:vAlign w:val="center"/>
          </w:tcPr>
          <w:p>
            <w:pPr>
              <w:keepNext w:val="0"/>
              <w:keepLines w:val="0"/>
              <w:widowControl/>
              <w:suppressLineNumbers w:val="0"/>
              <w:spacing w:line="3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p>
        </w:tc>
        <w:tc>
          <w:tcPr>
            <w:tcW w:w="1599" w:type="dxa"/>
            <w:shd w:val="clear" w:color="auto" w:fill="auto"/>
            <w:vAlign w:val="center"/>
          </w:tcPr>
          <w:p>
            <w:pPr>
              <w:keepNext w:val="0"/>
              <w:keepLines w:val="0"/>
              <w:widowControl/>
              <w:suppressLineNumbers w:val="0"/>
              <w:spacing w:line="3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66.67</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96"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预算调整率</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96"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83.33</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目标设置</w:t>
            </w:r>
          </w:p>
        </w:tc>
        <w:tc>
          <w:tcPr>
            <w:tcW w:w="896"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绩效目标覆盖率</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96"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绩效目标合理性</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96"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绩效指标明确性</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33.33</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96"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5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5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66.67</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8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23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tc>
        <w:tc>
          <w:tcPr>
            <w:tcW w:w="9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524" w:type="dxa"/>
            <w:shd w:val="clear" w:color="auto" w:fill="auto"/>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r>
              <w:rPr>
                <w:rFonts w:hint="eastAsia" w:ascii="宋体" w:hAnsi="宋体" w:cs="宋体"/>
                <w:b/>
                <w:bCs/>
                <w:i w:val="0"/>
                <w:iCs w:val="0"/>
                <w:color w:val="auto"/>
                <w:kern w:val="0"/>
                <w:sz w:val="21"/>
                <w:szCs w:val="21"/>
                <w:highlight w:val="none"/>
                <w:u w:val="none"/>
                <w:lang w:val="en-US" w:eastAsia="zh-CN" w:bidi="ar"/>
              </w:rPr>
              <w:t>1</w:t>
            </w:r>
          </w:p>
        </w:tc>
        <w:tc>
          <w:tcPr>
            <w:tcW w:w="1599" w:type="dxa"/>
            <w:shd w:val="clear" w:color="auto" w:fill="auto"/>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73.33</w:t>
            </w:r>
            <w:r>
              <w:rPr>
                <w:rFonts w:hint="eastAsia" w:ascii="宋体" w:hAnsi="宋体" w:eastAsia="宋体" w:cs="宋体"/>
                <w:b/>
                <w:bCs/>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（1）预算编制。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该指标反映预算编制的规范性和精准性。由预算编制规范性、</w:t>
      </w:r>
      <w:r>
        <w:rPr>
          <w:rFonts w:hint="default" w:ascii="仿宋_GB2312" w:hAnsi="仿宋_GB2312" w:eastAsia="仿宋_GB2312" w:cs="仿宋_GB2312"/>
          <w:color w:val="auto"/>
          <w:sz w:val="32"/>
          <w:szCs w:val="32"/>
          <w:highlight w:val="none"/>
          <w:lang w:val="en-US" w:eastAsia="zh-CN"/>
        </w:rPr>
        <w:t>预算调整率</w:t>
      </w:r>
      <w:r>
        <w:rPr>
          <w:rFonts w:hint="eastAsia" w:ascii="仿宋_GB2312" w:hAnsi="仿宋_GB2312" w:eastAsia="仿宋_GB2312" w:cs="仿宋_GB2312"/>
          <w:color w:val="auto"/>
          <w:sz w:val="32"/>
          <w:szCs w:val="32"/>
          <w:highlight w:val="none"/>
          <w:lang w:val="en-US" w:eastAsia="zh-CN"/>
        </w:rPr>
        <w:t>两个三级指标构成，该指标分值6分，扣1分，评价得分5分，得分率83.33%。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①预算编制规范性。</w:t>
      </w:r>
      <w:r>
        <w:rPr>
          <w:rFonts w:hint="eastAsia" w:ascii="仿宋_GB2312" w:hAnsi="仿宋_GB2312" w:eastAsia="仿宋_GB2312" w:cs="仿宋_GB2312"/>
          <w:color w:val="auto"/>
          <w:kern w:val="2"/>
          <w:sz w:val="32"/>
          <w:szCs w:val="32"/>
          <w:highlight w:val="none"/>
          <w:lang w:val="en-US" w:eastAsia="zh-CN" w:bidi="ar-SA"/>
        </w:rPr>
        <w:t>预算编制符合该部门职责、符合市委、市政府的方针政策和工作要求，资金能根据项目的轻重缓急进行分配，按照财政当年预算编制原则进行编制。该指标分值3分，扣1分，评价得分2分，得分率66.67%。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市委编办</w:t>
      </w:r>
      <w:r>
        <w:rPr>
          <w:rFonts w:hint="default" w:ascii="仿宋_GB2312" w:hAnsi="仿宋_GB2312" w:eastAsia="仿宋_GB2312" w:cs="仿宋_GB2312"/>
          <w:color w:val="auto"/>
          <w:sz w:val="32"/>
          <w:szCs w:val="32"/>
          <w:highlight w:val="none"/>
        </w:rPr>
        <w:t>部门预算编制、分配符合本部门职责</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符合市委市政府方针政策和工作要求</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kern w:val="2"/>
          <w:sz w:val="32"/>
          <w:szCs w:val="32"/>
          <w:highlight w:val="none"/>
          <w:lang w:val="en-US" w:eastAsia="zh-CN" w:bidi="ar-SA"/>
        </w:rPr>
        <w:t>2021年度</w:t>
      </w:r>
      <w:r>
        <w:rPr>
          <w:rFonts w:hint="eastAsia" w:ascii="仿宋_GB2312" w:hAnsi="仿宋_GB2312" w:eastAsia="仿宋_GB2312" w:cs="仿宋_GB2312"/>
          <w:color w:val="auto"/>
          <w:kern w:val="2"/>
          <w:sz w:val="32"/>
          <w:szCs w:val="32"/>
          <w:highlight w:val="none"/>
          <w:lang w:val="en-US" w:eastAsia="zh-CN" w:bidi="ar-SA"/>
        </w:rPr>
        <w:t>决算</w:t>
      </w:r>
      <w:r>
        <w:rPr>
          <w:rFonts w:hint="default" w:ascii="仿宋_GB2312" w:hAnsi="仿宋_GB2312" w:eastAsia="仿宋_GB2312" w:cs="仿宋_GB2312"/>
          <w:color w:val="auto"/>
          <w:kern w:val="2"/>
          <w:sz w:val="32"/>
          <w:szCs w:val="32"/>
          <w:highlight w:val="none"/>
          <w:lang w:val="en-US" w:eastAsia="zh-CN" w:bidi="ar-SA"/>
        </w:rPr>
        <w:t>数为770.17万元，年初预算</w:t>
      </w:r>
      <w:r>
        <w:rPr>
          <w:rFonts w:hint="eastAsia" w:ascii="仿宋_GB2312" w:hAnsi="仿宋_GB2312" w:eastAsia="仿宋_GB2312" w:cs="仿宋_GB2312"/>
          <w:color w:val="auto"/>
          <w:kern w:val="2"/>
          <w:sz w:val="32"/>
          <w:szCs w:val="32"/>
          <w:highlight w:val="none"/>
          <w:lang w:val="en-US" w:eastAsia="zh-CN" w:bidi="ar-SA"/>
        </w:rPr>
        <w:t>数</w:t>
      </w:r>
      <w:r>
        <w:rPr>
          <w:rFonts w:hint="default" w:ascii="仿宋_GB2312" w:hAnsi="仿宋_GB2312" w:eastAsia="仿宋_GB2312" w:cs="仿宋_GB2312"/>
          <w:color w:val="auto"/>
          <w:kern w:val="2"/>
          <w:sz w:val="32"/>
          <w:szCs w:val="32"/>
          <w:highlight w:val="none"/>
          <w:lang w:val="en-US" w:eastAsia="zh-CN" w:bidi="ar-SA"/>
        </w:rPr>
        <w:t>为595.64万元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Hans" w:bidi="ar-SA"/>
        </w:rPr>
        <w:t>预算调整金额</w:t>
      </w:r>
      <w:r>
        <w:rPr>
          <w:rFonts w:hint="eastAsia" w:ascii="仿宋_GB2312" w:hAnsi="仿宋_GB2312" w:eastAsia="仿宋_GB2312" w:cs="仿宋_GB2312"/>
          <w:color w:val="auto"/>
          <w:kern w:val="2"/>
          <w:sz w:val="32"/>
          <w:szCs w:val="32"/>
          <w:highlight w:val="none"/>
          <w:lang w:val="en-US" w:eastAsia="zh-CN" w:bidi="ar-SA"/>
        </w:rPr>
        <w:t>174.53</w:t>
      </w:r>
      <w:r>
        <w:rPr>
          <w:rFonts w:hint="eastAsia" w:ascii="仿宋_GB2312" w:hAnsi="仿宋_GB2312" w:eastAsia="仿宋_GB2312" w:cs="仿宋_GB2312"/>
          <w:color w:val="auto"/>
          <w:kern w:val="2"/>
          <w:sz w:val="32"/>
          <w:szCs w:val="32"/>
          <w:highlight w:val="none"/>
          <w:lang w:val="en-US" w:eastAsia="zh-Hans" w:bidi="ar-SA"/>
        </w:rPr>
        <w:t>万</w:t>
      </w:r>
      <w:r>
        <w:rPr>
          <w:rFonts w:hint="eastAsia" w:ascii="仿宋_GB2312" w:hAnsi="仿宋_GB2312" w:eastAsia="仿宋_GB2312" w:cs="仿宋_GB2312"/>
          <w:color w:val="auto"/>
          <w:kern w:val="2"/>
          <w:sz w:val="32"/>
          <w:szCs w:val="32"/>
          <w:highlight w:val="none"/>
          <w:lang w:val="en-US" w:eastAsia="zh-CN" w:bidi="ar-SA"/>
        </w:rPr>
        <w:t>元</w:t>
      </w:r>
      <w:r>
        <w:rPr>
          <w:rFonts w:hint="default" w:ascii="仿宋_GB2312" w:hAnsi="仿宋_GB2312" w:eastAsia="仿宋_GB2312" w:cs="仿宋_GB2312"/>
          <w:color w:val="auto"/>
          <w:kern w:val="2"/>
          <w:sz w:val="32"/>
          <w:szCs w:val="32"/>
          <w:highlight w:val="none"/>
          <w:lang w:val="en-US" w:eastAsia="zh-CN" w:bidi="ar-SA"/>
        </w:rPr>
        <w:t>。其中基本支出</w:t>
      </w:r>
      <w:r>
        <w:rPr>
          <w:rFonts w:hint="eastAsia" w:ascii="仿宋_GB2312" w:hAnsi="仿宋_GB2312" w:eastAsia="仿宋_GB2312" w:cs="仿宋_GB2312"/>
          <w:color w:val="auto"/>
          <w:kern w:val="2"/>
          <w:sz w:val="32"/>
          <w:szCs w:val="32"/>
          <w:highlight w:val="none"/>
          <w:lang w:val="en-US" w:eastAsia="zh-CN" w:bidi="ar-SA"/>
        </w:rPr>
        <w:t>决算数</w:t>
      </w:r>
      <w:r>
        <w:rPr>
          <w:rFonts w:hint="default" w:ascii="仿宋_GB2312" w:hAnsi="仿宋_GB2312" w:eastAsia="仿宋_GB2312" w:cs="仿宋_GB2312"/>
          <w:color w:val="auto"/>
          <w:kern w:val="2"/>
          <w:sz w:val="32"/>
          <w:szCs w:val="32"/>
          <w:highlight w:val="none"/>
          <w:lang w:val="en-US" w:eastAsia="zh-CN" w:bidi="ar-SA"/>
        </w:rPr>
        <w:t>为575.7万元，比年初预算数减少15.94万元；项目支出</w:t>
      </w:r>
      <w:r>
        <w:rPr>
          <w:rFonts w:hint="eastAsia" w:ascii="仿宋_GB2312" w:hAnsi="仿宋_GB2312" w:eastAsia="仿宋_GB2312" w:cs="仿宋_GB2312"/>
          <w:color w:val="auto"/>
          <w:kern w:val="2"/>
          <w:sz w:val="32"/>
          <w:szCs w:val="32"/>
          <w:highlight w:val="none"/>
          <w:lang w:val="en-US" w:eastAsia="zh-CN" w:bidi="ar-SA"/>
        </w:rPr>
        <w:t>决算数</w:t>
      </w:r>
      <w:r>
        <w:rPr>
          <w:rFonts w:hint="default" w:ascii="仿宋_GB2312" w:hAnsi="仿宋_GB2312" w:eastAsia="仿宋_GB2312" w:cs="仿宋_GB2312"/>
          <w:color w:val="auto"/>
          <w:kern w:val="2"/>
          <w:sz w:val="32"/>
          <w:szCs w:val="32"/>
          <w:highlight w:val="none"/>
          <w:lang w:val="en-US" w:eastAsia="zh-CN" w:bidi="ar-SA"/>
        </w:rPr>
        <w:t>为194.47万元，比年初预算数增加190.47万元</w:t>
      </w:r>
      <w:r>
        <w:rPr>
          <w:rFonts w:hint="eastAsia" w:ascii="仿宋_GB2312" w:hAnsi="仿宋_GB2312" w:eastAsia="仿宋_GB2312" w:cs="仿宋_GB2312"/>
          <w:color w:val="auto"/>
          <w:kern w:val="2"/>
          <w:sz w:val="32"/>
          <w:szCs w:val="32"/>
          <w:highlight w:val="none"/>
          <w:lang w:val="en-US" w:eastAsia="zh-CN" w:bidi="ar-SA"/>
        </w:rPr>
        <w:t>，预算调整情况见表2-4所示</w:t>
      </w:r>
      <w:r>
        <w:rPr>
          <w:rFonts w:hint="default" w:ascii="仿宋_GB2312" w:hAnsi="仿宋_GB2312" w:eastAsia="仿宋_GB2312" w:cs="仿宋_GB2312"/>
          <w:color w:val="auto"/>
          <w:kern w:val="2"/>
          <w:sz w:val="32"/>
          <w:szCs w:val="32"/>
          <w:highlight w:val="none"/>
          <w:lang w:val="en-US" w:eastAsia="zh-CN" w:bidi="ar-SA"/>
        </w:rPr>
        <w:t>。产生变动情况的</w:t>
      </w:r>
      <w:r>
        <w:rPr>
          <w:rFonts w:hint="eastAsia" w:ascii="仿宋_GB2312" w:hAnsi="仿宋_GB2312" w:eastAsia="仿宋_GB2312" w:cs="仿宋_GB2312"/>
          <w:color w:val="auto"/>
          <w:kern w:val="2"/>
          <w:sz w:val="32"/>
          <w:szCs w:val="32"/>
          <w:highlight w:val="none"/>
          <w:lang w:val="en-US" w:eastAsia="zh-CN" w:bidi="ar-SA"/>
        </w:rPr>
        <w:t>主要原因是</w:t>
      </w:r>
      <w:r>
        <w:rPr>
          <w:rFonts w:hint="default" w:ascii="仿宋_GB2312" w:hAnsi="仿宋_GB2312" w:eastAsia="仿宋_GB2312" w:cs="仿宋_GB2312"/>
          <w:color w:val="auto"/>
          <w:kern w:val="2"/>
          <w:sz w:val="32"/>
          <w:szCs w:val="32"/>
          <w:highlight w:val="none"/>
          <w:lang w:val="en-US" w:eastAsia="zh-CN" w:bidi="ar-SA"/>
        </w:rPr>
        <w:t>绩效考核奖励金及住房改革补贴、住房公积金核增部分未纳入2021年度年初预算范围</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年中按照</w:t>
      </w:r>
      <w:r>
        <w:rPr>
          <w:rFonts w:hint="eastAsia" w:ascii="仿宋_GB2312" w:hAnsi="仿宋_GB2312" w:eastAsia="仿宋_GB2312" w:cs="仿宋_GB2312"/>
          <w:color w:val="auto"/>
          <w:kern w:val="2"/>
          <w:sz w:val="32"/>
          <w:szCs w:val="32"/>
          <w:highlight w:val="none"/>
          <w:lang w:val="en-US" w:eastAsia="zh-CN" w:bidi="ar-SA"/>
        </w:rPr>
        <w:t>市</w:t>
      </w:r>
      <w:r>
        <w:rPr>
          <w:rFonts w:hint="default" w:ascii="仿宋_GB2312" w:hAnsi="仿宋_GB2312" w:eastAsia="仿宋_GB2312" w:cs="仿宋_GB2312"/>
          <w:color w:val="auto"/>
          <w:kern w:val="2"/>
          <w:sz w:val="32"/>
          <w:szCs w:val="32"/>
          <w:highlight w:val="none"/>
          <w:lang w:val="en-US" w:eastAsia="zh-CN" w:bidi="ar-SA"/>
        </w:rPr>
        <w:t>财</w:t>
      </w:r>
      <w:r>
        <w:rPr>
          <w:rFonts w:hint="eastAsia" w:ascii="仿宋_GB2312" w:hAnsi="仿宋_GB2312" w:eastAsia="仿宋_GB2312" w:cs="仿宋_GB2312"/>
          <w:color w:val="auto"/>
          <w:kern w:val="2"/>
          <w:sz w:val="32"/>
          <w:szCs w:val="32"/>
          <w:highlight w:val="none"/>
          <w:lang w:val="en-US" w:eastAsia="zh-CN" w:bidi="ar-SA"/>
        </w:rPr>
        <w:t>政</w:t>
      </w:r>
      <w:r>
        <w:rPr>
          <w:rFonts w:hint="default" w:ascii="仿宋_GB2312" w:hAnsi="仿宋_GB2312" w:eastAsia="仿宋_GB2312" w:cs="仿宋_GB2312"/>
          <w:color w:val="auto"/>
          <w:kern w:val="2"/>
          <w:sz w:val="32"/>
          <w:szCs w:val="32"/>
          <w:highlight w:val="none"/>
          <w:lang w:val="en-US" w:eastAsia="zh-CN" w:bidi="ar-SA"/>
        </w:rPr>
        <w:t>局统筹，追加经费5万元用于公务用车购置。</w:t>
      </w:r>
      <w:r>
        <w:rPr>
          <w:rFonts w:hint="eastAsia" w:ascii="仿宋_GB2312" w:hAnsi="仿宋_GB2312" w:eastAsia="仿宋_GB2312" w:cs="仿宋_GB2312"/>
          <w:color w:val="auto"/>
          <w:sz w:val="32"/>
          <w:szCs w:val="32"/>
          <w:highlight w:val="none"/>
          <w:lang w:eastAsia="zh-CN"/>
        </w:rPr>
        <w:t>因</w:t>
      </w:r>
      <w:r>
        <w:rPr>
          <w:rFonts w:hint="eastAsia" w:ascii="仿宋_GB2312" w:hAnsi="仿宋_GB2312" w:eastAsia="仿宋_GB2312" w:cs="仿宋_GB2312"/>
          <w:color w:val="auto"/>
          <w:sz w:val="32"/>
          <w:szCs w:val="32"/>
          <w:highlight w:val="none"/>
        </w:rPr>
        <w:t>年度中间</w:t>
      </w:r>
      <w:r>
        <w:rPr>
          <w:rFonts w:hint="eastAsia" w:ascii="仿宋_GB2312" w:hAnsi="仿宋_GB2312" w:eastAsia="仿宋_GB2312" w:cs="仿宋_GB2312"/>
          <w:color w:val="auto"/>
          <w:sz w:val="32"/>
          <w:szCs w:val="32"/>
          <w:highlight w:val="none"/>
          <w:lang w:eastAsia="zh-CN"/>
        </w:rPr>
        <w:t>出现</w:t>
      </w:r>
      <w:r>
        <w:rPr>
          <w:rFonts w:hint="eastAsia" w:ascii="仿宋_GB2312" w:hAnsi="仿宋_GB2312" w:eastAsia="仿宋_GB2312" w:cs="仿宋_GB2312"/>
          <w:color w:val="auto"/>
          <w:sz w:val="32"/>
          <w:szCs w:val="32"/>
          <w:highlight w:val="none"/>
        </w:rPr>
        <w:t>大量调剂，导致部门预决算差异过大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扣1分。该项指标得2分，得分率66.67%。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w:t>
      </w:r>
      <w:r>
        <w:rPr>
          <w:rFonts w:hint="eastAsia" w:ascii="宋体" w:hAnsi="宋体" w:cs="宋体"/>
          <w:b/>
          <w:bCs/>
          <w:color w:val="auto"/>
          <w:kern w:val="2"/>
          <w:sz w:val="28"/>
          <w:szCs w:val="28"/>
          <w:highlight w:val="none"/>
          <w:lang w:val="en-US" w:eastAsia="zh-CN" w:bidi="ar-SA"/>
        </w:rPr>
        <w:t>2</w:t>
      </w:r>
      <w:r>
        <w:rPr>
          <w:rFonts w:hint="eastAsia" w:ascii="宋体" w:hAnsi="宋体" w:eastAsia="宋体" w:cs="宋体"/>
          <w:b/>
          <w:bCs/>
          <w:color w:val="auto"/>
          <w:kern w:val="2"/>
          <w:sz w:val="28"/>
          <w:szCs w:val="28"/>
          <w:highlight w:val="none"/>
          <w:lang w:val="en-US" w:eastAsia="zh-CN" w:bidi="ar-SA"/>
        </w:rPr>
        <w:t>-</w:t>
      </w:r>
      <w:r>
        <w:rPr>
          <w:rFonts w:hint="eastAsia" w:ascii="宋体" w:hAnsi="宋体" w:cs="宋体"/>
          <w:b/>
          <w:bCs/>
          <w:color w:val="auto"/>
          <w:kern w:val="2"/>
          <w:sz w:val="28"/>
          <w:szCs w:val="28"/>
          <w:highlight w:val="none"/>
          <w:lang w:val="en-US" w:eastAsia="zh-CN" w:bidi="ar-SA"/>
        </w:rPr>
        <w:t>4</w:t>
      </w:r>
      <w:r>
        <w:rPr>
          <w:rFonts w:hint="eastAsia" w:ascii="宋体" w:hAnsi="宋体" w:eastAsia="宋体" w:cs="宋体"/>
          <w:b/>
          <w:bCs/>
          <w:color w:val="auto"/>
          <w:kern w:val="2"/>
          <w:sz w:val="28"/>
          <w:szCs w:val="28"/>
          <w:highlight w:val="none"/>
          <w:lang w:val="en-US" w:eastAsia="zh-CN" w:bidi="ar-SA"/>
        </w:rPr>
        <w:t xml:space="preserve"> 预算调整情况表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1576"/>
        <w:gridCol w:w="157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spacing w:val="-6"/>
                <w:kern w:val="0"/>
                <w:sz w:val="21"/>
                <w:szCs w:val="21"/>
                <w:highlight w:val="none"/>
                <w:u w:val="none"/>
                <w:lang w:val="en-US" w:eastAsia="zh-CN" w:bidi="ar"/>
              </w:rPr>
            </w:pPr>
            <w:r>
              <w:rPr>
                <w:rFonts w:hint="eastAsia" w:ascii="宋体" w:hAnsi="宋体" w:eastAsia="宋体" w:cs="宋体"/>
                <w:b/>
                <w:bCs/>
                <w:i w:val="0"/>
                <w:iCs w:val="0"/>
                <w:color w:val="auto"/>
                <w:spacing w:val="-6"/>
                <w:kern w:val="0"/>
                <w:sz w:val="21"/>
                <w:szCs w:val="21"/>
                <w:highlight w:val="none"/>
                <w:u w:val="none"/>
                <w:lang w:val="en-US" w:eastAsia="zh-CN" w:bidi="ar"/>
              </w:rPr>
              <w:t>年初预算数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spacing w:val="-6"/>
                <w:kern w:val="0"/>
                <w:sz w:val="21"/>
                <w:szCs w:val="21"/>
                <w:highlight w:val="none"/>
                <w:u w:val="none"/>
                <w:lang w:val="en-US" w:eastAsia="zh-CN" w:bidi="ar"/>
              </w:rPr>
              <w:t>（万元）</w:t>
            </w:r>
          </w:p>
        </w:tc>
        <w:tc>
          <w:tcPr>
            <w:tcW w:w="1570" w:type="dxa"/>
            <w:shd w:val="clear" w:color="auto" w:fill="auto"/>
            <w:vAlign w:val="center"/>
          </w:tcPr>
          <w:p>
            <w:pPr>
              <w:keepNext w:val="0"/>
              <w:keepLines w:val="0"/>
              <w:pageBreakBefore w:val="0"/>
              <w:widowControl w:val="0"/>
              <w:numPr>
                <w:ilvl w:val="0"/>
                <w:numId w:val="0"/>
              </w:numPr>
              <w:tabs>
                <w:tab w:val="left" w:pos="281"/>
                <w:tab w:val="center" w:pos="776"/>
              </w:tabs>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决算数</w:t>
            </w:r>
          </w:p>
          <w:p>
            <w:pPr>
              <w:keepNext w:val="0"/>
              <w:keepLines w:val="0"/>
              <w:pageBreakBefore w:val="0"/>
              <w:widowControl w:val="0"/>
              <w:numPr>
                <w:ilvl w:val="0"/>
                <w:numId w:val="0"/>
              </w:numPr>
              <w:tabs>
                <w:tab w:val="left" w:pos="281"/>
                <w:tab w:val="center" w:pos="776"/>
              </w:tabs>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spacing w:val="-6"/>
                <w:kern w:val="0"/>
                <w:sz w:val="21"/>
                <w:szCs w:val="21"/>
                <w:highlight w:val="none"/>
                <w:u w:val="none"/>
                <w:lang w:val="en-US" w:eastAsia="zh-Hans" w:bidi="ar"/>
              </w:rPr>
            </w:pPr>
            <w:r>
              <w:rPr>
                <w:rFonts w:hint="eastAsia" w:ascii="宋体" w:hAnsi="宋体" w:eastAsia="宋体" w:cs="宋体"/>
                <w:b/>
                <w:bCs/>
                <w:i w:val="0"/>
                <w:iCs w:val="0"/>
                <w:color w:val="auto"/>
                <w:spacing w:val="-6"/>
                <w:kern w:val="0"/>
                <w:sz w:val="21"/>
                <w:szCs w:val="21"/>
                <w:highlight w:val="none"/>
                <w:u w:val="none"/>
                <w:lang w:val="en-US" w:eastAsia="zh-Hans" w:bidi="ar"/>
              </w:rPr>
              <w:t>差异金额</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spacing w:val="-6"/>
                <w:kern w:val="0"/>
                <w:sz w:val="21"/>
                <w:szCs w:val="21"/>
                <w:highlight w:val="none"/>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Hans" w:bidi="ar-SA"/>
              </w:rPr>
              <w:t>一、</w:t>
            </w:r>
            <w:r>
              <w:rPr>
                <w:rFonts w:hint="eastAsia" w:ascii="宋体" w:hAnsi="宋体" w:eastAsia="宋体" w:cs="宋体"/>
                <w:b/>
                <w:bCs/>
                <w:color w:val="auto"/>
                <w:kern w:val="2"/>
                <w:sz w:val="21"/>
                <w:szCs w:val="21"/>
                <w:highlight w:val="none"/>
                <w:lang w:val="en-US" w:eastAsia="zh-CN" w:bidi="ar-SA"/>
              </w:rPr>
              <w:t>基本支出</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591.64</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575.70</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人员经费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501.81</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487.37</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公用经费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89.83</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88.33</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Hans" w:bidi="ar-SA"/>
              </w:rPr>
              <w:t>二、</w:t>
            </w:r>
            <w:r>
              <w:rPr>
                <w:rFonts w:hint="eastAsia" w:ascii="宋体" w:hAnsi="宋体" w:eastAsia="宋体" w:cs="宋体"/>
                <w:b/>
                <w:bCs/>
                <w:color w:val="auto"/>
                <w:kern w:val="2"/>
                <w:sz w:val="21"/>
                <w:szCs w:val="21"/>
                <w:highlight w:val="none"/>
                <w:lang w:val="en-US" w:eastAsia="zh-CN" w:bidi="ar-SA"/>
              </w:rPr>
              <w:t>项目支出</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4.00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194.47</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190.47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市直机关事业单位网上名称管理</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4.00</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预[2021]171号公务车购置费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5.00</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2021年党建活动经费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1.99</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2020年度绩效考核奖励经费</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144.6</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住房改革补贴（2020年度绩效核增部分）</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23.94</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23.94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住房公积金（2020年度绩效核增部分）</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14.94</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97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合计</w:t>
            </w:r>
          </w:p>
        </w:tc>
        <w:tc>
          <w:tcPr>
            <w:tcW w:w="1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595.64</w:t>
            </w:r>
          </w:p>
        </w:tc>
        <w:tc>
          <w:tcPr>
            <w:tcW w:w="157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770.17</w:t>
            </w:r>
          </w:p>
        </w:tc>
        <w:tc>
          <w:tcPr>
            <w:tcW w:w="16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174.53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②预算调整率</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lang w:val="en-US" w:eastAsia="zh-CN"/>
        </w:rPr>
        <w:t>市委编办预算调整率＝（</w:t>
      </w:r>
      <w:r>
        <w:rPr>
          <w:rFonts w:hint="default" w:ascii="仿宋_GB2312" w:hAnsi="仿宋_GB2312" w:eastAsia="仿宋_GB2312" w:cs="仿宋_GB2312"/>
          <w:color w:val="auto"/>
          <w:kern w:val="2"/>
          <w:sz w:val="32"/>
          <w:szCs w:val="32"/>
          <w:highlight w:val="none"/>
          <w:lang w:val="en-US" w:eastAsia="zh-CN" w:bidi="ar-SA"/>
        </w:rPr>
        <w:t>770.17</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595.64</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595.64×100%</w:t>
      </w:r>
      <w:r>
        <w:rPr>
          <w:rFonts w:hint="eastAsia" w:ascii="仿宋_GB2312" w:hAnsi="仿宋_GB2312" w:eastAsia="仿宋_GB2312" w:cs="仿宋_GB2312"/>
          <w:color w:val="auto"/>
          <w:sz w:val="32"/>
          <w:szCs w:val="32"/>
          <w:highlight w:val="none"/>
          <w:lang w:val="en-US" w:eastAsia="zh-CN"/>
        </w:rPr>
        <w:t>＝29.3%</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除了“预〔2021〕171号公务车购置费”调增5万（此项是市财政局根据财政情况和工作需要进行调整，不扣分），其他均为政策增资、计划增人、上级转移支付资金导致的预决算差异，因此不扣分。该指标分值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（2）目标设置。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该指标反映绩效目标设置的科学性和合理性。由</w:t>
      </w:r>
      <w:r>
        <w:rPr>
          <w:rFonts w:hint="default" w:ascii="仿宋_GB2312" w:hAnsi="仿宋_GB2312" w:eastAsia="仿宋_GB2312" w:cs="仿宋_GB2312"/>
          <w:color w:val="auto"/>
          <w:kern w:val="2"/>
          <w:sz w:val="32"/>
          <w:szCs w:val="32"/>
          <w:highlight w:val="none"/>
          <w:lang w:val="en-US" w:eastAsia="zh-CN" w:bidi="ar-SA"/>
        </w:rPr>
        <w:t>绩效目标覆盖率</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绩效目标合理性</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绩效指标明确性</w:t>
      </w:r>
      <w:r>
        <w:rPr>
          <w:rFonts w:hint="eastAsia" w:ascii="仿宋_GB2312" w:hAnsi="仿宋_GB2312" w:eastAsia="仿宋_GB2312" w:cs="仿宋_GB2312"/>
          <w:color w:val="auto"/>
          <w:kern w:val="2"/>
          <w:sz w:val="32"/>
          <w:szCs w:val="32"/>
          <w:highlight w:val="none"/>
          <w:lang w:val="en-US" w:eastAsia="zh-CN" w:bidi="ar-SA"/>
        </w:rPr>
        <w:t>三个三级指标构成，该指标分值9分，扣3分，得6分，得分率66.67%。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①绩效目标覆盖率</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市委编办绩效目标的内容涵盖单位全部项目的比率，全年共实施2个项目，均已设置了绩效目标，覆盖率100%。该指标分值2分，评价得分2分，得分率100%。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②绩效目标合理性</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市委编办所设立的整体绩效目标符合客观实际，整体绩效目标与年度工作任务的基本相符，部门申报项目经过充分论证后立项，但存在</w:t>
      </w:r>
      <w:r>
        <w:rPr>
          <w:rFonts w:hint="eastAsia" w:ascii="仿宋_GB2312" w:hAnsi="仿宋_GB2312" w:eastAsia="仿宋_GB2312" w:cs="仿宋_GB2312"/>
          <w:i w:val="0"/>
          <w:iCs w:val="0"/>
          <w:color w:val="auto"/>
          <w:kern w:val="2"/>
          <w:sz w:val="32"/>
          <w:szCs w:val="32"/>
          <w:highlight w:val="none"/>
          <w:u w:val="none"/>
          <w:lang w:val="en-US" w:eastAsia="zh-CN" w:bidi="ar-SA"/>
        </w:rPr>
        <w:t>绩效目标与本年度部门预算资金不够匹配的情况，年中调整了办公经费购买公务用车，扣1分</w:t>
      </w:r>
      <w:r>
        <w:rPr>
          <w:rFonts w:hint="eastAsia" w:ascii="仿宋_GB2312" w:hAnsi="仿宋_GB2312" w:eastAsia="仿宋_GB2312" w:cs="仿宋_GB2312"/>
          <w:color w:val="auto"/>
          <w:kern w:val="2"/>
          <w:sz w:val="32"/>
          <w:szCs w:val="32"/>
          <w:highlight w:val="none"/>
          <w:lang w:val="en-US" w:eastAsia="zh-CN" w:bidi="ar-SA"/>
        </w:rPr>
        <w:t>。该指标分值4分，评价</w:t>
      </w:r>
      <w:r>
        <w:rPr>
          <w:rFonts w:hint="eastAsia" w:ascii="仿宋_GB2312" w:hAnsi="仿宋_GB2312" w:eastAsia="仿宋_GB2312" w:cs="仿宋_GB2312"/>
          <w:color w:val="auto"/>
          <w:sz w:val="32"/>
          <w:szCs w:val="32"/>
          <w:highlight w:val="none"/>
          <w:lang w:val="en-US" w:eastAsia="zh-CN"/>
        </w:rPr>
        <w:t>得分3</w:t>
      </w:r>
      <w:r>
        <w:rPr>
          <w:rFonts w:hint="eastAsia" w:ascii="仿宋_GB2312" w:hAnsi="仿宋_GB2312" w:eastAsia="仿宋_GB2312" w:cs="仿宋_GB2312"/>
          <w:color w:val="auto"/>
          <w:kern w:val="2"/>
          <w:sz w:val="32"/>
          <w:szCs w:val="32"/>
          <w:highlight w:val="none"/>
          <w:lang w:val="en-US" w:eastAsia="zh-CN" w:bidi="ar-SA"/>
        </w:rPr>
        <w:t>分，得分率75%。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③绩效指标明确性</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市委编办所设绩效指标基本能反映整体绩效目标，但在计算标准、指标值设置等方面存在不足：一是部分指标如“市直机关事业单位编制使用申请事项办结率、市直机关事业单位人员入编事项办结率”、“涉及机构编制调整事项完成率”年初设置的计算标准范围不够明确，不利于测算评价，指标可量化方面不足，扣1分；二是效益指标“印发有关机构编制政策和规范性文件数量”指标值完成率高于150%的情况，扣1分；以上两项合计扣2分。该指标分值3分，得1分，得分率33.33%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2.预算执行情况分析。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指标反映预算执行过程中资金、项目、资产、制度等方面的管理情况。由资金管理、项目管理、资产管理、制度管理四个方面构成，指标分值35分，扣5.5分，得29.5分，得分率84.29%。预算执行情况指标的得分情况如表2-5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5</w:t>
      </w:r>
      <w:r>
        <w:rPr>
          <w:rFonts w:hint="eastAsia" w:ascii="宋体" w:hAnsi="宋体" w:eastAsia="宋体" w:cs="宋体"/>
          <w:b/>
          <w:bCs/>
          <w:color w:val="auto"/>
          <w:kern w:val="2"/>
          <w:sz w:val="28"/>
          <w:szCs w:val="28"/>
          <w:highlight w:val="none"/>
          <w:lang w:val="en-US" w:eastAsia="zh-CN" w:bidi="ar-SA"/>
        </w:rPr>
        <w:t xml:space="preserve"> 预算执行情况指标的得分情况表</w:t>
      </w:r>
    </w:p>
    <w:tbl>
      <w:tblPr>
        <w:tblStyle w:val="13"/>
        <w:tblW w:w="87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9"/>
        <w:gridCol w:w="837"/>
        <w:gridCol w:w="2324"/>
        <w:gridCol w:w="1014"/>
        <w:gridCol w:w="1567"/>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二级指标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评价得分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资金</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管理</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部门预算支出率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结转结余率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政府采购合规性</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财务合规性</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预决算信息公开</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94.12</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管理</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项目实施程序</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项目监管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资产</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管理</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资产管理安全性</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固定资产利用率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制度管理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管理制度健全性</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62.5</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29.5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84.29</w:t>
            </w:r>
            <w:r>
              <w:rPr>
                <w:rFonts w:hint="eastAsia" w:ascii="宋体" w:hAnsi="宋体" w:eastAsia="宋体" w:cs="宋体"/>
                <w:b/>
                <w:bCs/>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（1）资金管理。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该指标反映部门预算的支出情况、结余情况、政府采购合规性以及预决算的信息公开情况，考核部门资金管理的合规性和科学性。由部门预算</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kern w:val="2"/>
          <w:sz w:val="32"/>
          <w:szCs w:val="32"/>
          <w:highlight w:val="none"/>
          <w:lang w:val="en-US" w:eastAsia="zh-CN" w:bidi="ar-SA"/>
        </w:rPr>
        <w:t>率、结转结余率、政府采购合规性、财务合规性、预决算信息公开五个三级指标构成，该指标分值17分，扣1分，评价得分16分，得分率94.12%。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①</w:t>
      </w:r>
      <w:r>
        <w:rPr>
          <w:rFonts w:hint="eastAsia" w:ascii="仿宋_GB2312" w:hAnsi="仿宋_GB2312" w:eastAsia="仿宋_GB2312" w:cs="仿宋_GB2312"/>
          <w:b/>
          <w:bCs/>
          <w:color w:val="auto"/>
          <w:sz w:val="32"/>
          <w:szCs w:val="32"/>
          <w:highlight w:val="none"/>
          <w:lang w:val="en-US" w:eastAsia="zh-CN"/>
        </w:rPr>
        <w:t>部门预算支出率。</w:t>
      </w:r>
      <w:r>
        <w:rPr>
          <w:rFonts w:hint="eastAsia" w:ascii="仿宋_GB2312" w:hAnsi="仿宋_GB2312" w:eastAsia="仿宋_GB2312" w:cs="仿宋_GB2312"/>
          <w:color w:val="auto"/>
          <w:kern w:val="2"/>
          <w:sz w:val="32"/>
          <w:szCs w:val="32"/>
          <w:highlight w:val="none"/>
          <w:lang w:val="en-US" w:eastAsia="zh-CN" w:bidi="ar-SA"/>
        </w:rPr>
        <w:t>2021年度市委编办决算收入数为770.</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kern w:val="2"/>
          <w:sz w:val="32"/>
          <w:szCs w:val="32"/>
          <w:highlight w:val="none"/>
          <w:lang w:val="en-US" w:eastAsia="zh-CN" w:bidi="ar-SA"/>
        </w:rPr>
        <w:t>万元，决算支出数为770.17万元，部门预算支出率为100%，该指标分值3分，评价得分3分，得分率100%。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②</w:t>
      </w:r>
      <w:r>
        <w:rPr>
          <w:rFonts w:hint="eastAsia" w:ascii="仿宋_GB2312" w:hAnsi="仿宋_GB2312" w:eastAsia="仿宋_GB2312" w:cs="仿宋_GB2312"/>
          <w:b/>
          <w:bCs/>
          <w:color w:val="auto"/>
          <w:sz w:val="32"/>
          <w:szCs w:val="32"/>
          <w:highlight w:val="none"/>
          <w:lang w:val="en-US" w:eastAsia="zh-CN"/>
        </w:rPr>
        <w:t>结转结余率。</w:t>
      </w:r>
      <w:r>
        <w:rPr>
          <w:rFonts w:hint="eastAsia" w:ascii="仿宋_GB2312" w:hAnsi="仿宋_GB2312" w:eastAsia="仿宋_GB2312" w:cs="仿宋_GB2312"/>
          <w:color w:val="auto"/>
          <w:kern w:val="2"/>
          <w:sz w:val="32"/>
          <w:szCs w:val="32"/>
          <w:highlight w:val="none"/>
          <w:lang w:val="en-US" w:eastAsia="zh-CN" w:bidi="ar-SA"/>
        </w:rPr>
        <w:t>根据市委编办2021部门决算报表（财决01表），部门的结转结余资金为0，结算结转率为0，该指标分值3分，评价得分3分，得分率100%。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③</w:t>
      </w:r>
      <w:r>
        <w:rPr>
          <w:rFonts w:hint="eastAsia" w:ascii="仿宋_GB2312" w:hAnsi="仿宋_GB2312" w:eastAsia="仿宋_GB2312" w:cs="仿宋_GB2312"/>
          <w:b/>
          <w:bCs/>
          <w:color w:val="auto"/>
          <w:sz w:val="32"/>
          <w:szCs w:val="32"/>
          <w:highlight w:val="none"/>
          <w:lang w:val="en-US" w:eastAsia="zh-CN"/>
        </w:rPr>
        <w:t>政府采购合规性。</w:t>
      </w:r>
      <w:r>
        <w:rPr>
          <w:rFonts w:hint="eastAsia" w:ascii="仿宋_GB2312" w:hAnsi="仿宋_GB2312" w:eastAsia="仿宋_GB2312" w:cs="仿宋_GB2312"/>
          <w:color w:val="auto"/>
          <w:kern w:val="2"/>
          <w:sz w:val="32"/>
          <w:szCs w:val="32"/>
          <w:highlight w:val="none"/>
          <w:lang w:val="en-US" w:eastAsia="zh-CN" w:bidi="ar-SA"/>
        </w:rPr>
        <w:t>市委编办</w:t>
      </w:r>
      <w:r>
        <w:rPr>
          <w:rFonts w:hint="eastAsia" w:ascii="仿宋_GB2312" w:hAnsi="仿宋_GB2312" w:eastAsia="仿宋_GB2312" w:cs="仿宋_GB2312"/>
          <w:color w:val="auto"/>
          <w:sz w:val="32"/>
          <w:szCs w:val="32"/>
          <w:highlight w:val="none"/>
          <w:lang w:val="en-US" w:eastAsia="zh-CN"/>
        </w:rPr>
        <w:t>能</w:t>
      </w:r>
      <w:r>
        <w:rPr>
          <w:rFonts w:hint="eastAsia" w:ascii="仿宋_GB2312" w:hAnsi="仿宋_GB2312" w:eastAsia="仿宋_GB2312" w:cs="仿宋_GB2312"/>
          <w:color w:val="auto"/>
          <w:kern w:val="2"/>
          <w:sz w:val="32"/>
          <w:szCs w:val="32"/>
          <w:highlight w:val="none"/>
          <w:lang w:val="en-US" w:eastAsia="zh-CN" w:bidi="ar-SA"/>
        </w:rPr>
        <w:t>根据《市委编办政府采购</w:t>
      </w:r>
      <w:r>
        <w:rPr>
          <w:rFonts w:hint="eastAsia" w:ascii="仿宋_GB2312" w:hAnsi="仿宋_GB2312" w:eastAsia="仿宋_GB2312" w:cs="仿宋_GB2312"/>
          <w:color w:val="auto"/>
          <w:kern w:val="2"/>
          <w:sz w:val="32"/>
          <w:szCs w:val="32"/>
          <w:highlight w:val="none"/>
          <w:lang w:val="zh-CN" w:eastAsia="zh-CN" w:bidi="ar-SA"/>
        </w:rPr>
        <w:t>内控管理制度（试行）</w:t>
      </w:r>
      <w:r>
        <w:rPr>
          <w:rFonts w:hint="eastAsia" w:ascii="仿宋_GB2312" w:hAnsi="仿宋_GB2312" w:eastAsia="仿宋_GB2312" w:cs="仿宋_GB2312"/>
          <w:color w:val="auto"/>
          <w:kern w:val="2"/>
          <w:sz w:val="32"/>
          <w:szCs w:val="32"/>
          <w:highlight w:val="none"/>
          <w:lang w:val="en-US" w:eastAsia="zh-CN" w:bidi="ar-SA"/>
        </w:rPr>
        <w:t>》的要求实施政府采购，采购过程规范。根据“政府采购资金情况统计表”数据，2021年政府采购计划金额25.08万元，实际采购金额为24.84万元，政府采购执行率=24.84/25.08×100%=99.04%，该指标分值4分，评价得分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④财务合规性。</w:t>
      </w:r>
      <w:r>
        <w:rPr>
          <w:rFonts w:hint="eastAsia" w:ascii="仿宋_GB2312" w:hAnsi="仿宋_GB2312" w:eastAsia="仿宋_GB2312" w:cs="仿宋_GB2312"/>
          <w:color w:val="auto"/>
          <w:kern w:val="2"/>
          <w:sz w:val="32"/>
          <w:szCs w:val="32"/>
          <w:highlight w:val="none"/>
          <w:lang w:val="en-US" w:eastAsia="zh-CN" w:bidi="ar-SA"/>
        </w:rPr>
        <w:t>经核查和抽查财务凭证，市委编办资金支出比较规范、支出依据合理，支付符合相关财务制度相关要求和标准，未发现截留、挤占、挪用项目资金情况，但市直机关事业单位网上名称管理项目的财务会计未按规定设专账核算，扣0.5分；固定资产明细账期末余额165.3万元与《2021年度行政事业性国有资产分析报告》中固定资产原值142.02万元不一致，市委编办提供的《固定和无形资产存量情况表》《12月份行政事业性国有资产月报》《2021年度行政事业性国有资产分析报告》等材料均未见新增车辆的原值数，扣0.5分。该指标分值5分，扣1分，评价得分4分，得分率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⑤预决算信息公开。</w:t>
      </w:r>
      <w:r>
        <w:rPr>
          <w:rFonts w:hint="eastAsia" w:ascii="仿宋_GB2312" w:hAnsi="仿宋_GB2312" w:eastAsia="仿宋_GB2312" w:cs="仿宋_GB2312"/>
          <w:color w:val="auto"/>
          <w:kern w:val="2"/>
          <w:sz w:val="32"/>
          <w:szCs w:val="32"/>
          <w:highlight w:val="none"/>
          <w:lang w:val="en-US" w:eastAsia="zh-CN" w:bidi="ar-SA"/>
        </w:rPr>
        <w:t>市委编办严格按照政府信息公开有关规定公开相关预决算信息，在规定时限和范围内公开2021年度部门整体预决算信息，接受社会监督。该指标分值2分，评价得分2分，得分率100%。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该指标反映部门项目实施程序的规范性和项目监督有效性。由项目实施程序和项目监督两个三级指标构成。该指标分值8分，评价得分8分，得分率100%。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①</w:t>
      </w:r>
      <w:r>
        <w:rPr>
          <w:rFonts w:hint="eastAsia" w:ascii="仿宋_GB2312" w:hAnsi="仿宋_GB2312" w:eastAsia="仿宋_GB2312" w:cs="仿宋_GB2312"/>
          <w:b/>
          <w:bCs/>
          <w:color w:val="auto"/>
          <w:sz w:val="32"/>
          <w:szCs w:val="32"/>
          <w:highlight w:val="none"/>
          <w:lang w:val="en-US" w:eastAsia="zh-CN"/>
        </w:rPr>
        <w:t>项目实施程序。</w:t>
      </w:r>
      <w:r>
        <w:rPr>
          <w:rFonts w:hint="eastAsia" w:ascii="仿宋_GB2312" w:hAnsi="仿宋_GB2312" w:eastAsia="仿宋_GB2312" w:cs="仿宋_GB2312"/>
          <w:b w:val="0"/>
          <w:bCs w:val="0"/>
          <w:color w:val="auto"/>
          <w:sz w:val="32"/>
          <w:szCs w:val="32"/>
          <w:highlight w:val="none"/>
          <w:lang w:val="en-US" w:eastAsia="zh-CN"/>
        </w:rPr>
        <w:t>市委编办</w:t>
      </w:r>
      <w:r>
        <w:rPr>
          <w:rFonts w:hint="eastAsia" w:ascii="仿宋_GB2312" w:hAnsi="仿宋_GB2312" w:eastAsia="仿宋_GB2312" w:cs="仿宋_GB2312"/>
          <w:color w:val="auto"/>
          <w:kern w:val="2"/>
          <w:sz w:val="32"/>
          <w:szCs w:val="32"/>
          <w:highlight w:val="none"/>
          <w:lang w:val="en-US" w:eastAsia="zh-CN" w:bidi="ar-SA"/>
        </w:rPr>
        <w:t>部门项目的设立及调整均按规定履行报批程序，并在规定时间内完成。该指标分值4分，评价得分4分，得分率100%。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sz w:val="32"/>
          <w:szCs w:val="32"/>
          <w:highlight w:val="none"/>
          <w:lang w:val="en-US" w:eastAsia="zh-CN"/>
        </w:rPr>
        <w:t>②</w:t>
      </w:r>
      <w:r>
        <w:rPr>
          <w:rFonts w:hint="eastAsia" w:ascii="仿宋_GB2312" w:hAnsi="仿宋_GB2312" w:eastAsia="仿宋_GB2312" w:cs="仿宋_GB2312"/>
          <w:b/>
          <w:bCs/>
          <w:color w:val="auto"/>
          <w:sz w:val="32"/>
          <w:szCs w:val="32"/>
          <w:highlight w:val="none"/>
          <w:lang w:val="en-US" w:eastAsia="zh-CN"/>
        </w:rPr>
        <w:t>项目监管。</w:t>
      </w:r>
      <w:r>
        <w:rPr>
          <w:rFonts w:hint="eastAsia" w:ascii="仿宋_GB2312" w:hAnsi="仿宋_GB2312" w:eastAsia="仿宋_GB2312" w:cs="仿宋_GB2312"/>
          <w:b w:val="0"/>
          <w:bCs w:val="0"/>
          <w:color w:val="auto"/>
          <w:sz w:val="32"/>
          <w:szCs w:val="32"/>
          <w:highlight w:val="none"/>
          <w:lang w:val="en-US" w:eastAsia="zh-CN"/>
        </w:rPr>
        <w:t>市委编办在工作中有《</w:t>
      </w:r>
      <w:r>
        <w:rPr>
          <w:rFonts w:hint="eastAsia" w:ascii="仿宋_GB2312" w:hAnsi="仿宋_GB2312" w:eastAsia="仿宋_GB2312" w:cs="仿宋_GB2312"/>
          <w:color w:val="auto"/>
          <w:sz w:val="32"/>
          <w:szCs w:val="32"/>
          <w:highlight w:val="none"/>
        </w:rPr>
        <w:t>中国共产党机构编制工作条例</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三定规定制定和实施办法</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机构编制监督检查工作办法</w:t>
      </w:r>
      <w:r>
        <w:rPr>
          <w:rFonts w:hint="eastAsia" w:ascii="仿宋_GB2312" w:hAnsi="仿宋_GB2312" w:eastAsia="仿宋_GB2312" w:cs="仿宋_GB2312"/>
          <w:b w:val="0"/>
          <w:bCs w:val="0"/>
          <w:color w:val="auto"/>
          <w:sz w:val="32"/>
          <w:szCs w:val="32"/>
          <w:highlight w:val="none"/>
          <w:lang w:val="en-US" w:eastAsia="zh-CN"/>
        </w:rPr>
        <w:t>》《机构编制报告制度实施办法（试行）》等工作管理机制</w:t>
      </w:r>
      <w:r>
        <w:rPr>
          <w:rFonts w:hint="eastAsia" w:ascii="仿宋_GB2312" w:hAnsi="仿宋_GB2312" w:eastAsia="仿宋_GB2312" w:cs="仿宋_GB2312"/>
          <w:i w:val="0"/>
          <w:iCs w:val="0"/>
          <w:color w:val="auto"/>
          <w:kern w:val="2"/>
          <w:sz w:val="32"/>
          <w:szCs w:val="32"/>
          <w:highlight w:val="none"/>
          <w:u w:val="none"/>
          <w:lang w:val="en-US" w:eastAsia="zh-CN" w:bidi="ar"/>
        </w:rPr>
        <w:t>。</w:t>
      </w:r>
      <w:r>
        <w:rPr>
          <w:rFonts w:hint="eastAsia" w:ascii="仿宋_GB2312" w:hAnsi="仿宋_GB2312" w:eastAsia="仿宋_GB2312" w:cs="仿宋_GB2312"/>
          <w:color w:val="auto"/>
          <w:kern w:val="2"/>
          <w:sz w:val="32"/>
          <w:szCs w:val="32"/>
          <w:highlight w:val="none"/>
          <w:lang w:val="en-US" w:eastAsia="zh-CN" w:bidi="ar-SA"/>
        </w:rPr>
        <w:t>该指标分值4分，评价得分4分，得分率100%。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（3）资产管理。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该指标反映部门的资产安全运行情况和固定资产利用情况。由资产管理安全性和固定资产利用率两个三级指标构成。该指标分值6分，扣3分，得3分，得分率50%。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①资产管理安全性。</w:t>
      </w:r>
      <w:r>
        <w:rPr>
          <w:rFonts w:hint="eastAsia" w:ascii="仿宋_GB2312" w:hAnsi="仿宋_GB2312" w:eastAsia="仿宋_GB2312" w:cs="仿宋_GB2312"/>
          <w:color w:val="auto"/>
          <w:kern w:val="2"/>
          <w:sz w:val="32"/>
          <w:szCs w:val="32"/>
          <w:highlight w:val="none"/>
          <w:lang w:val="en-US" w:eastAsia="zh-CN" w:bidi="ar-SA"/>
        </w:rPr>
        <w:t>市委编办</w:t>
      </w:r>
      <w:r>
        <w:rPr>
          <w:rFonts w:hint="eastAsia" w:ascii="仿宋_GB2312" w:hAnsi="仿宋_GB2312" w:eastAsia="仿宋_GB2312" w:cs="仿宋_GB2312"/>
          <w:b w:val="0"/>
          <w:bCs w:val="0"/>
          <w:color w:val="auto"/>
          <w:sz w:val="32"/>
          <w:szCs w:val="32"/>
          <w:highlight w:val="none"/>
          <w:lang w:val="en-US" w:eastAsia="zh-CN"/>
        </w:rPr>
        <w:t>制定了《市委编办固定资产管理办法》《市委编办固定资产处置办法》，资产管理安全运行情况基本正常，但在</w:t>
      </w:r>
      <w:r>
        <w:rPr>
          <w:rFonts w:hint="eastAsia" w:ascii="仿宋_GB2312" w:hAnsi="仿宋_GB2312" w:eastAsia="仿宋_GB2312" w:cs="仿宋_GB2312"/>
          <w:b w:val="0"/>
          <w:bCs w:val="0"/>
          <w:color w:val="auto"/>
          <w:kern w:val="2"/>
          <w:sz w:val="32"/>
          <w:szCs w:val="32"/>
          <w:highlight w:val="none"/>
          <w:lang w:val="en-US" w:eastAsia="zh-CN" w:bidi="ar-SA"/>
        </w:rPr>
        <w:t>资产清查、资产配置</w:t>
      </w:r>
      <w:r>
        <w:rPr>
          <w:rFonts w:hint="eastAsia" w:ascii="仿宋_GB2312" w:hAnsi="仿宋_GB2312" w:eastAsia="仿宋_GB2312" w:cs="仿宋_GB2312"/>
          <w:color w:val="auto"/>
          <w:kern w:val="2"/>
          <w:sz w:val="32"/>
          <w:szCs w:val="32"/>
          <w:highlight w:val="none"/>
          <w:lang w:val="en-US" w:eastAsia="zh-CN" w:bidi="ar-SA"/>
        </w:rPr>
        <w:t>、资产处置等方面工作不够完善：一是没有定期对固定资产进行清查的资料，扣1分；二是没有体现资产账实相符的资料，扣1分；三是2021年10月份市委编办报废大众迈腾（2012年购买）轿车，没有及时处理报废固定资产的账务，扣1分。</w:t>
      </w:r>
      <w:r>
        <w:rPr>
          <w:rFonts w:hint="eastAsia" w:ascii="仿宋_GB2312" w:hAnsi="仿宋_GB2312" w:eastAsia="仿宋_GB2312" w:cs="仿宋_GB2312"/>
          <w:color w:val="auto"/>
          <w:kern w:val="2"/>
          <w:sz w:val="32"/>
          <w:szCs w:val="32"/>
          <w:highlight w:val="none"/>
          <w:shd w:val="clear"/>
          <w:lang w:val="en-US" w:eastAsia="zh-CN" w:bidi="ar-SA"/>
        </w:rPr>
        <w:t>以上合</w:t>
      </w:r>
      <w:r>
        <w:rPr>
          <w:rFonts w:hint="eastAsia" w:ascii="仿宋_GB2312" w:hAnsi="仿宋_GB2312" w:eastAsia="仿宋_GB2312" w:cs="仿宋_GB2312"/>
          <w:color w:val="auto"/>
          <w:kern w:val="2"/>
          <w:sz w:val="32"/>
          <w:szCs w:val="32"/>
          <w:highlight w:val="none"/>
          <w:lang w:val="en-US" w:eastAsia="zh-CN" w:bidi="ar-SA"/>
        </w:rPr>
        <w:t>计扣3分，该指标分值4分，扣3分，得1分，得分率25%。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②固定资产利用率。</w:t>
      </w:r>
      <w:r>
        <w:rPr>
          <w:rFonts w:hint="eastAsia" w:ascii="仿宋_GB2312" w:hAnsi="仿宋_GB2312" w:eastAsia="仿宋_GB2312" w:cs="仿宋_GB2312"/>
          <w:color w:val="auto"/>
          <w:kern w:val="2"/>
          <w:sz w:val="32"/>
          <w:szCs w:val="32"/>
          <w:highlight w:val="none"/>
          <w:lang w:val="en-US" w:eastAsia="zh-CN" w:bidi="ar-SA"/>
        </w:rPr>
        <w:t>根据《2021年度资产报表单户及汇总表（财资03）》，市委编办期末固定资产原值总额为143.17万元，其中在用固定资产原值总额为142.06万元，固定资产利用率为99.22%。该指标分值2分，评价得分2分，得分率100%。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（4）制度管理。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该指标反映部门的管理制度对其完成主要职责和促进事业发展的保障情况。由管理制度及安全性一个三级指标来体现，指标分值4分，扣1.5分，评价得分2.5分，得分率62.5%。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管理制度健全性。</w:t>
      </w:r>
      <w:r>
        <w:rPr>
          <w:rFonts w:hint="eastAsia" w:ascii="仿宋_GB2312" w:hAnsi="仿宋_GB2312" w:eastAsia="仿宋_GB2312" w:cs="仿宋_GB2312"/>
          <w:color w:val="auto"/>
          <w:kern w:val="2"/>
          <w:sz w:val="32"/>
          <w:szCs w:val="32"/>
          <w:highlight w:val="none"/>
          <w:lang w:val="en-US" w:eastAsia="zh-CN" w:bidi="ar-SA"/>
        </w:rPr>
        <w:t>市委编办制定了《中共韶关市委机构编制委员会办公室财务管理办法》《市委编办预算绩效管理制度（试行）》《市委编办差旅费管理办法》《市委编办实施公务卡强制结算目录管理办法》《市委编办政府采购内控管理制度（试行）》《中共韶关市委机构编制委员会办公室室务会议议事规则》《中共韶关市委机构编制委员会办公室“三重一大”决策制度》《中共韶关市委机构编制委员会办公室公务用车管理制度》《中共韶关市委机构编制委员会办公室日常办公用品管理办法》等财政资金管理、内部财务、内部控制、预算绩效管理相关制度；对于经常性项目制定了《市委编办市直机关事业单位网上名称管理项目经费管理办法（试行）》相关管理办法。各项的制度的执行基本能得到较好切实执行，但在内控管理制度需要进一步完善，扣0.5分，对市直机关事业单位网上名称管理项目制定了管理办法，但缺少管理办法第八条中定期或不定期进行监督检查的底稿，如关于网站监督检查的相关工作记录或者运维日志，扣1分。该指标分值4分，评价得分2.5分，得分率62.5%。</w:t>
      </w:r>
    </w:p>
    <w:p>
      <w:pPr>
        <w:pStyle w:val="6"/>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outlineLvl w:val="2"/>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bidi="ar-SA"/>
        </w:rPr>
        <w:t>.资金使用效益分析。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该指标反映资金使用产生的效果和收益情况，以及产生的影响。由经济性、效率性、效果性、公平性四个方面构成，指标分值50分，扣0.22分，得49.78分，得分率99.56%。预算执行情况指标的得分情况如表2-6所示。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6</w:t>
      </w:r>
      <w:r>
        <w:rPr>
          <w:rFonts w:hint="eastAsia" w:ascii="宋体" w:hAnsi="宋体" w:eastAsia="宋体" w:cs="宋体"/>
          <w:b/>
          <w:bCs/>
          <w:color w:val="auto"/>
          <w:kern w:val="2"/>
          <w:sz w:val="28"/>
          <w:szCs w:val="28"/>
          <w:highlight w:val="none"/>
          <w:lang w:val="en-US" w:eastAsia="zh-CN" w:bidi="ar-SA"/>
        </w:rPr>
        <w:t xml:space="preserve"> 资金使用效益指标的得分情况表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2"/>
        <w:gridCol w:w="834"/>
        <w:gridCol w:w="2736"/>
        <w:gridCol w:w="1052"/>
        <w:gridCol w:w="137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2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二级指标</w:t>
            </w:r>
          </w:p>
        </w:tc>
        <w:tc>
          <w:tcPr>
            <w:tcW w:w="83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三级指标</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评价得分</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经济性</w:t>
            </w:r>
          </w:p>
        </w:tc>
        <w:tc>
          <w:tcPr>
            <w:tcW w:w="834"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公用经费控制率</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“三公”经费控制率</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完成成本合理性</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效率性</w:t>
            </w:r>
          </w:p>
        </w:tc>
        <w:tc>
          <w:tcPr>
            <w:tcW w:w="834"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重点工作完成率</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绩效目标完成率</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项目完成及时性</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效果性</w:t>
            </w:r>
          </w:p>
        </w:tc>
        <w:tc>
          <w:tcPr>
            <w:tcW w:w="834"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社会经济效益</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24.99</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83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24.99</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公平性</w:t>
            </w:r>
          </w:p>
        </w:tc>
        <w:tc>
          <w:tcPr>
            <w:tcW w:w="834"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群众信访办理情况</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公众或服务对象满意度</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2.79</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93</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8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i w:val="0"/>
                <w:iCs w:val="0"/>
                <w:color w:val="auto"/>
                <w:sz w:val="28"/>
                <w:szCs w:val="28"/>
                <w:highlight w:val="none"/>
                <w:u w:val="none"/>
              </w:rPr>
            </w:pP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4.79</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95.8</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83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50</w:t>
            </w:r>
          </w:p>
        </w:tc>
        <w:tc>
          <w:tcPr>
            <w:tcW w:w="27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05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50</w:t>
            </w:r>
          </w:p>
        </w:tc>
        <w:tc>
          <w:tcPr>
            <w:tcW w:w="13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49.78</w:t>
            </w:r>
          </w:p>
        </w:tc>
        <w:tc>
          <w:tcPr>
            <w:tcW w:w="14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99.56</w:t>
            </w:r>
            <w:r>
              <w:rPr>
                <w:rFonts w:hint="eastAsia" w:ascii="宋体" w:hAnsi="宋体" w:eastAsia="宋体" w:cs="宋体"/>
                <w:b/>
                <w:bCs/>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（1）经济性。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资金使用的经济性，考核部门的资金投入和使用过程中成本节约的水平和程度及资金使用的合理性。由公用经费控制率、“三公”经费控制率、完成成本合理性三个三级指标构成，该指标分值10分，评价得分10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①公用经费控制率。</w:t>
      </w:r>
      <w:r>
        <w:rPr>
          <w:rFonts w:hint="eastAsia" w:ascii="仿宋_GB2312" w:hAnsi="仿宋_GB2312" w:eastAsia="仿宋_GB2312" w:cs="仿宋_GB2312"/>
          <w:color w:val="auto"/>
          <w:kern w:val="2"/>
          <w:sz w:val="32"/>
          <w:szCs w:val="32"/>
          <w:highlight w:val="none"/>
          <w:lang w:val="en-US" w:eastAsia="zh-CN" w:bidi="ar-SA"/>
        </w:rPr>
        <w:t>根据</w:t>
      </w:r>
      <w:r>
        <w:rPr>
          <w:rFonts w:hint="eastAsia" w:ascii="仿宋_GB2312" w:hAnsi="仿宋_GB2312" w:eastAsia="仿宋_GB2312" w:cs="仿宋_GB2312"/>
          <w:color w:val="auto"/>
          <w:kern w:val="2"/>
          <w:sz w:val="32"/>
          <w:szCs w:val="32"/>
          <w:highlight w:val="none"/>
          <w:shd w:val="clear"/>
          <w:lang w:val="en-US" w:eastAsia="zh-CN" w:bidi="ar-SA"/>
        </w:rPr>
        <w:t>2021年部门决算（财决01表），</w:t>
      </w:r>
      <w:r>
        <w:rPr>
          <w:rFonts w:hint="eastAsia" w:ascii="仿宋_GB2312" w:hAnsi="仿宋_GB2312" w:eastAsia="仿宋_GB2312" w:cs="仿宋_GB2312"/>
          <w:color w:val="auto"/>
          <w:kern w:val="2"/>
          <w:sz w:val="32"/>
          <w:szCs w:val="32"/>
          <w:highlight w:val="none"/>
          <w:lang w:val="en-US" w:eastAsia="zh-CN" w:bidi="ar-SA"/>
        </w:rPr>
        <w:t>日常公用经费调整预算数88.33万元；2021年部门决算公开报表中显示，日常公用经费决算数88.33万元，日常公用经费决算数等于日常公用经费调整预算数。该指标分值2分，评价得分2分，得分率100%。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②“三公”经费控制率。</w:t>
      </w:r>
      <w:r>
        <w:rPr>
          <w:rFonts w:hint="eastAsia" w:ascii="仿宋_GB2312" w:hAnsi="仿宋_GB2312" w:eastAsia="仿宋_GB2312" w:cs="仿宋_GB2312"/>
          <w:color w:val="auto"/>
          <w:kern w:val="2"/>
          <w:sz w:val="32"/>
          <w:szCs w:val="32"/>
          <w:highlight w:val="none"/>
          <w:lang w:val="en-US" w:eastAsia="zh-CN" w:bidi="ar-SA"/>
        </w:rPr>
        <w:t>根据2021年部门决算（财决附03表），预算安排的“三公”经费数4万元，根据2021年12月市领导批示的《关于解决部分市直单位公务用车购置经费的请示》（韶财请〔2021〕141号）的文件，年中调整23.28万元公务用车购置费，“三公”经费调整额度为27.28万元；2021年部门决算公开报表中显示，“三公”经费实际支出数25.87万元，“三公”经费支出情况如表2-7所示。“三公”经费实际支出数小于预算安排的“三公”经费数。该指标分值2分，评价得分2分，得分率100%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 xml:space="preserve">7 </w:t>
      </w:r>
      <w:r>
        <w:rPr>
          <w:rFonts w:hint="eastAsia" w:ascii="宋体" w:hAnsi="宋体" w:eastAsia="宋体" w:cs="宋体"/>
          <w:b/>
          <w:bCs/>
          <w:color w:val="auto"/>
          <w:kern w:val="2"/>
          <w:sz w:val="28"/>
          <w:szCs w:val="28"/>
          <w:highlight w:val="none"/>
          <w:lang w:val="en-US" w:eastAsia="zh-CN" w:bidi="ar-SA"/>
        </w:rPr>
        <w:t>“三公”经费</w:t>
      </w:r>
      <w:r>
        <w:rPr>
          <w:rFonts w:hint="eastAsia" w:ascii="宋体" w:hAnsi="宋体" w:eastAsia="宋体" w:cs="宋体"/>
          <w:b/>
          <w:bCs/>
          <w:color w:val="auto"/>
          <w:kern w:val="2"/>
          <w:sz w:val="28"/>
          <w:szCs w:val="28"/>
          <w:highlight w:val="none"/>
          <w:lang w:val="en-US" w:eastAsia="zh-Hans" w:bidi="ar-SA"/>
        </w:rPr>
        <w:t>支出</w:t>
      </w:r>
      <w:r>
        <w:rPr>
          <w:rFonts w:hint="eastAsia" w:ascii="宋体" w:hAnsi="宋体" w:eastAsia="宋体" w:cs="宋体"/>
          <w:b/>
          <w:bCs/>
          <w:color w:val="auto"/>
          <w:kern w:val="2"/>
          <w:sz w:val="28"/>
          <w:szCs w:val="28"/>
          <w:highlight w:val="none"/>
          <w:lang w:val="en-US" w:eastAsia="zh-CN" w:bidi="ar-SA"/>
        </w:rPr>
        <w:t>情况表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410"/>
        <w:gridCol w:w="1366"/>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预算</w:t>
            </w:r>
            <w:r>
              <w:rPr>
                <w:rFonts w:hint="eastAsia" w:ascii="宋体" w:hAnsi="宋体" w:cs="宋体"/>
                <w:b/>
                <w:bCs/>
                <w:i w:val="0"/>
                <w:iCs w:val="0"/>
                <w:color w:val="auto"/>
                <w:kern w:val="0"/>
                <w:sz w:val="21"/>
                <w:szCs w:val="21"/>
                <w:highlight w:val="none"/>
                <w:u w:val="none"/>
                <w:lang w:val="en-US" w:eastAsia="zh-CN" w:bidi="ar"/>
              </w:rPr>
              <w:t>调整</w:t>
            </w:r>
            <w:r>
              <w:rPr>
                <w:rFonts w:hint="eastAsia" w:ascii="宋体" w:hAnsi="宋体" w:eastAsia="宋体" w:cs="宋体"/>
                <w:b/>
                <w:bCs/>
                <w:i w:val="0"/>
                <w:iCs w:val="0"/>
                <w:color w:val="auto"/>
                <w:kern w:val="0"/>
                <w:sz w:val="21"/>
                <w:szCs w:val="21"/>
                <w:highlight w:val="none"/>
                <w:u w:val="none"/>
                <w:lang w:val="en-US" w:eastAsia="zh-CN" w:bidi="ar"/>
              </w:rPr>
              <w:t>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决算数</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1410" w:type="dxa"/>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27.28</w:t>
            </w:r>
          </w:p>
        </w:tc>
        <w:tc>
          <w:tcPr>
            <w:tcW w:w="1366" w:type="dxa"/>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25.87</w:t>
            </w:r>
          </w:p>
        </w:tc>
        <w:tc>
          <w:tcPr>
            <w:tcW w:w="2931" w:type="dxa"/>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1．因公出国（境）费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2．公务用车购置及运行维护费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25.28</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25.2</w:t>
            </w:r>
            <w:r>
              <w:rPr>
                <w:rFonts w:hint="eastAsia" w:ascii="宋体" w:hAnsi="宋体" w:cs="宋体"/>
                <w:color w:val="auto"/>
                <w:kern w:val="2"/>
                <w:sz w:val="21"/>
                <w:szCs w:val="21"/>
                <w:highlight w:val="none"/>
                <w:lang w:val="en-US" w:eastAsia="zh-CN" w:bidi="ar-SA"/>
              </w:rPr>
              <w:t>8</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05" w:firstLineChars="5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（1）公务用车购置费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23.28</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23.28</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韶财请〔2021〕141号，同意购买公务车（财局追加预算5万元，其余费用由市委编办办公用经费结余中支出)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05" w:firstLineChars="5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（2）公务用车运行维护费</w:t>
            </w:r>
          </w:p>
        </w:tc>
        <w:tc>
          <w:tcPr>
            <w:tcW w:w="1410" w:type="dxa"/>
            <w:shd w:val="clear" w:color="auto" w:fill="auto"/>
            <w:vAlign w:val="center"/>
          </w:tcPr>
          <w:p>
            <w:pPr>
              <w:keepNext w:val="0"/>
              <w:keepLines w:val="0"/>
              <w:pageBreakBefore w:val="0"/>
              <w:widowControl w:val="0"/>
              <w:numPr>
                <w:ilvl w:val="0"/>
                <w:numId w:val="0"/>
              </w:numPr>
              <w:tabs>
                <w:tab w:val="center" w:pos="1227"/>
                <w:tab w:val="right" w:pos="2335"/>
              </w:tabs>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2931" w:type="dxa"/>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3．公务接待费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.00</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0.59</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（1）国内接待费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0.59</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44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其中：外事接待费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2931" w:type="dxa"/>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ind w:firstLine="0" w:firstLineChars="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（2）国（境）外接待费</w:t>
            </w:r>
          </w:p>
        </w:tc>
        <w:tc>
          <w:tcPr>
            <w:tcW w:w="14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w:t>
            </w:r>
          </w:p>
        </w:tc>
        <w:tc>
          <w:tcPr>
            <w:tcW w:w="13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p>
        </w:tc>
        <w:tc>
          <w:tcPr>
            <w:tcW w:w="2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③</w:t>
      </w:r>
      <w:r>
        <w:rPr>
          <w:rFonts w:hint="eastAsia" w:ascii="仿宋_GB2312" w:hAnsi="仿宋_GB2312" w:eastAsia="仿宋_GB2312" w:cs="仿宋_GB2312"/>
          <w:b/>
          <w:bCs/>
          <w:color w:val="auto"/>
          <w:kern w:val="2"/>
          <w:sz w:val="32"/>
          <w:szCs w:val="32"/>
          <w:highlight w:val="none"/>
          <w:lang w:val="en-US" w:eastAsia="zh-CN" w:bidi="ar-SA"/>
        </w:rPr>
        <w:t>完成成本合理性。</w:t>
      </w:r>
      <w:r>
        <w:rPr>
          <w:rFonts w:hint="eastAsia" w:ascii="仿宋_GB2312" w:hAnsi="仿宋_GB2312" w:eastAsia="仿宋_GB2312" w:cs="仿宋_GB2312"/>
          <w:color w:val="auto"/>
          <w:kern w:val="2"/>
          <w:sz w:val="32"/>
          <w:szCs w:val="32"/>
          <w:highlight w:val="none"/>
          <w:lang w:val="en-US" w:eastAsia="zh-CN" w:bidi="ar-SA"/>
        </w:rPr>
        <w:t>市委编办相关工作预算编制依据较为明确的，项目立项经过了三方询价或依据相关行业标准进行编制的，货品采购成本与市场价格、行业标准的同类项目相比较为合理。经比对同类的采购平台和同类招标项目的报价情况，未发现成本异常的采购项目和货品。该指标分值6分，评价得分6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（2）效率性。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该指标反映部门的工作效率，考核部门重点工作、绩效目标、项目完成的完成情况。由重点工作完成率、绩效目标完成率、项目完成及时性三个三级指标构成，该指标分值10分，评价得分10分，得分率100%。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①重点工作完成率。</w:t>
      </w:r>
      <w:r>
        <w:rPr>
          <w:rFonts w:hint="eastAsia" w:ascii="仿宋_GB2312" w:hAnsi="仿宋_GB2312" w:eastAsia="仿宋_GB2312" w:cs="仿宋_GB2312"/>
          <w:color w:val="auto"/>
          <w:kern w:val="2"/>
          <w:sz w:val="32"/>
          <w:szCs w:val="32"/>
          <w:highlight w:val="none"/>
          <w:lang w:val="en-US" w:eastAsia="zh-CN" w:bidi="ar-SA"/>
        </w:rPr>
        <w:t>经评价核查，市委编办已顺利完成了年度重点工作，并于2021年6月相应印发了《中共韶关市委机构编制委员会办公室关于优化调整广东韶关工业园区管理委员会有关机构编制事项的通知》（韶机编办发〔2021〕125号）等5个文件，重点工作完成率为100%。该指标分值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②</w:t>
      </w:r>
      <w:r>
        <w:rPr>
          <w:rFonts w:hint="eastAsia" w:ascii="仿宋_GB2312" w:hAnsi="仿宋_GB2312" w:eastAsia="仿宋_GB2312" w:cs="仿宋_GB2312"/>
          <w:b/>
          <w:bCs/>
          <w:color w:val="auto"/>
          <w:kern w:val="2"/>
          <w:sz w:val="32"/>
          <w:szCs w:val="32"/>
          <w:highlight w:val="none"/>
          <w:lang w:val="en-US" w:eastAsia="zh-CN" w:bidi="ar-SA"/>
        </w:rPr>
        <w:t>绩效目标完成率。</w:t>
      </w:r>
      <w:r>
        <w:rPr>
          <w:rFonts w:hint="eastAsia" w:ascii="仿宋_GB2312" w:hAnsi="仿宋_GB2312" w:eastAsia="仿宋_GB2312" w:cs="仿宋_GB2312"/>
          <w:color w:val="auto"/>
          <w:kern w:val="2"/>
          <w:sz w:val="32"/>
          <w:szCs w:val="32"/>
          <w:highlight w:val="none"/>
          <w:lang w:val="en-US" w:eastAsia="zh-CN" w:bidi="ar-SA"/>
        </w:rPr>
        <w:t>根据核查项目单位自评材料和现场评价，市委编办年初设定的7个绩效目标已经全部完成（详见表2－2绩效目标完成情况表），完成率为100%。该指标分值3分，评价得分3分，得分率100%。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③</w:t>
      </w:r>
      <w:r>
        <w:rPr>
          <w:rFonts w:hint="eastAsia" w:ascii="仿宋_GB2312" w:hAnsi="仿宋_GB2312" w:eastAsia="仿宋_GB2312" w:cs="仿宋_GB2312"/>
          <w:b/>
          <w:bCs/>
          <w:color w:val="auto"/>
          <w:kern w:val="2"/>
          <w:sz w:val="32"/>
          <w:szCs w:val="32"/>
          <w:highlight w:val="none"/>
          <w:lang w:val="en-US" w:eastAsia="zh-CN" w:bidi="ar-SA"/>
        </w:rPr>
        <w:t>项目完成及时性。</w:t>
      </w:r>
      <w:r>
        <w:rPr>
          <w:rFonts w:hint="eastAsia" w:ascii="仿宋_GB2312" w:hAnsi="仿宋_GB2312" w:eastAsia="仿宋_GB2312" w:cs="仿宋_GB2312"/>
          <w:color w:val="auto"/>
          <w:kern w:val="2"/>
          <w:sz w:val="32"/>
          <w:szCs w:val="32"/>
          <w:highlight w:val="none"/>
          <w:lang w:val="en-US" w:eastAsia="zh-CN" w:bidi="ar-SA"/>
        </w:rPr>
        <w:t>2021年，市委编办需要完成的项目有2个，截至2021年底，2个项目已经完成。该指标分值4分，评价得分4分，得分率100%。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（3）效果性。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该指标反映部门的工作目标实现程度以及产生的影响。由社会经济效益指标来呈现，该指标25分，扣0.01，得24.99分，得分率99.96%。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社会经济效益。</w:t>
      </w:r>
      <w:r>
        <w:rPr>
          <w:rFonts w:hint="eastAsia" w:ascii="仿宋_GB2312" w:hAnsi="仿宋_GB2312" w:eastAsia="仿宋_GB2312" w:cs="仿宋_GB2312"/>
          <w:color w:val="auto"/>
          <w:kern w:val="2"/>
          <w:sz w:val="32"/>
          <w:szCs w:val="32"/>
          <w:highlight w:val="none"/>
          <w:lang w:val="en-US" w:eastAsia="zh-CN" w:bidi="ar-SA"/>
        </w:rPr>
        <w:t>该指标从项目完成情况产生的社会、经济效益等方面体现部门职能、工作任务情况来反映资金使用效果。由涉及机构编制调整事项完成率、印发有关机构编制政策和规范性文件数量、市直机关事业单位编制使用申请事项办结率、市直机关事业单位人员入编事项办结率、部门执行机构编制报告制度覆盖率、机构编制核查覆盖率等十二个四级指标构成，该指标25分，扣0.01，得24.99分，得分率99.96%。社会经济效益指标分析如表2-8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表2-</w:t>
      </w:r>
      <w:r>
        <w:rPr>
          <w:rFonts w:hint="eastAsia" w:ascii="宋体" w:hAnsi="宋体" w:cs="宋体"/>
          <w:b/>
          <w:bCs/>
          <w:color w:val="auto"/>
          <w:kern w:val="2"/>
          <w:sz w:val="28"/>
          <w:szCs w:val="28"/>
          <w:highlight w:val="none"/>
          <w:lang w:val="en-US" w:eastAsia="zh-CN" w:bidi="ar-SA"/>
        </w:rPr>
        <w:t xml:space="preserve">8 </w:t>
      </w:r>
      <w:r>
        <w:rPr>
          <w:rFonts w:hint="eastAsia" w:ascii="宋体" w:hAnsi="宋体" w:eastAsia="宋体" w:cs="宋体"/>
          <w:b/>
          <w:bCs/>
          <w:color w:val="auto"/>
          <w:kern w:val="2"/>
          <w:sz w:val="28"/>
          <w:szCs w:val="28"/>
          <w:highlight w:val="none"/>
          <w:lang w:val="en-US" w:eastAsia="zh-CN" w:bidi="ar-SA"/>
        </w:rPr>
        <w:t>社会经济效益指标分析表</w:t>
      </w:r>
    </w:p>
    <w:tbl>
      <w:tblPr>
        <w:tblStyle w:val="13"/>
        <w:tblW w:w="94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053"/>
        <w:gridCol w:w="639"/>
        <w:gridCol w:w="795"/>
        <w:gridCol w:w="990"/>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default"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序号</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指标名称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是否完成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spacing w:val="-11"/>
                <w:kern w:val="0"/>
                <w:sz w:val="21"/>
                <w:szCs w:val="21"/>
                <w:highlight w:val="none"/>
                <w:u w:val="none"/>
                <w:lang w:val="en-US" w:eastAsia="zh-CN" w:bidi="ar"/>
              </w:rPr>
              <w:t>评价得分</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指标分析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涉及机构编制调整事项完成率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2021年，市委编办同意办理的涉及机构编制调整事项有225个，实际办理的涉及机构编制调整事项225个，完成率为100%。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印发有关机构编制政策和规范性文件数量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2021年，市委编办印发有关机构编制政策和规范性文件数量19份，其中印发《关于进一步挖潜创新加强中小学教职工管理的实施意见》1份，事业单位机构编制方案16份，提请印发部门“三定”规定2份。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市直机关事业单位编制使用申请事项办结率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2021年，市委编办同意办理的市直机关事业单位编制使用申请736人，完成办理的市直机关事业单位编制使用申请736人，其中完成党政机关和群团用编申请113人，事业单位用编申请623人，办结率为100%。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市直机关事业单位人员入编事项办结率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2021年，市委编办同意市直机关事业单位人员入编人数985人次，实际完成市直机关事业单位人员入编人数985人次，其中，完成党政机关和群团列编391人次，事业单位列编594人次，办结率为100%。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部门执行机构编制报告制度覆盖率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2021年，全市应执行机构编制报告制度的部门76个，实际执行机构编制报告制度的部门76个，执行制度覆盖率100%。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机构编制核查覆盖率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2021年，全市市本级机关事业单位总量为285家，共进行编制实地核查的有136家，覆盖率47.7%。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事业单位法人登记申请按时办结率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1.99</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2021年，全市进行事业单位法人登记申请有173人，实际办结完成事业单位法人登记审核有172人，按时办结率99.42%。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高层次人才入编登记工作完成率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2021年，全市高层次人才列编53人，市委编办实际完成高层次列编53人，工作完成率100%。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市全面深化改革要点任务完成率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2021年，市委编办应完成全面深化改革要点任务数13项，实际完成数量13项，任务完成率100%。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全面深化改革年第三督导组督导次数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2021年全年共开展书面督导、实地督导30余次。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市直机关群团统一社会信用代码申请按时办结率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2021年市直机关群团统一社会信用代码赋码初领6项，变更42项，均已按时办结。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简易注销登记按时办结率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2021年通过简易注销申请办理200余家，均已按时办结。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3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24.99</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（4）公平性。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该指标反映部门对服务群众的重视度、公众对部门履职效果的满意度。由群众信访办理情况、服务对象满意度两个三级指标构成，该指标分值5分，评价得分4.79分，得分率95.8%。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①群众信访办理情况。</w:t>
      </w:r>
      <w:r>
        <w:rPr>
          <w:rFonts w:hint="eastAsia" w:ascii="仿宋_GB2312" w:hAnsi="仿宋_GB2312" w:eastAsia="仿宋_GB2312" w:cs="仿宋_GB2312"/>
          <w:color w:val="auto"/>
          <w:kern w:val="2"/>
          <w:sz w:val="32"/>
          <w:szCs w:val="32"/>
          <w:highlight w:val="none"/>
          <w:lang w:val="en-US" w:eastAsia="zh-CN" w:bidi="ar-SA"/>
        </w:rPr>
        <w:t>2021年部门共接待信访事项5项，截至2021年底，5项信访事情已经按照相关规定和流程处理完毕。信访办理完结率100%。该指标分值2分，评价得分2分，得分率100%。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②</w:t>
      </w:r>
      <w:r>
        <w:rPr>
          <w:rFonts w:hint="eastAsia" w:ascii="仿宋_GB2312" w:hAnsi="仿宋_GB2312" w:eastAsia="仿宋_GB2312" w:cs="仿宋_GB2312"/>
          <w:b/>
          <w:bCs/>
          <w:color w:val="auto"/>
          <w:kern w:val="2"/>
          <w:sz w:val="32"/>
          <w:szCs w:val="32"/>
          <w:highlight w:val="none"/>
          <w:lang w:val="en-US" w:eastAsia="zh-CN" w:bidi="ar-SA"/>
        </w:rPr>
        <w:t>公众或服务对象满意度。</w:t>
      </w:r>
      <w:r>
        <w:rPr>
          <w:rFonts w:hint="eastAsia" w:ascii="仿宋_GB2312" w:hAnsi="仿宋_GB2312" w:eastAsia="仿宋_GB2312" w:cs="仿宋_GB2312"/>
          <w:color w:val="auto"/>
          <w:kern w:val="2"/>
          <w:sz w:val="32"/>
          <w:szCs w:val="32"/>
          <w:highlight w:val="none"/>
          <w:lang w:val="en-US" w:eastAsia="zh-CN" w:bidi="ar-SA"/>
        </w:rPr>
        <w:t>评价组参考2021年度韶关市机关绩效考核结果，分数为93.24分。该指标分值3分，扣0.21分，得2.79分，得分率93%。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highlight w:val="none"/>
          <w:lang w:val="en-US" w:eastAsia="zh-CN"/>
        </w:rPr>
      </w:pPr>
      <w:bookmarkStart w:id="24" w:name="_Toc6434"/>
      <w:r>
        <w:rPr>
          <w:rFonts w:hint="eastAsia" w:ascii="黑体" w:hAnsi="黑体" w:eastAsia="黑体" w:cs="黑体"/>
          <w:color w:val="auto"/>
          <w:sz w:val="32"/>
          <w:szCs w:val="32"/>
          <w:highlight w:val="none"/>
          <w:lang w:val="en-US" w:eastAsia="zh-CN"/>
        </w:rPr>
        <w:t>三、评价结论</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根据对各项指标进行分析，依据核定的绩效指标和评分标准，结合市委编办部门整体支出自评情况、材料评审、评价组现场评价核查结果，2021年市委编办部门整体支出绩效评价得分</w:t>
      </w:r>
      <w:r>
        <w:rPr>
          <w:rFonts w:hint="eastAsia" w:ascii="仿宋_GB2312" w:hAnsi="仿宋_GB2312" w:eastAsia="仿宋_GB2312" w:cs="仿宋_GB2312"/>
          <w:b/>
          <w:bCs/>
          <w:color w:val="auto"/>
          <w:kern w:val="2"/>
          <w:sz w:val="32"/>
          <w:szCs w:val="32"/>
          <w:highlight w:val="none"/>
          <w:lang w:val="en-US" w:eastAsia="zh-CN" w:bidi="ar-SA"/>
        </w:rPr>
        <w:t>90.28分</w:t>
      </w:r>
      <w:r>
        <w:rPr>
          <w:rFonts w:hint="eastAsia" w:ascii="仿宋_GB2312" w:hAnsi="仿宋_GB2312" w:eastAsia="仿宋_GB2312" w:cs="仿宋_GB2312"/>
          <w:color w:val="auto"/>
          <w:kern w:val="2"/>
          <w:sz w:val="32"/>
          <w:szCs w:val="32"/>
          <w:highlight w:val="none"/>
          <w:lang w:val="en-US" w:eastAsia="zh-CN" w:bidi="ar-SA"/>
        </w:rPr>
        <w:t>，绩效等级为</w:t>
      </w:r>
      <w:r>
        <w:rPr>
          <w:rFonts w:hint="eastAsia" w:ascii="仿宋_GB2312" w:hAnsi="仿宋_GB2312" w:eastAsia="仿宋_GB2312" w:cs="仿宋_GB2312"/>
          <w:b/>
          <w:bCs/>
          <w:color w:val="auto"/>
          <w:kern w:val="2"/>
          <w:sz w:val="32"/>
          <w:szCs w:val="32"/>
          <w:highlight w:val="none"/>
          <w:lang w:val="en-US" w:eastAsia="zh-CN" w:bidi="ar-SA"/>
        </w:rPr>
        <w:t>“优”</w:t>
      </w:r>
      <w:r>
        <w:rPr>
          <w:rFonts w:hint="eastAsia" w:ascii="仿宋_GB2312" w:hAnsi="仿宋_GB2312" w:eastAsia="仿宋_GB2312" w:cs="仿宋_GB2312"/>
          <w:color w:val="auto"/>
          <w:kern w:val="2"/>
          <w:sz w:val="32"/>
          <w:szCs w:val="32"/>
          <w:highlight w:val="none"/>
          <w:lang w:val="en-US" w:eastAsia="zh-CN" w:bidi="ar-SA"/>
        </w:rPr>
        <w:t>。评价得分情况见表3-1所示。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表3-1 评价</w:t>
      </w:r>
      <w:r>
        <w:rPr>
          <w:rFonts w:hint="eastAsia" w:ascii="宋体" w:hAnsi="宋体" w:cs="宋体"/>
          <w:b/>
          <w:bCs/>
          <w:color w:val="auto"/>
          <w:kern w:val="2"/>
          <w:sz w:val="28"/>
          <w:szCs w:val="28"/>
          <w:highlight w:val="none"/>
          <w:lang w:val="en-US" w:eastAsia="zh-CN" w:bidi="ar-SA"/>
        </w:rPr>
        <w:t>得分</w:t>
      </w:r>
      <w:r>
        <w:rPr>
          <w:rFonts w:hint="eastAsia" w:ascii="宋体" w:hAnsi="宋体" w:eastAsia="宋体" w:cs="宋体"/>
          <w:b/>
          <w:bCs/>
          <w:color w:val="auto"/>
          <w:kern w:val="2"/>
          <w:sz w:val="28"/>
          <w:szCs w:val="28"/>
          <w:highlight w:val="none"/>
          <w:lang w:val="en-US" w:eastAsia="zh-CN" w:bidi="ar-SA"/>
        </w:rPr>
        <w:t>情况总表</w:t>
      </w:r>
    </w:p>
    <w:tbl>
      <w:tblPr>
        <w:tblStyle w:val="13"/>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2"/>
        <w:gridCol w:w="2183"/>
        <w:gridCol w:w="218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218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评价因素</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评价得分</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8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评价总得分</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183"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90.28</w:t>
            </w:r>
          </w:p>
        </w:tc>
        <w:tc>
          <w:tcPr>
            <w:tcW w:w="218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90.28</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8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预算编制情况</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2183"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218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73.33</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8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预算执行情况</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w:t>
            </w:r>
          </w:p>
        </w:tc>
        <w:tc>
          <w:tcPr>
            <w:tcW w:w="2183"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29.5</w:t>
            </w:r>
          </w:p>
        </w:tc>
        <w:tc>
          <w:tcPr>
            <w:tcW w:w="218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84.29</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8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预算使用效益</w:t>
            </w:r>
          </w:p>
        </w:tc>
        <w:tc>
          <w:tcPr>
            <w:tcW w:w="21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w:t>
            </w:r>
          </w:p>
        </w:tc>
        <w:tc>
          <w:tcPr>
            <w:tcW w:w="2183"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49.78</w:t>
            </w:r>
          </w:p>
        </w:tc>
        <w:tc>
          <w:tcPr>
            <w:tcW w:w="218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99.56</w:t>
            </w:r>
            <w:r>
              <w:rPr>
                <w:rFonts w:hint="eastAsia" w:ascii="宋体" w:hAnsi="宋体" w:eastAsia="宋体" w:cs="宋体"/>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tabs>
          <w:tab w:val="left" w:pos="5906"/>
        </w:tabs>
        <w:kinsoku/>
        <w:wordWrap/>
        <w:overflowPunct/>
        <w:topLinePunct w:val="0"/>
        <w:autoSpaceDE/>
        <w:autoSpaceDN/>
        <w:bidi w:val="0"/>
        <w:adjustRightInd/>
        <w:snapToGrid/>
        <w:spacing w:before="157" w:beforeLines="50" w:line="360" w:lineRule="auto"/>
        <w:ind w:firstLine="640" w:firstLineChars="200"/>
        <w:textAlignment w:val="auto"/>
        <w:outlineLvl w:val="0"/>
        <w:rPr>
          <w:rFonts w:hint="eastAsia" w:ascii="黑体" w:hAnsi="黑体" w:eastAsia="黑体" w:cs="黑体"/>
          <w:color w:val="auto"/>
          <w:sz w:val="32"/>
          <w:szCs w:val="32"/>
          <w:highlight w:val="none"/>
          <w:lang w:val="en-US" w:eastAsia="zh-CN"/>
        </w:rPr>
      </w:pPr>
      <w:bookmarkStart w:id="25" w:name="_Toc8740"/>
      <w:r>
        <w:rPr>
          <w:rFonts w:hint="eastAsia" w:ascii="黑体" w:hAnsi="黑体" w:eastAsia="黑体" w:cs="黑体"/>
          <w:color w:val="auto"/>
          <w:sz w:val="32"/>
          <w:szCs w:val="32"/>
          <w:highlight w:val="none"/>
          <w:lang w:val="en-US" w:eastAsia="zh-CN"/>
        </w:rPr>
        <w:t>四、主要绩效</w:t>
      </w:r>
      <w:bookmarkEnd w:id="25"/>
      <w:r>
        <w:rPr>
          <w:rFonts w:hint="eastAsia" w:ascii="黑体" w:hAnsi="黑体" w:eastAsia="黑体" w:cs="黑体"/>
          <w:color w:val="auto"/>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default" w:ascii="楷体_GB2312" w:hAnsi="楷体_GB2312" w:eastAsia="楷体_GB2312" w:cs="楷体_GB2312"/>
          <w:color w:val="auto"/>
          <w:sz w:val="32"/>
          <w:szCs w:val="32"/>
          <w:highlight w:val="none"/>
          <w:lang w:val="en-US" w:eastAsia="zh-CN"/>
        </w:rPr>
      </w:pPr>
      <w:bookmarkStart w:id="26" w:name="_Toc20751"/>
      <w:r>
        <w:rPr>
          <w:rFonts w:hint="eastAsia" w:ascii="楷体_GB2312" w:hAnsi="楷体_GB2312" w:eastAsia="楷体_GB2312" w:cs="楷体_GB2312"/>
          <w:b/>
          <w:bCs/>
          <w:color w:val="auto"/>
          <w:sz w:val="32"/>
          <w:szCs w:val="32"/>
          <w:highlight w:val="none"/>
          <w:lang w:val="en-US" w:eastAsia="zh-CN"/>
        </w:rPr>
        <w:t>（一）聚焦主责主业，全面提升部门履职效能。</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2021年，市委编办聚焦主责主业，完成了履职履责相关工作，以“重点工作、绩效目标、项目建设”为主要抓手，全面提升部门履职效能。通过创新谋划机构编制各项工作，管住管好用活机构编制资源，深化体制机制改革，提升机构编制管理效益，为韶关市高质量发展提供体制机制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27" w:name="_Toc3180"/>
      <w:r>
        <w:rPr>
          <w:rFonts w:hint="eastAsia" w:ascii="楷体_GB2312" w:hAnsi="楷体_GB2312" w:eastAsia="楷体_GB2312" w:cs="楷体_GB2312"/>
          <w:b/>
          <w:bCs/>
          <w:color w:val="auto"/>
          <w:sz w:val="32"/>
          <w:szCs w:val="32"/>
          <w:highlight w:val="none"/>
          <w:lang w:val="en-US" w:eastAsia="zh-CN"/>
        </w:rPr>
        <w:t>（二）加强教育培训，有效提升干部队伍素质。</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市委编办通过加强实践锻炼、专业训练、网络学习、公务员轮训、“双周讲坛”等培训学习，结合主责主业制定《市委编办关于以调研促改革促业务工作制度》及实施方案，有效提升干部队伍素质和业务水平。</w:t>
      </w:r>
      <w:r>
        <w:rPr>
          <w:rFonts w:hint="eastAsia" w:ascii="仿宋_GB2312" w:hAnsi="仿宋_GB2312" w:eastAsia="仿宋_GB2312" w:cs="仿宋_GB2312"/>
          <w:color w:val="auto"/>
          <w:kern w:val="2"/>
          <w:sz w:val="32"/>
          <w:szCs w:val="32"/>
          <w:highlight w:val="none"/>
          <w:lang w:val="en-US" w:eastAsia="zh-CN" w:bidi="ar-SA"/>
        </w:rPr>
        <w:t>2021年，</w:t>
      </w:r>
      <w:r>
        <w:rPr>
          <w:rFonts w:hint="default" w:ascii="仿宋_GB2312" w:hAnsi="仿宋_GB2312" w:eastAsia="仿宋_GB2312" w:cs="仿宋_GB2312"/>
          <w:color w:val="auto"/>
          <w:kern w:val="2"/>
          <w:sz w:val="32"/>
          <w:szCs w:val="32"/>
          <w:highlight w:val="none"/>
          <w:lang w:val="en-US" w:eastAsia="zh-CN" w:bidi="ar-SA"/>
        </w:rPr>
        <w:t>共开展业务学习20次，组织干部参加外出培训57人次，开展“双周讲坛”24期。2021年，</w:t>
      </w:r>
      <w:r>
        <w:rPr>
          <w:rFonts w:hint="eastAsia" w:ascii="仿宋_GB2312" w:hAnsi="仿宋_GB2312" w:eastAsia="仿宋_GB2312" w:cs="仿宋_GB2312"/>
          <w:color w:val="auto"/>
          <w:kern w:val="2"/>
          <w:sz w:val="32"/>
          <w:szCs w:val="32"/>
          <w:highlight w:val="none"/>
          <w:lang w:val="en-US" w:eastAsia="zh-CN" w:bidi="ar-SA"/>
        </w:rPr>
        <w:t>市委编</w:t>
      </w:r>
      <w:r>
        <w:rPr>
          <w:rFonts w:hint="default" w:ascii="仿宋_GB2312" w:hAnsi="仿宋_GB2312" w:eastAsia="仿宋_GB2312" w:cs="仿宋_GB2312"/>
          <w:color w:val="auto"/>
          <w:kern w:val="2"/>
          <w:sz w:val="32"/>
          <w:szCs w:val="32"/>
          <w:highlight w:val="none"/>
          <w:lang w:val="en-US" w:eastAsia="zh-CN" w:bidi="ar-SA"/>
        </w:rPr>
        <w:t>办机关党支部荣获全市“先进基层党组织”称号，机构改革科被评为“市直机关模范机关创建先进单位”，1名党员荣获“市直机关优秀共产党员”称号。</w:t>
      </w:r>
    </w:p>
    <w:p>
      <w:pPr>
        <w:keepNext w:val="0"/>
        <w:keepLines w:val="0"/>
        <w:pageBreakBefore w:val="0"/>
        <w:widowControl w:val="0"/>
        <w:numPr>
          <w:ilvl w:val="0"/>
          <w:numId w:val="0"/>
        </w:numPr>
        <w:tabs>
          <w:tab w:val="left" w:pos="7346"/>
        </w:tabs>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28" w:name="_Toc20524"/>
      <w:r>
        <w:rPr>
          <w:rFonts w:hint="eastAsia" w:ascii="楷体_GB2312" w:hAnsi="楷体_GB2312" w:eastAsia="楷体_GB2312" w:cs="楷体_GB2312"/>
          <w:b/>
          <w:bCs/>
          <w:color w:val="auto"/>
          <w:sz w:val="32"/>
          <w:szCs w:val="32"/>
          <w:highlight w:val="none"/>
          <w:lang w:val="en-US" w:eastAsia="zh-CN"/>
        </w:rPr>
        <w:t>（三）探索创新机制，有效提升管理效率。</w:t>
      </w:r>
      <w:bookmarkEnd w:id="28"/>
      <w:r>
        <w:rPr>
          <w:rFonts w:hint="eastAsia" w:ascii="楷体_GB2312" w:hAnsi="楷体_GB2312" w:eastAsia="楷体_GB2312" w:cs="楷体_GB2312"/>
          <w:b/>
          <w:bCs/>
          <w:color w:val="auto"/>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委编办的工作规则、处理流程、行政后勤、信访工作以及监督机制等各类制度比较完善，制度落实到位且有效。2021年印发的《市委编办关于健全完善机构编制管理的制度》，进一步规范机构编制日常管理，有效提升管理效率。</w:t>
      </w:r>
    </w:p>
    <w:p>
      <w:pPr>
        <w:tabs>
          <w:tab w:val="left" w:pos="7346"/>
        </w:tabs>
        <w:ind w:firstLine="643" w:firstLineChars="200"/>
        <w:outlineLvl w:val="1"/>
        <w:rPr>
          <w:rFonts w:hint="eastAsia" w:ascii="楷体_GB2312" w:hAnsi="楷体_GB2312" w:eastAsia="楷体_GB2312" w:cs="楷体_GB2312"/>
          <w:b/>
          <w:bCs/>
          <w:color w:val="auto"/>
          <w:kern w:val="2"/>
          <w:sz w:val="32"/>
          <w:szCs w:val="32"/>
          <w:highlight w:val="none"/>
          <w:lang w:val="en-US" w:eastAsia="zh-CN" w:bidi="ar-SA"/>
        </w:rPr>
      </w:pPr>
      <w:bookmarkStart w:id="29" w:name="_Toc30936"/>
      <w:r>
        <w:rPr>
          <w:rFonts w:hint="eastAsia" w:ascii="楷体_GB2312" w:hAnsi="楷体_GB2312" w:eastAsia="楷体_GB2312" w:cs="楷体_GB2312"/>
          <w:b/>
          <w:bCs/>
          <w:color w:val="auto"/>
          <w:kern w:val="2"/>
          <w:sz w:val="32"/>
          <w:szCs w:val="32"/>
          <w:highlight w:val="none"/>
          <w:lang w:val="en-US" w:eastAsia="zh-CN" w:bidi="ar-SA"/>
        </w:rPr>
        <w:t>（四）强化履职担当，创新谋划机构编制各项工作</w:t>
      </w:r>
      <w:bookmarkEnd w:id="29"/>
      <w:r>
        <w:rPr>
          <w:rFonts w:hint="eastAsia" w:ascii="楷体_GB2312" w:hAnsi="楷体_GB2312" w:eastAsia="楷体_GB2312" w:cs="楷体_GB2312"/>
          <w:b/>
          <w:bCs/>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一是坚持政治引领，全面提升机关党建水平。</w:t>
      </w:r>
      <w:r>
        <w:rPr>
          <w:rFonts w:hint="eastAsia" w:ascii="仿宋_GB2312" w:hAnsi="仿宋_GB2312" w:eastAsia="仿宋_GB2312" w:cs="仿宋_GB2312"/>
          <w:color w:val="auto"/>
          <w:sz w:val="32"/>
          <w:szCs w:val="32"/>
          <w:highlight w:val="none"/>
          <w:lang w:val="en-US" w:eastAsia="zh-CN"/>
        </w:rPr>
        <w:t>加强理论武装，把牢政治方向，不断提高政治判断力、政治领悟力、政治执行力；坚持学思践悟，推动党史学习教育见行见效，创新形式加强学习，扎实推进各种为民办实事工作，切实增强人民群众获得感、幸福感、安全感；持续正风肃纪，全面推进从严治党，认真开展理论宣讲、观看警示教育片、参观廉政基地等纪律教育学习月活动。</w:t>
      </w:r>
      <w:r>
        <w:rPr>
          <w:rFonts w:hint="eastAsia" w:ascii="仿宋_GB2312" w:hAnsi="仿宋_GB2312" w:eastAsia="仿宋_GB2312" w:cs="仿宋_GB2312"/>
          <w:b/>
          <w:bCs/>
          <w:color w:val="auto"/>
          <w:sz w:val="32"/>
          <w:szCs w:val="32"/>
          <w:highlight w:val="none"/>
          <w:lang w:val="en-US" w:eastAsia="zh-CN"/>
        </w:rPr>
        <w:t>二是坚持改革攻坚，不断优化机构职能体系。</w:t>
      </w:r>
      <w:r>
        <w:rPr>
          <w:rFonts w:hint="eastAsia" w:ascii="仿宋_GB2312" w:hAnsi="仿宋_GB2312" w:eastAsia="仿宋_GB2312" w:cs="仿宋_GB2312"/>
          <w:b w:val="0"/>
          <w:bCs w:val="0"/>
          <w:color w:val="auto"/>
          <w:sz w:val="32"/>
          <w:szCs w:val="32"/>
          <w:highlight w:val="none"/>
          <w:lang w:val="en-US" w:eastAsia="zh-CN"/>
        </w:rPr>
        <w:t>深化镇街综合行政执法改革、深化重点领域事业单位改革、深化韶关高新区管理体制机制改革，配合推进其他领域改革工作，做好全面深化改革年统筹工作。</w:t>
      </w:r>
      <w:r>
        <w:rPr>
          <w:rFonts w:hint="eastAsia" w:ascii="仿宋_GB2312" w:hAnsi="仿宋_GB2312" w:eastAsia="仿宋_GB2312" w:cs="仿宋_GB2312"/>
          <w:b/>
          <w:bCs/>
          <w:color w:val="auto"/>
          <w:sz w:val="32"/>
          <w:szCs w:val="32"/>
          <w:highlight w:val="none"/>
          <w:lang w:val="en-US" w:eastAsia="zh-CN"/>
        </w:rPr>
        <w:t>三是坚持守正创新，持续提升管理服务效益。</w:t>
      </w:r>
      <w:r>
        <w:rPr>
          <w:rFonts w:hint="eastAsia" w:ascii="仿宋_GB2312" w:hAnsi="仿宋_GB2312" w:eastAsia="仿宋_GB2312" w:cs="仿宋_GB2312"/>
          <w:b w:val="0"/>
          <w:bCs w:val="0"/>
          <w:color w:val="auto"/>
          <w:sz w:val="32"/>
          <w:szCs w:val="32"/>
          <w:highlight w:val="none"/>
          <w:lang w:val="en-US" w:eastAsia="zh-CN"/>
        </w:rPr>
        <w:t>加强和完善党的全面领导，优化机构职能配置，清理规范开发区管理机构，创新中小学教职工编制管理，加强高层次人才服务保障，优化事业单位登记管理。</w:t>
      </w:r>
      <w:r>
        <w:rPr>
          <w:rFonts w:hint="eastAsia" w:ascii="仿宋_GB2312" w:hAnsi="仿宋_GB2312" w:eastAsia="仿宋_GB2312" w:cs="仿宋_GB2312"/>
          <w:b/>
          <w:bCs/>
          <w:color w:val="auto"/>
          <w:sz w:val="32"/>
          <w:szCs w:val="32"/>
          <w:highlight w:val="none"/>
          <w:lang w:val="en-US" w:eastAsia="zh-CN"/>
        </w:rPr>
        <w:t>四是坚持刚性约束，深入推进机构编制法定化。</w:t>
      </w:r>
      <w:r>
        <w:rPr>
          <w:rFonts w:hint="eastAsia" w:ascii="仿宋_GB2312" w:hAnsi="仿宋_GB2312" w:eastAsia="仿宋_GB2312" w:cs="仿宋_GB2312"/>
          <w:b w:val="0"/>
          <w:bCs w:val="0"/>
          <w:color w:val="auto"/>
          <w:sz w:val="32"/>
          <w:szCs w:val="32"/>
          <w:highlight w:val="none"/>
          <w:lang w:val="en-US" w:eastAsia="zh-CN"/>
        </w:rPr>
        <w:t>深入贯彻落实《中国共产党机构编制工作条例》，加强机构编制监督检查，严守机构编制管理“红线”，严格落实控编减编各项措施；加强实名制系统管理，做好实名制数据库动态更新，及时为相关部门提供数据支撑；认真做好机构编制年度报告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highlight w:val="none"/>
          <w:lang w:val="en-US" w:eastAsia="zh-CN"/>
        </w:rPr>
      </w:pPr>
      <w:bookmarkStart w:id="30" w:name="_Toc25278"/>
      <w:r>
        <w:rPr>
          <w:rFonts w:hint="eastAsia" w:ascii="黑体" w:hAnsi="黑体" w:eastAsia="黑体" w:cs="黑体"/>
          <w:color w:val="auto"/>
          <w:sz w:val="32"/>
          <w:szCs w:val="32"/>
          <w:highlight w:val="none"/>
          <w:lang w:val="en-US" w:eastAsia="zh-CN"/>
        </w:rPr>
        <w:t>五、存在问题</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1" w:name="_Toc31291"/>
      <w:r>
        <w:rPr>
          <w:rFonts w:hint="eastAsia" w:ascii="楷体_GB2312" w:hAnsi="楷体_GB2312" w:eastAsia="楷体_GB2312" w:cs="楷体_GB2312"/>
          <w:b/>
          <w:bCs/>
          <w:color w:val="auto"/>
          <w:sz w:val="32"/>
          <w:szCs w:val="32"/>
          <w:highlight w:val="none"/>
          <w:lang w:val="en-US" w:eastAsia="zh-CN"/>
        </w:rPr>
        <w:t>（一）部门编报的绩效指标设置明确性不够。</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委编办设置的绩效指标存在计算标准范围不明确和指标值设置偏低等问题。根据2021年的《绩效目标申报表》，市委编办部门设置有3个产出指标的计算口径和计算标准不明确，1个指标值设置偏低，部门编报的绩效指标设置合理性、明确性方面存在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2" w:name="_Toc29035"/>
      <w:r>
        <w:rPr>
          <w:rFonts w:hint="eastAsia" w:ascii="楷体_GB2312" w:hAnsi="楷体_GB2312" w:eastAsia="楷体_GB2312" w:cs="楷体_GB2312"/>
          <w:b/>
          <w:bCs/>
          <w:color w:val="auto"/>
          <w:sz w:val="32"/>
          <w:szCs w:val="32"/>
          <w:highlight w:val="none"/>
          <w:lang w:val="en-US" w:eastAsia="zh-CN"/>
        </w:rPr>
        <w:t>（二）资产管理制度贯彻落实存在不到位的情况。</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市委编办对《市委编办固定资产管理办法》中提及的个别工作流程落实不够到位，资产清查、资产配置、资产处置等方面工作不够完善，如没有定期对固定资产进行清查的年度盘点表和体现账实相符的资料；</w:t>
      </w:r>
      <w:r>
        <w:rPr>
          <w:rFonts w:hint="eastAsia" w:ascii="仿宋_GB2312" w:hAnsi="仿宋_GB2312" w:eastAsia="仿宋_GB2312" w:cs="仿宋_GB2312"/>
          <w:color w:val="auto"/>
          <w:sz w:val="32"/>
          <w:szCs w:val="32"/>
          <w:highlight w:val="none"/>
        </w:rPr>
        <w:t>固定资产明细账期末余额与《2021年度行政事业性国有资产分析报告》中固定资产原值不一致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对市财政局审批通过报废的大众迈腾（2012年购买）轿车，没有及时进行报废固定资产账务处理。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3" w:name="_Toc23381"/>
      <w:r>
        <w:rPr>
          <w:rFonts w:hint="eastAsia" w:ascii="楷体_GB2312" w:hAnsi="楷体_GB2312" w:eastAsia="楷体_GB2312" w:cs="楷体_GB2312"/>
          <w:b/>
          <w:bCs/>
          <w:color w:val="auto"/>
          <w:sz w:val="32"/>
          <w:szCs w:val="32"/>
          <w:highlight w:val="none"/>
          <w:lang w:val="en-US" w:eastAsia="zh-CN"/>
        </w:rPr>
        <w:t>（三）存在工作监管不到位的情况。</w:t>
      </w:r>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市委编办实际</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中存在监管不到位的情况，</w:t>
      </w:r>
      <w:r>
        <w:rPr>
          <w:rFonts w:hint="eastAsia" w:ascii="仿宋_GB2312" w:hAnsi="仿宋_GB2312" w:eastAsia="仿宋_GB2312" w:cs="仿宋_GB2312"/>
          <w:color w:val="auto"/>
          <w:sz w:val="32"/>
          <w:szCs w:val="32"/>
          <w:highlight w:val="none"/>
        </w:rPr>
        <w:t>如有些单位未及时办理事业单位法人登记信息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缺乏有效的监管手段</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在监督过程中缺乏实地检查的环节，</w:t>
      </w:r>
      <w:r>
        <w:rPr>
          <w:rFonts w:hint="eastAsia" w:ascii="仿宋_GB2312" w:hAnsi="仿宋_GB2312" w:eastAsia="仿宋_GB2312" w:cs="仿宋_GB2312"/>
          <w:color w:val="auto"/>
          <w:sz w:val="32"/>
          <w:szCs w:val="32"/>
          <w:highlight w:val="none"/>
          <w:lang w:eastAsia="zh-CN"/>
        </w:rPr>
        <w:t>没有实地检查的相关资料</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highlight w:val="none"/>
          <w:lang w:val="en-US" w:eastAsia="zh-CN"/>
        </w:rPr>
      </w:pPr>
      <w:bookmarkStart w:id="34" w:name="_Toc21976"/>
      <w:r>
        <w:rPr>
          <w:rFonts w:hint="eastAsia" w:ascii="黑体" w:hAnsi="黑体" w:eastAsia="黑体" w:cs="黑体"/>
          <w:color w:val="auto"/>
          <w:sz w:val="32"/>
          <w:szCs w:val="32"/>
          <w:highlight w:val="none"/>
          <w:lang w:val="en-US" w:eastAsia="zh-CN"/>
        </w:rPr>
        <w:t>六、相关建议</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5" w:name="_Toc2424"/>
      <w:r>
        <w:rPr>
          <w:rFonts w:hint="eastAsia" w:ascii="楷体_GB2312" w:hAnsi="楷体_GB2312" w:eastAsia="楷体_GB2312" w:cs="楷体_GB2312"/>
          <w:b/>
          <w:bCs/>
          <w:color w:val="auto"/>
          <w:sz w:val="32"/>
          <w:szCs w:val="32"/>
          <w:highlight w:val="none"/>
          <w:lang w:val="en-US" w:eastAsia="zh-CN"/>
        </w:rPr>
        <w:t>（一）加强预算绩效管理工作，科学编制绩效目标和指标。</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认真贯彻落实广东省、韶关市等关于全面实施绩效管理的文件精神，完善部门整体预算绩效目标细化工作，进一步梳理提炼部门整体绩效目标和指标，绩效指标设置要和绩效目标、工作任务相匹配，要和部门职能和当年的工作任务相关，指标设置值要与预计工作量相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6" w:name="_Toc24909"/>
      <w:r>
        <w:rPr>
          <w:rFonts w:hint="eastAsia" w:ascii="楷体_GB2312" w:hAnsi="楷体_GB2312" w:eastAsia="楷体_GB2312" w:cs="楷体_GB2312"/>
          <w:b/>
          <w:bCs/>
          <w:color w:val="auto"/>
          <w:sz w:val="32"/>
          <w:szCs w:val="32"/>
          <w:highlight w:val="none"/>
          <w:lang w:val="en-US" w:eastAsia="zh-CN"/>
        </w:rPr>
        <w:t>（二）进一步落实固定资产管理制度，实现全过程管理。</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加强对相关责任人的培训和指导，强化资产管理监督检查工作。从资产的申购、采购、领用、维修、维保、报废、处置等实现全流程闭环式管理；定期对固定资产进行清查，确保资产保存完整；资产配置合理，做到账实相符；及时规范处置报废资产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bookmarkStart w:id="37" w:name="_Toc11552"/>
      <w:r>
        <w:rPr>
          <w:rFonts w:hint="eastAsia" w:ascii="楷体_GB2312" w:hAnsi="楷体_GB2312" w:eastAsia="楷体_GB2312" w:cs="楷体_GB2312"/>
          <w:b/>
          <w:bCs/>
          <w:color w:val="auto"/>
          <w:sz w:val="32"/>
          <w:szCs w:val="32"/>
          <w:highlight w:val="none"/>
          <w:lang w:val="en-US" w:eastAsia="zh-CN"/>
        </w:rPr>
        <w:t>（三）完善日常工作的监管体系。</w:t>
      </w:r>
      <w:bookmarkEnd w:id="37"/>
    </w:p>
    <w:p>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日常工作存在的问题建议完善监管体系，提高认识监督检查工作的重要性，建造监督检查队伍。将监督检查工作常态化、制度化，将定期检查与不定期检查相结合，全面检查与重点检查相结合，普查与抽查相结合。强化管理，做好工作规划，加强工作检查与督促，并及时跟进，保证监督检查工作落实到位。</w:t>
      </w:r>
    </w:p>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附件：1、韶关市市委编办部门整体支出绩效评价评分表</w:t>
      </w:r>
    </w:p>
    <w:p>
      <w:pPr>
        <w:pStyle w:val="2"/>
        <w:keepNext w:val="0"/>
        <w:keepLines w:val="0"/>
        <w:pageBreakBefore w:val="0"/>
        <w:widowControl w:val="0"/>
        <w:kinsoku/>
        <w:wordWrap/>
        <w:overflowPunct/>
        <w:topLinePunct w:val="0"/>
        <w:autoSpaceDE/>
        <w:autoSpaceDN/>
        <w:bidi w:val="0"/>
        <w:adjustRightInd/>
        <w:snapToGrid/>
        <w:ind w:firstLine="960" w:firstLineChars="300"/>
        <w:jc w:val="both"/>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2、评价组成员名单</w:t>
      </w:r>
    </w:p>
    <w:p>
      <w:pPr>
        <w:pStyle w:val="15"/>
        <w:ind w:left="0" w:leftChars="0" w:firstLine="0" w:firstLineChars="0"/>
        <w:rPr>
          <w:rFonts w:hint="eastAsia" w:ascii="仿宋_GB2312" w:hAnsi="仿宋_GB2312" w:eastAsia="仿宋_GB2312" w:cs="仿宋_GB2312"/>
          <w:color w:val="auto"/>
          <w:kern w:val="2"/>
          <w:sz w:val="32"/>
          <w:szCs w:val="32"/>
          <w:highlight w:val="none"/>
          <w:lang w:val="en-US" w:eastAsia="zh-CN" w:bidi="ar-SA"/>
        </w:rPr>
        <w:sectPr>
          <w:footerReference r:id="rId5" w:type="default"/>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ind w:leftChars="0"/>
        <w:textAlignment w:val="auto"/>
        <w:rPr>
          <w:rFonts w:hint="default"/>
          <w:lang w:val="en-US" w:eastAsia="zh-CN"/>
        </w:rPr>
      </w:pPr>
      <w:bookmarkStart w:id="38" w:name="_Toc628"/>
      <w:bookmarkStart w:id="39" w:name="_Toc3420"/>
      <w:r>
        <w:rPr>
          <w:rFonts w:hint="eastAsia"/>
          <w:lang w:val="en-US" w:eastAsia="zh-CN"/>
        </w:rPr>
        <w:t>附件</w:t>
      </w:r>
      <w:bookmarkEnd w:id="38"/>
      <w:r>
        <w:rPr>
          <w:rFonts w:hint="eastAsia"/>
          <w:lang w:val="en-US" w:eastAsia="zh-CN"/>
        </w:rPr>
        <w:t>1</w:t>
      </w:r>
      <w:bookmarkEnd w:id="39"/>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韶关市市委编办部门整体支出绩效评价评分表</w:t>
      </w:r>
    </w:p>
    <w:tbl>
      <w:tblPr>
        <w:tblStyle w:val="13"/>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85"/>
        <w:gridCol w:w="710"/>
        <w:gridCol w:w="669"/>
        <w:gridCol w:w="875"/>
        <w:gridCol w:w="682"/>
        <w:gridCol w:w="1057"/>
        <w:gridCol w:w="647"/>
        <w:gridCol w:w="5012"/>
        <w:gridCol w:w="72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072"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评价指标</w:t>
            </w:r>
          </w:p>
        </w:tc>
        <w:tc>
          <w:tcPr>
            <w:tcW w:w="50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7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pacing w:val="-11"/>
                <w:sz w:val="21"/>
                <w:szCs w:val="21"/>
                <w:u w:val="none"/>
                <w:lang w:val="en-US"/>
              </w:rPr>
            </w:pPr>
            <w:r>
              <w:rPr>
                <w:rFonts w:hint="eastAsia" w:ascii="宋体" w:hAnsi="宋体" w:cs="宋体"/>
                <w:b/>
                <w:bCs/>
                <w:i w:val="0"/>
                <w:iCs w:val="0"/>
                <w:color w:val="000000"/>
                <w:spacing w:val="-11"/>
                <w:kern w:val="0"/>
                <w:sz w:val="21"/>
                <w:szCs w:val="21"/>
                <w:u w:val="none"/>
                <w:lang w:val="en-US" w:eastAsia="zh-CN" w:bidi="ar"/>
              </w:rPr>
              <w:t>评价得分</w:t>
            </w:r>
          </w:p>
        </w:tc>
        <w:tc>
          <w:tcPr>
            <w:tcW w:w="214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spacing w:val="-11"/>
                <w:kern w:val="0"/>
                <w:sz w:val="21"/>
                <w:szCs w:val="21"/>
                <w:u w:val="none"/>
                <w:lang w:val="en-US" w:eastAsia="zh-CN" w:bidi="ar"/>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3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137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pacing w:val="-11"/>
                <w:sz w:val="21"/>
                <w:szCs w:val="21"/>
                <w:u w:val="none"/>
              </w:rPr>
            </w:pPr>
            <w:r>
              <w:rPr>
                <w:rFonts w:hint="eastAsia" w:ascii="宋体" w:hAnsi="宋体" w:eastAsia="宋体" w:cs="宋体"/>
                <w:b/>
                <w:bCs/>
                <w:i w:val="0"/>
                <w:iCs w:val="0"/>
                <w:color w:val="000000"/>
                <w:spacing w:val="-11"/>
                <w:kern w:val="0"/>
                <w:sz w:val="21"/>
                <w:szCs w:val="21"/>
                <w:u w:val="none"/>
                <w:lang w:val="en-US" w:eastAsia="zh-CN" w:bidi="ar"/>
              </w:rPr>
              <w:t>二级指标</w:t>
            </w:r>
          </w:p>
        </w:tc>
        <w:tc>
          <w:tcPr>
            <w:tcW w:w="155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70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四级指标</w:t>
            </w:r>
          </w:p>
        </w:tc>
        <w:tc>
          <w:tcPr>
            <w:tcW w:w="501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2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214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pacing w:val="-11"/>
                <w:kern w:val="0"/>
                <w:sz w:val="21"/>
                <w:szCs w:val="21"/>
                <w:u w:val="none"/>
                <w:lang w:val="en-US" w:eastAsia="zh-CN" w:bidi="ar"/>
              </w:rPr>
              <w:t>权重</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501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2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214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情况</w:t>
            </w:r>
          </w:p>
        </w:tc>
        <w:tc>
          <w:tcPr>
            <w:tcW w:w="7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预算编制规范性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预算编制规范性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1.部门预算编制、分配符合本部门职责、符合市委市政府方针政策和工作要求的，得0.5分；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2.部门预算资金能根据年度工作重点，在不同项目、不同用途之间分配合理的，得0.5分；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3.专项资金编制细化程度合理，未出现因年中调剂导致部门预决算差异过大的问题，得0.5分；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4.符合市财政当年度有关预算编制的原则和要求，功能分类和经济分类编制正确的，得0.5分；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5.预算编制较为准确，年度中间无大量调剂，项目之间未频繁调剂的，得0.5分；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6.部门预算分配不固化，能根据实际情况合理调整（如不存在项目支出完成不理想但连年持续安排预算的情况等），得0.5分。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因年度中间出现大量调剂，导致部门预决算差异过大</w:t>
            </w:r>
            <w:r>
              <w:rPr>
                <w:rFonts w:hint="eastAsia" w:ascii="宋体" w:hAnsi="宋体" w:cs="宋体"/>
                <w:i w:val="0"/>
                <w:iCs w:val="0"/>
                <w:color w:val="000000"/>
                <w:kern w:val="0"/>
                <w:sz w:val="21"/>
                <w:szCs w:val="21"/>
                <w:u w:val="none"/>
                <w:lang w:val="en-US" w:eastAsia="zh-CN" w:bidi="ar"/>
              </w:rPr>
              <w:t>，扣1分</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预算调整率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预算调整率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预算调整率=（预算调整数/预算数）×100%。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预算调整率=0，本项指标得满分；每增加5%（含）扣减0.5分，直至扣完为止。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以上统计范围不包含增资、增人、上级转移支付资金等预算编制支出因素。</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目标设置</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绩效目标覆盖率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绩效目标覆盖率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1.比率=100%的，得2分；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2.100%＞比率≥80%的，得1.5分；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3.80%＞比率≥60%的，得1分；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4.比率＜60%的，得0分。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绩效目标合理性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绩效目标合理性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1.绩效目标能体现部门（单位）“三定”方案规定的部门职能的和中长期规划和年度工作计划的，得1分；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2.绩效目标能分解成具体工作任务的，得1分；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3.绩效目标与本年度部门预算资金相匹配的，得1分；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23"/>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4.部门申报的项目有进行可行性研究和充分论证的</w:t>
            </w:r>
            <w:r>
              <w:rPr>
                <w:rFonts w:hint="eastAsia" w:ascii="宋体" w:hAnsi="宋体" w:eastAsia="宋体" w:cs="宋体"/>
                <w:i w:val="0"/>
                <w:iCs w:val="0"/>
                <w:color w:val="000000"/>
                <w:spacing w:val="-23"/>
                <w:kern w:val="0"/>
                <w:sz w:val="21"/>
                <w:szCs w:val="21"/>
                <w:highlight w:val="none"/>
                <w:u w:val="none"/>
                <w:lang w:val="en-US" w:eastAsia="zh-CN" w:bidi="ar"/>
              </w:rPr>
              <w:t>，得1分；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对上述4项标准，没有完全符合的，可酌情扣分。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绩效目标与本年度部门预算资金</w:t>
            </w:r>
            <w:r>
              <w:rPr>
                <w:rFonts w:hint="eastAsia" w:ascii="宋体" w:hAnsi="宋体" w:cs="宋体"/>
                <w:i w:val="0"/>
                <w:iCs w:val="0"/>
                <w:color w:val="000000"/>
                <w:kern w:val="0"/>
                <w:sz w:val="21"/>
                <w:szCs w:val="21"/>
                <w:highlight w:val="none"/>
                <w:u w:val="none"/>
                <w:lang w:val="en-US" w:eastAsia="zh-CN" w:bidi="ar"/>
              </w:rPr>
              <w:t>不够</w:t>
            </w:r>
            <w:r>
              <w:rPr>
                <w:rFonts w:hint="eastAsia" w:ascii="宋体" w:hAnsi="宋体" w:eastAsia="宋体" w:cs="宋体"/>
                <w:i w:val="0"/>
                <w:iCs w:val="0"/>
                <w:color w:val="000000"/>
                <w:kern w:val="0"/>
                <w:sz w:val="21"/>
                <w:szCs w:val="21"/>
                <w:highlight w:val="none"/>
                <w:u w:val="none"/>
                <w:lang w:val="en-US" w:eastAsia="zh-CN" w:bidi="ar"/>
              </w:rPr>
              <w:t>匹配</w:t>
            </w:r>
            <w:r>
              <w:rPr>
                <w:rFonts w:hint="eastAsia" w:ascii="宋体" w:hAnsi="宋体" w:cs="宋体"/>
                <w:i w:val="0"/>
                <w:iCs w:val="0"/>
                <w:color w:val="000000"/>
                <w:kern w:val="0"/>
                <w:sz w:val="21"/>
                <w:szCs w:val="21"/>
                <w:highlight w:val="none"/>
                <w:u w:val="none"/>
                <w:lang w:val="en-US" w:eastAsia="zh-CN" w:bidi="ar"/>
              </w:rPr>
              <w:t>，年中调整了办公经费购买公务车，扣1分。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绩效指标明确性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绩效指标明确性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1.绩效指标中包含能够明确体现部门（单位）履职效果的社会经济效益指标的，得1分；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2.绩效指标具有清晰、可衡量的指标值的，无法量化的指标评分标准较为明确的，得1分；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3.绩效目标的目标值测算能提供相关依据或符合客观实际情况的，得1分，指标完成率高于150%的，扣1分；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对上述3项标准，没有完全符合的，可酌情扣分。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有些指标如“市直机关事业单位编制使用申请事项办结率、市直机关事业单位人员入编事项办结率、涉及机构编制调整事项完成率”的计算标准范围不够明确，不利于测算评价，指标可量化方面不足，扣</w:t>
            </w:r>
            <w:r>
              <w:rPr>
                <w:rFonts w:hint="eastAsia" w:ascii="宋体" w:hAnsi="宋体" w:cs="宋体"/>
                <w:i w:val="0"/>
                <w:iCs w:val="0"/>
                <w:color w:val="000000"/>
                <w:kern w:val="0"/>
                <w:sz w:val="21"/>
                <w:szCs w:val="21"/>
                <w:u w:val="none"/>
                <w:lang w:val="en-US" w:eastAsia="zh-CN" w:bidi="ar"/>
              </w:rPr>
              <w:t>1分</w:t>
            </w:r>
            <w:r>
              <w:rPr>
                <w:rFonts w:hint="eastAsia" w:ascii="宋体" w:hAnsi="宋体" w:eastAsia="宋体" w:cs="宋体"/>
                <w:i w:val="0"/>
                <w:iCs w:val="0"/>
                <w:color w:val="000000"/>
                <w:kern w:val="0"/>
                <w:sz w:val="21"/>
                <w:szCs w:val="21"/>
                <w:u w:val="none"/>
                <w:lang w:val="en-US" w:eastAsia="zh-CN" w:bidi="ar"/>
              </w:rPr>
              <w:t>；效益指标“印发有关机构编制政策和规范性文件数量”指标值完成率高于150%的情况，扣1分，合计扣</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情况</w:t>
            </w:r>
          </w:p>
        </w:tc>
        <w:tc>
          <w:tcPr>
            <w:tcW w:w="7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部门预算支出率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部门预算支出率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Style w:val="18"/>
                <w:rFonts w:hint="eastAsia" w:ascii="宋体" w:hAnsi="宋体" w:eastAsia="宋体" w:cs="宋体"/>
                <w:sz w:val="21"/>
                <w:szCs w:val="21"/>
                <w:lang w:val="en-US" w:eastAsia="zh-CN" w:bidi="ar"/>
              </w:rPr>
              <w:t>本指标得分=本指标满分分值×全年平均支出进度。</w:t>
            </w:r>
            <w:r>
              <w:rPr>
                <w:rStyle w:val="19"/>
                <w:rFonts w:hint="eastAsia" w:ascii="宋体" w:hAnsi="宋体" w:eastAsia="宋体" w:cs="宋体"/>
                <w:sz w:val="21"/>
                <w:szCs w:val="21"/>
                <w:lang w:val="en-US" w:eastAsia="zh-CN" w:bidi="ar"/>
              </w:rPr>
              <w:t>全年平均支出进度以2021年度机关绩效考核中支出进度为准。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结转结余率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结转结余率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结余结转率=1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全年支出进度。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1.结余结转率≤10%的，得3分；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2.10%＜结余结转率≤20%的，得2分；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3.20%＜结余结转率≤30%的，得1分；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4.结余结转率＞30%的，得0分。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政府采购合规性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政府采购合规性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1.政府采购执行率小于等于100%的，得2分；实际采购金额大于采购计划金额的，本项不得分。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（1）政府采购执行率=（实际采购金额合计数/采购计划金额合计数）×100%；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（2）政府采购预算是指采购机关根据事业发展计划和行政任务编制的、并经过规定程序批准的年度政府采购计划。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2.政府采购执行过程较为规范的，得2分；出现违反《中华人民共和国政府采购法》《中华人民共和国政府采购法实施条例》（国务院令第658号）</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《政府购买服务管理办法》（财政部令第102号）等政府采购相关管理办法的，每次扣0.5分，扣完为止。</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财务合规性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财务合规性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1.预算执行规范性1分，按规定履行调整报批手续或未发生调整的，且按事项完成进度支付资金的得满分，否则酌情扣分；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事项支出的合规性1分，资金管理、费用标准、支付符合有关制度规定的得满分，超范围、超标准支出，虚列支出，截留、挤占、挪用资金的，以及其他不符合制度规定支出的，视情节严重情况扣分，直至扣到0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3.会计核算规范性1分，规范执行会计核算制度得满分，未按规定设专账核算，或支出凭证不符合规定，或其他核算不规范的，视具体情况扣分；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4.重大项目支出经过评估论证和必要决策程序的得1分，否则酌情扣分；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5.连续两年对因业务主管部门责任</w:t>
            </w:r>
            <w:r>
              <w:rPr>
                <w:rFonts w:hint="eastAsia" w:ascii="宋体" w:hAnsi="宋体" w:cs="宋体"/>
                <w:i w:val="0"/>
                <w:iCs w:val="0"/>
                <w:color w:val="000000"/>
                <w:kern w:val="0"/>
                <w:sz w:val="21"/>
                <w:szCs w:val="21"/>
                <w:u w:val="none"/>
                <w:lang w:val="en-US" w:eastAsia="zh-CN" w:bidi="ar"/>
              </w:rPr>
              <w:t>引发</w:t>
            </w:r>
            <w:r>
              <w:rPr>
                <w:rFonts w:hint="eastAsia" w:ascii="宋体" w:hAnsi="宋体" w:eastAsia="宋体" w:cs="宋体"/>
                <w:i w:val="0"/>
                <w:iCs w:val="0"/>
                <w:color w:val="000000"/>
                <w:kern w:val="0"/>
                <w:sz w:val="21"/>
                <w:szCs w:val="21"/>
                <w:u w:val="none"/>
                <w:lang w:val="en-US" w:eastAsia="zh-CN" w:bidi="ar"/>
              </w:rPr>
              <w:t>的同一问题提出意见，或主管部门未落实相关审计和财会监督整改意见的，扣1分。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单位财务会计未按规定设专账核算，扣0.5分。</w:t>
            </w:r>
            <w:r>
              <w:rPr>
                <w:rFonts w:hint="eastAsia" w:ascii="宋体" w:hAnsi="宋体" w:cs="宋体"/>
                <w:i w:val="0"/>
                <w:iCs w:val="0"/>
                <w:color w:val="000000"/>
                <w:kern w:val="0"/>
                <w:sz w:val="21"/>
                <w:szCs w:val="21"/>
                <w:highlight w:val="none"/>
                <w:u w:val="none"/>
                <w:lang w:val="en-US" w:eastAsia="zh-CN" w:bidi="ar"/>
              </w:rPr>
              <w:t>固定资产明细账期末余额165.3万元与《2021年度行政事业性国有资产分析报告》中固定资产原值142.02万元不一致，扣0.5分。合计扣1分。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预决算信息公开</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预决算信息公开</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1.部门预算公开得分：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（1）按规定内容、在规定时限和范围内公开的，得1分。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1"/>
                <w:szCs w:val="21"/>
                <w:u w:val="none"/>
                <w:lang w:val="en-US" w:eastAsia="zh-CN" w:bidi="ar"/>
              </w:rPr>
            </w:pPr>
            <w:r>
              <w:rPr>
                <w:rFonts w:hint="eastAsia" w:ascii="宋体" w:hAnsi="宋体" w:eastAsia="宋体" w:cs="宋体"/>
                <w:i w:val="0"/>
                <w:iCs w:val="0"/>
                <w:color w:val="000000"/>
                <w:spacing w:val="0"/>
                <w:kern w:val="0"/>
                <w:sz w:val="21"/>
                <w:szCs w:val="21"/>
                <w:u w:val="none"/>
                <w:lang w:val="en-US" w:eastAsia="zh-CN" w:bidi="ar"/>
              </w:rPr>
              <w:t>（2）进行了公开，但未达到时限、内容或范围要求的，得0.5分。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（3）没有进行公开的，得0分。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（4）涉密部门经批准不需要公开相关信息的，计1分。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本指标得分=部门预算公开得分+部门决算公开得分。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项目实施程序</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项目实施程序</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1.重点或新增项目前期开展了可行性研究或调研，论证较为充分的，项目的设立及调整按规定履行报批程序，得2分；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2.项目招投标、建设、验收等或方案实施严格执行相关制度规定的，得2分；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项目监管</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项目监管</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1.部门（单位）或基层资金管理单位建立有效管理机制，且执行情况良好的</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得2分；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2.各级业务主管部门按规定主管的专项资金和专项经费实施开展</w:t>
            </w:r>
            <w:r>
              <w:rPr>
                <w:rFonts w:hint="eastAsia" w:ascii="宋体" w:hAnsi="宋体" w:cs="宋体"/>
                <w:i w:val="0"/>
                <w:iCs w:val="0"/>
                <w:color w:val="000000"/>
                <w:kern w:val="0"/>
                <w:sz w:val="21"/>
                <w:szCs w:val="21"/>
                <w:u w:val="none"/>
                <w:lang w:val="en-US" w:eastAsia="zh-CN" w:bidi="ar"/>
              </w:rPr>
              <w:t>有效地检查</w:t>
            </w:r>
            <w:r>
              <w:rPr>
                <w:rFonts w:hint="eastAsia" w:ascii="宋体" w:hAnsi="宋体" w:eastAsia="宋体" w:cs="宋体"/>
                <w:i w:val="0"/>
                <w:iCs w:val="0"/>
                <w:color w:val="000000"/>
                <w:kern w:val="0"/>
                <w:sz w:val="21"/>
                <w:szCs w:val="21"/>
                <w:u w:val="none"/>
                <w:lang w:val="en-US" w:eastAsia="zh-CN" w:bidi="ar"/>
              </w:rPr>
              <w:t>、监控、督促整改的，得2分（需提供检查底稿或其他材料证明，否则不得分）；如被评价年度部门主管的省级、市级、县级专项资金绩效评价等级有低或差的，本项不得分。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评价时发现有项目不符合上述条件的，酌情扣分。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yellow"/>
                <w:u w:val="none"/>
                <w:lang w:val="en-US" w:eastAsia="zh-CN" w:bidi="ar"/>
              </w:rPr>
              <w:t>4</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已经办理报销,尚未办理固定资产</w:t>
            </w: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资产管理安全性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资产管理安全性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1.资产保存完整，并定期对固定资产进行清查，未有因管理不当发生严重资产损失和丢失情况的，得1分；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2.资产配置合理、保管完整，账实相符的，得1分；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3.及时处置报废固定资产，资产处置规范，不存在不按要求进行报批或资产不公开处置行为的，得1分；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4.资产有偿使用及处置收入及时足额上缴，得1分。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没有定期对固定资产进行清查的资料，扣</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没有体现资产</w:t>
            </w:r>
            <w:r>
              <w:rPr>
                <w:rFonts w:hint="eastAsia" w:ascii="宋体" w:hAnsi="宋体" w:eastAsia="宋体" w:cs="宋体"/>
                <w:i w:val="0"/>
                <w:iCs w:val="0"/>
                <w:color w:val="000000"/>
                <w:kern w:val="0"/>
                <w:sz w:val="21"/>
                <w:szCs w:val="21"/>
                <w:u w:val="none"/>
                <w:lang w:val="en-US" w:eastAsia="zh-CN" w:bidi="ar"/>
              </w:rPr>
              <w:t>账实相符的资料，扣</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报废固定资产账务处理不及时，扣</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。合计扣3分。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固定资产利用率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固定资产利用率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1.比率≥90%的，得2分；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2.90%＞比率≥75%的，得1分；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3.75%＞比率≥60%的，得0.5分；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4.比率＜60%的，得0分。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制度管理</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管理制度健全性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管理制度健全性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1.部门制订了财政资金管理、内部财务、内部控制、预算绩效管理制度等制度的，得1分；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2.部门对于重点项目、经常性项目制定了相关管理办法、实施方案等制度的，得1分；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3.上述资金、财务和内控</w:t>
            </w:r>
            <w:r>
              <w:rPr>
                <w:rFonts w:hint="eastAsia" w:ascii="宋体" w:hAnsi="宋体" w:cs="宋体"/>
                <w:i w:val="0"/>
                <w:iCs w:val="0"/>
                <w:color w:val="000000"/>
                <w:kern w:val="0"/>
                <w:sz w:val="21"/>
                <w:szCs w:val="21"/>
                <w:u w:val="none"/>
                <w:lang w:val="en-US" w:eastAsia="zh-CN" w:bidi="ar"/>
              </w:rPr>
              <w:t>制度</w:t>
            </w:r>
            <w:r>
              <w:rPr>
                <w:rFonts w:hint="eastAsia" w:ascii="宋体" w:hAnsi="宋体" w:eastAsia="宋体" w:cs="宋体"/>
                <w:i w:val="0"/>
                <w:iCs w:val="0"/>
                <w:color w:val="000000"/>
                <w:kern w:val="0"/>
                <w:sz w:val="21"/>
                <w:szCs w:val="21"/>
                <w:u w:val="none"/>
                <w:lang w:val="en-US" w:eastAsia="zh-CN" w:bidi="ar"/>
              </w:rPr>
              <w:t>、预算绩效管理制度得到有效执行的，得1分；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4.所制定的制度或方案得到切实执行的（需有相应佐证材料，如日常检查、稽核的底稿等），得1分。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2.5</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lang w:val="en-US" w:eastAsia="zh-CN"/>
              </w:rPr>
            </w:pPr>
            <w:r>
              <w:rPr>
                <w:rFonts w:hint="eastAsia"/>
                <w:lang w:val="en-US" w:eastAsia="zh-CN"/>
              </w:rPr>
              <w:t>1.内控制度不完善，0.5分；2.经常性项目制度制定了相关管理办法，但缺少定期或不定期进行监督检查的底稿，扣1分。扣1.5分。</w:t>
            </w:r>
          </w:p>
          <w:p>
            <w:pPr>
              <w:pStyle w:val="2"/>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p>
        </w:tc>
        <w:tc>
          <w:tcPr>
            <w:tcW w:w="7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w:t>
            </w: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公用经费控制率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公用经费控制率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日常公用经费决算数≤日常公用经费调整预算数，得2分，否则不得分。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“三公”经费实际支出数≤预算安排的三公经费数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得2分，否则不得分。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完成成本合理性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完成成本合理性</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1.相关工作预算编制依据较为明确的，如经过了三方询价或依据相关行业标准进行编制的，得3分；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2.相关工作成本与市场价格、行业标准、其他地市的同类项目相比较为合理的得3分。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bookmarkStart w:id="41" w:name="_GoBack"/>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效率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性</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重点工作完成率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重点工作完成率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z w:val="21"/>
                <w:szCs w:val="21"/>
                <w:highlight w:val="none"/>
                <w:u w:val="none"/>
              </w:rPr>
            </w:pPr>
            <w:r>
              <w:rPr>
                <w:rFonts w:hint="eastAsia" w:ascii="宋体" w:hAnsi="宋体" w:cs="宋体"/>
                <w:kern w:val="2"/>
                <w:sz w:val="21"/>
                <w:szCs w:val="21"/>
                <w:highlight w:val="none"/>
                <w:lang w:val="en-US" w:eastAsia="zh-CN" w:bidi="ar-SA"/>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20"/>
                <w:kern w:val="0"/>
                <w:sz w:val="21"/>
                <w:szCs w:val="21"/>
                <w:highlight w:val="none"/>
                <w:u w:val="none"/>
                <w:lang w:val="en-US" w:eastAsia="zh-CN" w:bidi="ar"/>
              </w:rPr>
            </w:pPr>
            <w:r>
              <w:rPr>
                <w:rFonts w:hint="eastAsia" w:ascii="宋体" w:hAnsi="宋体" w:eastAsia="宋体" w:cs="宋体"/>
                <w:i w:val="0"/>
                <w:iCs w:val="0"/>
                <w:color w:val="000000"/>
                <w:spacing w:val="-20"/>
                <w:kern w:val="0"/>
                <w:sz w:val="21"/>
                <w:szCs w:val="21"/>
                <w:highlight w:val="none"/>
                <w:u w:val="none"/>
                <w:lang w:val="en-US" w:eastAsia="zh-CN" w:bidi="ar"/>
              </w:rPr>
              <w:t>本项得分由单位自行评估实际得分，按照完成实际效果自评打分。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重点工作是指党委、政府、人大、中央相关部门交办或下达的工作任务。</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绩效目标完成率</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绩效目标完成率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z w:val="21"/>
                <w:szCs w:val="21"/>
                <w:highlight w:val="none"/>
                <w:u w:val="none"/>
              </w:rPr>
            </w:pPr>
            <w:r>
              <w:rPr>
                <w:rFonts w:hint="eastAsia" w:ascii="宋体" w:hAnsi="宋体" w:cs="宋体"/>
                <w:kern w:val="2"/>
                <w:sz w:val="21"/>
                <w:szCs w:val="21"/>
                <w:highlight w:val="none"/>
                <w:lang w:val="en-US" w:eastAsia="zh-CN" w:bidi="ar-SA"/>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绩效目标完成率=部门整体支出绩效目标申报表中已实现目标数/申报目标数×100%；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本指标得分=绩效目标完成率×3；</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项目完成及时性</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项目完成及时性</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z w:val="21"/>
                <w:szCs w:val="21"/>
                <w:highlight w:val="none"/>
                <w:u w:val="none"/>
              </w:rPr>
            </w:pPr>
            <w:r>
              <w:rPr>
                <w:rFonts w:hint="eastAsia" w:ascii="宋体" w:hAnsi="宋体" w:cs="宋体"/>
                <w:kern w:val="2"/>
                <w:sz w:val="21"/>
                <w:szCs w:val="21"/>
                <w:highlight w:val="none"/>
                <w:lang w:val="en-US" w:eastAsia="zh-CN" w:bidi="ar-SA"/>
              </w:rPr>
              <w:t>4</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所有项目均按计划时间完成的，得4分；部分项目未按计划时间完成的，本项得分=已完成项目数/项目总数×4。</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r>
              <w:rPr>
                <w:rFonts w:hint="eastAsia" w:ascii="宋体" w:hAnsi="宋体" w:eastAsia="宋体" w:cs="宋体"/>
                <w:i w:val="0"/>
                <w:iCs w:val="0"/>
                <w:color w:val="000000"/>
                <w:spacing w:val="-11"/>
                <w:kern w:val="0"/>
                <w:sz w:val="21"/>
                <w:szCs w:val="21"/>
                <w:highlight w:val="none"/>
                <w:u w:val="none"/>
                <w:lang w:val="en-US" w:eastAsia="zh-CN" w:bidi="ar"/>
              </w:rPr>
              <w:t>完成时间将参考年初部门预算项目的支出率进行评价。</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效果性</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87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社会经济环境效益</w:t>
            </w:r>
          </w:p>
        </w:tc>
        <w:tc>
          <w:tcPr>
            <w:tcW w:w="68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涉及机构编制调整事项完成率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按“实际完成涉及机构编制调整事项/同意办理的涉及机构编制调整事项数量*2分”计算得分。核查涉及机构编制调整事项资料，材料不完整的，酌情扣分。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印发有关机构编制政策和规范性文件数量</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印发有关机构编制政策和规范性文件数量不少于8份，得2分；少于8份，则根据完成比例评分。现场核查文件，材料不完整的，酌情扣分。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市直机关事业单位编制使用申请事项办结率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按“实际办理完成市直机关事业单位编制使用申请事项数量/同意办理的市直机关事业单位编制使用申请事项数量*2分”计算得分。核查市直机关事业单位编制使用申请事项办理记录，材料不完整的，酌情扣分。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市直机关事业单位人员入编事项办结率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按“实际办理完成市直机关事业单位人员入编事项数量/事市直机关事业单位人员入编事项申请数量</w:t>
            </w:r>
            <w:r>
              <w:rPr>
                <w:rFonts w:hint="eastAsia" w:ascii="宋体" w:hAnsi="宋体" w:eastAsia="宋体" w:cs="宋体"/>
                <w:i w:val="0"/>
                <w:iCs w:val="0"/>
                <w:color w:val="000000"/>
                <w:spacing w:val="-11"/>
                <w:kern w:val="0"/>
                <w:sz w:val="21"/>
                <w:szCs w:val="21"/>
                <w:highlight w:val="none"/>
                <w:u w:val="none"/>
                <w:lang w:val="en-US" w:eastAsia="zh-CN" w:bidi="ar"/>
              </w:rPr>
              <w:t>*2分”</w:t>
            </w:r>
            <w:r>
              <w:rPr>
                <w:rFonts w:hint="eastAsia" w:ascii="宋体" w:hAnsi="宋体" w:eastAsia="宋体" w:cs="宋体"/>
                <w:i w:val="0"/>
                <w:iCs w:val="0"/>
                <w:color w:val="000000"/>
                <w:kern w:val="0"/>
                <w:sz w:val="21"/>
                <w:szCs w:val="21"/>
                <w:highlight w:val="none"/>
                <w:u w:val="none"/>
                <w:lang w:val="en-US" w:eastAsia="zh-CN" w:bidi="ar"/>
              </w:rPr>
              <w:t>计算得分。核查市直机关事业单位人员入编事项办理记录，材料不完整的，酌情扣分。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部门执行机构编制报告制度覆盖率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按“部门机构编制报告制度实际报送数/部门数*2分”计算得分。核查部门机构编制报告制度办理记录，材料不完整的，酌情扣分。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机构编制核查覆盖率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机构编制核查覆盖率=机构编制核查部门数/部门数*100%，覆盖率≥30%，得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分；20%-29%得1</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分；10%-19%得1分；1%-9%得0.5分；否则不得分。核查机构编制核查记录，材料不完整的，酌情扣分。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事业单位法人登记申请按时办结率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按“实际办理完成事业单位法人登记申请数量/事业单位法人登记申请数量*2分”计算得分。核查事业单位法人登记申请办理记录，材料不完整的，酌情扣分。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1.99</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事业单位法人登记申请数量173个，</w:t>
            </w:r>
            <w:r>
              <w:rPr>
                <w:rFonts w:hint="eastAsia" w:ascii="宋体" w:hAnsi="宋体" w:cs="宋体"/>
                <w:i w:val="0"/>
                <w:iCs w:val="0"/>
                <w:color w:val="000000"/>
                <w:kern w:val="0"/>
                <w:sz w:val="21"/>
                <w:szCs w:val="21"/>
                <w:highlight w:val="none"/>
                <w:u w:val="none"/>
                <w:lang w:val="en-US" w:eastAsia="zh-CN" w:bidi="ar"/>
              </w:rPr>
              <w:t>实际</w:t>
            </w:r>
            <w:r>
              <w:rPr>
                <w:rFonts w:hint="eastAsia" w:ascii="宋体" w:hAnsi="宋体" w:eastAsia="宋体" w:cs="宋体"/>
                <w:i w:val="0"/>
                <w:iCs w:val="0"/>
                <w:color w:val="000000"/>
                <w:kern w:val="0"/>
                <w:sz w:val="21"/>
                <w:szCs w:val="21"/>
                <w:highlight w:val="none"/>
                <w:u w:val="none"/>
                <w:lang w:val="en-US" w:eastAsia="zh-CN" w:bidi="ar"/>
              </w:rPr>
              <w:t>办理完成事业单位法人登记申请数量172个，还有1个已经办理完毕，但在统计日，申请人尚未确认办理结果，因此未纳入完成的统计数。办结率为172/173=99.42%。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高层次人才入编登记工作完成率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spacing w:val="-17"/>
                <w:kern w:val="21"/>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按“实际办理高层次人才入编登记申请数量/高层次人才入编登记申请数量*2分”计算得分。核查高层次人才入编登记工作底稿，材料不完整的，酌情扣分。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市全面深化改革要点任务完成率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kern w:val="2"/>
                <w:sz w:val="21"/>
                <w:szCs w:val="21"/>
                <w:highlight w:val="none"/>
                <w:lang w:val="en-US" w:eastAsia="zh-CN" w:bidi="ar-SA"/>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实际完成全面深化改革要点任务数/应完成全面深化改革要点任务数*</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计算得分。核查任务记录，材料不完整的，酌情扣分。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kern w:val="2"/>
                <w:sz w:val="21"/>
                <w:szCs w:val="21"/>
                <w:highlight w:val="none"/>
                <w:lang w:val="en-US" w:eastAsia="zh-CN" w:bidi="ar-SA"/>
              </w:rPr>
              <w:t>3</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szCs w:val="21"/>
                <w:highlight w:val="none"/>
              </w:rPr>
              <w:t>全面深化改革年第三督导组督导次数</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履行市委深改委行政管理体制改革专项小组牵头单位职责，落实开展督导次数≥30次的得满分；</w:t>
            </w:r>
            <w:r>
              <w:rPr>
                <w:rFonts w:hint="eastAsia" w:ascii="宋体" w:hAnsi="宋体" w:eastAsia="宋体" w:cs="宋体"/>
                <w:i w:val="0"/>
                <w:iCs w:val="0"/>
                <w:color w:val="000000"/>
                <w:kern w:val="0"/>
                <w:sz w:val="21"/>
                <w:szCs w:val="21"/>
                <w:highlight w:val="none"/>
                <w:u w:val="none"/>
                <w:lang w:val="en-US" w:eastAsia="zh-CN" w:bidi="ar"/>
              </w:rPr>
              <w:t>少于</w:t>
            </w:r>
            <w:r>
              <w:rPr>
                <w:rFonts w:hint="eastAsia" w:ascii="宋体" w:hAnsi="宋体" w:cs="宋体"/>
                <w:i w:val="0"/>
                <w:iCs w:val="0"/>
                <w:color w:val="000000"/>
                <w:kern w:val="0"/>
                <w:sz w:val="21"/>
                <w:szCs w:val="21"/>
                <w:highlight w:val="none"/>
                <w:u w:val="none"/>
                <w:lang w:val="en-US" w:eastAsia="zh-CN" w:bidi="ar"/>
              </w:rPr>
              <w:t>30次</w:t>
            </w:r>
            <w:r>
              <w:rPr>
                <w:rFonts w:hint="eastAsia" w:ascii="宋体" w:hAnsi="宋体" w:eastAsia="宋体" w:cs="宋体"/>
                <w:i w:val="0"/>
                <w:iCs w:val="0"/>
                <w:color w:val="000000"/>
                <w:kern w:val="0"/>
                <w:sz w:val="21"/>
                <w:szCs w:val="21"/>
                <w:highlight w:val="none"/>
                <w:u w:val="none"/>
                <w:lang w:val="en-US" w:eastAsia="zh-CN" w:bidi="ar"/>
              </w:rPr>
              <w:t>，则根据完成比例评分</w:t>
            </w:r>
            <w:r>
              <w:rPr>
                <w:rFonts w:hint="eastAsia" w:ascii="宋体" w:hAnsi="宋体" w:cs="宋体"/>
                <w:i w:val="0"/>
                <w:iCs w:val="0"/>
                <w:color w:val="000000"/>
                <w:kern w:val="0"/>
                <w:sz w:val="21"/>
                <w:szCs w:val="21"/>
                <w:highlight w:val="none"/>
                <w:u w:val="none"/>
                <w:lang w:val="en-US" w:eastAsia="zh-CN" w:bidi="ar"/>
              </w:rPr>
              <w:t>。</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szCs w:val="21"/>
                <w:highlight w:val="none"/>
              </w:rPr>
              <w:t>市直机关群团统一社会信用代码申请按时办结率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按“实际办理完成市直机关群团统一社会信用代码申请数量/市直机关群团统一社会信用代码申请数量*2分”</w:t>
            </w:r>
            <w:r>
              <w:rPr>
                <w:rFonts w:hint="eastAsia" w:ascii="宋体" w:hAnsi="宋体" w:eastAsia="宋体" w:cs="宋体"/>
                <w:i w:val="0"/>
                <w:iCs w:val="0"/>
                <w:color w:val="000000"/>
                <w:kern w:val="0"/>
                <w:sz w:val="21"/>
                <w:szCs w:val="21"/>
                <w:highlight w:val="none"/>
                <w:u w:val="none"/>
                <w:lang w:val="en-US" w:eastAsia="zh-CN" w:bidi="ar"/>
              </w:rPr>
              <w:t>计算得分</w:t>
            </w:r>
            <w:r>
              <w:rPr>
                <w:rFonts w:hint="eastAsia" w:ascii="宋体" w:hAnsi="宋体" w:cs="宋体"/>
                <w:i w:val="0"/>
                <w:iCs w:val="0"/>
                <w:color w:val="000000"/>
                <w:kern w:val="0"/>
                <w:sz w:val="21"/>
                <w:szCs w:val="21"/>
                <w:highlight w:val="none"/>
                <w:u w:val="none"/>
                <w:lang w:val="en-US" w:eastAsia="zh-CN" w:bidi="ar"/>
              </w:rPr>
              <w:t>。核查办理记录，</w:t>
            </w:r>
            <w:r>
              <w:rPr>
                <w:rFonts w:hint="eastAsia" w:ascii="宋体" w:hAnsi="宋体" w:eastAsia="宋体" w:cs="宋体"/>
                <w:i w:val="0"/>
                <w:iCs w:val="0"/>
                <w:color w:val="000000"/>
                <w:kern w:val="0"/>
                <w:sz w:val="21"/>
                <w:szCs w:val="21"/>
                <w:highlight w:val="none"/>
                <w:u w:val="none"/>
                <w:lang w:val="en-US" w:eastAsia="zh-CN" w:bidi="ar"/>
              </w:rPr>
              <w:t>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szCs w:val="21"/>
                <w:highlight w:val="none"/>
              </w:rPr>
              <w:t>简易注销登记按时办结率</w:t>
            </w:r>
          </w:p>
        </w:tc>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kern w:val="2"/>
                <w:sz w:val="21"/>
                <w:szCs w:val="21"/>
                <w:highlight w:val="none"/>
                <w:lang w:val="en-US" w:eastAsia="zh-CN" w:bidi="ar-SA"/>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按“实际办理完成市直机关群团统一社会信用代码申请数量/简易注销申请数量*2分”计算得分。核查办理记录，</w:t>
            </w:r>
            <w:r>
              <w:rPr>
                <w:rFonts w:hint="eastAsia" w:ascii="宋体" w:hAnsi="宋体" w:eastAsia="宋体" w:cs="宋体"/>
                <w:i w:val="0"/>
                <w:iCs w:val="0"/>
                <w:color w:val="000000"/>
                <w:kern w:val="0"/>
                <w:sz w:val="21"/>
                <w:szCs w:val="21"/>
                <w:highlight w:val="none"/>
                <w:u w:val="none"/>
                <w:lang w:val="en-US" w:eastAsia="zh-CN" w:bidi="ar"/>
              </w:rPr>
              <w:t>材料不完整的，酌情扣分。</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kern w:val="2"/>
                <w:sz w:val="21"/>
                <w:szCs w:val="21"/>
                <w:highlight w:val="none"/>
                <w:lang w:val="en-US" w:eastAsia="zh-CN" w:bidi="ar-SA"/>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公平</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性</w:t>
            </w:r>
          </w:p>
        </w:tc>
        <w:tc>
          <w:tcPr>
            <w:tcW w:w="6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群众信访办理情况</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群众信访办理情况</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1.设置了便利的群众意见反映渠道和群众意见办理回复机制的，得0.5分；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2.当年度所有群众信访意见均有回复，得0.5分，否则按比例扣分。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3.回复意见均在规定时限内的，得1分，否则按比例扣分。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66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公众或服务对象满意度</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服务对象满意度</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r>
              <w:rPr>
                <w:rFonts w:hint="eastAsia" w:ascii="宋体" w:hAnsi="宋体" w:cs="宋体"/>
                <w:i w:val="0"/>
                <w:iCs w:val="0"/>
                <w:color w:val="000000"/>
                <w:kern w:val="0"/>
                <w:sz w:val="21"/>
                <w:szCs w:val="21"/>
                <w:highlight w:val="none"/>
                <w:u w:val="none"/>
                <w:lang w:val="en-US" w:eastAsia="zh-CN" w:bidi="ar"/>
              </w:rPr>
              <w:t>达到100%或100分得满分。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79</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2021年韶关市考核结果，分数为93分</w:t>
            </w:r>
            <w:r>
              <w:rPr>
                <w:rFonts w:hint="eastAsia" w:ascii="宋体" w:hAnsi="宋体" w:cs="宋体"/>
                <w:i w:val="0"/>
                <w:iCs w:val="0"/>
                <w:color w:val="000000"/>
                <w:kern w:val="0"/>
                <w:sz w:val="21"/>
                <w:szCs w:val="21"/>
                <w:highlight w:val="none"/>
                <w:u w:val="none"/>
                <w:lang w:val="en-US" w:eastAsia="zh-CN" w:bidi="ar"/>
              </w:rPr>
              <w:t>，折算为满意度93%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得分为93%*3=2.27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7"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78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1"/>
                <w:szCs w:val="21"/>
                <w:highlight w:val="none"/>
                <w:u w:val="none"/>
              </w:rPr>
            </w:pP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加减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分项</w:t>
            </w:r>
          </w:p>
        </w:tc>
        <w:tc>
          <w:tcPr>
            <w:tcW w:w="66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工作表现加减分指标</w:t>
            </w:r>
          </w:p>
        </w:tc>
        <w:tc>
          <w:tcPr>
            <w:tcW w:w="682"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highlight w:val="none"/>
                <w:u w:val="none"/>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工作表现加减分指标</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1.加分项：工作获得中央或省委省政府表彰的，表彰一次加1分，同一项工作获得多次表彰的，按一次计算，累计加分最多3分，加分后总分不能超过100分；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2.减分项：在国务院大督察或人大审计、监察等监督检查时发现问题并被问责的，问责一次扣2分，同一个问题被问责多次的，按一次计算，累计减分最多6分，减分后总分不能低于0分。</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7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pacing w:val="-17"/>
                <w:kern w:val="0"/>
                <w:sz w:val="21"/>
                <w:szCs w:val="21"/>
                <w:highlight w:val="none"/>
                <w:u w:val="none"/>
                <w:lang w:val="en-US" w:eastAsia="zh-CN" w:bidi="ar"/>
              </w:rPr>
              <w:t>100</w:t>
            </w: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pacing w:val="-23"/>
                <w:sz w:val="21"/>
                <w:szCs w:val="21"/>
                <w:highlight w:val="none"/>
                <w:u w:val="none"/>
                <w:lang w:eastAsia="zh-CN"/>
              </w:rPr>
            </w:pPr>
            <w:r>
              <w:rPr>
                <w:rFonts w:hint="eastAsia" w:ascii="宋体" w:hAnsi="宋体" w:eastAsia="宋体" w:cs="宋体"/>
                <w:b/>
                <w:bCs/>
                <w:i w:val="0"/>
                <w:iCs w:val="0"/>
                <w:color w:val="000000"/>
                <w:spacing w:val="-23"/>
                <w:sz w:val="21"/>
                <w:szCs w:val="21"/>
                <w:highlight w:val="none"/>
                <w:u w:val="none"/>
                <w:lang w:eastAsia="zh-CN"/>
              </w:rPr>
              <w:t>—</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pacing w:val="-23"/>
                <w:sz w:val="21"/>
                <w:szCs w:val="21"/>
                <w:highlight w:val="none"/>
                <w:u w:val="none"/>
              </w:rPr>
            </w:pPr>
            <w:r>
              <w:rPr>
                <w:rFonts w:hint="eastAsia" w:ascii="宋体" w:hAnsi="宋体" w:eastAsia="宋体" w:cs="宋体"/>
                <w:b/>
                <w:bCs/>
                <w:i w:val="0"/>
                <w:iCs w:val="0"/>
                <w:color w:val="000000"/>
                <w:spacing w:val="-23"/>
                <w:kern w:val="0"/>
                <w:sz w:val="21"/>
                <w:szCs w:val="21"/>
                <w:highlight w:val="none"/>
                <w:u w:val="none"/>
                <w:lang w:val="en-US" w:eastAsia="zh-CN" w:bidi="ar"/>
              </w:rPr>
              <w:t>100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pacing w:val="-23"/>
                <w:sz w:val="21"/>
                <w:szCs w:val="21"/>
                <w:highlight w:val="none"/>
                <w:u w:val="none"/>
                <w:lang w:val="en-US" w:eastAsia="zh-CN"/>
              </w:rPr>
            </w:pPr>
            <w:r>
              <w:rPr>
                <w:rFonts w:hint="eastAsia" w:ascii="宋体" w:hAnsi="宋体" w:eastAsia="宋体" w:cs="宋体"/>
                <w:b/>
                <w:bCs/>
                <w:i w:val="0"/>
                <w:iCs w:val="0"/>
                <w:color w:val="000000"/>
                <w:spacing w:val="-23"/>
                <w:sz w:val="21"/>
                <w:szCs w:val="21"/>
                <w:highlight w:val="none"/>
                <w:u w:val="none"/>
                <w:lang w:val="en-US" w:eastAsia="zh-CN"/>
              </w:rPr>
              <w:t>——</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pacing w:val="-34"/>
                <w:sz w:val="21"/>
                <w:szCs w:val="21"/>
                <w:highlight w:val="none"/>
                <w:u w:val="none"/>
              </w:rPr>
            </w:pPr>
            <w:r>
              <w:rPr>
                <w:rFonts w:hint="eastAsia" w:ascii="宋体" w:hAnsi="宋体" w:eastAsia="宋体" w:cs="宋体"/>
                <w:b/>
                <w:bCs/>
                <w:i w:val="0"/>
                <w:iCs w:val="0"/>
                <w:color w:val="000000"/>
                <w:spacing w:val="-34"/>
                <w:kern w:val="0"/>
                <w:sz w:val="21"/>
                <w:szCs w:val="21"/>
                <w:highlight w:val="none"/>
                <w:u w:val="none"/>
                <w:lang w:val="en-US" w:eastAsia="zh-CN" w:bidi="ar"/>
              </w:rPr>
              <w:t>100</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w:t>
            </w:r>
          </w:p>
        </w:tc>
        <w:tc>
          <w:tcPr>
            <w:tcW w:w="6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spacing w:val="-17"/>
                <w:kern w:val="0"/>
                <w:sz w:val="21"/>
                <w:szCs w:val="21"/>
                <w:highlight w:val="none"/>
                <w:u w:val="none"/>
                <w:lang w:val="en-US" w:eastAsia="zh-CN" w:bidi="ar"/>
              </w:rPr>
              <w:t>100</w:t>
            </w:r>
          </w:p>
        </w:tc>
        <w:tc>
          <w:tcPr>
            <w:tcW w:w="5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spacing w:val="-6"/>
                <w:kern w:val="0"/>
                <w:sz w:val="21"/>
                <w:szCs w:val="21"/>
                <w:highlight w:val="none"/>
                <w:u w:val="none"/>
                <w:lang w:val="en-US" w:eastAsia="zh-CN" w:bidi="ar"/>
              </w:rPr>
              <w:t>90.28</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bl>
    <w:p>
      <w:pPr>
        <w:pStyle w:val="15"/>
        <w:ind w:left="0" w:leftChars="0" w:firstLine="0" w:firstLineChars="0"/>
        <w:rPr>
          <w:rFonts w:hint="eastAsia" w:ascii="仿宋_GB2312" w:hAnsi="宋体" w:eastAsia="仿宋_GB2312" w:cs="宋体"/>
          <w:sz w:val="32"/>
          <w:szCs w:val="32"/>
          <w:highlight w:val="none"/>
        </w:rPr>
      </w:pPr>
    </w:p>
    <w:bookmarkEnd w:id="41"/>
    <w:p>
      <w:pPr>
        <w:pStyle w:val="6"/>
        <w:rPr>
          <w:rFonts w:hint="default"/>
          <w:lang w:val="en-US" w:eastAsia="zh-CN"/>
        </w:rPr>
        <w:sectPr>
          <w:footerReference r:id="rId6" w:type="default"/>
          <w:pgSz w:w="16838" w:h="11906" w:orient="landscape"/>
          <w:pgMar w:top="1417" w:right="1417" w:bottom="1134" w:left="1531" w:header="851" w:footer="454"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ind w:leftChars="0"/>
        <w:textAlignment w:val="auto"/>
        <w:rPr>
          <w:rFonts w:hint="eastAsia"/>
          <w:lang w:val="en-US" w:eastAsia="zh-CN"/>
        </w:rPr>
      </w:pPr>
      <w:bookmarkStart w:id="40" w:name="_Toc10362"/>
      <w:r>
        <w:rPr>
          <w:rFonts w:hint="eastAsia"/>
          <w:lang w:val="en-US" w:eastAsia="zh-CN"/>
        </w:rPr>
        <w:t>附件2</w:t>
      </w:r>
      <w:bookmarkEnd w:id="40"/>
    </w:p>
    <w:p>
      <w:pPr>
        <w:widowControl/>
        <w:jc w:val="center"/>
        <w:textAlignment w:val="center"/>
        <w:rPr>
          <w:rFonts w:hint="eastAsia" w:ascii="宋体" w:hAnsi="宋体" w:cs="宋体"/>
          <w:b/>
          <w:bCs/>
          <w:color w:val="000000"/>
          <w:kern w:val="0"/>
          <w:sz w:val="32"/>
          <w:szCs w:val="32"/>
          <w:u w:val="none"/>
          <w:lang w:val="en-US" w:eastAsia="zh-CN" w:bidi="ar"/>
        </w:rPr>
      </w:pPr>
      <w:r>
        <w:rPr>
          <w:rFonts w:hint="eastAsia" w:ascii="宋体" w:hAnsi="宋体" w:cs="宋体"/>
          <w:b/>
          <w:bCs/>
          <w:color w:val="000000"/>
          <w:kern w:val="0"/>
          <w:sz w:val="32"/>
          <w:szCs w:val="32"/>
          <w:u w:val="none"/>
          <w:lang w:val="en-US" w:eastAsia="zh-CN" w:bidi="ar"/>
        </w:rPr>
        <w:t>小组成员名单</w:t>
      </w:r>
    </w:p>
    <w:tbl>
      <w:tblPr>
        <w:tblStyle w:val="13"/>
        <w:tblW w:w="7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3"/>
        <w:gridCol w:w="1027"/>
        <w:gridCol w:w="1973"/>
        <w:gridCol w:w="2025"/>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9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职称/职位</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sz w:val="21"/>
                <w:szCs w:val="21"/>
              </w:rPr>
            </w:pPr>
            <w:r>
              <w:rPr>
                <w:rFonts w:hint="eastAsia" w:ascii="宋体" w:hAnsi="宋体" w:eastAsia="宋体" w:cs="宋体"/>
                <w:b/>
                <w:bCs/>
                <w:color w:val="000000"/>
                <w:sz w:val="21"/>
                <w:szCs w:val="21"/>
                <w14:textFill>
                  <w14:solidFill>
                    <w14:srgbClr w14:val="000000">
                      <w14:lumMod w14:val="95000"/>
                      <w14:lumOff w14:val="5000"/>
                    </w14:srgbClr>
                  </w14:solidFill>
                </w14:textFill>
              </w:rPr>
              <w:t>专业领域</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C0C0C"/>
                <w:sz w:val="21"/>
                <w:szCs w:val="21"/>
              </w:rPr>
            </w:pPr>
            <w:r>
              <w:rPr>
                <w:rFonts w:hint="eastAsia" w:ascii="宋体" w:hAnsi="宋体" w:eastAsia="宋体" w:cs="宋体"/>
                <w:color w:val="0C0C0C"/>
                <w:sz w:val="21"/>
                <w:szCs w:val="21"/>
              </w:rPr>
              <w:t>1</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赖妙芳</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高级工程师/</w:t>
            </w:r>
            <w:r>
              <w:rPr>
                <w:rFonts w:hint="eastAsia" w:ascii="宋体" w:hAnsi="宋体" w:eastAsia="宋体" w:cs="宋体"/>
                <w:sz w:val="21"/>
                <w:szCs w:val="21"/>
                <w:lang w:val="en-US" w:eastAsia="zh-CN"/>
              </w:rPr>
              <w:t>项目负责人</w:t>
            </w:r>
          </w:p>
        </w:tc>
        <w:tc>
          <w:tcPr>
            <w:tcW w:w="20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00000"/>
                <w:sz w:val="21"/>
                <w:szCs w:val="21"/>
                <w14:textFill>
                  <w14:solidFill>
                    <w14:srgbClr w14:val="000000">
                      <w14:lumMod w14:val="95000"/>
                      <w14:lumOff w14:val="5000"/>
                    </w14:srgbClr>
                  </w14:solidFill>
                </w14:textFill>
              </w:rPr>
              <w:t>计算机应用技术、大数据分析</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D0D0D"/>
                <w:sz w:val="21"/>
                <w:szCs w:val="21"/>
              </w:rPr>
              <w:t>项目组长、项目总负责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C0C0C"/>
                <w:sz w:val="21"/>
                <w:szCs w:val="21"/>
              </w:rPr>
            </w:pPr>
            <w:r>
              <w:rPr>
                <w:rFonts w:hint="eastAsia" w:ascii="宋体" w:hAnsi="宋体" w:eastAsia="宋体" w:cs="宋体"/>
                <w:color w:val="0C0C0C"/>
                <w:sz w:val="21"/>
                <w:szCs w:val="21"/>
              </w:rPr>
              <w:t>2</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陈德萍</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教授、注册会计师、注册税务师/首席专家</w:t>
            </w:r>
          </w:p>
        </w:tc>
        <w:tc>
          <w:tcPr>
            <w:tcW w:w="20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sz w:val="21"/>
                <w:szCs w:val="21"/>
              </w:rPr>
            </w:pPr>
            <w:r>
              <w:rPr>
                <w:rFonts w:hint="eastAsia" w:ascii="宋体" w:hAnsi="宋体" w:eastAsia="宋体" w:cs="宋体"/>
                <w:color w:val="000000"/>
                <w:sz w:val="21"/>
                <w:szCs w:val="21"/>
                <w14:textFill>
                  <w14:solidFill>
                    <w14:srgbClr w14:val="000000">
                      <w14:lumMod w14:val="95000"/>
                      <w14:lumOff w14:val="5000"/>
                    </w14:srgbClr>
                  </w14:solidFill>
                </w14:textFill>
              </w:rPr>
              <w:t>财务管理/绩效评价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sz w:val="21"/>
                <w:szCs w:val="21"/>
              </w:rPr>
              <w:t>全过程初审、终审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C0C0C"/>
                <w:sz w:val="21"/>
                <w:szCs w:val="21"/>
              </w:rPr>
            </w:pPr>
            <w:r>
              <w:rPr>
                <w:rFonts w:hint="eastAsia" w:ascii="宋体" w:hAnsi="宋体" w:eastAsia="宋体" w:cs="宋体"/>
                <w:color w:val="0C0C0C"/>
                <w:sz w:val="21"/>
                <w:szCs w:val="21"/>
              </w:rPr>
              <w:t>3</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杨海蓉</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教授、注册会计师/专家</w:t>
            </w:r>
          </w:p>
        </w:tc>
        <w:tc>
          <w:tcPr>
            <w:tcW w:w="20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00000"/>
                <w:sz w:val="21"/>
                <w:szCs w:val="21"/>
                <w14:textFill>
                  <w14:solidFill>
                    <w14:srgbClr w14:val="000000">
                      <w14:lumMod w14:val="95000"/>
                      <w14:lumOff w14:val="5000"/>
                    </w14:srgbClr>
                  </w14:solidFill>
                </w14:textFill>
              </w:rPr>
              <w:t>财务管理、审计</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D0D0D"/>
                <w:sz w:val="21"/>
                <w:szCs w:val="21"/>
              </w:rPr>
              <w:t>参与指标体系设计、复审专家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C0C0C"/>
                <w:sz w:val="21"/>
                <w:szCs w:val="21"/>
              </w:rPr>
            </w:pPr>
            <w:r>
              <w:rPr>
                <w:rFonts w:hint="eastAsia" w:ascii="宋体" w:hAnsi="宋体" w:eastAsia="宋体" w:cs="宋体"/>
                <w:color w:val="0C0C0C"/>
                <w:sz w:val="21"/>
                <w:szCs w:val="21"/>
              </w:rPr>
              <w:t>4</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14:textFill>
                  <w14:solidFill>
                    <w14:srgbClr w14:val="000000">
                      <w14:lumMod w14:val="95000"/>
                      <w14:lumOff w14:val="5000"/>
                    </w14:srgbClr>
                  </w14:solidFill>
                </w14:textFill>
              </w:rPr>
              <w:t>任 辉</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14:textFill>
                  <w14:solidFill>
                    <w14:srgbClr w14:val="000000">
                      <w14:lumMod w14:val="95000"/>
                      <w14:lumOff w14:val="5000"/>
                    </w14:srgbClr>
                  </w14:solidFill>
                </w14:textFill>
              </w:rPr>
              <w:t>专家/会计学副教授</w:t>
            </w:r>
          </w:p>
        </w:tc>
        <w:tc>
          <w:tcPr>
            <w:tcW w:w="20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00000"/>
                <w:sz w:val="21"/>
                <w:szCs w:val="21"/>
                <w:lang w:val="en-US" w:eastAsia="zh-CN"/>
                <w14:textFill>
                  <w14:solidFill>
                    <w14:srgbClr w14:val="000000">
                      <w14:lumMod w14:val="95000"/>
                      <w14:lumOff w14:val="5000"/>
                    </w14:srgbClr>
                  </w14:solidFill>
                </w14:textFill>
              </w:rPr>
              <w:t>金融学、资产管理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D0D0D"/>
                <w:sz w:val="21"/>
                <w:szCs w:val="21"/>
              </w:rPr>
              <w:t>参与指标体系设计、数据分析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C0C0C"/>
                <w:sz w:val="21"/>
                <w:szCs w:val="21"/>
              </w:rPr>
            </w:pPr>
            <w:r>
              <w:rPr>
                <w:rFonts w:hint="eastAsia" w:ascii="宋体" w:hAnsi="宋体" w:eastAsia="宋体" w:cs="宋体"/>
                <w:color w:val="0C0C0C"/>
                <w:sz w:val="21"/>
                <w:szCs w:val="21"/>
              </w:rPr>
              <w:t>5</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陈苹遥</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会计师/专家</w:t>
            </w:r>
          </w:p>
        </w:tc>
        <w:tc>
          <w:tcPr>
            <w:tcW w:w="20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lang w:val="en-US" w:eastAsia="zh-CN"/>
              </w:rPr>
            </w:pPr>
            <w:r>
              <w:rPr>
                <w:rFonts w:hint="eastAsia" w:ascii="宋体" w:hAnsi="宋体" w:eastAsia="宋体" w:cs="宋体"/>
                <w:color w:val="0D0D0D"/>
                <w:sz w:val="21"/>
                <w:szCs w:val="21"/>
                <w:lang w:val="en-US" w:eastAsia="zh-CN"/>
              </w:rPr>
              <w:t>财务管理、审计</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D0D0D"/>
                <w:sz w:val="21"/>
                <w:szCs w:val="21"/>
              </w:rPr>
            </w:pPr>
            <w:r>
              <w:rPr>
                <w:rFonts w:hint="eastAsia" w:ascii="宋体" w:hAnsi="宋体" w:eastAsia="宋体" w:cs="宋体"/>
                <w:color w:val="0D0D0D"/>
                <w:sz w:val="21"/>
                <w:szCs w:val="21"/>
              </w:rPr>
              <w:t>材料收集、核查、统计</w:t>
            </w:r>
          </w:p>
        </w:tc>
      </w:tr>
    </w:tbl>
    <w:p>
      <w:pPr>
        <w:rPr>
          <w:rFonts w:hint="default"/>
          <w:lang w:val="en-US" w:eastAsia="zh-CN"/>
        </w:rPr>
      </w:pPr>
    </w:p>
    <w:sectPr>
      <w:pgSz w:w="11906" w:h="16838"/>
      <w:pgMar w:top="1020" w:right="1417" w:bottom="1134" w:left="1531" w:header="851" w:footer="45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6926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926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36.95pt;mso-position-horizontal:outside;mso-position-horizontal-relative:margin;z-index:251659264;mso-width-relative:page;mso-height-relative:page;" filled="f" stroked="f" coordsize="21600,21600" o:gfxdata="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ueTzUAAAAAwEAAA8A&#10;AAAAAAAAAQAgAAAAIgAAAGRycy9kb3ducmV2LnhtbFBLAQIUABQAAAAIAIdO4kA4RMREGwIAABME&#10;AAAOAAAAAAAAAAEAIAAAACMBAABkcnMvZTJvRG9jLnhtbFBLBQYAAAAABgAGAFkBAACwBQAAAAA=&#10;">
              <v:fill on="f" focussize="0,0"/>
              <v:stroke on="f" weight="0.5pt"/>
              <v:imagedata o:title=""/>
              <o:lock v:ext="edit" aspectratio="f"/>
              <v:textbox inset="0mm,0mm,0mm,0mm">
                <w:txbxContent>
                  <w:p>
                    <w:pPr>
                      <w:pStyle w:val="7"/>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zliNWNiYzQ3ZjFkZGY4Y2FhN2VjMDk1NjJiMjEifQ=="/>
  </w:docVars>
  <w:rsids>
    <w:rsidRoot w:val="00000000"/>
    <w:rsid w:val="00387412"/>
    <w:rsid w:val="006952DA"/>
    <w:rsid w:val="00816543"/>
    <w:rsid w:val="0098388D"/>
    <w:rsid w:val="00A471B4"/>
    <w:rsid w:val="00A67302"/>
    <w:rsid w:val="00EF5BA2"/>
    <w:rsid w:val="01301DA6"/>
    <w:rsid w:val="013E6E10"/>
    <w:rsid w:val="014E0B80"/>
    <w:rsid w:val="016A5229"/>
    <w:rsid w:val="018074B6"/>
    <w:rsid w:val="01906A5C"/>
    <w:rsid w:val="019B1886"/>
    <w:rsid w:val="01A73C20"/>
    <w:rsid w:val="022E44A8"/>
    <w:rsid w:val="025008C3"/>
    <w:rsid w:val="026C3AC4"/>
    <w:rsid w:val="0289270E"/>
    <w:rsid w:val="029002D9"/>
    <w:rsid w:val="02A62291"/>
    <w:rsid w:val="02B04EBD"/>
    <w:rsid w:val="02B07CB0"/>
    <w:rsid w:val="02DA63DE"/>
    <w:rsid w:val="03065AE0"/>
    <w:rsid w:val="030908ED"/>
    <w:rsid w:val="030C2770"/>
    <w:rsid w:val="038543C2"/>
    <w:rsid w:val="03E8240F"/>
    <w:rsid w:val="040D00EE"/>
    <w:rsid w:val="047A1C27"/>
    <w:rsid w:val="04853D07"/>
    <w:rsid w:val="049B210A"/>
    <w:rsid w:val="049D12BC"/>
    <w:rsid w:val="04C50D12"/>
    <w:rsid w:val="04C959FB"/>
    <w:rsid w:val="04E76BC6"/>
    <w:rsid w:val="04ED5E30"/>
    <w:rsid w:val="05037275"/>
    <w:rsid w:val="05353DA0"/>
    <w:rsid w:val="0559139F"/>
    <w:rsid w:val="05831BD6"/>
    <w:rsid w:val="05FB1044"/>
    <w:rsid w:val="060C5408"/>
    <w:rsid w:val="060F639F"/>
    <w:rsid w:val="06112117"/>
    <w:rsid w:val="066050FA"/>
    <w:rsid w:val="06734B80"/>
    <w:rsid w:val="0676649A"/>
    <w:rsid w:val="06CE625A"/>
    <w:rsid w:val="06D21F69"/>
    <w:rsid w:val="06D416D1"/>
    <w:rsid w:val="06EB4919"/>
    <w:rsid w:val="07244C11"/>
    <w:rsid w:val="074D45AF"/>
    <w:rsid w:val="07707FCE"/>
    <w:rsid w:val="07747E0E"/>
    <w:rsid w:val="078A58ED"/>
    <w:rsid w:val="07C1191B"/>
    <w:rsid w:val="08215A7A"/>
    <w:rsid w:val="08936E9B"/>
    <w:rsid w:val="08E753B1"/>
    <w:rsid w:val="09AB2883"/>
    <w:rsid w:val="09BB60B5"/>
    <w:rsid w:val="09EC7123"/>
    <w:rsid w:val="09EF276F"/>
    <w:rsid w:val="0A8F0FB2"/>
    <w:rsid w:val="0A9D24A2"/>
    <w:rsid w:val="0AD045A6"/>
    <w:rsid w:val="0AD1460B"/>
    <w:rsid w:val="0AF142C5"/>
    <w:rsid w:val="0B2F41F0"/>
    <w:rsid w:val="0B350656"/>
    <w:rsid w:val="0B371A66"/>
    <w:rsid w:val="0B846D17"/>
    <w:rsid w:val="0BC11EE9"/>
    <w:rsid w:val="0BE644BF"/>
    <w:rsid w:val="0C0B7609"/>
    <w:rsid w:val="0C2A5FD9"/>
    <w:rsid w:val="0CB11D8E"/>
    <w:rsid w:val="0CB952C8"/>
    <w:rsid w:val="0CBF5118"/>
    <w:rsid w:val="0D074274"/>
    <w:rsid w:val="0D18022F"/>
    <w:rsid w:val="0D300A12"/>
    <w:rsid w:val="0D382E73"/>
    <w:rsid w:val="0D465D02"/>
    <w:rsid w:val="0D865199"/>
    <w:rsid w:val="0DF30354"/>
    <w:rsid w:val="0E0C1965"/>
    <w:rsid w:val="0E0C4191"/>
    <w:rsid w:val="0E250E55"/>
    <w:rsid w:val="0E3A41D5"/>
    <w:rsid w:val="0E5250AD"/>
    <w:rsid w:val="0E621A54"/>
    <w:rsid w:val="0E656CDD"/>
    <w:rsid w:val="0E967D27"/>
    <w:rsid w:val="0EB274D4"/>
    <w:rsid w:val="0F2A424A"/>
    <w:rsid w:val="0F576E62"/>
    <w:rsid w:val="0FA1275E"/>
    <w:rsid w:val="0FB40E79"/>
    <w:rsid w:val="1019024E"/>
    <w:rsid w:val="10390271"/>
    <w:rsid w:val="10413BED"/>
    <w:rsid w:val="109F5D73"/>
    <w:rsid w:val="10E50428"/>
    <w:rsid w:val="1102547E"/>
    <w:rsid w:val="111A4E6B"/>
    <w:rsid w:val="112F38DC"/>
    <w:rsid w:val="116F5136"/>
    <w:rsid w:val="117C3A53"/>
    <w:rsid w:val="118C5498"/>
    <w:rsid w:val="11967974"/>
    <w:rsid w:val="119D51A7"/>
    <w:rsid w:val="11BF6ECB"/>
    <w:rsid w:val="122B6E0A"/>
    <w:rsid w:val="12646BBB"/>
    <w:rsid w:val="127061E4"/>
    <w:rsid w:val="127E6D86"/>
    <w:rsid w:val="128B4FFF"/>
    <w:rsid w:val="12AC38F3"/>
    <w:rsid w:val="12AD766B"/>
    <w:rsid w:val="12BC008C"/>
    <w:rsid w:val="12E14E2C"/>
    <w:rsid w:val="13291807"/>
    <w:rsid w:val="132C7AB7"/>
    <w:rsid w:val="13421B62"/>
    <w:rsid w:val="13453400"/>
    <w:rsid w:val="1358575C"/>
    <w:rsid w:val="136441CE"/>
    <w:rsid w:val="136A730B"/>
    <w:rsid w:val="13760A67"/>
    <w:rsid w:val="13D43129"/>
    <w:rsid w:val="14353475"/>
    <w:rsid w:val="14477DD9"/>
    <w:rsid w:val="145E7964"/>
    <w:rsid w:val="149077EF"/>
    <w:rsid w:val="14CB792A"/>
    <w:rsid w:val="15134F16"/>
    <w:rsid w:val="15176CB0"/>
    <w:rsid w:val="15183DB5"/>
    <w:rsid w:val="151F60A2"/>
    <w:rsid w:val="15983760"/>
    <w:rsid w:val="15A00DC2"/>
    <w:rsid w:val="15A86738"/>
    <w:rsid w:val="15EB6546"/>
    <w:rsid w:val="15FF1F8C"/>
    <w:rsid w:val="16461969"/>
    <w:rsid w:val="167324B0"/>
    <w:rsid w:val="167556AC"/>
    <w:rsid w:val="16CE195E"/>
    <w:rsid w:val="17107AAE"/>
    <w:rsid w:val="17852965"/>
    <w:rsid w:val="17CA06D5"/>
    <w:rsid w:val="17D84DD7"/>
    <w:rsid w:val="17FB49D5"/>
    <w:rsid w:val="185540E5"/>
    <w:rsid w:val="18716A45"/>
    <w:rsid w:val="18814EDA"/>
    <w:rsid w:val="18BA0D0B"/>
    <w:rsid w:val="18BB7CEF"/>
    <w:rsid w:val="18C748B7"/>
    <w:rsid w:val="18E15979"/>
    <w:rsid w:val="18E35B95"/>
    <w:rsid w:val="18E86D07"/>
    <w:rsid w:val="18E92A80"/>
    <w:rsid w:val="18ED6A14"/>
    <w:rsid w:val="18F87CF6"/>
    <w:rsid w:val="194D300E"/>
    <w:rsid w:val="194E4DB3"/>
    <w:rsid w:val="19B85507"/>
    <w:rsid w:val="19C92FDD"/>
    <w:rsid w:val="19FD50B7"/>
    <w:rsid w:val="1A514895"/>
    <w:rsid w:val="1AAA34DD"/>
    <w:rsid w:val="1AAB623F"/>
    <w:rsid w:val="1ACE1FEB"/>
    <w:rsid w:val="1B293607"/>
    <w:rsid w:val="1B862808"/>
    <w:rsid w:val="1B8F6842"/>
    <w:rsid w:val="1C470946"/>
    <w:rsid w:val="1C856F63"/>
    <w:rsid w:val="1D0145B9"/>
    <w:rsid w:val="1D271DC8"/>
    <w:rsid w:val="1D415CC3"/>
    <w:rsid w:val="1D5D7E56"/>
    <w:rsid w:val="1D6D0594"/>
    <w:rsid w:val="1D7C1EFF"/>
    <w:rsid w:val="1D8965DF"/>
    <w:rsid w:val="1DC86B4A"/>
    <w:rsid w:val="1DD04F3B"/>
    <w:rsid w:val="1DD45045"/>
    <w:rsid w:val="1E594B3D"/>
    <w:rsid w:val="1E826880"/>
    <w:rsid w:val="1E974311"/>
    <w:rsid w:val="1EB56086"/>
    <w:rsid w:val="1EFB350D"/>
    <w:rsid w:val="1F01535E"/>
    <w:rsid w:val="1F226CEB"/>
    <w:rsid w:val="1F3C61AB"/>
    <w:rsid w:val="1F5B033D"/>
    <w:rsid w:val="1F9B375E"/>
    <w:rsid w:val="1FE30229"/>
    <w:rsid w:val="20224C2F"/>
    <w:rsid w:val="20434C5C"/>
    <w:rsid w:val="204809D3"/>
    <w:rsid w:val="204B0945"/>
    <w:rsid w:val="206A26F8"/>
    <w:rsid w:val="206C6470"/>
    <w:rsid w:val="208C6B12"/>
    <w:rsid w:val="20B120D5"/>
    <w:rsid w:val="20B9542D"/>
    <w:rsid w:val="20E00C0C"/>
    <w:rsid w:val="210F40E9"/>
    <w:rsid w:val="215A09BE"/>
    <w:rsid w:val="21C459A8"/>
    <w:rsid w:val="21CA13C5"/>
    <w:rsid w:val="21D66E14"/>
    <w:rsid w:val="21EF08D7"/>
    <w:rsid w:val="21F46621"/>
    <w:rsid w:val="224B153E"/>
    <w:rsid w:val="22AB3233"/>
    <w:rsid w:val="23010DEC"/>
    <w:rsid w:val="230C7A96"/>
    <w:rsid w:val="23357567"/>
    <w:rsid w:val="23616AE6"/>
    <w:rsid w:val="23B53F8B"/>
    <w:rsid w:val="23B819CC"/>
    <w:rsid w:val="23D073EA"/>
    <w:rsid w:val="23FC7B0B"/>
    <w:rsid w:val="23FF09FB"/>
    <w:rsid w:val="240B2444"/>
    <w:rsid w:val="241F4BA6"/>
    <w:rsid w:val="24354E67"/>
    <w:rsid w:val="243674C1"/>
    <w:rsid w:val="24446966"/>
    <w:rsid w:val="244A1851"/>
    <w:rsid w:val="24661428"/>
    <w:rsid w:val="248C5333"/>
    <w:rsid w:val="24BB1E59"/>
    <w:rsid w:val="25757B75"/>
    <w:rsid w:val="25986F0F"/>
    <w:rsid w:val="259B27BD"/>
    <w:rsid w:val="25A50155"/>
    <w:rsid w:val="25AE0874"/>
    <w:rsid w:val="25B37CC4"/>
    <w:rsid w:val="25D04A24"/>
    <w:rsid w:val="25ED4D74"/>
    <w:rsid w:val="260577F6"/>
    <w:rsid w:val="263D7001"/>
    <w:rsid w:val="2650413E"/>
    <w:rsid w:val="267D6756"/>
    <w:rsid w:val="26A5058F"/>
    <w:rsid w:val="26CA3EF0"/>
    <w:rsid w:val="2706550D"/>
    <w:rsid w:val="27070CA1"/>
    <w:rsid w:val="272555CB"/>
    <w:rsid w:val="273956E7"/>
    <w:rsid w:val="274D7DC0"/>
    <w:rsid w:val="27551A25"/>
    <w:rsid w:val="27667B97"/>
    <w:rsid w:val="27734EF3"/>
    <w:rsid w:val="27767BD4"/>
    <w:rsid w:val="27B16E5E"/>
    <w:rsid w:val="27C026AD"/>
    <w:rsid w:val="27D112AE"/>
    <w:rsid w:val="27D31E51"/>
    <w:rsid w:val="27F05BD9"/>
    <w:rsid w:val="27FD4CB0"/>
    <w:rsid w:val="281F64BE"/>
    <w:rsid w:val="28362F8F"/>
    <w:rsid w:val="28643ED1"/>
    <w:rsid w:val="28A37A8F"/>
    <w:rsid w:val="28D252DE"/>
    <w:rsid w:val="28D516A6"/>
    <w:rsid w:val="293B12A4"/>
    <w:rsid w:val="29B844E5"/>
    <w:rsid w:val="29C56BF1"/>
    <w:rsid w:val="29CC4423"/>
    <w:rsid w:val="2A4C3550"/>
    <w:rsid w:val="2A547170"/>
    <w:rsid w:val="2A612DBE"/>
    <w:rsid w:val="2A742AF1"/>
    <w:rsid w:val="2AA87327"/>
    <w:rsid w:val="2AC91295"/>
    <w:rsid w:val="2B336C28"/>
    <w:rsid w:val="2B591C41"/>
    <w:rsid w:val="2BBE49AC"/>
    <w:rsid w:val="2C092496"/>
    <w:rsid w:val="2C0E1B32"/>
    <w:rsid w:val="2C4402A1"/>
    <w:rsid w:val="2C832E96"/>
    <w:rsid w:val="2C8A6000"/>
    <w:rsid w:val="2CB938DB"/>
    <w:rsid w:val="2CEC4D1A"/>
    <w:rsid w:val="2D1962CE"/>
    <w:rsid w:val="2D5942AB"/>
    <w:rsid w:val="2D5C5ABE"/>
    <w:rsid w:val="2D776CF4"/>
    <w:rsid w:val="2D82626F"/>
    <w:rsid w:val="2E1819E5"/>
    <w:rsid w:val="2E250475"/>
    <w:rsid w:val="2E2E2E3E"/>
    <w:rsid w:val="2E5A3DAC"/>
    <w:rsid w:val="2E6764C9"/>
    <w:rsid w:val="2EBA484A"/>
    <w:rsid w:val="2EF854B4"/>
    <w:rsid w:val="2F043964"/>
    <w:rsid w:val="2F085AAC"/>
    <w:rsid w:val="2F0B19F1"/>
    <w:rsid w:val="2F1228D8"/>
    <w:rsid w:val="2F432A92"/>
    <w:rsid w:val="2F666780"/>
    <w:rsid w:val="2F947791"/>
    <w:rsid w:val="301650BD"/>
    <w:rsid w:val="306C7DC6"/>
    <w:rsid w:val="307F70C2"/>
    <w:rsid w:val="309B2FA9"/>
    <w:rsid w:val="30D7561F"/>
    <w:rsid w:val="30F009F7"/>
    <w:rsid w:val="310F09CD"/>
    <w:rsid w:val="31100CF9"/>
    <w:rsid w:val="311C7281"/>
    <w:rsid w:val="312C223A"/>
    <w:rsid w:val="314E571E"/>
    <w:rsid w:val="31963CA3"/>
    <w:rsid w:val="319A1491"/>
    <w:rsid w:val="319C6508"/>
    <w:rsid w:val="31A87524"/>
    <w:rsid w:val="31C81974"/>
    <w:rsid w:val="31CF62A3"/>
    <w:rsid w:val="31F14A27"/>
    <w:rsid w:val="31F77B64"/>
    <w:rsid w:val="32384404"/>
    <w:rsid w:val="324B7C8E"/>
    <w:rsid w:val="32504636"/>
    <w:rsid w:val="32775955"/>
    <w:rsid w:val="32B40B7E"/>
    <w:rsid w:val="32C04E80"/>
    <w:rsid w:val="32F3657D"/>
    <w:rsid w:val="33372315"/>
    <w:rsid w:val="333A46E4"/>
    <w:rsid w:val="33C37D10"/>
    <w:rsid w:val="33D8244F"/>
    <w:rsid w:val="33E66449"/>
    <w:rsid w:val="340627F7"/>
    <w:rsid w:val="34607C42"/>
    <w:rsid w:val="34A02734"/>
    <w:rsid w:val="34B149DF"/>
    <w:rsid w:val="34B955A4"/>
    <w:rsid w:val="34D325E4"/>
    <w:rsid w:val="34ED44DB"/>
    <w:rsid w:val="35040F3B"/>
    <w:rsid w:val="356769A3"/>
    <w:rsid w:val="356C533B"/>
    <w:rsid w:val="357C0AAC"/>
    <w:rsid w:val="35A34290"/>
    <w:rsid w:val="35D86995"/>
    <w:rsid w:val="35E7428C"/>
    <w:rsid w:val="36040398"/>
    <w:rsid w:val="360747FC"/>
    <w:rsid w:val="36154A5C"/>
    <w:rsid w:val="361B780A"/>
    <w:rsid w:val="36DB64B6"/>
    <w:rsid w:val="36E52680"/>
    <w:rsid w:val="37033F32"/>
    <w:rsid w:val="370E105F"/>
    <w:rsid w:val="376B6D2F"/>
    <w:rsid w:val="37AB2AC8"/>
    <w:rsid w:val="37C07260"/>
    <w:rsid w:val="37D921E5"/>
    <w:rsid w:val="37E972CA"/>
    <w:rsid w:val="37F52D97"/>
    <w:rsid w:val="380E1F3D"/>
    <w:rsid w:val="38156E15"/>
    <w:rsid w:val="38774730"/>
    <w:rsid w:val="387B47CC"/>
    <w:rsid w:val="38876621"/>
    <w:rsid w:val="38E56968"/>
    <w:rsid w:val="38FE5C7B"/>
    <w:rsid w:val="390442D0"/>
    <w:rsid w:val="39047CE8"/>
    <w:rsid w:val="3935641A"/>
    <w:rsid w:val="397809EC"/>
    <w:rsid w:val="3987076D"/>
    <w:rsid w:val="399C6CFC"/>
    <w:rsid w:val="39B77761"/>
    <w:rsid w:val="39DC7D6B"/>
    <w:rsid w:val="39F23A32"/>
    <w:rsid w:val="3A10210A"/>
    <w:rsid w:val="3A133611"/>
    <w:rsid w:val="3A886F8F"/>
    <w:rsid w:val="3A8C5E79"/>
    <w:rsid w:val="3A8F193B"/>
    <w:rsid w:val="3AC250C9"/>
    <w:rsid w:val="3ADD2FBE"/>
    <w:rsid w:val="3AFA0DF0"/>
    <w:rsid w:val="3B2714BA"/>
    <w:rsid w:val="3B273268"/>
    <w:rsid w:val="3B465DFA"/>
    <w:rsid w:val="3B57614F"/>
    <w:rsid w:val="3BA67DF9"/>
    <w:rsid w:val="3BAB3E99"/>
    <w:rsid w:val="3C0D65B5"/>
    <w:rsid w:val="3C141E8F"/>
    <w:rsid w:val="3C397908"/>
    <w:rsid w:val="3C5B7897"/>
    <w:rsid w:val="3CA9268E"/>
    <w:rsid w:val="3CAA05F4"/>
    <w:rsid w:val="3CAD1E92"/>
    <w:rsid w:val="3CB13731"/>
    <w:rsid w:val="3CB81AAF"/>
    <w:rsid w:val="3CD218F9"/>
    <w:rsid w:val="3CE60F00"/>
    <w:rsid w:val="3CF13D7E"/>
    <w:rsid w:val="3D115CD3"/>
    <w:rsid w:val="3D211F38"/>
    <w:rsid w:val="3D393726"/>
    <w:rsid w:val="3D583358"/>
    <w:rsid w:val="3DAA0180"/>
    <w:rsid w:val="3DD60F75"/>
    <w:rsid w:val="3DDC2A2F"/>
    <w:rsid w:val="3DE25B6C"/>
    <w:rsid w:val="3E2E7003"/>
    <w:rsid w:val="3E4660FB"/>
    <w:rsid w:val="3E4A3B11"/>
    <w:rsid w:val="3E7D6D0F"/>
    <w:rsid w:val="3E8A248B"/>
    <w:rsid w:val="3E8A6ABE"/>
    <w:rsid w:val="3EAF017E"/>
    <w:rsid w:val="3ECB6600"/>
    <w:rsid w:val="3EF231CF"/>
    <w:rsid w:val="3EFC747F"/>
    <w:rsid w:val="3F546065"/>
    <w:rsid w:val="3F61079F"/>
    <w:rsid w:val="3F9133A5"/>
    <w:rsid w:val="3F9619DE"/>
    <w:rsid w:val="3F9D1D4A"/>
    <w:rsid w:val="3FFF058E"/>
    <w:rsid w:val="403A57EB"/>
    <w:rsid w:val="40483D2F"/>
    <w:rsid w:val="40805632"/>
    <w:rsid w:val="40C85BCE"/>
    <w:rsid w:val="40E50A74"/>
    <w:rsid w:val="4151103E"/>
    <w:rsid w:val="415555F1"/>
    <w:rsid w:val="41814A7E"/>
    <w:rsid w:val="4185518C"/>
    <w:rsid w:val="41965A12"/>
    <w:rsid w:val="42644DA1"/>
    <w:rsid w:val="42846513"/>
    <w:rsid w:val="42ED513E"/>
    <w:rsid w:val="430345BA"/>
    <w:rsid w:val="4335476C"/>
    <w:rsid w:val="43813731"/>
    <w:rsid w:val="43A7763B"/>
    <w:rsid w:val="43AF029E"/>
    <w:rsid w:val="43C33D49"/>
    <w:rsid w:val="43EA39CC"/>
    <w:rsid w:val="44585A04"/>
    <w:rsid w:val="44767D90"/>
    <w:rsid w:val="44A27E03"/>
    <w:rsid w:val="44CC3BA2"/>
    <w:rsid w:val="44D769E7"/>
    <w:rsid w:val="45260A34"/>
    <w:rsid w:val="4558554E"/>
    <w:rsid w:val="45824550"/>
    <w:rsid w:val="45C85647"/>
    <w:rsid w:val="45E5756C"/>
    <w:rsid w:val="45F428E0"/>
    <w:rsid w:val="460B2052"/>
    <w:rsid w:val="461324B1"/>
    <w:rsid w:val="461865CE"/>
    <w:rsid w:val="46383A7F"/>
    <w:rsid w:val="463B4C54"/>
    <w:rsid w:val="463F3DA6"/>
    <w:rsid w:val="46484442"/>
    <w:rsid w:val="464D1BE1"/>
    <w:rsid w:val="46B06807"/>
    <w:rsid w:val="46B1257F"/>
    <w:rsid w:val="46BB51AC"/>
    <w:rsid w:val="46D31E93"/>
    <w:rsid w:val="470269EF"/>
    <w:rsid w:val="47272AC2"/>
    <w:rsid w:val="4732546E"/>
    <w:rsid w:val="4733607B"/>
    <w:rsid w:val="478A77C9"/>
    <w:rsid w:val="47AD124E"/>
    <w:rsid w:val="47EF15B1"/>
    <w:rsid w:val="480F1C53"/>
    <w:rsid w:val="4819217E"/>
    <w:rsid w:val="481A4E2E"/>
    <w:rsid w:val="4839282C"/>
    <w:rsid w:val="489D564B"/>
    <w:rsid w:val="48A24875"/>
    <w:rsid w:val="48AB2B47"/>
    <w:rsid w:val="48AC1250"/>
    <w:rsid w:val="48B76C3E"/>
    <w:rsid w:val="48BB091F"/>
    <w:rsid w:val="48C16A30"/>
    <w:rsid w:val="48CD6B8A"/>
    <w:rsid w:val="48F02296"/>
    <w:rsid w:val="490C1C65"/>
    <w:rsid w:val="49310D0B"/>
    <w:rsid w:val="4933384C"/>
    <w:rsid w:val="493D459F"/>
    <w:rsid w:val="49461D96"/>
    <w:rsid w:val="49E113CD"/>
    <w:rsid w:val="4A5F3D56"/>
    <w:rsid w:val="4A900D25"/>
    <w:rsid w:val="4AA27D8E"/>
    <w:rsid w:val="4AAA7A11"/>
    <w:rsid w:val="4AB12B4E"/>
    <w:rsid w:val="4AC04E86"/>
    <w:rsid w:val="4ADE387E"/>
    <w:rsid w:val="4B0568EA"/>
    <w:rsid w:val="4B1D28E5"/>
    <w:rsid w:val="4B241572"/>
    <w:rsid w:val="4B9D59C0"/>
    <w:rsid w:val="4BC32B39"/>
    <w:rsid w:val="4BCE772F"/>
    <w:rsid w:val="4BDA5A90"/>
    <w:rsid w:val="4C251A45"/>
    <w:rsid w:val="4C35155C"/>
    <w:rsid w:val="4C4546C0"/>
    <w:rsid w:val="4CAA3EAC"/>
    <w:rsid w:val="4CF666B9"/>
    <w:rsid w:val="4CFF7D00"/>
    <w:rsid w:val="4D4F2A68"/>
    <w:rsid w:val="4D5942BC"/>
    <w:rsid w:val="4D5D54A0"/>
    <w:rsid w:val="4D6D5452"/>
    <w:rsid w:val="4D7030FB"/>
    <w:rsid w:val="4D9E3255"/>
    <w:rsid w:val="4DC22E25"/>
    <w:rsid w:val="4DDE6BBC"/>
    <w:rsid w:val="4E234605"/>
    <w:rsid w:val="4E6F6E84"/>
    <w:rsid w:val="4E8245B1"/>
    <w:rsid w:val="4E8A7ED7"/>
    <w:rsid w:val="4EA8070C"/>
    <w:rsid w:val="4EE274CC"/>
    <w:rsid w:val="4EFD5299"/>
    <w:rsid w:val="4F027C32"/>
    <w:rsid w:val="4F073684"/>
    <w:rsid w:val="4F4641AC"/>
    <w:rsid w:val="4F9367FC"/>
    <w:rsid w:val="4FC22F85"/>
    <w:rsid w:val="4FE24C01"/>
    <w:rsid w:val="500D4CCA"/>
    <w:rsid w:val="50203BB5"/>
    <w:rsid w:val="504B4730"/>
    <w:rsid w:val="50702F57"/>
    <w:rsid w:val="5086682B"/>
    <w:rsid w:val="509373CE"/>
    <w:rsid w:val="50D15D77"/>
    <w:rsid w:val="51052FB3"/>
    <w:rsid w:val="512D6CA6"/>
    <w:rsid w:val="51410593"/>
    <w:rsid w:val="51491D32"/>
    <w:rsid w:val="51545FC5"/>
    <w:rsid w:val="518C04DD"/>
    <w:rsid w:val="51AE5A60"/>
    <w:rsid w:val="51B054BD"/>
    <w:rsid w:val="51BF1FF4"/>
    <w:rsid w:val="51D3748E"/>
    <w:rsid w:val="52404ED7"/>
    <w:rsid w:val="52AF3E17"/>
    <w:rsid w:val="52CB1F28"/>
    <w:rsid w:val="53153192"/>
    <w:rsid w:val="533324F7"/>
    <w:rsid w:val="53397B84"/>
    <w:rsid w:val="53507384"/>
    <w:rsid w:val="53CB1124"/>
    <w:rsid w:val="53E421E6"/>
    <w:rsid w:val="53E977FC"/>
    <w:rsid w:val="53F27225"/>
    <w:rsid w:val="53F71D8B"/>
    <w:rsid w:val="540975CC"/>
    <w:rsid w:val="542A0565"/>
    <w:rsid w:val="54574766"/>
    <w:rsid w:val="547C41CC"/>
    <w:rsid w:val="54931516"/>
    <w:rsid w:val="54C7717E"/>
    <w:rsid w:val="54E176F6"/>
    <w:rsid w:val="54F2448F"/>
    <w:rsid w:val="55102B67"/>
    <w:rsid w:val="55284354"/>
    <w:rsid w:val="55562C6F"/>
    <w:rsid w:val="555E38D2"/>
    <w:rsid w:val="55A45647"/>
    <w:rsid w:val="55C56125"/>
    <w:rsid w:val="55CD4A41"/>
    <w:rsid w:val="56313091"/>
    <w:rsid w:val="56617B1E"/>
    <w:rsid w:val="56755377"/>
    <w:rsid w:val="567E36F5"/>
    <w:rsid w:val="56847368"/>
    <w:rsid w:val="569B40E0"/>
    <w:rsid w:val="56A95021"/>
    <w:rsid w:val="56A9633B"/>
    <w:rsid w:val="56B5291C"/>
    <w:rsid w:val="56D05B1A"/>
    <w:rsid w:val="56E36785"/>
    <w:rsid w:val="572672A2"/>
    <w:rsid w:val="575C6644"/>
    <w:rsid w:val="57792021"/>
    <w:rsid w:val="57C02622"/>
    <w:rsid w:val="57C531CC"/>
    <w:rsid w:val="57E33998"/>
    <w:rsid w:val="57E61106"/>
    <w:rsid w:val="57F93B5C"/>
    <w:rsid w:val="58030761"/>
    <w:rsid w:val="5803261B"/>
    <w:rsid w:val="58087994"/>
    <w:rsid w:val="58097A7F"/>
    <w:rsid w:val="58122F00"/>
    <w:rsid w:val="584A7878"/>
    <w:rsid w:val="58767185"/>
    <w:rsid w:val="589363BD"/>
    <w:rsid w:val="58D854F8"/>
    <w:rsid w:val="58DA36C1"/>
    <w:rsid w:val="58E6255C"/>
    <w:rsid w:val="58EB1921"/>
    <w:rsid w:val="591744C4"/>
    <w:rsid w:val="59343F90"/>
    <w:rsid w:val="59AD4F44"/>
    <w:rsid w:val="59E22D24"/>
    <w:rsid w:val="5A1646DB"/>
    <w:rsid w:val="5A1B6CA1"/>
    <w:rsid w:val="5A272E2C"/>
    <w:rsid w:val="5A5359CF"/>
    <w:rsid w:val="5A5C4A7A"/>
    <w:rsid w:val="5A81253D"/>
    <w:rsid w:val="5A876A16"/>
    <w:rsid w:val="5A8F29B2"/>
    <w:rsid w:val="5ABA77FD"/>
    <w:rsid w:val="5ABE1324"/>
    <w:rsid w:val="5AD84127"/>
    <w:rsid w:val="5AE7603A"/>
    <w:rsid w:val="5B1C054A"/>
    <w:rsid w:val="5B3B0BCA"/>
    <w:rsid w:val="5B465534"/>
    <w:rsid w:val="5B5B4645"/>
    <w:rsid w:val="5B6836FC"/>
    <w:rsid w:val="5BB029AE"/>
    <w:rsid w:val="5BEA7FA6"/>
    <w:rsid w:val="5C2F2AF2"/>
    <w:rsid w:val="5C4A2E02"/>
    <w:rsid w:val="5C8E0FED"/>
    <w:rsid w:val="5CBD3CE4"/>
    <w:rsid w:val="5CFA65D6"/>
    <w:rsid w:val="5D227240"/>
    <w:rsid w:val="5D256024"/>
    <w:rsid w:val="5D285E24"/>
    <w:rsid w:val="5D4D0D68"/>
    <w:rsid w:val="5D646B20"/>
    <w:rsid w:val="5D6B3030"/>
    <w:rsid w:val="5D87383E"/>
    <w:rsid w:val="5D8E7FCC"/>
    <w:rsid w:val="5DAE5065"/>
    <w:rsid w:val="5DDE57E4"/>
    <w:rsid w:val="5DEB2217"/>
    <w:rsid w:val="5E2F0501"/>
    <w:rsid w:val="5E3B6EA6"/>
    <w:rsid w:val="5E5B3C72"/>
    <w:rsid w:val="5E5C6742"/>
    <w:rsid w:val="5E69287D"/>
    <w:rsid w:val="5E9D4A86"/>
    <w:rsid w:val="5ED62298"/>
    <w:rsid w:val="5ED846F5"/>
    <w:rsid w:val="5EED6B4B"/>
    <w:rsid w:val="5EF16D4F"/>
    <w:rsid w:val="5EFC6636"/>
    <w:rsid w:val="5F033246"/>
    <w:rsid w:val="5F736B4F"/>
    <w:rsid w:val="5FB35A95"/>
    <w:rsid w:val="5FB70370"/>
    <w:rsid w:val="5FC0678B"/>
    <w:rsid w:val="60234096"/>
    <w:rsid w:val="602B400B"/>
    <w:rsid w:val="606A3003"/>
    <w:rsid w:val="609A79A9"/>
    <w:rsid w:val="60B11915"/>
    <w:rsid w:val="60C8658A"/>
    <w:rsid w:val="60D602B0"/>
    <w:rsid w:val="61021EFD"/>
    <w:rsid w:val="611B564C"/>
    <w:rsid w:val="613227E3"/>
    <w:rsid w:val="613D2F35"/>
    <w:rsid w:val="6182768B"/>
    <w:rsid w:val="618E553F"/>
    <w:rsid w:val="619D39D4"/>
    <w:rsid w:val="61A42FB4"/>
    <w:rsid w:val="61B42DA5"/>
    <w:rsid w:val="61BC20AC"/>
    <w:rsid w:val="61F0219C"/>
    <w:rsid w:val="6219237C"/>
    <w:rsid w:val="621E466A"/>
    <w:rsid w:val="623750D7"/>
    <w:rsid w:val="623E0D13"/>
    <w:rsid w:val="624D0F56"/>
    <w:rsid w:val="62556177"/>
    <w:rsid w:val="62605F13"/>
    <w:rsid w:val="62632142"/>
    <w:rsid w:val="62665052"/>
    <w:rsid w:val="62AA5BDB"/>
    <w:rsid w:val="62CB4332"/>
    <w:rsid w:val="62D653F0"/>
    <w:rsid w:val="62FC7A3F"/>
    <w:rsid w:val="62FD51DD"/>
    <w:rsid w:val="63467BEA"/>
    <w:rsid w:val="634E31D8"/>
    <w:rsid w:val="63510FDC"/>
    <w:rsid w:val="63807109"/>
    <w:rsid w:val="63914528"/>
    <w:rsid w:val="63B35731"/>
    <w:rsid w:val="644F0FB6"/>
    <w:rsid w:val="64601F80"/>
    <w:rsid w:val="647E7AED"/>
    <w:rsid w:val="648D5F82"/>
    <w:rsid w:val="64B928D3"/>
    <w:rsid w:val="64D4770D"/>
    <w:rsid w:val="64D616D7"/>
    <w:rsid w:val="64F97173"/>
    <w:rsid w:val="65273CE0"/>
    <w:rsid w:val="65307038"/>
    <w:rsid w:val="655A2694"/>
    <w:rsid w:val="6581446B"/>
    <w:rsid w:val="658936F4"/>
    <w:rsid w:val="65A66B38"/>
    <w:rsid w:val="65D11E9E"/>
    <w:rsid w:val="65D2418E"/>
    <w:rsid w:val="65FE6234"/>
    <w:rsid w:val="66012783"/>
    <w:rsid w:val="66372002"/>
    <w:rsid w:val="66733CAB"/>
    <w:rsid w:val="67095D94"/>
    <w:rsid w:val="671B6C20"/>
    <w:rsid w:val="67206C39"/>
    <w:rsid w:val="672F1572"/>
    <w:rsid w:val="675B2171"/>
    <w:rsid w:val="677633B7"/>
    <w:rsid w:val="67930C26"/>
    <w:rsid w:val="67974194"/>
    <w:rsid w:val="67AF7FBD"/>
    <w:rsid w:val="67F26828"/>
    <w:rsid w:val="68202C56"/>
    <w:rsid w:val="682D3D04"/>
    <w:rsid w:val="68523C75"/>
    <w:rsid w:val="68697059"/>
    <w:rsid w:val="686D716B"/>
    <w:rsid w:val="68A96345"/>
    <w:rsid w:val="68D26659"/>
    <w:rsid w:val="68F51759"/>
    <w:rsid w:val="69201173"/>
    <w:rsid w:val="6965127B"/>
    <w:rsid w:val="69810CBB"/>
    <w:rsid w:val="69A27DD9"/>
    <w:rsid w:val="69D837FB"/>
    <w:rsid w:val="6A1567FD"/>
    <w:rsid w:val="6A2F7FCC"/>
    <w:rsid w:val="6A50062C"/>
    <w:rsid w:val="6ACE2EEC"/>
    <w:rsid w:val="6AD84F8F"/>
    <w:rsid w:val="6ADC4D48"/>
    <w:rsid w:val="6AE10DD5"/>
    <w:rsid w:val="6B0022A0"/>
    <w:rsid w:val="6B7E2D51"/>
    <w:rsid w:val="6B94425A"/>
    <w:rsid w:val="6BA03FA2"/>
    <w:rsid w:val="6BAF6547"/>
    <w:rsid w:val="6BE81E0B"/>
    <w:rsid w:val="6C111246"/>
    <w:rsid w:val="6C1F0831"/>
    <w:rsid w:val="6C5511AF"/>
    <w:rsid w:val="6C7D4B2E"/>
    <w:rsid w:val="6CF43042"/>
    <w:rsid w:val="6CFD78C1"/>
    <w:rsid w:val="6D325918"/>
    <w:rsid w:val="6DB36A59"/>
    <w:rsid w:val="6DB63E53"/>
    <w:rsid w:val="6DC17208"/>
    <w:rsid w:val="6DC46259"/>
    <w:rsid w:val="6DCC3677"/>
    <w:rsid w:val="6DE038B7"/>
    <w:rsid w:val="6E146DCC"/>
    <w:rsid w:val="6E163333"/>
    <w:rsid w:val="6E4A6438"/>
    <w:rsid w:val="6E4C2A0A"/>
    <w:rsid w:val="6E5D43F0"/>
    <w:rsid w:val="6EE74A33"/>
    <w:rsid w:val="6EEE3485"/>
    <w:rsid w:val="6F3702E3"/>
    <w:rsid w:val="6F3730EC"/>
    <w:rsid w:val="6F472DAB"/>
    <w:rsid w:val="6F8A5598"/>
    <w:rsid w:val="6FAA37F3"/>
    <w:rsid w:val="6FD2221B"/>
    <w:rsid w:val="6FD9651F"/>
    <w:rsid w:val="6FE91FF5"/>
    <w:rsid w:val="70156635"/>
    <w:rsid w:val="706978A3"/>
    <w:rsid w:val="70912956"/>
    <w:rsid w:val="70970B1E"/>
    <w:rsid w:val="709F1517"/>
    <w:rsid w:val="70A97C9F"/>
    <w:rsid w:val="70D8162B"/>
    <w:rsid w:val="70E312AD"/>
    <w:rsid w:val="710545BF"/>
    <w:rsid w:val="711D243B"/>
    <w:rsid w:val="712F22A0"/>
    <w:rsid w:val="713B2AA0"/>
    <w:rsid w:val="71B522C5"/>
    <w:rsid w:val="71E75639"/>
    <w:rsid w:val="7200550C"/>
    <w:rsid w:val="720E161C"/>
    <w:rsid w:val="72456795"/>
    <w:rsid w:val="72742527"/>
    <w:rsid w:val="72C47F20"/>
    <w:rsid w:val="72E27499"/>
    <w:rsid w:val="72EF04F8"/>
    <w:rsid w:val="72F0605A"/>
    <w:rsid w:val="72F86CBC"/>
    <w:rsid w:val="72FA6ED8"/>
    <w:rsid w:val="7306587D"/>
    <w:rsid w:val="731F693F"/>
    <w:rsid w:val="73334198"/>
    <w:rsid w:val="7355410F"/>
    <w:rsid w:val="73583DA6"/>
    <w:rsid w:val="735F4F8D"/>
    <w:rsid w:val="7376460A"/>
    <w:rsid w:val="73B0538E"/>
    <w:rsid w:val="74017DF2"/>
    <w:rsid w:val="740E19CE"/>
    <w:rsid w:val="745B7503"/>
    <w:rsid w:val="74606AF2"/>
    <w:rsid w:val="747131CA"/>
    <w:rsid w:val="7479207F"/>
    <w:rsid w:val="74A7754F"/>
    <w:rsid w:val="74FA4F6E"/>
    <w:rsid w:val="7514289A"/>
    <w:rsid w:val="753C7334"/>
    <w:rsid w:val="754951CF"/>
    <w:rsid w:val="755521A4"/>
    <w:rsid w:val="75792472"/>
    <w:rsid w:val="75D801A3"/>
    <w:rsid w:val="75E55BA3"/>
    <w:rsid w:val="75FB260F"/>
    <w:rsid w:val="76524935"/>
    <w:rsid w:val="76852F5D"/>
    <w:rsid w:val="76EE28B0"/>
    <w:rsid w:val="771B741D"/>
    <w:rsid w:val="77DC4DFE"/>
    <w:rsid w:val="77E50928"/>
    <w:rsid w:val="780C4A78"/>
    <w:rsid w:val="784F55D0"/>
    <w:rsid w:val="78591FAB"/>
    <w:rsid w:val="7867519E"/>
    <w:rsid w:val="78801B7E"/>
    <w:rsid w:val="78CD4747"/>
    <w:rsid w:val="78D9133E"/>
    <w:rsid w:val="78E9241F"/>
    <w:rsid w:val="79132AA2"/>
    <w:rsid w:val="792E51E6"/>
    <w:rsid w:val="7940316B"/>
    <w:rsid w:val="795F3C64"/>
    <w:rsid w:val="79975481"/>
    <w:rsid w:val="79C67E7B"/>
    <w:rsid w:val="7A1272E2"/>
    <w:rsid w:val="7A2153C7"/>
    <w:rsid w:val="7A28326B"/>
    <w:rsid w:val="7A41363F"/>
    <w:rsid w:val="7A470783"/>
    <w:rsid w:val="7A76360A"/>
    <w:rsid w:val="7AA37E55"/>
    <w:rsid w:val="7AAD2C70"/>
    <w:rsid w:val="7ACA3634"/>
    <w:rsid w:val="7AE74A71"/>
    <w:rsid w:val="7AF4245F"/>
    <w:rsid w:val="7AFE2A46"/>
    <w:rsid w:val="7B02692A"/>
    <w:rsid w:val="7B163DD7"/>
    <w:rsid w:val="7B2367FE"/>
    <w:rsid w:val="7B3D3F03"/>
    <w:rsid w:val="7B532602"/>
    <w:rsid w:val="7B5E1877"/>
    <w:rsid w:val="7B6020D8"/>
    <w:rsid w:val="7B6A75A8"/>
    <w:rsid w:val="7B7517F2"/>
    <w:rsid w:val="7B7B671D"/>
    <w:rsid w:val="7BAD7AA1"/>
    <w:rsid w:val="7BE67FFA"/>
    <w:rsid w:val="7C090C35"/>
    <w:rsid w:val="7C23269E"/>
    <w:rsid w:val="7C34510F"/>
    <w:rsid w:val="7C372603"/>
    <w:rsid w:val="7C3F3BAE"/>
    <w:rsid w:val="7C8D66C7"/>
    <w:rsid w:val="7D1D3EEF"/>
    <w:rsid w:val="7D637057"/>
    <w:rsid w:val="7DA55C93"/>
    <w:rsid w:val="7DC26844"/>
    <w:rsid w:val="7DDA449A"/>
    <w:rsid w:val="7DED1B13"/>
    <w:rsid w:val="7E1370A0"/>
    <w:rsid w:val="7E2A2FFF"/>
    <w:rsid w:val="7E312886"/>
    <w:rsid w:val="7E492AC2"/>
    <w:rsid w:val="7E6F0E47"/>
    <w:rsid w:val="7E8256A3"/>
    <w:rsid w:val="7E8C527A"/>
    <w:rsid w:val="7EB6745C"/>
    <w:rsid w:val="7F016EF9"/>
    <w:rsid w:val="7F271055"/>
    <w:rsid w:val="7F51283A"/>
    <w:rsid w:val="7FC06DB4"/>
    <w:rsid w:val="7FCC7507"/>
    <w:rsid w:val="7FD92360"/>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220" w:beforeLines="0" w:beforeAutospacing="0" w:after="210" w:afterLines="0" w:afterAutospacing="0" w:line="360" w:lineRule="auto"/>
      <w:ind w:leftChars="200"/>
      <w:jc w:val="both"/>
      <w:outlineLvl w:val="0"/>
    </w:pPr>
    <w:rPr>
      <w:rFonts w:ascii="Times New Roman" w:hAnsi="Times New Roman" w:eastAsia="黑体" w:cs="Times New Roman"/>
      <w:kern w:val="44"/>
      <w:sz w:val="32"/>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360" w:lineRule="auto"/>
      <w:ind w:firstLine="640" w:firstLineChars="200"/>
      <w:outlineLvl w:val="1"/>
    </w:pPr>
    <w:rPr>
      <w:rFonts w:ascii="楷体_GB2312" w:hAnsi="楷体_GB2312" w:eastAsia="楷体_GB2312"/>
      <w:b/>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eastAsia="宋体"/>
      <w:sz w:val="28"/>
    </w:rPr>
  </w:style>
  <w:style w:type="paragraph" w:styleId="10">
    <w:name w:val="toc 2"/>
    <w:basedOn w:val="1"/>
    <w:next w:val="1"/>
    <w:qFormat/>
    <w:uiPriority w:val="0"/>
    <w:pPr>
      <w:ind w:left="420" w:leftChars="200"/>
    </w:pPr>
    <w:rPr>
      <w:rFonts w:eastAsia="宋体"/>
      <w:sz w:val="28"/>
    </w:rPr>
  </w:style>
  <w:style w:type="character" w:styleId="12">
    <w:name w:val="Hyperlink"/>
    <w:basedOn w:val="11"/>
    <w:qFormat/>
    <w:uiPriority w:val="0"/>
    <w:rPr>
      <w:color w:val="0000FF"/>
      <w:u w:val="single"/>
    </w:rPr>
  </w:style>
  <w:style w:type="table" w:styleId="14">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91"/>
    <w:qFormat/>
    <w:uiPriority w:val="0"/>
    <w:rPr>
      <w:rFonts w:hint="eastAsia" w:ascii="宋体" w:hAnsi="宋体" w:eastAsia="宋体" w:cs="宋体"/>
      <w:color w:val="000000"/>
      <w:sz w:val="18"/>
      <w:szCs w:val="18"/>
      <w:u w:val="none"/>
    </w:rPr>
  </w:style>
  <w:style w:type="character" w:customStyle="1" w:styleId="19">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19143</Words>
  <Characters>21006</Characters>
  <Lines>0</Lines>
  <Paragraphs>0</Paragraphs>
  <TotalTime>10</TotalTime>
  <ScaleCrop>false</ScaleCrop>
  <LinksUpToDate>false</LinksUpToDate>
  <CharactersWithSpaces>21145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2022-06-29T05:41:00Z</dcterms:created>
  <dc:creator>lenovo</dc:creator>
  <cp:lastModifiedBy>胡雨</cp:lastModifiedBy>
  <cp:lastPrinted>2023-02-07T06:48:00Z</cp:lastPrinted>
  <dcterms:modified xsi:type="dcterms:W3CDTF">2023-02-07T07:26:09Z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A5C75B091DE24DFF9A5DD18D973AEBDE</vt:lpwstr>
  </property>
  <property fmtid="{D5CDD505-2E9C-101B-9397-08002B2CF9AE}" pid="4" name="ribbonExt">
    <vt:lpwstr>{"WPSExtOfficeTab":{"OnGetEnabled":false,"OnGetVisible":false}}</vt:lpwstr>
  </property>
</Properties>
</file>