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0" w:firstLineChars="0"/>
        <w:outlineLvl w:val="0"/>
        <w:rPr>
          <w:rFonts w:ascii="Times New Roman" w:hAnsi="Times New Roman" w:eastAsia="黑体" w:cs="Times New Roman"/>
          <w:sz w:val="32"/>
          <w:szCs w:val="32"/>
          <w:lang w:bidi="ar"/>
        </w:rPr>
      </w:pPr>
      <w:bookmarkStart w:id="0" w:name="_Toc4163"/>
      <w:bookmarkStart w:id="1" w:name="_Toc28086"/>
      <w:bookmarkStart w:id="2" w:name="_Toc13106"/>
      <w:bookmarkStart w:id="3" w:name="_Toc1975"/>
      <w:bookmarkStart w:id="4" w:name="_Toc111058366"/>
      <w:r>
        <w:rPr>
          <w:rFonts w:hint="eastAsia" w:ascii="Times New Roman" w:hAnsi="Times New Roman" w:eastAsia="黑体" w:cs="Times New Roman"/>
          <w:sz w:val="32"/>
          <w:szCs w:val="32"/>
          <w:lang w:bidi="ar"/>
        </w:rPr>
        <w:t>附件</w:t>
      </w:r>
      <w:bookmarkEnd w:id="0"/>
    </w:p>
    <w:p>
      <w:pPr>
        <w:ind w:firstLine="0" w:firstLineChars="0"/>
        <w:jc w:val="center"/>
        <w:rPr>
          <w:rFonts w:asciiTheme="majorEastAsia" w:hAnsiTheme="majorEastAsia" w:eastAsiaTheme="majorEastAsia" w:cstheme="majorEastAsia"/>
          <w:b/>
          <w:sz w:val="44"/>
          <w:szCs w:val="44"/>
          <w:lang w:bidi="ar"/>
        </w:rPr>
      </w:pPr>
      <w:bookmarkStart w:id="5" w:name="_Toc12889"/>
    </w:p>
    <w:p>
      <w:pPr>
        <w:ind w:firstLine="0" w:firstLineChars="0"/>
        <w:jc w:val="center"/>
        <w:rPr>
          <w:rFonts w:asciiTheme="majorEastAsia" w:hAnsiTheme="majorEastAsia" w:eastAsiaTheme="majorEastAsia" w:cstheme="majorEastAsia"/>
          <w:b/>
          <w:sz w:val="44"/>
          <w:szCs w:val="44"/>
          <w:lang w:bidi="ar"/>
        </w:rPr>
      </w:pPr>
    </w:p>
    <w:p>
      <w:pPr>
        <w:ind w:firstLine="0" w:firstLineChars="0"/>
        <w:jc w:val="center"/>
        <w:rPr>
          <w:rFonts w:asciiTheme="majorEastAsia" w:hAnsiTheme="majorEastAsia" w:eastAsiaTheme="majorEastAsia" w:cstheme="majorEastAsia"/>
          <w:b/>
          <w:sz w:val="44"/>
          <w:szCs w:val="44"/>
          <w:lang w:bidi="ar"/>
        </w:rPr>
      </w:pPr>
      <w:r>
        <w:rPr>
          <w:rFonts w:hint="eastAsia" w:asciiTheme="majorEastAsia" w:hAnsiTheme="majorEastAsia" w:eastAsiaTheme="majorEastAsia" w:cstheme="majorEastAsia"/>
          <w:b/>
          <w:sz w:val="44"/>
          <w:szCs w:val="44"/>
          <w:lang w:bidi="ar"/>
        </w:rPr>
        <w:t>中共韶关市委党校2021年度部门</w:t>
      </w:r>
    </w:p>
    <w:p>
      <w:pPr>
        <w:ind w:firstLine="0" w:firstLineChars="0"/>
        <w:jc w:val="center"/>
        <w:rPr>
          <w:rFonts w:asciiTheme="majorEastAsia" w:hAnsiTheme="majorEastAsia" w:eastAsiaTheme="majorEastAsia" w:cstheme="majorEastAsia"/>
          <w:b/>
          <w:sz w:val="44"/>
          <w:szCs w:val="44"/>
          <w:lang w:bidi="ar"/>
        </w:rPr>
      </w:pPr>
      <w:r>
        <w:rPr>
          <w:rFonts w:hint="eastAsia" w:asciiTheme="majorEastAsia" w:hAnsiTheme="majorEastAsia" w:eastAsiaTheme="majorEastAsia" w:cstheme="majorEastAsia"/>
          <w:b/>
          <w:sz w:val="44"/>
          <w:szCs w:val="44"/>
          <w:lang w:bidi="ar"/>
        </w:rPr>
        <w:t>整体支出绩效评价报告</w:t>
      </w:r>
    </w:p>
    <w:p>
      <w:pPr>
        <w:ind w:firstLine="0" w:firstLineChars="0"/>
        <w:jc w:val="center"/>
        <w:rPr>
          <w:szCs w:val="32"/>
        </w:rPr>
      </w:pPr>
    </w:p>
    <w:p>
      <w:pPr>
        <w:ind w:firstLine="0" w:firstLineChars="0"/>
        <w:jc w:val="center"/>
        <w:rPr>
          <w:sz w:val="52"/>
          <w:szCs w:val="52"/>
        </w:rPr>
      </w:pPr>
    </w:p>
    <w:p>
      <w:pPr>
        <w:pStyle w:val="2"/>
      </w:pPr>
    </w:p>
    <w:p>
      <w:pPr>
        <w:ind w:firstLine="0" w:firstLineChars="0"/>
        <w:jc w:val="center"/>
        <w:rPr>
          <w:sz w:val="52"/>
          <w:szCs w:val="52"/>
        </w:rPr>
      </w:pPr>
    </w:p>
    <w:p>
      <w:pPr>
        <w:ind w:firstLine="0" w:firstLineChars="0"/>
        <w:jc w:val="center"/>
        <w:rPr>
          <w:sz w:val="52"/>
          <w:szCs w:val="52"/>
        </w:rPr>
      </w:pPr>
    </w:p>
    <w:p>
      <w:pPr>
        <w:ind w:firstLine="0" w:firstLineChars="0"/>
        <w:jc w:val="center"/>
        <w:rPr>
          <w:sz w:val="52"/>
          <w:szCs w:val="52"/>
        </w:rPr>
      </w:pPr>
    </w:p>
    <w:p>
      <w:pPr>
        <w:ind w:firstLine="0" w:firstLineChars="0"/>
        <w:jc w:val="center"/>
        <w:rPr>
          <w:sz w:val="52"/>
          <w:szCs w:val="52"/>
        </w:rPr>
      </w:pPr>
    </w:p>
    <w:p>
      <w:pPr>
        <w:ind w:firstLine="0" w:firstLineChars="0"/>
        <w:jc w:val="center"/>
        <w:rPr>
          <w:sz w:val="52"/>
          <w:szCs w:val="52"/>
        </w:rPr>
      </w:pPr>
    </w:p>
    <w:p>
      <w:pPr>
        <w:pStyle w:val="2"/>
        <w:ind w:firstLine="1040"/>
        <w:rPr>
          <w:sz w:val="52"/>
          <w:szCs w:val="52"/>
        </w:rPr>
      </w:pPr>
    </w:p>
    <w:p>
      <w:pPr>
        <w:ind w:firstLine="0" w:firstLineChars="0"/>
        <w:rPr>
          <w:sz w:val="52"/>
          <w:szCs w:val="52"/>
        </w:rPr>
      </w:pPr>
    </w:p>
    <w:p>
      <w:pPr>
        <w:pStyle w:val="2"/>
        <w:rPr>
          <w:sz w:val="52"/>
          <w:szCs w:val="52"/>
        </w:rPr>
      </w:pPr>
    </w:p>
    <w:p/>
    <w:p>
      <w:pPr>
        <w:ind w:firstLine="0" w:firstLineChars="0"/>
        <w:jc w:val="center"/>
        <w:rPr>
          <w:rFonts w:asciiTheme="minorEastAsia" w:hAnsiTheme="minorEastAsia" w:eastAsiaTheme="minorEastAsia" w:cstheme="minorEastAsia"/>
          <w:szCs w:val="32"/>
        </w:rPr>
      </w:pPr>
    </w:p>
    <w:p>
      <w:pPr>
        <w:ind w:firstLine="0" w:firstLineChars="0"/>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pacing w:val="40"/>
          <w:kern w:val="0"/>
          <w:szCs w:val="32"/>
          <w:fitText w:val="1920" w:id="0"/>
        </w:rPr>
        <w:t>评价机构</w:t>
      </w:r>
      <w:r>
        <w:rPr>
          <w:rFonts w:hint="eastAsia" w:asciiTheme="minorEastAsia" w:hAnsiTheme="minorEastAsia" w:eastAsiaTheme="minorEastAsia" w:cstheme="minorEastAsia"/>
          <w:spacing w:val="0"/>
          <w:kern w:val="0"/>
          <w:szCs w:val="32"/>
          <w:fitText w:val="1920" w:id="0"/>
        </w:rPr>
        <w:t>：</w:t>
      </w:r>
      <w:r>
        <w:rPr>
          <w:rFonts w:hint="eastAsia" w:asciiTheme="minorEastAsia" w:hAnsiTheme="minorEastAsia" w:eastAsiaTheme="minorEastAsia" w:cstheme="minorEastAsia"/>
          <w:szCs w:val="32"/>
        </w:rPr>
        <w:t>致同会计师事务所（特殊普通合伙）广州分所</w:t>
      </w:r>
    </w:p>
    <w:p>
      <w:pPr>
        <w:ind w:left="160" w:leftChars="50" w:firstLine="0" w:firstLineChars="0"/>
        <w:rPr>
          <w:rFonts w:asciiTheme="minorEastAsia" w:hAnsiTheme="minorEastAsia" w:eastAsiaTheme="minorEastAsia" w:cstheme="minorEastAsia"/>
          <w:szCs w:val="32"/>
        </w:rPr>
      </w:pPr>
      <w:r>
        <w:rPr>
          <w:rFonts w:hint="eastAsia" w:asciiTheme="minorEastAsia" w:hAnsiTheme="minorEastAsia" w:eastAsiaTheme="minorEastAsia" w:cstheme="minorEastAsia"/>
          <w:spacing w:val="0"/>
          <w:kern w:val="0"/>
          <w:szCs w:val="32"/>
          <w:fitText w:val="1920" w:id="1"/>
        </w:rPr>
        <w:t>机构负责人：</w:t>
      </w:r>
      <w:r>
        <w:rPr>
          <w:rFonts w:hint="eastAsia" w:asciiTheme="minorEastAsia" w:hAnsiTheme="minorEastAsia" w:eastAsiaTheme="minorEastAsia" w:cstheme="minorEastAsia"/>
          <w:kern w:val="0"/>
          <w:szCs w:val="32"/>
        </w:rPr>
        <w:t>胡</w:t>
      </w:r>
      <w:r>
        <w:rPr>
          <w:rFonts w:hint="eastAsia" w:asciiTheme="minorEastAsia" w:hAnsiTheme="minorEastAsia" w:eastAsiaTheme="minorEastAsia" w:cstheme="minorEastAsia"/>
          <w:kern w:val="0"/>
          <w:szCs w:val="32"/>
          <w:lang w:val="en-US" w:eastAsia="zh-CN"/>
        </w:rPr>
        <w:t xml:space="preserve">  </w:t>
      </w:r>
      <w:r>
        <w:rPr>
          <w:rFonts w:hint="eastAsia" w:asciiTheme="minorEastAsia" w:hAnsiTheme="minorEastAsia" w:eastAsiaTheme="minorEastAsia" w:cstheme="minorEastAsia"/>
          <w:kern w:val="0"/>
          <w:szCs w:val="32"/>
        </w:rPr>
        <w:t>海</w:t>
      </w:r>
    </w:p>
    <w:p>
      <w:pPr>
        <w:ind w:left="160" w:leftChars="50" w:firstLine="0" w:firstLineChars="0"/>
        <w:rPr>
          <w:rFonts w:asciiTheme="minorEastAsia" w:hAnsiTheme="minorEastAsia" w:eastAsiaTheme="minorEastAsia" w:cstheme="minorEastAsia"/>
          <w:szCs w:val="32"/>
        </w:rPr>
      </w:pPr>
      <w:r>
        <w:rPr>
          <w:rFonts w:hint="eastAsia" w:asciiTheme="minorEastAsia" w:hAnsiTheme="minorEastAsia" w:eastAsiaTheme="minorEastAsia" w:cstheme="minorEastAsia"/>
          <w:spacing w:val="0"/>
          <w:kern w:val="0"/>
          <w:szCs w:val="32"/>
          <w:fitText w:val="1920" w:id="2"/>
        </w:rPr>
        <w:t>项目负责人：</w:t>
      </w:r>
      <w:r>
        <w:rPr>
          <w:rFonts w:hint="eastAsia" w:asciiTheme="minorEastAsia" w:hAnsiTheme="minorEastAsia" w:eastAsiaTheme="minorEastAsia" w:cstheme="minorEastAsia"/>
          <w:kern w:val="0"/>
          <w:szCs w:val="32"/>
        </w:rPr>
        <w:t>杨</w:t>
      </w:r>
      <w:r>
        <w:rPr>
          <w:rFonts w:hint="eastAsia" w:asciiTheme="minorEastAsia" w:hAnsiTheme="minorEastAsia" w:eastAsiaTheme="minorEastAsia" w:cstheme="minorEastAsia"/>
          <w:kern w:val="0"/>
          <w:szCs w:val="32"/>
          <w:lang w:val="en-US" w:eastAsia="zh-CN"/>
        </w:rPr>
        <w:t xml:space="preserve">  </w:t>
      </w:r>
      <w:bookmarkStart w:id="44" w:name="_GoBack"/>
      <w:bookmarkEnd w:id="44"/>
      <w:r>
        <w:rPr>
          <w:rFonts w:hint="eastAsia" w:asciiTheme="minorEastAsia" w:hAnsiTheme="minorEastAsia" w:eastAsiaTheme="minorEastAsia" w:cstheme="minorEastAsia"/>
          <w:kern w:val="0"/>
          <w:szCs w:val="32"/>
        </w:rPr>
        <w:t>帆</w:t>
      </w:r>
    </w:p>
    <w:p>
      <w:pPr>
        <w:pStyle w:val="9"/>
        <w:ind w:firstLine="0" w:firstLineChars="0"/>
        <w:jc w:val="both"/>
        <w:outlineLvl w:val="0"/>
        <w:rPr>
          <w:rFonts w:ascii="Times New Roman" w:hAnsi="Times New Roman" w:eastAsia="黑体" w:cs="Times New Roman"/>
          <w:sz w:val="32"/>
          <w:szCs w:val="32"/>
          <w:lang w:bidi="ar"/>
        </w:rPr>
      </w:pPr>
    </w:p>
    <w:p>
      <w:pPr>
        <w:pStyle w:val="9"/>
        <w:ind w:firstLine="0" w:firstLineChars="0"/>
        <w:jc w:val="center"/>
        <w:outlineLvl w:val="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摘  要</w:t>
      </w:r>
      <w:bookmarkEnd w:id="1"/>
      <w:bookmarkEnd w:id="2"/>
      <w:bookmarkEnd w:id="3"/>
      <w:bookmarkEnd w:id="4"/>
      <w:bookmarkEnd w:id="5"/>
    </w:p>
    <w:p>
      <w:pPr>
        <w:ind w:firstLine="640"/>
        <w:rPr>
          <w:rFonts w:ascii="仿宋_GB2312" w:hAnsi="仿宋_GB2312" w:cs="仿宋_GB2312"/>
        </w:rPr>
      </w:pPr>
      <w:bookmarkStart w:id="6" w:name="_Toc16521"/>
      <w:r>
        <w:rPr>
          <w:rFonts w:hint="eastAsia" w:ascii="仿宋_GB2312" w:hAnsi="仿宋_GB2312" w:cs="仿宋_GB2312"/>
        </w:rPr>
        <w:t>为促进预算部门强化绩效理念，提高部门整体支出的整体效果和使用效率，进一步提升政府部门绩效水平，受韶关市财政局委托，致同会计师事务所（特殊普通合伙）广州分所（以下简称“致同”）作为第三方绩效评价中介机构，本着客观、公平、公正的原则，对中共韶关市委党校（以下简称“市委党校”）2021年部门整体支出绩效开展第三方独立评价。</w:t>
      </w:r>
    </w:p>
    <w:p>
      <w:pPr>
        <w:ind w:firstLine="640"/>
        <w:rPr>
          <w:rFonts w:ascii="仿宋_GB2312" w:hAnsi="仿宋_GB2312" w:cs="仿宋_GB2312"/>
          <w:szCs w:val="32"/>
          <w:shd w:val="clear" w:color="auto" w:fill="FFFFFF"/>
        </w:rPr>
      </w:pPr>
      <w:r>
        <w:rPr>
          <w:rFonts w:hint="eastAsia" w:ascii="仿宋_GB2312" w:hAnsi="仿宋_GB2312" w:cs="仿宋_GB2312"/>
        </w:rPr>
        <w:t>本次评价范围是市委党校2021年部门整体支出，</w:t>
      </w:r>
      <w:r>
        <w:rPr>
          <w:rFonts w:hint="eastAsia" w:ascii="仿宋_GB2312" w:hAnsi="仿宋_GB2312" w:cs="仿宋_GB2312"/>
          <w:szCs w:val="32"/>
          <w:shd w:val="clear" w:color="auto" w:fill="FFFFFF"/>
        </w:rPr>
        <w:t>其年初预算数10,538.97万元，年中调整预算3,074.38万元，预算</w:t>
      </w:r>
      <w:r>
        <w:rPr>
          <w:rFonts w:hint="eastAsia" w:ascii="仿宋_GB2312" w:hAnsi="仿宋_GB2312" w:cs="仿宋_GB2312"/>
          <w:szCs w:val="32"/>
        </w:rPr>
        <w:t>调整率为29.17%，实际支出</w:t>
      </w:r>
      <w:r>
        <w:rPr>
          <w:rFonts w:hint="eastAsia" w:ascii="仿宋_GB2312" w:hAnsi="仿宋_GB2312" w:cs="仿宋_GB2312"/>
          <w:szCs w:val="32"/>
          <w:shd w:val="clear" w:color="auto" w:fill="FFFFFF"/>
        </w:rPr>
        <w:t>数为7,464.59万元，部门预算支出率为100%。</w:t>
      </w:r>
    </w:p>
    <w:p>
      <w:pPr>
        <w:ind w:firstLine="640"/>
        <w:rPr>
          <w:rFonts w:ascii="仿宋_GB2312" w:hAnsi="仿宋_GB2312" w:cs="仿宋_GB2312"/>
          <w:szCs w:val="32"/>
        </w:rPr>
      </w:pPr>
      <w:r>
        <w:rPr>
          <w:rFonts w:hint="eastAsia" w:ascii="仿宋_GB2312" w:hAnsi="仿宋_GB2312" w:cs="仿宋_GB2312"/>
          <w:szCs w:val="32"/>
        </w:rPr>
        <w:t>2021年度市委党校按计划完成各类主体班、专项教学培训主线业务，接纳校外各类专项培训班；加强政策理论宣讲，将习近平新时代中国特色社会主义思想和党性教育纳入主体班必修课，同时，立足地方实践展开交流探讨，</w:t>
      </w:r>
      <w:r>
        <w:rPr>
          <w:rFonts w:hint="eastAsia" w:ascii="仿宋_GB2312" w:hAnsi="仿宋_GB2312" w:cs="仿宋_GB2312"/>
        </w:rPr>
        <w:t>形成了咨政论文和专题调研报告，为党委政府决策提供参考</w:t>
      </w:r>
      <w:r>
        <w:rPr>
          <w:rFonts w:hint="eastAsia" w:ascii="仿宋_GB2312" w:hAnsi="仿宋_GB2312" w:cs="仿宋_GB2312"/>
          <w:szCs w:val="32"/>
        </w:rPr>
        <w:t>；深入挖掘红色教育资源，开发6条教学路线和20多个教学点，打造教学精品线路和课程。</w:t>
      </w:r>
    </w:p>
    <w:p>
      <w:pPr>
        <w:ind w:firstLine="640"/>
        <w:rPr>
          <w:rFonts w:hint="eastAsia" w:ascii="仿宋_GB2312" w:hAnsi="仿宋_GB2312" w:eastAsia="仿宋_GB2312" w:cs="仿宋_GB2312"/>
        </w:rPr>
      </w:pPr>
      <w:r>
        <w:rPr>
          <w:rFonts w:hint="eastAsia" w:ascii="仿宋_GB2312" w:hAnsi="仿宋_GB2312" w:eastAsia="仿宋_GB2312" w:cs="仿宋_GB2312"/>
        </w:rPr>
        <w:t>根据既定指标体系，综合各项因素，</w:t>
      </w:r>
      <w:r>
        <w:rPr>
          <w:rFonts w:hint="eastAsia" w:ascii="仿宋_GB2312" w:hAnsi="仿宋_GB2312" w:eastAsia="仿宋_GB2312" w:cs="仿宋_GB2312"/>
          <w:kern w:val="0"/>
        </w:rPr>
        <w:t>评定2021年市委党校部门整体支出绩效评价得分为</w:t>
      </w:r>
      <w:r>
        <w:rPr>
          <w:rFonts w:hint="eastAsia" w:ascii="仿宋_GB2312" w:hAnsi="仿宋_GB2312" w:cs="仿宋_GB2312"/>
          <w:b/>
          <w:kern w:val="0"/>
          <w:lang w:val="en-US" w:eastAsia="zh-CN"/>
        </w:rPr>
        <w:t>83.25</w:t>
      </w:r>
      <w:r>
        <w:rPr>
          <w:rFonts w:hint="eastAsia" w:ascii="仿宋_GB2312" w:hAnsi="仿宋_GB2312" w:eastAsia="仿宋_GB2312" w:cs="仿宋_GB2312"/>
          <w:kern w:val="0"/>
        </w:rPr>
        <w:t>分，绩效等级为“</w:t>
      </w:r>
      <w:r>
        <w:rPr>
          <w:rFonts w:hint="eastAsia" w:ascii="仿宋_GB2312" w:hAnsi="仿宋_GB2312" w:cs="仿宋_GB2312"/>
          <w:b/>
          <w:bCs/>
          <w:kern w:val="0"/>
          <w:lang w:val="en-US" w:eastAsia="zh-CN"/>
        </w:rPr>
        <w:t>良</w:t>
      </w:r>
      <w:r>
        <w:rPr>
          <w:rFonts w:hint="eastAsia" w:ascii="仿宋_GB2312" w:hAnsi="仿宋_GB2312" w:eastAsia="仿宋_GB2312" w:cs="仿宋_GB2312"/>
          <w:kern w:val="0"/>
        </w:rPr>
        <w:t>”。</w:t>
      </w:r>
    </w:p>
    <w:p>
      <w:pPr>
        <w:ind w:firstLine="640"/>
        <w:rPr>
          <w:rFonts w:hint="eastAsia" w:ascii="仿宋_GB2312" w:hAnsi="仿宋_GB2312" w:cs="仿宋_GB2312"/>
          <w:szCs w:val="32"/>
        </w:rPr>
      </w:pPr>
      <w:r>
        <w:rPr>
          <w:rFonts w:hint="eastAsia" w:ascii="仿宋_GB2312" w:hAnsi="仿宋_GB2312" w:cs="仿宋_GB2312"/>
          <w:szCs w:val="32"/>
          <w:lang w:eastAsia="zh-CN"/>
        </w:rPr>
        <w:t>在评价过程中发现，</w:t>
      </w:r>
      <w:r>
        <w:rPr>
          <w:rFonts w:hint="eastAsia" w:ascii="仿宋_GB2312" w:hAnsi="仿宋_GB2312" w:eastAsia="仿宋_GB2312" w:cs="仿宋_GB2312"/>
          <w:szCs w:val="32"/>
        </w:rPr>
        <w:t>市委党校存在</w:t>
      </w:r>
      <w:r>
        <w:rPr>
          <w:rFonts w:hint="eastAsia" w:ascii="仿宋_GB2312" w:hAnsi="仿宋_GB2312" w:cs="仿宋_GB2312"/>
          <w:szCs w:val="32"/>
          <w:lang w:eastAsia="zh-CN"/>
        </w:rPr>
        <w:t>以下</w:t>
      </w:r>
      <w:r>
        <w:rPr>
          <w:rFonts w:hint="eastAsia" w:ascii="仿宋_GB2312" w:hAnsi="仿宋_GB2312" w:eastAsia="仿宋_GB2312" w:cs="仿宋_GB2312"/>
          <w:szCs w:val="32"/>
        </w:rPr>
        <w:t>问题：</w:t>
      </w:r>
      <w:r>
        <w:rPr>
          <w:rFonts w:hint="eastAsia" w:ascii="仿宋_GB2312" w:hAnsi="仿宋_GB2312" w:eastAsia="仿宋_GB2312" w:cs="仿宋_GB2312"/>
          <w:b/>
          <w:bCs/>
          <w:szCs w:val="32"/>
        </w:rPr>
        <w:t>一是</w:t>
      </w:r>
      <w:r>
        <w:rPr>
          <w:rFonts w:hint="eastAsia" w:ascii="仿宋_GB2312" w:hAnsi="仿宋_GB2312" w:eastAsia="仿宋_GB2312" w:cs="仿宋_GB2312"/>
          <w:szCs w:val="32"/>
        </w:rPr>
        <w:t>财务</w:t>
      </w:r>
      <w:r>
        <w:rPr>
          <w:rFonts w:hint="eastAsia" w:ascii="仿宋_GB2312" w:hAnsi="仿宋_GB2312" w:cs="仿宋_GB2312"/>
          <w:szCs w:val="32"/>
        </w:rPr>
        <w:t>及资产管理规范性不足；</w:t>
      </w:r>
      <w:r>
        <w:rPr>
          <w:rFonts w:hint="eastAsia" w:ascii="仿宋_GB2312" w:hAnsi="仿宋_GB2312" w:cs="仿宋_GB2312"/>
          <w:b/>
          <w:bCs/>
          <w:szCs w:val="32"/>
        </w:rPr>
        <w:t>二是</w:t>
      </w:r>
      <w:r>
        <w:rPr>
          <w:rFonts w:hint="eastAsia" w:ascii="仿宋_GB2312" w:hAnsi="仿宋_GB2312" w:cs="仿宋_GB2312"/>
          <w:szCs w:val="32"/>
        </w:rPr>
        <w:t>项目实施过程和监督管理有待加强；</w:t>
      </w:r>
      <w:r>
        <w:rPr>
          <w:rFonts w:hint="eastAsia" w:ascii="仿宋_GB2312" w:hAnsi="仿宋_GB2312" w:cs="仿宋_GB2312"/>
          <w:b/>
          <w:bCs/>
          <w:szCs w:val="32"/>
        </w:rPr>
        <w:t>三是</w:t>
      </w:r>
      <w:r>
        <w:rPr>
          <w:rFonts w:hint="eastAsia" w:ascii="仿宋_GB2312" w:hAnsi="仿宋_GB2312" w:cs="仿宋_GB2312"/>
          <w:szCs w:val="32"/>
        </w:rPr>
        <w:t>绩效目标和指标设置不够全面科学；</w:t>
      </w:r>
      <w:r>
        <w:rPr>
          <w:rFonts w:hint="eastAsia" w:ascii="仿宋_GB2312" w:hAnsi="仿宋_GB2312" w:cs="仿宋_GB2312"/>
          <w:b/>
          <w:bCs/>
          <w:szCs w:val="32"/>
        </w:rPr>
        <w:t>四是</w:t>
      </w:r>
      <w:r>
        <w:rPr>
          <w:rFonts w:hint="eastAsia" w:ascii="仿宋_GB2312" w:hAnsi="仿宋_GB2312" w:cs="仿宋_GB2312"/>
          <w:szCs w:val="32"/>
        </w:rPr>
        <w:t>领导干部讲课比例较低，教学质量评估不到位。</w:t>
      </w:r>
    </w:p>
    <w:p>
      <w:pPr>
        <w:ind w:firstLine="640"/>
        <w:rPr>
          <w:rFonts w:ascii="仿宋_GB2312" w:hAnsi="仿宋_GB2312" w:cs="仿宋_GB2312"/>
          <w:szCs w:val="32"/>
        </w:rPr>
      </w:pPr>
      <w:r>
        <w:rPr>
          <w:rFonts w:hint="eastAsia" w:ascii="仿宋_GB2312" w:hAnsi="仿宋_GB2312" w:cs="仿宋_GB2312"/>
          <w:szCs w:val="32"/>
        </w:rPr>
        <w:t>针对以上问题，第三方提出建议</w:t>
      </w:r>
      <w:r>
        <w:rPr>
          <w:rFonts w:hint="eastAsia" w:ascii="仿宋_GB2312" w:hAnsi="仿宋_GB2312" w:cs="仿宋_GB2312"/>
          <w:szCs w:val="32"/>
          <w:lang w:eastAsia="zh-CN"/>
        </w:rPr>
        <w:t>如下</w:t>
      </w:r>
      <w:r>
        <w:rPr>
          <w:rFonts w:hint="eastAsia" w:ascii="仿宋_GB2312" w:hAnsi="仿宋_GB2312" w:cs="仿宋_GB2312"/>
          <w:szCs w:val="32"/>
        </w:rPr>
        <w:t>：</w:t>
      </w:r>
      <w:r>
        <w:rPr>
          <w:rFonts w:hint="eastAsia" w:ascii="仿宋_GB2312" w:hAnsi="仿宋_GB2312" w:cs="仿宋_GB2312"/>
          <w:b/>
          <w:bCs/>
          <w:szCs w:val="32"/>
        </w:rPr>
        <w:t>一是</w:t>
      </w:r>
      <w:r>
        <w:rPr>
          <w:rFonts w:hint="eastAsia" w:ascii="仿宋_GB2312" w:hAnsi="仿宋_GB2312" w:cs="仿宋_GB2312"/>
          <w:szCs w:val="32"/>
        </w:rPr>
        <w:t>科学编制部门预算，提升财务和资产管理规范性；</w:t>
      </w:r>
      <w:r>
        <w:rPr>
          <w:rFonts w:hint="eastAsia" w:ascii="仿宋_GB2312" w:hAnsi="仿宋_GB2312" w:cs="仿宋_GB2312"/>
          <w:b/>
          <w:bCs/>
          <w:szCs w:val="32"/>
        </w:rPr>
        <w:t>二是</w:t>
      </w:r>
      <w:r>
        <w:rPr>
          <w:rFonts w:hint="eastAsia" w:ascii="仿宋_GB2312" w:hAnsi="仿宋_GB2312" w:cs="仿宋_GB2312"/>
          <w:szCs w:val="32"/>
        </w:rPr>
        <w:t>规范项目实施过程，加强后勤服务质量监督管理；</w:t>
      </w:r>
      <w:r>
        <w:rPr>
          <w:rFonts w:hint="eastAsia" w:ascii="仿宋_GB2312" w:hAnsi="仿宋_GB2312" w:cs="仿宋_GB2312"/>
          <w:b/>
          <w:bCs/>
          <w:szCs w:val="32"/>
        </w:rPr>
        <w:t>三是</w:t>
      </w:r>
      <w:r>
        <w:rPr>
          <w:rFonts w:hint="eastAsia" w:ascii="仿宋_GB2312" w:hAnsi="仿宋_GB2312" w:cs="仿宋_GB2312"/>
          <w:szCs w:val="32"/>
        </w:rPr>
        <w:t>科学合理设置绩效目标和指标，提升绩效管理工作水平；</w:t>
      </w:r>
      <w:r>
        <w:rPr>
          <w:rFonts w:hint="eastAsia" w:ascii="仿宋_GB2312" w:hAnsi="仿宋_GB2312" w:cs="仿宋_GB2312"/>
          <w:b/>
          <w:bCs/>
          <w:szCs w:val="32"/>
        </w:rPr>
        <w:t>四是</w:t>
      </w:r>
      <w:r>
        <w:rPr>
          <w:rFonts w:hint="eastAsia" w:ascii="仿宋_GB2312" w:hAnsi="仿宋_GB2312" w:cs="仿宋_GB2312"/>
          <w:szCs w:val="32"/>
        </w:rPr>
        <w:t>提前谋划领导干部讲课安排，建立完善教学质量评估体系。</w:t>
      </w:r>
    </w:p>
    <w:p>
      <w:pPr>
        <w:ind w:firstLine="640"/>
        <w:rPr>
          <w:rFonts w:ascii="仿宋_GB2312" w:hAnsi="仿宋_GB2312" w:cs="仿宋_GB2312"/>
          <w:szCs w:val="32"/>
        </w:rPr>
      </w:pPr>
    </w:p>
    <w:p>
      <w:pPr>
        <w:ind w:firstLine="0" w:firstLineChars="0"/>
      </w:pPr>
    </w:p>
    <w:p>
      <w:pPr>
        <w:ind w:left="640" w:firstLine="0" w:firstLineChars="0"/>
        <w:sectPr>
          <w:headerReference r:id="rId3" w:type="default"/>
          <w:footerReference r:id="rId4" w:type="default"/>
          <w:pgSz w:w="11906" w:h="16838"/>
          <w:pgMar w:top="1440" w:right="1418" w:bottom="1440" w:left="1531" w:header="851" w:footer="454" w:gutter="0"/>
          <w:pgNumType w:fmt="numberInDash" w:start="1"/>
          <w:cols w:space="425" w:num="1"/>
          <w:docGrid w:type="linesAndChars" w:linePitch="312" w:charSpace="0"/>
        </w:sectPr>
      </w:pPr>
    </w:p>
    <w:p>
      <w:pPr>
        <w:ind w:left="640" w:firstLine="0" w:firstLineChars="0"/>
        <w:jc w:val="center"/>
      </w:pPr>
      <w:bookmarkStart w:id="7" w:name="_Toc25569"/>
      <w:bookmarkStart w:id="8" w:name="_Toc111058367"/>
      <w:bookmarkStart w:id="9" w:name="_Toc26554"/>
      <w:r>
        <w:rPr>
          <w:rFonts w:eastAsia="宋体"/>
          <w:b/>
          <w:kern w:val="0"/>
          <w:szCs w:val="32"/>
        </w:rPr>
        <w:t>目  录</w:t>
      </w:r>
      <w:bookmarkEnd w:id="7"/>
      <w:bookmarkEnd w:id="8"/>
      <w:bookmarkEnd w:id="9"/>
      <w:r>
        <w:fldChar w:fldCharType="begin"/>
      </w:r>
      <w:r>
        <w:instrText xml:space="preserve"> TOC \o "1-2" \h \z \u </w:instrText>
      </w:r>
      <w:r>
        <w:fldChar w:fldCharType="separate"/>
      </w:r>
    </w:p>
    <w:p>
      <w:pPr>
        <w:pStyle w:val="16"/>
        <w:keepNext w:val="0"/>
        <w:keepLines w:val="0"/>
        <w:pageBreakBefore w:val="0"/>
        <w:widowControl w:val="0"/>
        <w:tabs>
          <w:tab w:val="right" w:leader="dot" w:pos="8957"/>
        </w:tabs>
        <w:kinsoku/>
        <w:wordWrap/>
        <w:overflowPunct/>
        <w:topLinePunct w:val="0"/>
        <w:autoSpaceDE/>
        <w:autoSpaceDN/>
        <w:bidi w:val="0"/>
        <w:adjustRightInd/>
        <w:snapToGrid/>
        <w:spacing w:line="500" w:lineRule="exact"/>
        <w:textAlignment w:val="auto"/>
        <w:outlineLvl w:val="9"/>
        <w:rPr>
          <w:rFonts w:asciiTheme="minorEastAsia" w:hAnsiTheme="minorEastAsia" w:eastAsiaTheme="minorEastAsia" w:cstheme="minorEastAsia"/>
          <w:sz w:val="24"/>
        </w:rPr>
      </w:pPr>
      <w:r>
        <w:fldChar w:fldCharType="begin"/>
      </w:r>
      <w:r>
        <w:instrText xml:space="preserve"> HYPERLINK \l "_Toc4772" </w:instrText>
      </w:r>
      <w:r>
        <w:fldChar w:fldCharType="separate"/>
      </w:r>
      <w:r>
        <w:rPr>
          <w:rFonts w:hint="eastAsia" w:asciiTheme="minorEastAsia" w:hAnsiTheme="minorEastAsia" w:eastAsiaTheme="minorEastAsia" w:cstheme="minorEastAsia"/>
          <w:sz w:val="24"/>
        </w:rPr>
        <w:t>一、部门基本情况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_Toc4772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- 1 -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"_Toc30731" </w:instrText>
      </w:r>
      <w:r>
        <w:fldChar w:fldCharType="separate"/>
      </w:r>
      <w:r>
        <w:rPr>
          <w:rFonts w:hint="eastAsia" w:asciiTheme="minorEastAsia" w:hAnsiTheme="minorEastAsia" w:eastAsiaTheme="minorEastAsia" w:cstheme="minorEastAsia"/>
          <w:sz w:val="24"/>
        </w:rPr>
        <w:t>（一）部门概要。</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_Toc30731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- 1 -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"_Toc26416" </w:instrText>
      </w:r>
      <w:r>
        <w:fldChar w:fldCharType="separate"/>
      </w:r>
      <w:r>
        <w:rPr>
          <w:rFonts w:hint="eastAsia" w:asciiTheme="minorEastAsia" w:hAnsiTheme="minorEastAsia" w:eastAsiaTheme="minorEastAsia" w:cstheme="minorEastAsia"/>
          <w:sz w:val="24"/>
        </w:rPr>
        <w:t>（二）年度总体工作任务及重点工作任务。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_Toc26416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"_Toc25887" </w:instrText>
      </w:r>
      <w:r>
        <w:fldChar w:fldCharType="separate"/>
      </w:r>
      <w:r>
        <w:rPr>
          <w:rFonts w:hint="eastAsia" w:asciiTheme="minorEastAsia" w:hAnsiTheme="minorEastAsia" w:eastAsiaTheme="minorEastAsia" w:cstheme="minorEastAsia"/>
          <w:sz w:val="24"/>
        </w:rPr>
        <w:t>（三）资金使用的绩效目标及指标。</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_Toc25887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"_Toc19692" </w:instrText>
      </w:r>
      <w:r>
        <w:fldChar w:fldCharType="separate"/>
      </w:r>
      <w:r>
        <w:rPr>
          <w:rFonts w:hint="eastAsia" w:asciiTheme="minorEastAsia" w:hAnsiTheme="minorEastAsia" w:eastAsiaTheme="minorEastAsia" w:cstheme="minorEastAsia"/>
          <w:sz w:val="24"/>
        </w:rPr>
        <w:t>（四）部门整体收支情况。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_Toc19692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- 3 -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6"/>
        <w:keepNext w:val="0"/>
        <w:keepLines w:val="0"/>
        <w:pageBreakBefore w:val="0"/>
        <w:widowControl w:val="0"/>
        <w:tabs>
          <w:tab w:val="right" w:leader="dot" w:pos="8957"/>
        </w:tabs>
        <w:kinsoku/>
        <w:wordWrap/>
        <w:overflowPunct/>
        <w:topLinePunct w:val="0"/>
        <w:autoSpaceDE/>
        <w:autoSpaceDN/>
        <w:bidi w:val="0"/>
        <w:adjustRightInd/>
        <w:snapToGrid/>
        <w:spacing w:line="500" w:lineRule="exact"/>
        <w:textAlignment w:val="auto"/>
        <w:outlineLvl w:val="9"/>
        <w:rPr>
          <w:rFonts w:asciiTheme="minorEastAsia" w:hAnsiTheme="minorEastAsia" w:eastAsiaTheme="minorEastAsia" w:cstheme="minorEastAsia"/>
          <w:sz w:val="24"/>
        </w:rPr>
      </w:pPr>
      <w:r>
        <w:fldChar w:fldCharType="begin"/>
      </w:r>
      <w:r>
        <w:instrText xml:space="preserve"> HYPERLINK \l "_Toc26025" </w:instrText>
      </w:r>
      <w:r>
        <w:fldChar w:fldCharType="separate"/>
      </w:r>
      <w:r>
        <w:rPr>
          <w:rFonts w:hint="eastAsia" w:asciiTheme="minorEastAsia" w:hAnsiTheme="minorEastAsia" w:eastAsiaTheme="minorEastAsia" w:cstheme="minorEastAsia"/>
          <w:sz w:val="24"/>
        </w:rPr>
        <w:t>二、绩效评价指标分析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_Toc26025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- 5 -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"_Toc3119" </w:instrText>
      </w:r>
      <w:r>
        <w:fldChar w:fldCharType="separate"/>
      </w:r>
      <w:r>
        <w:rPr>
          <w:rFonts w:hint="eastAsia" w:asciiTheme="minorEastAsia" w:hAnsiTheme="minorEastAsia" w:eastAsiaTheme="minorEastAsia" w:cstheme="minorEastAsia"/>
          <w:sz w:val="24"/>
        </w:rPr>
        <w:t>（一）年度工作任务及绩效目标完成情况。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_Toc3119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- 5 -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"_Toc25305" </w:instrText>
      </w:r>
      <w:r>
        <w:fldChar w:fldCharType="separate"/>
      </w:r>
      <w:r>
        <w:rPr>
          <w:rFonts w:hint="eastAsia" w:asciiTheme="minorEastAsia" w:hAnsiTheme="minorEastAsia" w:eastAsiaTheme="minorEastAsia" w:cstheme="minorEastAsia"/>
          <w:sz w:val="24"/>
        </w:rPr>
        <w:t>（二）指标分析。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_Toc25305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- 6 -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6"/>
        <w:keepNext w:val="0"/>
        <w:keepLines w:val="0"/>
        <w:pageBreakBefore w:val="0"/>
        <w:widowControl w:val="0"/>
        <w:tabs>
          <w:tab w:val="right" w:leader="dot" w:pos="8957"/>
        </w:tabs>
        <w:kinsoku/>
        <w:wordWrap/>
        <w:overflowPunct/>
        <w:topLinePunct w:val="0"/>
        <w:autoSpaceDE/>
        <w:autoSpaceDN/>
        <w:bidi w:val="0"/>
        <w:adjustRightInd/>
        <w:snapToGrid/>
        <w:spacing w:line="500" w:lineRule="exact"/>
        <w:textAlignment w:val="auto"/>
        <w:outlineLvl w:val="9"/>
        <w:rPr>
          <w:rFonts w:asciiTheme="minorEastAsia" w:hAnsiTheme="minorEastAsia" w:eastAsiaTheme="minorEastAsia" w:cstheme="minorEastAsia"/>
          <w:sz w:val="24"/>
        </w:rPr>
      </w:pPr>
      <w:r>
        <w:fldChar w:fldCharType="begin"/>
      </w:r>
      <w:r>
        <w:instrText xml:space="preserve"> HYPERLINK \l "_Toc27354" </w:instrText>
      </w:r>
      <w:r>
        <w:fldChar w:fldCharType="separate"/>
      </w:r>
      <w:r>
        <w:rPr>
          <w:rFonts w:hint="eastAsia" w:asciiTheme="minorEastAsia" w:hAnsiTheme="minorEastAsia" w:eastAsiaTheme="minorEastAsia" w:cstheme="minorEastAsia"/>
          <w:sz w:val="24"/>
        </w:rPr>
        <w:t>三、评价结论</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_Toc27354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- 16 -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6"/>
        <w:keepNext w:val="0"/>
        <w:keepLines w:val="0"/>
        <w:pageBreakBefore w:val="0"/>
        <w:widowControl w:val="0"/>
        <w:tabs>
          <w:tab w:val="right" w:leader="dot" w:pos="8957"/>
        </w:tabs>
        <w:kinsoku/>
        <w:wordWrap/>
        <w:overflowPunct/>
        <w:topLinePunct w:val="0"/>
        <w:autoSpaceDE/>
        <w:autoSpaceDN/>
        <w:bidi w:val="0"/>
        <w:adjustRightInd/>
        <w:snapToGrid/>
        <w:spacing w:line="500" w:lineRule="exact"/>
        <w:textAlignment w:val="auto"/>
        <w:outlineLvl w:val="9"/>
        <w:rPr>
          <w:rFonts w:asciiTheme="minorEastAsia" w:hAnsiTheme="minorEastAsia" w:eastAsiaTheme="minorEastAsia" w:cstheme="minorEastAsia"/>
          <w:sz w:val="24"/>
        </w:rPr>
      </w:pPr>
      <w:r>
        <w:fldChar w:fldCharType="begin"/>
      </w:r>
      <w:r>
        <w:instrText xml:space="preserve"> HYPERLINK \l "_Toc12361" </w:instrText>
      </w:r>
      <w:r>
        <w:fldChar w:fldCharType="separate"/>
      </w:r>
      <w:r>
        <w:rPr>
          <w:rFonts w:hint="eastAsia" w:asciiTheme="minorEastAsia" w:hAnsiTheme="minorEastAsia" w:eastAsiaTheme="minorEastAsia" w:cstheme="minorEastAsia"/>
          <w:sz w:val="24"/>
        </w:rPr>
        <w:t>四、主要绩效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_Toc12361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- 17 -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"_Toc23334" </w:instrText>
      </w:r>
      <w:r>
        <w:fldChar w:fldCharType="separate"/>
      </w:r>
      <w:r>
        <w:rPr>
          <w:rFonts w:hint="eastAsia" w:asciiTheme="minorEastAsia" w:hAnsiTheme="minorEastAsia" w:eastAsiaTheme="minorEastAsia" w:cstheme="minorEastAsia"/>
          <w:sz w:val="24"/>
        </w:rPr>
        <w:t>（一）持续做好教学培训主线业务，加强政策理论宣讲。</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_Toc23334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- 17 -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"_Toc8064" </w:instrText>
      </w:r>
      <w:r>
        <w:fldChar w:fldCharType="separate"/>
      </w:r>
      <w:r>
        <w:rPr>
          <w:rFonts w:hint="eastAsia" w:asciiTheme="minorEastAsia" w:hAnsiTheme="minorEastAsia" w:eastAsiaTheme="minorEastAsia" w:cstheme="minorEastAsia"/>
          <w:sz w:val="24"/>
        </w:rPr>
        <w:t>（二）抓好党的理论和党性教育，打造精品线路和课程。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_Toc8064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- 17 -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"_Toc22030" </w:instrText>
      </w:r>
      <w:r>
        <w:fldChar w:fldCharType="separate"/>
      </w:r>
      <w:r>
        <w:rPr>
          <w:rFonts w:hint="eastAsia" w:asciiTheme="minorEastAsia" w:hAnsiTheme="minorEastAsia" w:eastAsiaTheme="minorEastAsia" w:cstheme="minorEastAsia"/>
          <w:sz w:val="24"/>
        </w:rPr>
        <w:t>（三）提高科研资政质量，为党委政府决策提供参考。</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_Toc22030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- 18 -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6"/>
        <w:keepNext w:val="0"/>
        <w:keepLines w:val="0"/>
        <w:pageBreakBefore w:val="0"/>
        <w:widowControl w:val="0"/>
        <w:tabs>
          <w:tab w:val="right" w:leader="dot" w:pos="8957"/>
        </w:tabs>
        <w:kinsoku/>
        <w:wordWrap/>
        <w:overflowPunct/>
        <w:topLinePunct w:val="0"/>
        <w:autoSpaceDE/>
        <w:autoSpaceDN/>
        <w:bidi w:val="0"/>
        <w:adjustRightInd/>
        <w:snapToGrid/>
        <w:spacing w:line="500" w:lineRule="exact"/>
        <w:textAlignment w:val="auto"/>
        <w:outlineLvl w:val="9"/>
        <w:rPr>
          <w:rFonts w:asciiTheme="minorEastAsia" w:hAnsiTheme="minorEastAsia" w:eastAsiaTheme="minorEastAsia" w:cstheme="minorEastAsia"/>
          <w:sz w:val="24"/>
        </w:rPr>
      </w:pPr>
      <w:r>
        <w:fldChar w:fldCharType="begin"/>
      </w:r>
      <w:r>
        <w:instrText xml:space="preserve"> HYPERLINK \l "_Toc28740" </w:instrText>
      </w:r>
      <w:r>
        <w:fldChar w:fldCharType="separate"/>
      </w:r>
      <w:r>
        <w:rPr>
          <w:rFonts w:hint="eastAsia" w:asciiTheme="minorEastAsia" w:hAnsiTheme="minorEastAsia" w:eastAsiaTheme="minorEastAsia" w:cstheme="minorEastAsia"/>
          <w:sz w:val="24"/>
        </w:rPr>
        <w:t>五、存在问题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_Toc28740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- 18 -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"_Toc19951" </w:instrText>
      </w:r>
      <w:r>
        <w:fldChar w:fldCharType="separate"/>
      </w:r>
      <w:r>
        <w:rPr>
          <w:rFonts w:hint="eastAsia" w:asciiTheme="minorEastAsia" w:hAnsiTheme="minorEastAsia" w:eastAsiaTheme="minorEastAsia" w:cstheme="minorEastAsia"/>
          <w:sz w:val="24"/>
        </w:rPr>
        <w:t>（一）财务管理不够规范，资产管理规范性有待提升。</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_Toc19951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- 18 -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"_Toc15925" </w:instrText>
      </w:r>
      <w:r>
        <w:fldChar w:fldCharType="separate"/>
      </w:r>
      <w:r>
        <w:rPr>
          <w:rFonts w:hint="eastAsia" w:asciiTheme="minorEastAsia" w:hAnsiTheme="minorEastAsia" w:eastAsiaTheme="minorEastAsia" w:cstheme="minorEastAsia"/>
          <w:sz w:val="24"/>
        </w:rPr>
        <w:t>（二）项目实施程序不够规范，后勤服务监督制度未能落实。</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_Toc15925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- 19 -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"_Toc26368" </w:instrText>
      </w:r>
      <w:r>
        <w:fldChar w:fldCharType="separate"/>
      </w:r>
      <w:r>
        <w:rPr>
          <w:rFonts w:hint="eastAsia" w:asciiTheme="minorEastAsia" w:hAnsiTheme="minorEastAsia" w:eastAsiaTheme="minorEastAsia" w:cstheme="minorEastAsia"/>
          <w:sz w:val="24"/>
        </w:rPr>
        <w:t>（三）绩效目标和指标设置不够科学，绩效管理意识有待提升。</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_Toc26368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- 19 -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"_Toc32633" </w:instrText>
      </w:r>
      <w:r>
        <w:fldChar w:fldCharType="separate"/>
      </w:r>
      <w:r>
        <w:rPr>
          <w:rFonts w:hint="eastAsia" w:asciiTheme="minorEastAsia" w:hAnsiTheme="minorEastAsia" w:eastAsiaTheme="minorEastAsia" w:cstheme="minorEastAsia"/>
          <w:sz w:val="24"/>
        </w:rPr>
        <w:t>（四）领导干部讲课占比较低，质量评估未能形成完善体系。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_Toc32633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- 20 -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6"/>
        <w:keepNext w:val="0"/>
        <w:keepLines w:val="0"/>
        <w:pageBreakBefore w:val="0"/>
        <w:widowControl w:val="0"/>
        <w:tabs>
          <w:tab w:val="right" w:leader="dot" w:pos="8957"/>
        </w:tabs>
        <w:kinsoku/>
        <w:wordWrap/>
        <w:overflowPunct/>
        <w:topLinePunct w:val="0"/>
        <w:autoSpaceDE/>
        <w:autoSpaceDN/>
        <w:bidi w:val="0"/>
        <w:adjustRightInd/>
        <w:snapToGrid/>
        <w:spacing w:line="500" w:lineRule="exact"/>
        <w:textAlignment w:val="auto"/>
        <w:outlineLvl w:val="9"/>
        <w:rPr>
          <w:rFonts w:asciiTheme="minorEastAsia" w:hAnsiTheme="minorEastAsia" w:eastAsiaTheme="minorEastAsia" w:cstheme="minorEastAsia"/>
          <w:sz w:val="24"/>
        </w:rPr>
      </w:pPr>
      <w:r>
        <w:fldChar w:fldCharType="begin"/>
      </w:r>
      <w:r>
        <w:instrText xml:space="preserve"> HYPERLINK \l "_Toc15981" </w:instrText>
      </w:r>
      <w:r>
        <w:fldChar w:fldCharType="separate"/>
      </w:r>
      <w:r>
        <w:rPr>
          <w:rFonts w:hint="eastAsia" w:asciiTheme="minorEastAsia" w:hAnsiTheme="minorEastAsia" w:eastAsiaTheme="minorEastAsia" w:cstheme="minorEastAsia"/>
          <w:sz w:val="24"/>
        </w:rPr>
        <w:t>六、相关建议</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_Toc15981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- 21 -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"_Toc26024" </w:instrText>
      </w:r>
      <w:r>
        <w:fldChar w:fldCharType="separate"/>
      </w:r>
      <w:r>
        <w:rPr>
          <w:rFonts w:hint="eastAsia" w:asciiTheme="minorEastAsia" w:hAnsiTheme="minorEastAsia" w:eastAsiaTheme="minorEastAsia" w:cstheme="minorEastAsia"/>
          <w:sz w:val="24"/>
        </w:rPr>
        <w:t>（一）科学编制部门预算，提升财务及资产管理规范性。</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_Toc26024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- 21 -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"_Toc3104" </w:instrText>
      </w:r>
      <w:r>
        <w:fldChar w:fldCharType="separate"/>
      </w:r>
      <w:r>
        <w:rPr>
          <w:rFonts w:hint="eastAsia" w:asciiTheme="minorEastAsia" w:hAnsiTheme="minorEastAsia" w:eastAsiaTheme="minorEastAsia" w:cstheme="minorEastAsia"/>
          <w:sz w:val="24"/>
        </w:rPr>
        <w:t>（二）规范项目实施过程，加强后勤质量监督管理。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_Toc3104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- 21 -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"_Toc10986" </w:instrText>
      </w:r>
      <w:r>
        <w:fldChar w:fldCharType="separate"/>
      </w:r>
      <w:r>
        <w:rPr>
          <w:rFonts w:hint="eastAsia" w:asciiTheme="minorEastAsia" w:hAnsiTheme="minorEastAsia" w:eastAsiaTheme="minorEastAsia" w:cstheme="minorEastAsia"/>
          <w:sz w:val="24"/>
        </w:rPr>
        <w:t>（三）科学合理设置绩效目标，提升绩效管理工作水平。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_Toc10986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- 22 -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keepNext w:val="0"/>
        <w:keepLines w:val="0"/>
        <w:pageBreakBefore w:val="0"/>
        <w:widowControl w:val="0"/>
        <w:tabs>
          <w:tab w:val="right" w:leader="dot" w:pos="8957"/>
        </w:tabs>
        <w:kinsoku/>
        <w:wordWrap/>
        <w:overflowPunct/>
        <w:topLinePunct w:val="0"/>
        <w:autoSpaceDE/>
        <w:autoSpaceDN/>
        <w:bidi w:val="0"/>
        <w:adjustRightInd/>
        <w:snapToGrid/>
        <w:spacing w:line="500" w:lineRule="exact"/>
        <w:ind w:firstLine="560"/>
        <w:textAlignment w:val="auto"/>
        <w:outlineLvl w:val="9"/>
        <w:rPr>
          <w:rFonts w:asciiTheme="minorEastAsia" w:hAnsiTheme="minorEastAsia" w:eastAsiaTheme="minorEastAsia" w:cstheme="minorEastAsia"/>
          <w:sz w:val="24"/>
        </w:rPr>
      </w:pPr>
      <w:r>
        <w:fldChar w:fldCharType="begin"/>
      </w:r>
      <w:r>
        <w:instrText xml:space="preserve"> HYPERLINK \l "_Toc9190" </w:instrText>
      </w:r>
      <w:r>
        <w:fldChar w:fldCharType="separate"/>
      </w:r>
      <w:r>
        <w:rPr>
          <w:rFonts w:hint="eastAsia" w:asciiTheme="minorEastAsia" w:hAnsiTheme="minorEastAsia" w:eastAsiaTheme="minorEastAsia" w:cstheme="minorEastAsia"/>
          <w:sz w:val="24"/>
        </w:rPr>
        <w:t>（四）提前谋划课时安排，完善教学质量评估体系。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_Toc9190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- 23 -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6"/>
        <w:keepNext w:val="0"/>
        <w:keepLines w:val="0"/>
        <w:pageBreakBefore w:val="0"/>
        <w:widowControl w:val="0"/>
        <w:tabs>
          <w:tab w:val="right" w:leader="dot" w:pos="8957"/>
        </w:tabs>
        <w:kinsoku/>
        <w:wordWrap/>
        <w:overflowPunct/>
        <w:topLinePunct w:val="0"/>
        <w:autoSpaceDE/>
        <w:autoSpaceDN/>
        <w:bidi w:val="0"/>
        <w:adjustRightInd/>
        <w:snapToGrid/>
        <w:spacing w:line="500" w:lineRule="exact"/>
        <w:textAlignment w:val="auto"/>
        <w:outlineLvl w:val="9"/>
        <w:rPr>
          <w:rFonts w:asciiTheme="minorEastAsia" w:hAnsiTheme="minorEastAsia" w:eastAsiaTheme="minorEastAsia" w:cstheme="minorEastAsia"/>
          <w:sz w:val="24"/>
        </w:rPr>
      </w:pPr>
      <w:r>
        <w:fldChar w:fldCharType="begin"/>
      </w:r>
      <w:r>
        <w:instrText xml:space="preserve"> HYPERLINK \l "_Toc21784" </w:instrText>
      </w:r>
      <w:r>
        <w:fldChar w:fldCharType="separate"/>
      </w:r>
      <w:r>
        <w:rPr>
          <w:rFonts w:hint="eastAsia" w:asciiTheme="minorEastAsia" w:hAnsiTheme="minorEastAsia" w:eastAsiaTheme="minorEastAsia" w:cstheme="minorEastAsia"/>
          <w:sz w:val="24"/>
        </w:rPr>
        <w:t>附件1</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_Toc21784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- 24 -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6"/>
        <w:keepNext w:val="0"/>
        <w:keepLines w:val="0"/>
        <w:pageBreakBefore w:val="0"/>
        <w:widowControl w:val="0"/>
        <w:tabs>
          <w:tab w:val="right" w:leader="dot" w:pos="8957"/>
        </w:tabs>
        <w:kinsoku/>
        <w:wordWrap/>
        <w:overflowPunct/>
        <w:topLinePunct w:val="0"/>
        <w:autoSpaceDE/>
        <w:autoSpaceDN/>
        <w:bidi w:val="0"/>
        <w:adjustRightInd/>
        <w:snapToGrid/>
        <w:spacing w:line="500" w:lineRule="exact"/>
        <w:textAlignment w:val="auto"/>
        <w:outlineLvl w:val="9"/>
        <w:rPr>
          <w:rFonts w:asciiTheme="minorEastAsia" w:hAnsiTheme="minorEastAsia" w:eastAsiaTheme="minorEastAsia" w:cstheme="minorEastAsia"/>
          <w:sz w:val="24"/>
        </w:rPr>
      </w:pPr>
      <w:r>
        <w:fldChar w:fldCharType="begin"/>
      </w:r>
      <w:r>
        <w:instrText xml:space="preserve"> HYPERLINK \l "_Toc22660" </w:instrText>
      </w:r>
      <w:r>
        <w:fldChar w:fldCharType="separate"/>
      </w:r>
      <w:r>
        <w:rPr>
          <w:rFonts w:hint="eastAsia" w:asciiTheme="minorEastAsia" w:hAnsiTheme="minorEastAsia" w:eastAsiaTheme="minorEastAsia" w:cstheme="minorEastAsia"/>
          <w:sz w:val="24"/>
        </w:rPr>
        <w:t>附件2</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_Toc22660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- 32 -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6"/>
        <w:tabs>
          <w:tab w:val="right" w:leader="dot" w:pos="8957"/>
        </w:tabs>
      </w:pPr>
    </w:p>
    <w:p>
      <w:pPr>
        <w:ind w:left="640" w:firstLine="0" w:firstLineChars="0"/>
        <w:sectPr>
          <w:footerReference r:id="rId5" w:type="default"/>
          <w:pgSz w:w="11906" w:h="16838"/>
          <w:pgMar w:top="1440" w:right="1418" w:bottom="1440" w:left="1531" w:header="851" w:footer="454" w:gutter="0"/>
          <w:pgNumType w:fmt="numberInDash"/>
          <w:cols w:space="425" w:num="1"/>
          <w:docGrid w:type="linesAndChars" w:linePitch="312" w:charSpace="0"/>
        </w:sectPr>
      </w:pPr>
      <w:r>
        <w:fldChar w:fldCharType="end"/>
      </w:r>
    </w:p>
    <w:p>
      <w:pPr>
        <w:pStyle w:val="3"/>
        <w:ind w:firstLine="640"/>
      </w:pPr>
      <w:bookmarkStart w:id="10" w:name="_Toc4772"/>
      <w:r>
        <w:t>一、部门基本情况</w:t>
      </w:r>
      <w:bookmarkEnd w:id="6"/>
      <w:bookmarkEnd w:id="10"/>
    </w:p>
    <w:p>
      <w:pPr>
        <w:pStyle w:val="4"/>
        <w:ind w:firstLine="640"/>
        <w:rPr>
          <w:rFonts w:cs="Times New Roman"/>
        </w:rPr>
      </w:pPr>
      <w:bookmarkStart w:id="11" w:name="_Toc26920"/>
      <w:bookmarkStart w:id="12" w:name="_Toc30731"/>
      <w:r>
        <w:rPr>
          <w:rFonts w:cs="Times New Roman"/>
        </w:rPr>
        <w:t>（一）部门概要</w:t>
      </w:r>
      <w:bookmarkEnd w:id="11"/>
      <w:r>
        <w:rPr>
          <w:rFonts w:hint="eastAsia" w:cs="Times New Roman"/>
        </w:rPr>
        <w:t>。</w:t>
      </w:r>
      <w:bookmarkEnd w:id="12"/>
    </w:p>
    <w:p>
      <w:pPr>
        <w:pStyle w:val="5"/>
        <w:ind w:firstLine="640"/>
        <w:rPr>
          <w:rFonts w:ascii="仿宋_GB2312" w:hAnsi="仿宋_GB2312" w:cs="仿宋_GB2312"/>
        </w:rPr>
      </w:pPr>
      <w:r>
        <w:rPr>
          <w:rFonts w:hint="eastAsia" w:ascii="仿宋_GB2312" w:hAnsi="仿宋_GB2312" w:cs="仿宋_GB2312"/>
        </w:rPr>
        <w:t>1.部门基本情况</w:t>
      </w:r>
    </w:p>
    <w:p>
      <w:pPr>
        <w:ind w:firstLine="640"/>
        <w:rPr>
          <w:rFonts w:ascii="仿宋_GB2312" w:hAnsi="仿宋_GB2312" w:cs="仿宋_GB2312"/>
          <w:shd w:val="clear" w:color="auto" w:fill="FFFFFF"/>
        </w:rPr>
      </w:pPr>
      <w:r>
        <w:rPr>
          <w:rFonts w:hint="eastAsia" w:ascii="仿宋_GB2312" w:hAnsi="仿宋_GB2312" w:cs="仿宋_GB2312"/>
          <w:kern w:val="0"/>
          <w:shd w:val="clear" w:color="auto" w:fill="FFFFFF"/>
          <w:lang w:bidi="ar"/>
        </w:rPr>
        <w:t>中共韶关市委党校（韶关市行政学院、韶关市社会主义学院）为市委、市政府直属公益一类事业单位，正处级。</w:t>
      </w:r>
      <w:r>
        <w:rPr>
          <w:rFonts w:hint="eastAsia" w:ascii="仿宋_GB2312" w:hAnsi="仿宋_GB2312" w:cs="仿宋_GB2312"/>
          <w:shd w:val="clear" w:color="auto" w:fill="FFFFFF"/>
        </w:rPr>
        <w:t>市委党校（市行政学院、市社会主义学院）实行校（院）务委员会领导体制，设校委会委员7名，其中校长一名（由市委领导兼任），常务副校长1名，副校长3名，专职校委会委员2名。学校核定编制为76人，其中参公管理编33人，事业编43人；内设机构领导职数正职13名、副职14名。</w:t>
      </w:r>
    </w:p>
    <w:p>
      <w:pPr>
        <w:pStyle w:val="5"/>
        <w:ind w:firstLine="640"/>
        <w:rPr>
          <w:rFonts w:ascii="仿宋_GB2312" w:hAnsi="仿宋_GB2312" w:cs="仿宋_GB2312"/>
        </w:rPr>
      </w:pPr>
      <w:r>
        <w:rPr>
          <w:rFonts w:hint="eastAsia" w:ascii="仿宋_GB2312" w:hAnsi="仿宋_GB2312" w:cs="仿宋_GB2312"/>
        </w:rPr>
        <w:t>2.部门主要职责</w:t>
      </w:r>
    </w:p>
    <w:p>
      <w:pPr>
        <w:pStyle w:val="37"/>
      </w:pPr>
      <w:r>
        <w:t>表1-1 部门主要职责</w:t>
      </w:r>
    </w:p>
    <w:tbl>
      <w:tblPr>
        <w:tblStyle w:val="24"/>
        <w:tblW w:w="78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blHeader/>
          <w:jc w:val="center"/>
        </w:trPr>
        <w:tc>
          <w:tcPr>
            <w:tcW w:w="799" w:type="dxa"/>
            <w:shd w:val="clear" w:color="auto" w:fill="auto"/>
            <w:vAlign w:val="center"/>
          </w:tcPr>
          <w:p>
            <w:pPr>
              <w:pStyle w:val="40"/>
              <w:rPr>
                <w:b/>
              </w:rPr>
            </w:pPr>
            <w:r>
              <w:rPr>
                <w:b/>
              </w:rPr>
              <w:t>序号</w:t>
            </w:r>
          </w:p>
        </w:tc>
        <w:tc>
          <w:tcPr>
            <w:tcW w:w="7011" w:type="dxa"/>
            <w:shd w:val="clear" w:color="auto" w:fill="auto"/>
            <w:vAlign w:val="center"/>
          </w:tcPr>
          <w:p>
            <w:pPr>
              <w:pStyle w:val="40"/>
              <w:rPr>
                <w:b/>
              </w:rPr>
            </w:pPr>
            <w:r>
              <w:rPr>
                <w:b/>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9" w:type="dxa"/>
            <w:shd w:val="clear" w:color="auto" w:fill="auto"/>
            <w:vAlign w:val="center"/>
          </w:tcPr>
          <w:p>
            <w:pPr>
              <w:pStyle w:val="40"/>
            </w:pPr>
            <w:r>
              <w:t>1</w:t>
            </w:r>
          </w:p>
        </w:tc>
        <w:tc>
          <w:tcPr>
            <w:tcW w:w="7011" w:type="dxa"/>
            <w:shd w:val="clear" w:color="auto" w:fill="auto"/>
            <w:vAlign w:val="center"/>
          </w:tcPr>
          <w:p>
            <w:pPr>
              <w:pStyle w:val="40"/>
              <w:jc w:val="both"/>
            </w:pPr>
            <w:r>
              <w:t>学习、研究和宣传中国特色社会主义理论体系，宣传并贯彻党的路线方针政策。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9" w:type="dxa"/>
            <w:shd w:val="clear" w:color="auto" w:fill="auto"/>
            <w:vAlign w:val="center"/>
          </w:tcPr>
          <w:p>
            <w:pPr>
              <w:pStyle w:val="40"/>
            </w:pPr>
            <w:r>
              <w:t>2</w:t>
            </w:r>
          </w:p>
        </w:tc>
        <w:tc>
          <w:tcPr>
            <w:tcW w:w="7011" w:type="dxa"/>
            <w:shd w:val="clear" w:color="auto" w:fill="auto"/>
            <w:vAlign w:val="center"/>
          </w:tcPr>
          <w:p>
            <w:pPr>
              <w:pStyle w:val="40"/>
              <w:jc w:val="both"/>
            </w:pPr>
            <w:r>
              <w:t>培训、轮训全市处级干部、科级干部；培训后备干部，培养理论干部；开展其他形式的干部继续教育。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799" w:type="dxa"/>
            <w:shd w:val="clear" w:color="auto" w:fill="auto"/>
            <w:vAlign w:val="center"/>
          </w:tcPr>
          <w:p>
            <w:pPr>
              <w:pStyle w:val="40"/>
            </w:pPr>
            <w:r>
              <w:t>3</w:t>
            </w:r>
          </w:p>
        </w:tc>
        <w:tc>
          <w:tcPr>
            <w:tcW w:w="7011" w:type="dxa"/>
            <w:shd w:val="clear" w:color="auto" w:fill="auto"/>
            <w:vAlign w:val="center"/>
          </w:tcPr>
          <w:p>
            <w:pPr>
              <w:pStyle w:val="40"/>
              <w:jc w:val="both"/>
            </w:pPr>
            <w:r>
              <w:t>承担市直（含浈江区、武江区）公务员和专业技术人员培训任务。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799" w:type="dxa"/>
            <w:shd w:val="clear" w:color="auto" w:fill="auto"/>
            <w:vAlign w:val="center"/>
          </w:tcPr>
          <w:p>
            <w:pPr>
              <w:pStyle w:val="40"/>
            </w:pPr>
            <w:r>
              <w:t>4</w:t>
            </w:r>
          </w:p>
        </w:tc>
        <w:tc>
          <w:tcPr>
            <w:tcW w:w="7011" w:type="dxa"/>
            <w:shd w:val="clear" w:color="auto" w:fill="auto"/>
            <w:vAlign w:val="center"/>
          </w:tcPr>
          <w:p>
            <w:pPr>
              <w:pStyle w:val="40"/>
              <w:jc w:val="both"/>
            </w:pPr>
            <w:r>
              <w:t>承担全市民主党派和无党派人士培训的教学任务。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9" w:type="dxa"/>
            <w:shd w:val="clear" w:color="auto" w:fill="auto"/>
            <w:vAlign w:val="center"/>
          </w:tcPr>
          <w:p>
            <w:pPr>
              <w:pStyle w:val="40"/>
            </w:pPr>
            <w:r>
              <w:t>5</w:t>
            </w:r>
          </w:p>
        </w:tc>
        <w:tc>
          <w:tcPr>
            <w:tcW w:w="7011" w:type="dxa"/>
            <w:shd w:val="clear" w:color="auto" w:fill="auto"/>
            <w:vAlign w:val="center"/>
          </w:tcPr>
          <w:p>
            <w:pPr>
              <w:pStyle w:val="40"/>
              <w:jc w:val="both"/>
            </w:pPr>
            <w:r>
              <w:t>针对改革开放和社会主义现代化进程中的重大理论和现实问题，围绕党的中心任务和市委、市政府的重大部署，深入开展调查研究，为市委、市政府重大决策提供咨询。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9" w:type="dxa"/>
            <w:shd w:val="clear" w:color="auto" w:fill="auto"/>
            <w:vAlign w:val="center"/>
          </w:tcPr>
          <w:p>
            <w:pPr>
              <w:pStyle w:val="40"/>
            </w:pPr>
            <w:r>
              <w:t>6</w:t>
            </w:r>
          </w:p>
        </w:tc>
        <w:tc>
          <w:tcPr>
            <w:tcW w:w="7011" w:type="dxa"/>
            <w:shd w:val="clear" w:color="auto" w:fill="auto"/>
            <w:vAlign w:val="center"/>
          </w:tcPr>
          <w:p>
            <w:pPr>
              <w:pStyle w:val="40"/>
              <w:jc w:val="both"/>
            </w:pPr>
            <w:r>
              <w:t>承办市委、市政府举办的专题研讨班；规范完善广东省干部党性教育现场教学基地的建设工作；参与全国全省党校系统干部学历教育。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9" w:type="dxa"/>
            <w:shd w:val="clear" w:color="auto" w:fill="auto"/>
            <w:vAlign w:val="center"/>
          </w:tcPr>
          <w:p>
            <w:pPr>
              <w:pStyle w:val="40"/>
            </w:pPr>
            <w:r>
              <w:t>7</w:t>
            </w:r>
          </w:p>
        </w:tc>
        <w:tc>
          <w:tcPr>
            <w:tcW w:w="7011" w:type="dxa"/>
            <w:shd w:val="clear" w:color="auto" w:fill="auto"/>
            <w:vAlign w:val="center"/>
          </w:tcPr>
          <w:p>
            <w:pPr>
              <w:pStyle w:val="40"/>
              <w:jc w:val="both"/>
            </w:pPr>
            <w:r>
              <w:t>对市委党校分校进行业务指导。</w:t>
            </w:r>
          </w:p>
        </w:tc>
      </w:tr>
    </w:tbl>
    <w:p>
      <w:pPr>
        <w:ind w:firstLine="640"/>
      </w:pPr>
      <w:bookmarkStart w:id="13" w:name="_Toc17365"/>
      <w:bookmarkStart w:id="14" w:name="_Toc24098"/>
    </w:p>
    <w:p>
      <w:pPr>
        <w:pStyle w:val="4"/>
        <w:ind w:firstLine="640"/>
        <w:rPr>
          <w:rFonts w:cs="Times New Roman"/>
        </w:rPr>
      </w:pPr>
      <w:bookmarkStart w:id="15" w:name="_Toc26416"/>
      <w:r>
        <w:rPr>
          <w:rFonts w:cs="Times New Roman"/>
        </w:rPr>
        <w:t>（二）年度总体工作任务及重点工作任务</w:t>
      </w:r>
      <w:bookmarkEnd w:id="13"/>
      <w:r>
        <w:rPr>
          <w:rFonts w:hint="eastAsia" w:cs="Times New Roman"/>
        </w:rPr>
        <w:t>。</w:t>
      </w:r>
      <w:bookmarkEnd w:id="15"/>
    </w:p>
    <w:p>
      <w:pPr>
        <w:ind w:firstLine="640"/>
        <w:rPr>
          <w:rFonts w:ascii="仿宋_GB2312" w:hAnsi="仿宋_GB2312" w:cs="仿宋_GB2312"/>
        </w:rPr>
      </w:pPr>
      <w:r>
        <w:rPr>
          <w:rFonts w:hint="eastAsia" w:ascii="仿宋_GB2312" w:hAnsi="仿宋_GB2312" w:cs="仿宋_GB2312"/>
        </w:rPr>
        <w:t>根据《中共韶关市委党校2020年工作总结及2021年工作计划》，市委党校2021年总体工作任务是：</w:t>
      </w:r>
      <w:r>
        <w:rPr>
          <w:rFonts w:hint="eastAsia" w:ascii="仿宋_GB2312" w:hAnsi="仿宋_GB2312" w:cs="仿宋_GB2312"/>
          <w:b/>
        </w:rPr>
        <w:t>一是</w:t>
      </w:r>
      <w:r>
        <w:rPr>
          <w:rFonts w:hint="eastAsia" w:ascii="仿宋_GB2312" w:hAnsi="仿宋_GB2312" w:cs="仿宋_GB2312"/>
          <w:lang w:bidi="ar"/>
        </w:rPr>
        <w:t>抓好党的理论和党性教育学习，</w:t>
      </w:r>
      <w:r>
        <w:rPr>
          <w:rFonts w:hint="eastAsia" w:ascii="仿宋_GB2312" w:hAnsi="仿宋_GB2312" w:cs="仿宋_GB2312"/>
        </w:rPr>
        <w:t>坚持正确的办学方向；</w:t>
      </w:r>
      <w:r>
        <w:rPr>
          <w:rFonts w:hint="eastAsia" w:ascii="仿宋_GB2312" w:hAnsi="仿宋_GB2312" w:cs="仿宋_GB2312"/>
          <w:b/>
        </w:rPr>
        <w:t>二是</w:t>
      </w:r>
      <w:r>
        <w:rPr>
          <w:rFonts w:hint="eastAsia" w:ascii="仿宋_GB2312" w:hAnsi="仿宋_GB2312" w:cs="仿宋_GB2312"/>
        </w:rPr>
        <w:t>探索科学规范充满活力的运行机制；</w:t>
      </w:r>
      <w:r>
        <w:rPr>
          <w:rFonts w:hint="eastAsia" w:ascii="仿宋_GB2312" w:hAnsi="仿宋_GB2312" w:cs="仿宋_GB2312"/>
          <w:b/>
        </w:rPr>
        <w:t>三是</w:t>
      </w:r>
      <w:r>
        <w:rPr>
          <w:rFonts w:hint="eastAsia" w:ascii="仿宋_GB2312" w:hAnsi="仿宋_GB2312" w:cs="仿宋_GB2312"/>
        </w:rPr>
        <w:t>提升办学质量和水平；</w:t>
      </w:r>
      <w:r>
        <w:rPr>
          <w:rFonts w:hint="eastAsia" w:ascii="仿宋_GB2312" w:hAnsi="仿宋_GB2312" w:cs="仿宋_GB2312"/>
          <w:b/>
        </w:rPr>
        <w:t>四是</w:t>
      </w:r>
      <w:r>
        <w:rPr>
          <w:rFonts w:hint="eastAsia" w:ascii="仿宋_GB2312" w:hAnsi="仿宋_GB2312" w:cs="仿宋_GB2312"/>
        </w:rPr>
        <w:t>提炼、提升韶关红色文化的主题和精神内涵，开发新的精品课程和经典教学路线，打响韶关干部教育品牌；</w:t>
      </w:r>
      <w:r>
        <w:rPr>
          <w:rFonts w:hint="eastAsia" w:ascii="仿宋_GB2312" w:hAnsi="仿宋_GB2312" w:cs="仿宋_GB2312"/>
          <w:b/>
        </w:rPr>
        <w:t>五是</w:t>
      </w:r>
      <w:r>
        <w:rPr>
          <w:rFonts w:hint="eastAsia" w:ascii="仿宋_GB2312" w:hAnsi="仿宋_GB2312" w:cs="仿宋_GB2312"/>
        </w:rPr>
        <w:t>加大对各县（市、区）分校的业务指导和师资培训，帮助基层党校提升办学水平</w:t>
      </w:r>
      <w:r>
        <w:rPr>
          <w:rFonts w:hint="eastAsia" w:ascii="仿宋_GB2312" w:hAnsi="仿宋_GB2312" w:cs="仿宋_GB2312"/>
          <w:lang w:eastAsia="zh-CN"/>
        </w:rPr>
        <w:t>（</w:t>
      </w:r>
      <w:r>
        <w:rPr>
          <w:rFonts w:hint="eastAsia" w:ascii="仿宋_GB2312" w:hAnsi="仿宋_GB2312" w:cs="仿宋_GB2312"/>
        </w:rPr>
        <w:t>详见表1-2</w:t>
      </w:r>
      <w:r>
        <w:rPr>
          <w:rFonts w:hint="eastAsia" w:ascii="仿宋_GB2312" w:hAnsi="仿宋_GB2312" w:cs="仿宋_GB2312"/>
          <w:lang w:eastAsia="zh-CN"/>
        </w:rPr>
        <w:t>）</w:t>
      </w:r>
      <w:r>
        <w:rPr>
          <w:rFonts w:hint="eastAsia" w:ascii="仿宋_GB2312" w:hAnsi="仿宋_GB2312" w:cs="仿宋_GB2312"/>
        </w:rPr>
        <w:t>。</w:t>
      </w:r>
    </w:p>
    <w:p>
      <w:pPr>
        <w:pStyle w:val="37"/>
      </w:pPr>
      <w:r>
        <w:t>表1-2</w:t>
      </w:r>
      <w:r>
        <w:rPr>
          <w:rFonts w:hint="eastAsia"/>
        </w:rPr>
        <w:t xml:space="preserve"> </w:t>
      </w:r>
      <w:r>
        <w:t xml:space="preserve"> 部门重点工作任务</w:t>
      </w:r>
    </w:p>
    <w:tbl>
      <w:tblPr>
        <w:tblStyle w:val="24"/>
        <w:tblW w:w="8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18"/>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blHeader/>
          <w:jc w:val="center"/>
        </w:trPr>
        <w:tc>
          <w:tcPr>
            <w:tcW w:w="779" w:type="dxa"/>
            <w:shd w:val="clear" w:color="auto" w:fill="auto"/>
            <w:vAlign w:val="center"/>
          </w:tcPr>
          <w:p>
            <w:pPr>
              <w:pStyle w:val="40"/>
              <w:keepNext/>
              <w:rPr>
                <w:b/>
                <w:lang w:bidi="ar"/>
              </w:rPr>
            </w:pPr>
            <w:r>
              <w:rPr>
                <w:b/>
                <w:lang w:bidi="ar"/>
              </w:rPr>
              <w:t>序号</w:t>
            </w:r>
          </w:p>
        </w:tc>
        <w:tc>
          <w:tcPr>
            <w:tcW w:w="2118" w:type="dxa"/>
            <w:shd w:val="clear" w:color="auto" w:fill="auto"/>
            <w:vAlign w:val="center"/>
          </w:tcPr>
          <w:p>
            <w:pPr>
              <w:pStyle w:val="40"/>
              <w:keepNext/>
              <w:rPr>
                <w:b/>
                <w:lang w:bidi="ar"/>
              </w:rPr>
            </w:pPr>
            <w:r>
              <w:rPr>
                <w:b/>
                <w:lang w:bidi="ar"/>
              </w:rPr>
              <w:t>任务名称</w:t>
            </w:r>
          </w:p>
        </w:tc>
        <w:tc>
          <w:tcPr>
            <w:tcW w:w="5950" w:type="dxa"/>
            <w:shd w:val="clear" w:color="auto" w:fill="auto"/>
            <w:vAlign w:val="center"/>
          </w:tcPr>
          <w:p>
            <w:pPr>
              <w:pStyle w:val="40"/>
              <w:keepNext/>
              <w:rPr>
                <w:b/>
                <w:lang w:bidi="ar"/>
              </w:rPr>
            </w:pPr>
            <w:r>
              <w:rPr>
                <w:b/>
                <w:lang w:bidi="ar"/>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779" w:type="dxa"/>
            <w:shd w:val="clear" w:color="auto" w:fill="auto"/>
            <w:vAlign w:val="center"/>
          </w:tcPr>
          <w:p>
            <w:pPr>
              <w:pStyle w:val="40"/>
              <w:rPr>
                <w:lang w:bidi="ar"/>
              </w:rPr>
            </w:pPr>
            <w:r>
              <w:rPr>
                <w:lang w:bidi="ar"/>
              </w:rPr>
              <w:t>1</w:t>
            </w:r>
          </w:p>
        </w:tc>
        <w:tc>
          <w:tcPr>
            <w:tcW w:w="2118" w:type="dxa"/>
            <w:shd w:val="clear" w:color="auto" w:fill="auto"/>
            <w:vAlign w:val="center"/>
          </w:tcPr>
          <w:p>
            <w:pPr>
              <w:pStyle w:val="40"/>
              <w:jc w:val="left"/>
              <w:rPr>
                <w:lang w:bidi="ar"/>
              </w:rPr>
            </w:pPr>
            <w:r>
              <w:rPr>
                <w:lang w:bidi="ar"/>
              </w:rPr>
              <w:t>抓好党的理论和党性教育</w:t>
            </w:r>
          </w:p>
        </w:tc>
        <w:tc>
          <w:tcPr>
            <w:tcW w:w="5950" w:type="dxa"/>
            <w:shd w:val="clear" w:color="auto" w:fill="auto"/>
            <w:vAlign w:val="center"/>
          </w:tcPr>
          <w:p>
            <w:pPr>
              <w:pStyle w:val="40"/>
              <w:jc w:val="both"/>
              <w:rPr>
                <w:lang w:bidi="ar"/>
              </w:rPr>
            </w:pPr>
            <w:r>
              <w:rPr>
                <w:lang w:bidi="ar"/>
              </w:rPr>
              <w:t>学习习近平新时代中国特色社会主义思想、习近平总书记对广东重要讲话、对广东工作一系列重要指示精神，以及省委十二届四次、五次、六次全会精神和李希书记在韶调研讲话精神。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779" w:type="dxa"/>
            <w:shd w:val="clear" w:color="auto" w:fill="auto"/>
            <w:vAlign w:val="center"/>
          </w:tcPr>
          <w:p>
            <w:pPr>
              <w:pStyle w:val="40"/>
              <w:rPr>
                <w:lang w:bidi="ar"/>
              </w:rPr>
            </w:pPr>
            <w:r>
              <w:rPr>
                <w:lang w:bidi="ar"/>
              </w:rPr>
              <w:t>2</w:t>
            </w:r>
          </w:p>
        </w:tc>
        <w:tc>
          <w:tcPr>
            <w:tcW w:w="2118" w:type="dxa"/>
            <w:shd w:val="clear" w:color="auto" w:fill="auto"/>
            <w:vAlign w:val="center"/>
          </w:tcPr>
          <w:p>
            <w:pPr>
              <w:pStyle w:val="40"/>
              <w:jc w:val="left"/>
              <w:rPr>
                <w:lang w:bidi="ar"/>
              </w:rPr>
            </w:pPr>
            <w:r>
              <w:rPr>
                <w:lang w:bidi="ar"/>
              </w:rPr>
              <w:t>办好各类培训主业，提升办学质量和水平</w:t>
            </w:r>
          </w:p>
        </w:tc>
        <w:tc>
          <w:tcPr>
            <w:tcW w:w="5950" w:type="dxa"/>
            <w:shd w:val="clear" w:color="auto" w:fill="auto"/>
            <w:vAlign w:val="center"/>
          </w:tcPr>
          <w:p>
            <w:pPr>
              <w:pStyle w:val="40"/>
              <w:jc w:val="both"/>
              <w:rPr>
                <w:lang w:bidi="ar"/>
              </w:rPr>
            </w:pPr>
            <w:r>
              <w:rPr>
                <w:lang w:bidi="ar"/>
              </w:rPr>
              <w:t>举办科级班、处级班、中青班。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79" w:type="dxa"/>
            <w:shd w:val="clear" w:color="auto" w:fill="auto"/>
            <w:vAlign w:val="center"/>
          </w:tcPr>
          <w:p>
            <w:pPr>
              <w:pStyle w:val="40"/>
              <w:rPr>
                <w:lang w:bidi="ar"/>
              </w:rPr>
            </w:pPr>
            <w:r>
              <w:rPr>
                <w:lang w:bidi="ar"/>
              </w:rPr>
              <w:t>3</w:t>
            </w:r>
          </w:p>
        </w:tc>
        <w:tc>
          <w:tcPr>
            <w:tcW w:w="2118" w:type="dxa"/>
            <w:shd w:val="clear" w:color="auto" w:fill="auto"/>
            <w:vAlign w:val="center"/>
          </w:tcPr>
          <w:p>
            <w:pPr>
              <w:pStyle w:val="40"/>
              <w:jc w:val="left"/>
              <w:rPr>
                <w:lang w:bidi="ar"/>
              </w:rPr>
            </w:pPr>
            <w:r>
              <w:rPr>
                <w:lang w:bidi="ar"/>
              </w:rPr>
              <w:t>深入开展学习调研，落实行动方案</w:t>
            </w:r>
          </w:p>
        </w:tc>
        <w:tc>
          <w:tcPr>
            <w:tcW w:w="5950" w:type="dxa"/>
            <w:shd w:val="clear" w:color="auto" w:fill="auto"/>
            <w:vAlign w:val="center"/>
          </w:tcPr>
          <w:p>
            <w:pPr>
              <w:pStyle w:val="40"/>
              <w:jc w:val="both"/>
              <w:rPr>
                <w:lang w:bidi="ar"/>
              </w:rPr>
            </w:pPr>
            <w:r>
              <w:rPr>
                <w:lang w:bidi="ar"/>
              </w:rPr>
              <w:t>充分运用“大学习、深调研、真落实”成果，扎实推进已制定的系列行动方案的落实。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79" w:type="dxa"/>
            <w:shd w:val="clear" w:color="auto" w:fill="auto"/>
            <w:vAlign w:val="center"/>
          </w:tcPr>
          <w:p>
            <w:pPr>
              <w:pStyle w:val="40"/>
              <w:rPr>
                <w:lang w:bidi="ar"/>
              </w:rPr>
            </w:pPr>
            <w:r>
              <w:rPr>
                <w:lang w:bidi="ar"/>
              </w:rPr>
              <w:t>4</w:t>
            </w:r>
          </w:p>
        </w:tc>
        <w:tc>
          <w:tcPr>
            <w:tcW w:w="2118" w:type="dxa"/>
            <w:shd w:val="clear" w:color="auto" w:fill="auto"/>
            <w:vAlign w:val="center"/>
          </w:tcPr>
          <w:p>
            <w:pPr>
              <w:pStyle w:val="40"/>
              <w:jc w:val="left"/>
              <w:rPr>
                <w:lang w:bidi="ar"/>
              </w:rPr>
            </w:pPr>
            <w:r>
              <w:rPr>
                <w:lang w:bidi="ar"/>
              </w:rPr>
              <w:t>推进红色教育基地建设，打响韶关干部教育品牌</w:t>
            </w:r>
          </w:p>
        </w:tc>
        <w:tc>
          <w:tcPr>
            <w:tcW w:w="5950" w:type="dxa"/>
            <w:shd w:val="clear" w:color="auto" w:fill="auto"/>
            <w:vAlign w:val="center"/>
          </w:tcPr>
          <w:p>
            <w:pPr>
              <w:pStyle w:val="40"/>
              <w:jc w:val="both"/>
              <w:rPr>
                <w:lang w:bidi="ar"/>
              </w:rPr>
            </w:pPr>
            <w:r>
              <w:rPr>
                <w:lang w:bidi="ar"/>
              </w:rPr>
              <w:t>建设韶关市红色教育基地。</w:t>
            </w:r>
          </w:p>
        </w:tc>
      </w:tr>
    </w:tbl>
    <w:p>
      <w:pPr>
        <w:pStyle w:val="4"/>
        <w:ind w:firstLine="640"/>
        <w:rPr>
          <w:rFonts w:cs="Times New Roman"/>
        </w:rPr>
      </w:pPr>
      <w:bookmarkStart w:id="16" w:name="_Toc25887"/>
      <w:r>
        <w:rPr>
          <w:rFonts w:cs="Times New Roman"/>
        </w:rPr>
        <w:t>（三）资金使用的绩效目标及指标</w:t>
      </w:r>
      <w:bookmarkEnd w:id="14"/>
      <w:r>
        <w:rPr>
          <w:rFonts w:hint="eastAsia" w:cs="Times New Roman"/>
        </w:rPr>
        <w:t>。</w:t>
      </w:r>
      <w:bookmarkEnd w:id="16"/>
    </w:p>
    <w:p>
      <w:pPr>
        <w:ind w:firstLine="640"/>
        <w:rPr>
          <w:rFonts w:ascii="仿宋_GB2312" w:hAnsi="仿宋_GB2312" w:cs="仿宋_GB2312"/>
        </w:rPr>
      </w:pPr>
      <w:r>
        <w:rPr>
          <w:rFonts w:hint="eastAsia" w:ascii="仿宋_GB2312" w:hAnsi="仿宋_GB2312" w:cs="仿宋_GB2312"/>
          <w:kern w:val="0"/>
        </w:rPr>
        <w:t>根据市委党校《市级部门整体支出绩效自评报告》及《部门整体支出绩效评价基本情况表》的梳理，确定2021年部门整体支出绩效目标为：</w:t>
      </w:r>
      <w:r>
        <w:rPr>
          <w:rFonts w:hint="eastAsia" w:ascii="仿宋_GB2312" w:hAnsi="仿宋_GB2312" w:cs="仿宋_GB2312"/>
          <w:b/>
          <w:bCs/>
          <w:kern w:val="0"/>
        </w:rPr>
        <w:t>一是</w:t>
      </w:r>
      <w:r>
        <w:rPr>
          <w:rFonts w:hint="eastAsia" w:ascii="仿宋_GB2312" w:hAnsi="仿宋_GB2312" w:cs="仿宋_GB2312"/>
        </w:rPr>
        <w:t>认真落实理论中心组和第一议题学习制度，</w:t>
      </w:r>
      <w:r>
        <w:rPr>
          <w:rFonts w:hint="eastAsia" w:ascii="仿宋_GB2312" w:hAnsi="仿宋_GB2312" w:cs="仿宋_GB2312"/>
          <w:shd w:val="clear" w:color="auto" w:fill="FFFFFF"/>
        </w:rPr>
        <w:t>将习近平系列重要思想与指示精神纳入培训计划和教学布局；</w:t>
      </w:r>
      <w:r>
        <w:rPr>
          <w:rFonts w:hint="eastAsia" w:ascii="仿宋_GB2312" w:hAnsi="仿宋_GB2312" w:cs="仿宋_GB2312"/>
          <w:b/>
          <w:bCs/>
          <w:kern w:val="0"/>
        </w:rPr>
        <w:t>二是</w:t>
      </w:r>
      <w:r>
        <w:rPr>
          <w:rFonts w:hint="eastAsia" w:ascii="仿宋_GB2312" w:hAnsi="仿宋_GB2312" w:cs="仿宋_GB2312"/>
          <w:shd w:val="clear" w:color="auto" w:fill="FFFFFF"/>
        </w:rPr>
        <w:t>根据年度干部培训计划，分类分级抓好领导干部学习培训，分学期举办科级班、处级班、中青班，抓严抓实理论学习；</w:t>
      </w:r>
      <w:r>
        <w:rPr>
          <w:rFonts w:hint="eastAsia" w:ascii="仿宋_GB2312" w:hAnsi="仿宋_GB2312" w:cs="仿宋_GB2312"/>
          <w:b/>
          <w:bCs/>
          <w:kern w:val="0"/>
        </w:rPr>
        <w:t>三是</w:t>
      </w:r>
      <w:r>
        <w:rPr>
          <w:rFonts w:hint="eastAsia" w:ascii="仿宋_GB2312" w:hAnsi="仿宋_GB2312" w:cs="仿宋_GB2312"/>
          <w:shd w:val="clear" w:color="auto" w:fill="FFFFFF"/>
        </w:rPr>
        <w:t>深化“大学习、深调研、真落实”工作，深入基层一线开展</w:t>
      </w:r>
      <w:r>
        <w:rPr>
          <w:rFonts w:hint="eastAsia" w:ascii="仿宋_GB2312" w:hAnsi="仿宋_GB2312" w:cs="仿宋_GB2312"/>
        </w:rPr>
        <w:t>教学点布局、师资培训等</w:t>
      </w:r>
      <w:r>
        <w:rPr>
          <w:rFonts w:hint="eastAsia" w:ascii="仿宋_GB2312" w:hAnsi="仿宋_GB2312" w:cs="仿宋_GB2312"/>
          <w:shd w:val="clear" w:color="auto" w:fill="FFFFFF"/>
        </w:rPr>
        <w:t>调研，增强工作针对性、可操作性；</w:t>
      </w:r>
      <w:r>
        <w:rPr>
          <w:rFonts w:hint="eastAsia" w:ascii="仿宋_GB2312" w:hAnsi="仿宋_GB2312" w:cs="仿宋_GB2312"/>
          <w:b/>
          <w:bCs/>
          <w:kern w:val="0"/>
        </w:rPr>
        <w:t>四是</w:t>
      </w:r>
      <w:r>
        <w:rPr>
          <w:rFonts w:hint="eastAsia" w:ascii="仿宋_GB2312" w:hAnsi="仿宋_GB2312" w:cs="仿宋_GB2312"/>
        </w:rPr>
        <w:t>深入挖掘红色教育资源，打造教学精品线路和课程，创新教学方式方法，</w:t>
      </w:r>
      <w:r>
        <w:rPr>
          <w:rFonts w:hint="eastAsia" w:ascii="仿宋_GB2312" w:hAnsi="仿宋_GB2312" w:cs="仿宋_GB2312"/>
          <w:shd w:val="clear" w:color="auto" w:fill="FFFFFF"/>
        </w:rPr>
        <w:t>打造全国地级党校“一流红色学府”</w:t>
      </w:r>
      <w:r>
        <w:rPr>
          <w:rFonts w:hint="eastAsia" w:ascii="仿宋_GB2312" w:hAnsi="仿宋_GB2312" w:cs="仿宋_GB2312"/>
          <w:shd w:val="clear" w:color="auto" w:fill="FFFFFF"/>
          <w:lang w:eastAsia="zh-CN"/>
        </w:rPr>
        <w:t>（</w:t>
      </w:r>
      <w:r>
        <w:rPr>
          <w:rFonts w:hint="eastAsia" w:ascii="仿宋_GB2312" w:hAnsi="仿宋_GB2312" w:cs="仿宋_GB2312"/>
          <w:shd w:val="clear" w:color="auto" w:fill="FFFFFF"/>
        </w:rPr>
        <w:t>详见表1-3</w:t>
      </w:r>
      <w:r>
        <w:rPr>
          <w:rFonts w:hint="eastAsia" w:ascii="仿宋_GB2312" w:hAnsi="仿宋_GB2312" w:cs="仿宋_GB2312"/>
          <w:shd w:val="clear" w:color="auto" w:fill="FFFFFF"/>
          <w:lang w:eastAsia="zh-CN"/>
        </w:rPr>
        <w:t>）</w:t>
      </w:r>
      <w:r>
        <w:rPr>
          <w:rFonts w:hint="eastAsia" w:ascii="仿宋_GB2312" w:hAnsi="仿宋_GB2312" w:cs="仿宋_GB2312"/>
          <w:shd w:val="clear" w:color="auto" w:fill="FFFFFF"/>
        </w:rPr>
        <w:t>。</w:t>
      </w:r>
    </w:p>
    <w:p>
      <w:pPr>
        <w:pStyle w:val="37"/>
      </w:pPr>
      <w:r>
        <w:t>表1-</w:t>
      </w:r>
      <w:r>
        <w:rPr>
          <w:rFonts w:hint="eastAsia"/>
        </w:rPr>
        <w:t>3</w:t>
      </w:r>
      <w:r>
        <w:t xml:space="preserve"> </w:t>
      </w:r>
      <w:r>
        <w:rPr>
          <w:rFonts w:hint="eastAsia"/>
          <w:lang w:val="en-US" w:eastAsia="zh-CN"/>
        </w:rPr>
        <w:t xml:space="preserve"> </w:t>
      </w:r>
      <w:r>
        <w:t>部门整体绩效目标-绩效指标</w:t>
      </w:r>
    </w:p>
    <w:tbl>
      <w:tblPr>
        <w:tblStyle w:val="24"/>
        <w:tblW w:w="8485" w:type="dxa"/>
        <w:jc w:val="center"/>
        <w:tblInd w:w="0" w:type="dxa"/>
        <w:tblLayout w:type="fixed"/>
        <w:tblCellMar>
          <w:top w:w="0" w:type="dxa"/>
          <w:left w:w="108" w:type="dxa"/>
          <w:bottom w:w="0" w:type="dxa"/>
          <w:right w:w="108" w:type="dxa"/>
        </w:tblCellMar>
      </w:tblPr>
      <w:tblGrid>
        <w:gridCol w:w="2266"/>
        <w:gridCol w:w="3596"/>
        <w:gridCol w:w="2623"/>
      </w:tblGrid>
      <w:tr>
        <w:tblPrEx>
          <w:tblLayout w:type="fixed"/>
          <w:tblCellMar>
            <w:top w:w="0" w:type="dxa"/>
            <w:left w:w="108" w:type="dxa"/>
            <w:bottom w:w="0" w:type="dxa"/>
            <w:right w:w="108" w:type="dxa"/>
          </w:tblCellMar>
        </w:tblPrEx>
        <w:trPr>
          <w:trHeight w:val="620" w:hRule="atLeast"/>
          <w:tblHeader/>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b/>
              </w:rPr>
            </w:pPr>
            <w:r>
              <w:rPr>
                <w:rFonts w:hint="eastAsia" w:asciiTheme="minorEastAsia" w:hAnsiTheme="minorEastAsia" w:eastAsiaTheme="minorEastAsia" w:cstheme="minorEastAsia"/>
                <w:b/>
                <w:lang w:bidi="ar"/>
              </w:rPr>
              <w:t>指标类型</w:t>
            </w:r>
          </w:p>
        </w:tc>
        <w:tc>
          <w:tcPr>
            <w:tcW w:w="35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b/>
              </w:rPr>
            </w:pPr>
            <w:r>
              <w:rPr>
                <w:rFonts w:hint="eastAsia" w:asciiTheme="minorEastAsia" w:hAnsiTheme="minorEastAsia" w:eastAsiaTheme="minorEastAsia" w:cstheme="minorEastAsia"/>
                <w:b/>
                <w:lang w:bidi="ar"/>
              </w:rPr>
              <w:t>指标名称</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b/>
              </w:rPr>
            </w:pPr>
            <w:r>
              <w:rPr>
                <w:rFonts w:hint="eastAsia" w:asciiTheme="minorEastAsia" w:hAnsiTheme="minorEastAsia" w:eastAsiaTheme="minorEastAsia" w:cstheme="minorEastAsia"/>
                <w:b/>
                <w:lang w:bidi="ar"/>
              </w:rPr>
              <w:t>年度计划水平</w:t>
            </w:r>
          </w:p>
        </w:tc>
      </w:tr>
      <w:tr>
        <w:tblPrEx>
          <w:tblLayout w:type="fixed"/>
          <w:tblCellMar>
            <w:top w:w="0" w:type="dxa"/>
            <w:left w:w="108" w:type="dxa"/>
            <w:bottom w:w="0" w:type="dxa"/>
            <w:right w:w="108" w:type="dxa"/>
          </w:tblCellMar>
        </w:tblPrEx>
        <w:trPr>
          <w:trHeight w:val="283" w:hRule="atLeast"/>
          <w:jc w:val="center"/>
        </w:trPr>
        <w:tc>
          <w:tcPr>
            <w:tcW w:w="2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rPr>
            </w:pPr>
            <w:r>
              <w:rPr>
                <w:rFonts w:hint="eastAsia" w:asciiTheme="minorEastAsia" w:hAnsiTheme="minorEastAsia" w:eastAsiaTheme="minorEastAsia" w:cstheme="minorEastAsia"/>
                <w:lang w:bidi="ar"/>
              </w:rPr>
              <w:t>产出指标</w:t>
            </w:r>
          </w:p>
        </w:tc>
        <w:tc>
          <w:tcPr>
            <w:tcW w:w="35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培训频次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100%</w:t>
            </w:r>
          </w:p>
        </w:tc>
      </w:tr>
      <w:tr>
        <w:tblPrEx>
          <w:tblLayout w:type="fixed"/>
          <w:tblCellMar>
            <w:top w:w="0" w:type="dxa"/>
            <w:left w:w="108" w:type="dxa"/>
            <w:bottom w:w="0" w:type="dxa"/>
            <w:right w:w="108" w:type="dxa"/>
          </w:tblCellMar>
        </w:tblPrEx>
        <w:trPr>
          <w:trHeight w:val="283" w:hRule="atLeast"/>
          <w:jc w:val="center"/>
        </w:trPr>
        <w:tc>
          <w:tcPr>
            <w:tcW w:w="2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培训开展及时率</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及时</w:t>
            </w:r>
          </w:p>
        </w:tc>
      </w:tr>
      <w:tr>
        <w:tblPrEx>
          <w:tblLayout w:type="fixed"/>
          <w:tblCellMar>
            <w:top w:w="0" w:type="dxa"/>
            <w:left w:w="108" w:type="dxa"/>
            <w:bottom w:w="0" w:type="dxa"/>
            <w:right w:w="108" w:type="dxa"/>
          </w:tblCellMar>
        </w:tblPrEx>
        <w:trPr>
          <w:trHeight w:val="283" w:hRule="atLeast"/>
          <w:jc w:val="center"/>
        </w:trPr>
        <w:tc>
          <w:tcPr>
            <w:tcW w:w="2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培训班结业率</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100%</w:t>
            </w:r>
          </w:p>
        </w:tc>
      </w:tr>
      <w:tr>
        <w:tblPrEx>
          <w:tblLayout w:type="fixed"/>
          <w:tblCellMar>
            <w:top w:w="0" w:type="dxa"/>
            <w:left w:w="108" w:type="dxa"/>
            <w:bottom w:w="0" w:type="dxa"/>
            <w:right w:w="108" w:type="dxa"/>
          </w:tblCellMar>
        </w:tblPrEx>
        <w:trPr>
          <w:trHeight w:val="283" w:hRule="atLeast"/>
          <w:jc w:val="center"/>
        </w:trPr>
        <w:tc>
          <w:tcPr>
            <w:tcW w:w="2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计划执行率</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100%</w:t>
            </w:r>
          </w:p>
        </w:tc>
      </w:tr>
      <w:tr>
        <w:tblPrEx>
          <w:tblLayout w:type="fixed"/>
          <w:tblCellMar>
            <w:top w:w="0" w:type="dxa"/>
            <w:left w:w="108" w:type="dxa"/>
            <w:bottom w:w="0" w:type="dxa"/>
            <w:right w:w="108" w:type="dxa"/>
          </w:tblCellMar>
        </w:tblPrEx>
        <w:trPr>
          <w:trHeight w:val="283" w:hRule="atLeast"/>
          <w:jc w:val="center"/>
        </w:trPr>
        <w:tc>
          <w:tcPr>
            <w:tcW w:w="2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工程进度达标率</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100%</w:t>
            </w:r>
          </w:p>
        </w:tc>
      </w:tr>
      <w:tr>
        <w:tblPrEx>
          <w:tblLayout w:type="fixed"/>
          <w:tblCellMar>
            <w:top w:w="0" w:type="dxa"/>
            <w:left w:w="108" w:type="dxa"/>
            <w:bottom w:w="0" w:type="dxa"/>
            <w:right w:w="108" w:type="dxa"/>
          </w:tblCellMar>
        </w:tblPrEx>
        <w:trPr>
          <w:trHeight w:val="283" w:hRule="atLeast"/>
          <w:jc w:val="center"/>
        </w:trPr>
        <w:tc>
          <w:tcPr>
            <w:tcW w:w="2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红色教育基地项目建设及时率</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及时</w:t>
            </w:r>
          </w:p>
        </w:tc>
      </w:tr>
      <w:tr>
        <w:tblPrEx>
          <w:tblLayout w:type="fixed"/>
          <w:tblCellMar>
            <w:top w:w="0" w:type="dxa"/>
            <w:left w:w="108" w:type="dxa"/>
            <w:bottom w:w="0" w:type="dxa"/>
            <w:right w:w="108" w:type="dxa"/>
          </w:tblCellMar>
        </w:tblPrEx>
        <w:trPr>
          <w:trHeight w:val="283" w:hRule="atLeast"/>
          <w:jc w:val="center"/>
        </w:trPr>
        <w:tc>
          <w:tcPr>
            <w:tcW w:w="2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rPr>
            </w:pPr>
            <w:r>
              <w:rPr>
                <w:rFonts w:hint="eastAsia" w:asciiTheme="minorEastAsia" w:hAnsiTheme="minorEastAsia" w:eastAsiaTheme="minorEastAsia" w:cstheme="minorEastAsia"/>
                <w:lang w:bidi="ar"/>
              </w:rPr>
              <w:t>效果指标</w:t>
            </w:r>
          </w:p>
        </w:tc>
        <w:tc>
          <w:tcPr>
            <w:tcW w:w="35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学员思想更新率</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100%</w:t>
            </w:r>
          </w:p>
        </w:tc>
      </w:tr>
      <w:tr>
        <w:tblPrEx>
          <w:tblLayout w:type="fixed"/>
          <w:tblCellMar>
            <w:top w:w="0" w:type="dxa"/>
            <w:left w:w="108" w:type="dxa"/>
            <w:bottom w:w="0" w:type="dxa"/>
            <w:right w:w="108" w:type="dxa"/>
          </w:tblCellMar>
        </w:tblPrEx>
        <w:trPr>
          <w:trHeight w:val="283" w:hRule="atLeast"/>
          <w:jc w:val="center"/>
        </w:trPr>
        <w:tc>
          <w:tcPr>
            <w:tcW w:w="2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完工验收通过率</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100%</w:t>
            </w:r>
          </w:p>
        </w:tc>
      </w:tr>
      <w:tr>
        <w:tblPrEx>
          <w:tblLayout w:type="fixed"/>
          <w:tblCellMar>
            <w:top w:w="0" w:type="dxa"/>
            <w:left w:w="108" w:type="dxa"/>
            <w:bottom w:w="0" w:type="dxa"/>
            <w:right w:w="108" w:type="dxa"/>
          </w:tblCellMar>
        </w:tblPrEx>
        <w:trPr>
          <w:trHeight w:val="283"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rPr>
            </w:pPr>
            <w:r>
              <w:rPr>
                <w:rFonts w:hint="eastAsia" w:asciiTheme="minorEastAsia" w:hAnsiTheme="minorEastAsia" w:eastAsiaTheme="minorEastAsia" w:cstheme="minorEastAsia"/>
                <w:lang w:bidi="ar"/>
              </w:rPr>
              <w:t>满意度指标</w:t>
            </w:r>
          </w:p>
        </w:tc>
        <w:tc>
          <w:tcPr>
            <w:tcW w:w="35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学员满意度</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100%</w:t>
            </w:r>
          </w:p>
        </w:tc>
      </w:tr>
    </w:tbl>
    <w:p>
      <w:pPr>
        <w:pStyle w:val="4"/>
        <w:ind w:firstLine="640"/>
        <w:rPr>
          <w:rFonts w:cs="Times New Roman"/>
        </w:rPr>
      </w:pPr>
      <w:bookmarkStart w:id="17" w:name="_Toc19692"/>
      <w:r>
        <w:rPr>
          <w:rFonts w:cs="Times New Roman"/>
        </w:rPr>
        <w:t>（四）部门整体收支情况</w:t>
      </w:r>
      <w:r>
        <w:rPr>
          <w:rFonts w:hint="eastAsia" w:cs="Times New Roman"/>
        </w:rPr>
        <w:t>。</w:t>
      </w:r>
      <w:bookmarkEnd w:id="17"/>
    </w:p>
    <w:p>
      <w:pPr>
        <w:pStyle w:val="5"/>
        <w:ind w:firstLine="640"/>
        <w:rPr>
          <w:rFonts w:ascii="仿宋_GB2312" w:hAnsi="仿宋_GB2312" w:cs="仿宋_GB2312"/>
        </w:rPr>
      </w:pPr>
      <w:r>
        <w:rPr>
          <w:rFonts w:hint="eastAsia" w:ascii="仿宋_GB2312" w:hAnsi="仿宋_GB2312" w:cs="仿宋_GB2312"/>
        </w:rPr>
        <w:t>1.整体预算支出执行情况</w:t>
      </w:r>
    </w:p>
    <w:p>
      <w:pPr>
        <w:ind w:firstLine="640"/>
        <w:rPr>
          <w:rFonts w:ascii="仿宋_GB2312" w:hAnsi="仿宋_GB2312" w:cs="仿宋_GB2312"/>
        </w:rPr>
      </w:pPr>
      <w:r>
        <w:rPr>
          <w:rFonts w:hint="eastAsia" w:ascii="仿宋_GB2312" w:hAnsi="仿宋_GB2312" w:cs="仿宋_GB2312"/>
        </w:rPr>
        <w:t>2021年部门年初预算数10,538.97万元，调整后预算数7,464.59万元，支出决算数7,464.59万元（不含年初结转和结余），其中：基本支出决算数为2,273.34万元，占比30.45%；项目支出决算数5,191.25万元，占比69.55%。</w:t>
      </w:r>
    </w:p>
    <w:p>
      <w:pPr>
        <w:ind w:firstLine="640"/>
        <w:rPr>
          <w:rFonts w:ascii="仿宋_GB2312" w:hAnsi="仿宋_GB2312" w:cs="仿宋_GB2312"/>
        </w:rPr>
      </w:pPr>
      <w:r>
        <w:rPr>
          <w:rFonts w:hint="eastAsia" w:ascii="仿宋_GB2312" w:hAnsi="仿宋_GB2312" w:cs="仿宋_GB2312"/>
        </w:rPr>
        <w:t>部门基本支出2,273.34万元，其中：人员经费支出1,987.05万元，公用经费支出286.29万元，主要用于机关工作人员经费以及保障机构正常运转的支出，包括：人员工资、办公费用、水电费、邮电费、差旅费、维修费、会议费、培训费等日常支出；项目支出5,191.25万元，主要用于支付红色教育基地建设项目代建费用、2021年教学成本项目支出（主要包含物业管理费、校等保及信创网扩容项目、食堂采购费、多功能实训室改造工程款等）</w:t>
      </w:r>
      <w:r>
        <w:rPr>
          <w:rFonts w:hint="eastAsia" w:ascii="仿宋_GB2312" w:hAnsi="仿宋_GB2312" w:cs="仿宋_GB2312"/>
          <w:lang w:eastAsia="zh-CN"/>
        </w:rPr>
        <w:t>（</w:t>
      </w:r>
      <w:r>
        <w:rPr>
          <w:rFonts w:hint="eastAsia" w:ascii="仿宋_GB2312" w:hAnsi="仿宋_GB2312" w:cs="仿宋_GB2312"/>
        </w:rPr>
        <w:t>详见表1-4</w:t>
      </w:r>
      <w:r>
        <w:rPr>
          <w:rFonts w:hint="eastAsia" w:ascii="仿宋_GB2312" w:hAnsi="仿宋_GB2312" w:cs="仿宋_GB2312"/>
          <w:lang w:eastAsia="zh-CN"/>
        </w:rPr>
        <w:t>）</w:t>
      </w:r>
      <w:r>
        <w:rPr>
          <w:rFonts w:hint="eastAsia" w:ascii="仿宋_GB2312" w:hAnsi="仿宋_GB2312" w:cs="仿宋_GB2312"/>
        </w:rPr>
        <w:t>。</w:t>
      </w:r>
    </w:p>
    <w:p>
      <w:pPr>
        <w:pStyle w:val="37"/>
        <w:jc w:val="right"/>
      </w:pPr>
      <w:r>
        <w:rPr>
          <w:rFonts w:hint="eastAsia" w:asciiTheme="majorEastAsia" w:hAnsiTheme="majorEastAsia" w:eastAsiaTheme="majorEastAsia" w:cstheme="majorEastAsia"/>
        </w:rPr>
        <w:t>表1-4   部门整体支出情况表</w:t>
      </w:r>
      <w:r>
        <w:rPr>
          <w:rFonts w:hint="eastAsia" w:asciiTheme="majorEastAsia" w:hAnsiTheme="majorEastAsia" w:eastAsiaTheme="majorEastAsia" w:cstheme="majorEastAsia"/>
          <w:lang w:val="en-US" w:eastAsia="zh-CN"/>
        </w:rPr>
        <w:t xml:space="preserve">          </w:t>
      </w:r>
      <w:r>
        <w:rPr>
          <w:b w:val="0"/>
          <w:bCs w:val="0"/>
          <w:sz w:val="21"/>
          <w:szCs w:val="21"/>
        </w:rPr>
        <w:t>单位：万元</w:t>
      </w:r>
    </w:p>
    <w:tbl>
      <w:tblPr>
        <w:tblStyle w:val="24"/>
        <w:tblW w:w="9399" w:type="dxa"/>
        <w:jc w:val="center"/>
        <w:tblInd w:w="0" w:type="dxa"/>
        <w:tblLayout w:type="fixed"/>
        <w:tblCellMar>
          <w:top w:w="0" w:type="dxa"/>
          <w:left w:w="108" w:type="dxa"/>
          <w:bottom w:w="0" w:type="dxa"/>
          <w:right w:w="108" w:type="dxa"/>
        </w:tblCellMar>
      </w:tblPr>
      <w:tblGrid>
        <w:gridCol w:w="2632"/>
        <w:gridCol w:w="1558"/>
        <w:gridCol w:w="1844"/>
        <w:gridCol w:w="1699"/>
        <w:gridCol w:w="1666"/>
      </w:tblGrid>
      <w:tr>
        <w:tblPrEx>
          <w:tblLayout w:type="fixed"/>
          <w:tblCellMar>
            <w:top w:w="0" w:type="dxa"/>
            <w:left w:w="108" w:type="dxa"/>
            <w:bottom w:w="0" w:type="dxa"/>
            <w:right w:w="108" w:type="dxa"/>
          </w:tblCellMar>
        </w:tblPrEx>
        <w:trPr>
          <w:trHeight w:val="730" w:hRule="atLeast"/>
          <w:tblHeader/>
          <w:jc w:val="center"/>
        </w:trPr>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szCs w:val="21"/>
              </w:rPr>
            </w:pPr>
            <w:r>
              <w:rPr>
                <w:rStyle w:val="30"/>
                <w:rFonts w:hint="default" w:asciiTheme="minorEastAsia" w:hAnsiTheme="minorEastAsia" w:eastAsiaTheme="minorEastAsia" w:cstheme="minorEastAsia"/>
                <w:b/>
                <w:bCs w:val="0"/>
                <w:sz w:val="21"/>
                <w:szCs w:val="21"/>
                <w:lang w:bidi="ar"/>
              </w:rPr>
              <w:t>项目名称</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szCs w:val="21"/>
              </w:rPr>
            </w:pPr>
            <w:r>
              <w:rPr>
                <w:rStyle w:val="30"/>
                <w:rFonts w:hint="default" w:asciiTheme="minorEastAsia" w:hAnsiTheme="minorEastAsia" w:eastAsiaTheme="minorEastAsia" w:cstheme="minorEastAsia"/>
                <w:b/>
                <w:bCs w:val="0"/>
                <w:sz w:val="21"/>
                <w:szCs w:val="21"/>
                <w:lang w:bidi="ar"/>
              </w:rPr>
              <w:t>年初预算数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szCs w:val="21"/>
              </w:rPr>
            </w:pPr>
            <w:r>
              <w:rPr>
                <w:rStyle w:val="30"/>
                <w:rFonts w:hint="default" w:asciiTheme="minorEastAsia" w:hAnsiTheme="minorEastAsia" w:eastAsiaTheme="minorEastAsia" w:cstheme="minorEastAsia"/>
                <w:b/>
                <w:bCs w:val="0"/>
                <w:sz w:val="21"/>
                <w:szCs w:val="21"/>
                <w:lang w:bidi="ar"/>
              </w:rPr>
              <w:t>调整预算数</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szCs w:val="21"/>
              </w:rPr>
            </w:pPr>
            <w:r>
              <w:rPr>
                <w:rStyle w:val="30"/>
                <w:rFonts w:hint="default" w:asciiTheme="minorEastAsia" w:hAnsiTheme="minorEastAsia" w:eastAsiaTheme="minorEastAsia" w:cstheme="minorEastAsia"/>
                <w:b/>
                <w:bCs w:val="0"/>
                <w:sz w:val="21"/>
                <w:szCs w:val="21"/>
                <w:lang w:bidi="ar"/>
              </w:rPr>
              <w:t>决算数</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szCs w:val="21"/>
              </w:rPr>
            </w:pPr>
            <w:r>
              <w:rPr>
                <w:rStyle w:val="31"/>
                <w:rFonts w:hint="default" w:asciiTheme="minorEastAsia" w:hAnsiTheme="minorEastAsia" w:eastAsiaTheme="minorEastAsia" w:cstheme="minorEastAsia"/>
                <w:b/>
                <w:bCs w:val="0"/>
                <w:sz w:val="21"/>
                <w:szCs w:val="21"/>
                <w:lang w:bidi="ar"/>
              </w:rPr>
              <w:t>占总支出比例</w:t>
            </w:r>
          </w:p>
        </w:tc>
      </w:tr>
      <w:tr>
        <w:tblPrEx>
          <w:tblLayout w:type="fixed"/>
          <w:tblCellMar>
            <w:top w:w="0" w:type="dxa"/>
            <w:left w:w="108" w:type="dxa"/>
            <w:bottom w:w="0" w:type="dxa"/>
            <w:right w:w="108" w:type="dxa"/>
          </w:tblCellMar>
        </w:tblPrEx>
        <w:trPr>
          <w:trHeight w:val="28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40"/>
              <w:jc w:val="left"/>
              <w:rPr>
                <w:rFonts w:asciiTheme="minorEastAsia" w:hAnsiTheme="minorEastAsia" w:eastAsiaTheme="minorEastAsia" w:cstheme="minorEastAsia"/>
                <w:szCs w:val="21"/>
              </w:rPr>
            </w:pPr>
            <w:r>
              <w:rPr>
                <w:rStyle w:val="30"/>
                <w:rFonts w:hint="default" w:asciiTheme="minorEastAsia" w:hAnsiTheme="minorEastAsia" w:eastAsiaTheme="minorEastAsia" w:cstheme="minorEastAsia"/>
                <w:sz w:val="21"/>
                <w:szCs w:val="21"/>
                <w:lang w:bidi="ar"/>
              </w:rPr>
              <w:t>一、基本支出</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2,438.97</w:t>
            </w: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2,273.34</w:t>
            </w:r>
          </w:p>
        </w:tc>
        <w:tc>
          <w:tcPr>
            <w:tcW w:w="1699"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2,273.34</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40"/>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30.45%</w:t>
            </w:r>
          </w:p>
        </w:tc>
      </w:tr>
      <w:tr>
        <w:tblPrEx>
          <w:tblLayout w:type="fixed"/>
          <w:tblCellMar>
            <w:top w:w="0" w:type="dxa"/>
            <w:left w:w="108" w:type="dxa"/>
            <w:bottom w:w="0" w:type="dxa"/>
            <w:right w:w="108" w:type="dxa"/>
          </w:tblCellMar>
        </w:tblPrEx>
        <w:trPr>
          <w:trHeight w:val="28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40"/>
              <w:jc w:val="left"/>
              <w:rPr>
                <w:rFonts w:asciiTheme="minorEastAsia" w:hAnsiTheme="minorEastAsia" w:eastAsiaTheme="minorEastAsia" w:cstheme="minorEastAsia"/>
                <w:szCs w:val="21"/>
              </w:rPr>
            </w:pPr>
            <w:r>
              <w:rPr>
                <w:rStyle w:val="30"/>
                <w:rFonts w:hint="default" w:asciiTheme="minorEastAsia" w:hAnsiTheme="minorEastAsia" w:eastAsiaTheme="minorEastAsia" w:cstheme="minorEastAsia"/>
                <w:sz w:val="21"/>
                <w:szCs w:val="21"/>
                <w:lang w:bidi="ar"/>
              </w:rPr>
              <w:t>人员经费</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2,112.01</w:t>
            </w: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1,987.04</w:t>
            </w:r>
          </w:p>
        </w:tc>
        <w:tc>
          <w:tcPr>
            <w:tcW w:w="1699"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1,987.04</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40"/>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26.62%</w:t>
            </w:r>
          </w:p>
        </w:tc>
      </w:tr>
      <w:tr>
        <w:tblPrEx>
          <w:tblLayout w:type="fixed"/>
          <w:tblCellMar>
            <w:top w:w="0" w:type="dxa"/>
            <w:left w:w="108" w:type="dxa"/>
            <w:bottom w:w="0" w:type="dxa"/>
            <w:right w:w="108" w:type="dxa"/>
          </w:tblCellMar>
        </w:tblPrEx>
        <w:trPr>
          <w:trHeight w:val="28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40"/>
              <w:jc w:val="left"/>
              <w:rPr>
                <w:rFonts w:asciiTheme="minorEastAsia" w:hAnsiTheme="minorEastAsia" w:eastAsiaTheme="minorEastAsia" w:cstheme="minorEastAsia"/>
                <w:szCs w:val="21"/>
              </w:rPr>
            </w:pPr>
            <w:r>
              <w:rPr>
                <w:rStyle w:val="30"/>
                <w:rFonts w:hint="default" w:asciiTheme="minorEastAsia" w:hAnsiTheme="minorEastAsia" w:eastAsiaTheme="minorEastAsia" w:cstheme="minorEastAsia"/>
                <w:sz w:val="21"/>
                <w:szCs w:val="21"/>
                <w:lang w:bidi="ar"/>
              </w:rPr>
              <w:t>公用经费</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326.96</w:t>
            </w: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286.29</w:t>
            </w:r>
          </w:p>
        </w:tc>
        <w:tc>
          <w:tcPr>
            <w:tcW w:w="1699"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286.29</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40"/>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3.84%</w:t>
            </w:r>
          </w:p>
        </w:tc>
      </w:tr>
      <w:tr>
        <w:tblPrEx>
          <w:tblLayout w:type="fixed"/>
          <w:tblCellMar>
            <w:top w:w="0" w:type="dxa"/>
            <w:left w:w="108" w:type="dxa"/>
            <w:bottom w:w="0" w:type="dxa"/>
            <w:right w:w="108" w:type="dxa"/>
          </w:tblCellMar>
        </w:tblPrEx>
        <w:trPr>
          <w:trHeight w:val="28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40"/>
              <w:jc w:val="left"/>
              <w:rPr>
                <w:rFonts w:asciiTheme="minorEastAsia" w:hAnsiTheme="minorEastAsia" w:eastAsiaTheme="minorEastAsia" w:cstheme="minorEastAsia"/>
                <w:szCs w:val="21"/>
              </w:rPr>
            </w:pPr>
            <w:r>
              <w:rPr>
                <w:rStyle w:val="30"/>
                <w:rFonts w:hint="default" w:asciiTheme="minorEastAsia" w:hAnsiTheme="minorEastAsia" w:eastAsiaTheme="minorEastAsia" w:cstheme="minorEastAsia"/>
                <w:sz w:val="21"/>
                <w:szCs w:val="21"/>
                <w:lang w:bidi="ar"/>
              </w:rPr>
              <w:t>二、项目支出</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8,100.00</w:t>
            </w: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5,191.25</w:t>
            </w:r>
          </w:p>
        </w:tc>
        <w:tc>
          <w:tcPr>
            <w:tcW w:w="1699"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5,191.25</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40"/>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69.55%</w:t>
            </w:r>
          </w:p>
        </w:tc>
      </w:tr>
      <w:tr>
        <w:tblPrEx>
          <w:tblLayout w:type="fixed"/>
          <w:tblCellMar>
            <w:top w:w="0" w:type="dxa"/>
            <w:left w:w="108" w:type="dxa"/>
            <w:bottom w:w="0" w:type="dxa"/>
            <w:right w:w="108" w:type="dxa"/>
          </w:tblCellMar>
        </w:tblPrEx>
        <w:trPr>
          <w:trHeight w:val="28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40"/>
              <w:jc w:val="left"/>
              <w:rPr>
                <w:rFonts w:asciiTheme="minorEastAsia" w:hAnsiTheme="minorEastAsia" w:eastAsiaTheme="minorEastAsia" w:cstheme="minorEastAsia"/>
                <w:szCs w:val="21"/>
              </w:rPr>
            </w:pPr>
            <w:r>
              <w:rPr>
                <w:rStyle w:val="30"/>
                <w:rFonts w:hint="default" w:asciiTheme="minorEastAsia" w:hAnsiTheme="minorEastAsia" w:eastAsiaTheme="minorEastAsia" w:cstheme="minorEastAsia"/>
                <w:sz w:val="21"/>
                <w:szCs w:val="21"/>
                <w:lang w:bidi="ar"/>
              </w:rPr>
              <w:t>其中：基本建设类项目</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c>
          <w:tcPr>
            <w:tcW w:w="1699"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r>
      <w:tr>
        <w:tblPrEx>
          <w:tblLayout w:type="fixed"/>
          <w:tblCellMar>
            <w:top w:w="0" w:type="dxa"/>
            <w:left w:w="108" w:type="dxa"/>
            <w:bottom w:w="0" w:type="dxa"/>
            <w:right w:w="108" w:type="dxa"/>
          </w:tblCellMar>
        </w:tblPrEx>
        <w:trPr>
          <w:trHeight w:val="28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40"/>
              <w:jc w:val="left"/>
              <w:rPr>
                <w:rFonts w:asciiTheme="minorEastAsia" w:hAnsiTheme="minorEastAsia" w:eastAsiaTheme="minorEastAsia" w:cstheme="minorEastAsia"/>
                <w:szCs w:val="21"/>
              </w:rPr>
            </w:pPr>
            <w:r>
              <w:rPr>
                <w:rStyle w:val="30"/>
                <w:rFonts w:hint="default" w:asciiTheme="minorEastAsia" w:hAnsiTheme="minorEastAsia" w:eastAsiaTheme="minorEastAsia" w:cstheme="minorEastAsia"/>
                <w:sz w:val="21"/>
                <w:szCs w:val="21"/>
                <w:lang w:bidi="ar"/>
              </w:rPr>
              <w:t>三、上缴上级支出</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c>
          <w:tcPr>
            <w:tcW w:w="1699"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r>
      <w:tr>
        <w:tblPrEx>
          <w:tblLayout w:type="fixed"/>
          <w:tblCellMar>
            <w:top w:w="0" w:type="dxa"/>
            <w:left w:w="108" w:type="dxa"/>
            <w:bottom w:w="0" w:type="dxa"/>
            <w:right w:w="108" w:type="dxa"/>
          </w:tblCellMar>
        </w:tblPrEx>
        <w:trPr>
          <w:trHeight w:val="28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40"/>
              <w:jc w:val="left"/>
              <w:rPr>
                <w:rFonts w:asciiTheme="minorEastAsia" w:hAnsiTheme="minorEastAsia" w:eastAsiaTheme="minorEastAsia" w:cstheme="minorEastAsia"/>
                <w:szCs w:val="21"/>
              </w:rPr>
            </w:pPr>
            <w:r>
              <w:rPr>
                <w:rStyle w:val="30"/>
                <w:rFonts w:hint="default" w:asciiTheme="minorEastAsia" w:hAnsiTheme="minorEastAsia" w:eastAsiaTheme="minorEastAsia" w:cstheme="minorEastAsia"/>
                <w:sz w:val="21"/>
                <w:szCs w:val="21"/>
                <w:lang w:bidi="ar"/>
              </w:rPr>
              <w:t>四、经营支出</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c>
          <w:tcPr>
            <w:tcW w:w="1699"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r>
      <w:tr>
        <w:tblPrEx>
          <w:tblLayout w:type="fixed"/>
          <w:tblCellMar>
            <w:top w:w="0" w:type="dxa"/>
            <w:left w:w="108" w:type="dxa"/>
            <w:bottom w:w="0" w:type="dxa"/>
            <w:right w:w="108" w:type="dxa"/>
          </w:tblCellMar>
        </w:tblPrEx>
        <w:trPr>
          <w:trHeight w:val="28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40"/>
              <w:jc w:val="left"/>
              <w:rPr>
                <w:rFonts w:asciiTheme="minorEastAsia" w:hAnsiTheme="minorEastAsia" w:eastAsiaTheme="minorEastAsia" w:cstheme="minorEastAsia"/>
                <w:szCs w:val="21"/>
              </w:rPr>
            </w:pPr>
            <w:r>
              <w:rPr>
                <w:rStyle w:val="30"/>
                <w:rFonts w:hint="default" w:asciiTheme="minorEastAsia" w:hAnsiTheme="minorEastAsia" w:eastAsiaTheme="minorEastAsia" w:cstheme="minorEastAsia"/>
                <w:sz w:val="21"/>
                <w:szCs w:val="21"/>
                <w:lang w:bidi="ar"/>
              </w:rPr>
              <w:t>五、对附属单位补助支出</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c>
          <w:tcPr>
            <w:tcW w:w="1699"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0.00%</w:t>
            </w:r>
          </w:p>
        </w:tc>
      </w:tr>
      <w:tr>
        <w:tblPrEx>
          <w:tblLayout w:type="fixed"/>
          <w:tblCellMar>
            <w:top w:w="0" w:type="dxa"/>
            <w:left w:w="108" w:type="dxa"/>
            <w:bottom w:w="0" w:type="dxa"/>
            <w:right w:w="108" w:type="dxa"/>
          </w:tblCellMar>
        </w:tblPrEx>
        <w:trPr>
          <w:trHeight w:val="28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40"/>
              <w:jc w:val="left"/>
              <w:rPr>
                <w:rFonts w:asciiTheme="minorEastAsia" w:hAnsiTheme="minorEastAsia" w:eastAsiaTheme="minorEastAsia" w:cstheme="minorEastAsia"/>
                <w:b/>
                <w:bCs w:val="0"/>
                <w:szCs w:val="21"/>
              </w:rPr>
            </w:pPr>
            <w:r>
              <w:rPr>
                <w:rStyle w:val="31"/>
                <w:rFonts w:hint="default" w:asciiTheme="minorEastAsia" w:hAnsiTheme="minorEastAsia" w:eastAsiaTheme="minorEastAsia" w:cstheme="minorEastAsia"/>
                <w:b/>
                <w:bCs w:val="0"/>
                <w:sz w:val="21"/>
                <w:szCs w:val="21"/>
                <w:lang w:bidi="ar"/>
              </w:rPr>
              <w:t>合  计</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b/>
                <w:bCs w:val="0"/>
                <w:szCs w:val="21"/>
                <w:lang w:bidi="ar"/>
              </w:rPr>
            </w:pPr>
            <w:r>
              <w:rPr>
                <w:rFonts w:hint="eastAsia" w:asciiTheme="minorEastAsia" w:hAnsiTheme="minorEastAsia" w:eastAsiaTheme="minorEastAsia" w:cstheme="minorEastAsia"/>
                <w:b/>
                <w:bCs w:val="0"/>
                <w:szCs w:val="21"/>
                <w:lang w:bidi="ar"/>
              </w:rPr>
              <w:t>10,538.97</w:t>
            </w: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b/>
                <w:bCs w:val="0"/>
                <w:szCs w:val="21"/>
                <w:lang w:bidi="ar"/>
              </w:rPr>
            </w:pPr>
            <w:r>
              <w:rPr>
                <w:rFonts w:hint="eastAsia" w:asciiTheme="minorEastAsia" w:hAnsiTheme="minorEastAsia" w:eastAsiaTheme="minorEastAsia" w:cstheme="minorEastAsia"/>
                <w:b/>
                <w:bCs w:val="0"/>
                <w:szCs w:val="21"/>
                <w:lang w:bidi="ar"/>
              </w:rPr>
              <w:t>7,464.59</w:t>
            </w:r>
          </w:p>
        </w:tc>
        <w:tc>
          <w:tcPr>
            <w:tcW w:w="1699" w:type="dxa"/>
            <w:tcBorders>
              <w:top w:val="single" w:color="000000" w:sz="4" w:space="0"/>
              <w:left w:val="single" w:color="000000" w:sz="4" w:space="0"/>
              <w:bottom w:val="single" w:color="000000" w:sz="4" w:space="0"/>
              <w:right w:val="single" w:color="000000" w:sz="4" w:space="0"/>
            </w:tcBorders>
            <w:vAlign w:val="center"/>
          </w:tcPr>
          <w:p>
            <w:pPr>
              <w:pStyle w:val="40"/>
              <w:jc w:val="right"/>
              <w:rPr>
                <w:rFonts w:asciiTheme="minorEastAsia" w:hAnsiTheme="minorEastAsia" w:eastAsiaTheme="minorEastAsia" w:cstheme="minorEastAsia"/>
                <w:b/>
                <w:bCs w:val="0"/>
                <w:szCs w:val="21"/>
                <w:lang w:bidi="ar"/>
              </w:rPr>
            </w:pPr>
            <w:r>
              <w:rPr>
                <w:rFonts w:hint="eastAsia" w:asciiTheme="minorEastAsia" w:hAnsiTheme="minorEastAsia" w:eastAsiaTheme="minorEastAsia" w:cstheme="minorEastAsia"/>
                <w:b/>
                <w:bCs w:val="0"/>
                <w:szCs w:val="21"/>
                <w:lang w:bidi="ar"/>
              </w:rPr>
              <w:t>7,464.59</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40"/>
              <w:rPr>
                <w:rFonts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szCs w:val="21"/>
                <w:lang w:bidi="ar"/>
              </w:rPr>
              <w:t>100.00%</w:t>
            </w:r>
          </w:p>
        </w:tc>
      </w:tr>
    </w:tbl>
    <w:p>
      <w:pPr>
        <w:pStyle w:val="5"/>
        <w:ind w:firstLine="640"/>
      </w:pPr>
      <w:r>
        <w:t>2.“三公”经费支出情况</w:t>
      </w:r>
    </w:p>
    <w:p>
      <w:pPr>
        <w:ind w:firstLine="640"/>
        <w:rPr>
          <w:rFonts w:ascii="仿宋_GB2312" w:hAnsi="仿宋_GB2312" w:cs="仿宋_GB2312"/>
        </w:rPr>
      </w:pPr>
      <w:r>
        <w:rPr>
          <w:rFonts w:hint="eastAsia" w:ascii="仿宋_GB2312" w:hAnsi="仿宋_GB2312" w:cs="仿宋_GB2312"/>
        </w:rPr>
        <w:t>2021年市委党校“三公经费”年初预算为13.90万元，截至2021年12月31日，实际支出6.11万元，实际支出率43.99%（见表1-</w:t>
      </w:r>
      <w:r>
        <w:rPr>
          <w:rFonts w:hint="eastAsia" w:ascii="仿宋_GB2312" w:hAnsi="仿宋_GB2312" w:cs="仿宋_GB2312"/>
          <w:lang w:val="en-US" w:eastAsia="zh-CN"/>
        </w:rPr>
        <w:t>5</w:t>
      </w:r>
      <w:r>
        <w:rPr>
          <w:rFonts w:hint="eastAsia" w:ascii="仿宋_GB2312" w:hAnsi="仿宋_GB2312" w:cs="仿宋_GB2312"/>
        </w:rPr>
        <w:t>）。2020年市委党校“三公经费”年初预算为13.90 万元，实际支出6.61万元。“三公经费”预算安排同比保持持平，实际支出保持下降。</w:t>
      </w:r>
    </w:p>
    <w:p>
      <w:pPr>
        <w:pStyle w:val="37"/>
        <w:jc w:val="right"/>
        <w:rPr>
          <w:sz w:val="24"/>
        </w:rPr>
      </w:pPr>
      <w:r>
        <w:rPr>
          <w:rFonts w:hint="eastAsia" w:asciiTheme="minorEastAsia" w:hAnsiTheme="minorEastAsia" w:eastAsiaTheme="minorEastAsia" w:cstheme="minorEastAsia"/>
        </w:rPr>
        <w:t>表1-</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2021年“三公”经费预算支出明细表</w:t>
      </w:r>
      <w:r>
        <w:rPr>
          <w:rFonts w:hint="eastAsia" w:asciiTheme="minorEastAsia" w:hAnsiTheme="minorEastAsia" w:eastAsiaTheme="minorEastAsia" w:cstheme="minorEastAsia"/>
          <w:lang w:val="en-US" w:eastAsia="zh-CN"/>
        </w:rPr>
        <w:t xml:space="preserve">   </w:t>
      </w:r>
      <w:r>
        <w:rPr>
          <w:b w:val="0"/>
          <w:bCs w:val="0"/>
          <w:sz w:val="21"/>
          <w:szCs w:val="21"/>
        </w:rPr>
        <w:t>单位：万元</w:t>
      </w:r>
      <w:r>
        <w:rPr>
          <w:rFonts w:hint="eastAsia"/>
          <w:b w:val="0"/>
          <w:bCs w:val="0"/>
          <w:sz w:val="21"/>
          <w:szCs w:val="21"/>
        </w:rPr>
        <w:t xml:space="preserve">           </w:t>
      </w:r>
    </w:p>
    <w:tbl>
      <w:tblPr>
        <w:tblStyle w:val="24"/>
        <w:tblW w:w="8255" w:type="dxa"/>
        <w:jc w:val="center"/>
        <w:tblInd w:w="0" w:type="dxa"/>
        <w:tblLayout w:type="fixed"/>
        <w:tblCellMar>
          <w:top w:w="0" w:type="dxa"/>
          <w:left w:w="108" w:type="dxa"/>
          <w:bottom w:w="0" w:type="dxa"/>
          <w:right w:w="108" w:type="dxa"/>
        </w:tblCellMar>
      </w:tblPr>
      <w:tblGrid>
        <w:gridCol w:w="3276"/>
        <w:gridCol w:w="1692"/>
        <w:gridCol w:w="1650"/>
        <w:gridCol w:w="1637"/>
      </w:tblGrid>
      <w:tr>
        <w:tblPrEx>
          <w:tblLayout w:type="fixed"/>
          <w:tblCellMar>
            <w:top w:w="0" w:type="dxa"/>
            <w:left w:w="108" w:type="dxa"/>
            <w:bottom w:w="0" w:type="dxa"/>
            <w:right w:w="108" w:type="dxa"/>
          </w:tblCellMar>
        </w:tblPrEx>
        <w:trPr>
          <w:trHeight w:val="715" w:hRule="atLeast"/>
          <w:tblHeader/>
          <w:jc w:val="center"/>
        </w:trPr>
        <w:tc>
          <w:tcPr>
            <w:tcW w:w="3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支出项目</w:t>
            </w: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预算安排数</w:t>
            </w:r>
          </w:p>
        </w:tc>
        <w:tc>
          <w:tcPr>
            <w:tcW w:w="1650" w:type="dxa"/>
            <w:tcBorders>
              <w:top w:val="single" w:color="auto" w:sz="4" w:space="0"/>
              <w:left w:val="nil"/>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实际支出数</w:t>
            </w:r>
          </w:p>
        </w:tc>
        <w:tc>
          <w:tcPr>
            <w:tcW w:w="1637" w:type="dxa"/>
            <w:tcBorders>
              <w:top w:val="single" w:color="auto" w:sz="4" w:space="0"/>
              <w:left w:val="nil"/>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支出率（%）</w:t>
            </w:r>
          </w:p>
        </w:tc>
      </w:tr>
      <w:tr>
        <w:tblPrEx>
          <w:tblLayout w:type="fixed"/>
          <w:tblCellMar>
            <w:top w:w="0" w:type="dxa"/>
            <w:left w:w="108" w:type="dxa"/>
            <w:bottom w:w="0" w:type="dxa"/>
            <w:right w:w="108" w:type="dxa"/>
          </w:tblCellMar>
        </w:tblPrEx>
        <w:trPr>
          <w:trHeight w:val="283" w:hRule="atLeast"/>
          <w:jc w:val="center"/>
        </w:trPr>
        <w:tc>
          <w:tcPr>
            <w:tcW w:w="3276" w:type="dxa"/>
            <w:tcBorders>
              <w:top w:val="nil"/>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1.因公出国（境）费</w:t>
            </w:r>
          </w:p>
        </w:tc>
        <w:tc>
          <w:tcPr>
            <w:tcW w:w="1692" w:type="dxa"/>
            <w:tcBorders>
              <w:top w:val="nil"/>
              <w:left w:val="nil"/>
              <w:bottom w:val="single" w:color="auto" w:sz="4" w:space="0"/>
              <w:right w:val="single" w:color="auto" w:sz="4" w:space="0"/>
            </w:tcBorders>
            <w:shd w:val="clear" w:color="auto" w:fill="auto"/>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650" w:type="dxa"/>
            <w:tcBorders>
              <w:top w:val="nil"/>
              <w:left w:val="nil"/>
              <w:bottom w:val="single" w:color="auto" w:sz="4" w:space="0"/>
              <w:right w:val="single" w:color="auto" w:sz="4" w:space="0"/>
            </w:tcBorders>
            <w:shd w:val="clear" w:color="auto" w:fill="auto"/>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637" w:type="dxa"/>
            <w:tcBorders>
              <w:top w:val="nil"/>
              <w:left w:val="nil"/>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Layout w:type="fixed"/>
          <w:tblCellMar>
            <w:top w:w="0" w:type="dxa"/>
            <w:left w:w="108" w:type="dxa"/>
            <w:bottom w:w="0" w:type="dxa"/>
            <w:right w:w="108" w:type="dxa"/>
          </w:tblCellMar>
        </w:tblPrEx>
        <w:trPr>
          <w:trHeight w:val="283" w:hRule="atLeast"/>
          <w:jc w:val="center"/>
        </w:trPr>
        <w:tc>
          <w:tcPr>
            <w:tcW w:w="3276" w:type="dxa"/>
            <w:tcBorders>
              <w:top w:val="nil"/>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2.公务用车购置及运行维护费</w:t>
            </w:r>
          </w:p>
        </w:tc>
        <w:tc>
          <w:tcPr>
            <w:tcW w:w="1692" w:type="dxa"/>
            <w:tcBorders>
              <w:top w:val="nil"/>
              <w:left w:val="nil"/>
              <w:bottom w:val="single" w:color="auto" w:sz="4" w:space="0"/>
              <w:right w:val="single" w:color="auto" w:sz="4" w:space="0"/>
            </w:tcBorders>
            <w:shd w:val="clear" w:color="auto" w:fill="auto"/>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6.00</w:t>
            </w:r>
          </w:p>
        </w:tc>
        <w:tc>
          <w:tcPr>
            <w:tcW w:w="1650" w:type="dxa"/>
            <w:tcBorders>
              <w:top w:val="nil"/>
              <w:left w:val="nil"/>
              <w:bottom w:val="single" w:color="auto" w:sz="4" w:space="0"/>
              <w:right w:val="single" w:color="auto" w:sz="4" w:space="0"/>
            </w:tcBorders>
            <w:shd w:val="clear" w:color="auto" w:fill="auto"/>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5.10</w:t>
            </w:r>
          </w:p>
        </w:tc>
        <w:tc>
          <w:tcPr>
            <w:tcW w:w="1637" w:type="dxa"/>
            <w:tcBorders>
              <w:top w:val="nil"/>
              <w:left w:val="nil"/>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85.00%</w:t>
            </w:r>
          </w:p>
        </w:tc>
      </w:tr>
      <w:tr>
        <w:tblPrEx>
          <w:tblLayout w:type="fixed"/>
          <w:tblCellMar>
            <w:top w:w="0" w:type="dxa"/>
            <w:left w:w="108" w:type="dxa"/>
            <w:bottom w:w="0" w:type="dxa"/>
            <w:right w:w="108" w:type="dxa"/>
          </w:tblCellMar>
        </w:tblPrEx>
        <w:trPr>
          <w:trHeight w:val="283" w:hRule="atLeast"/>
          <w:jc w:val="center"/>
        </w:trPr>
        <w:tc>
          <w:tcPr>
            <w:tcW w:w="3276" w:type="dxa"/>
            <w:tcBorders>
              <w:top w:val="nil"/>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（1）公务用车购置费</w:t>
            </w:r>
          </w:p>
        </w:tc>
        <w:tc>
          <w:tcPr>
            <w:tcW w:w="1692" w:type="dxa"/>
            <w:tcBorders>
              <w:top w:val="nil"/>
              <w:left w:val="nil"/>
              <w:bottom w:val="single" w:color="auto" w:sz="4" w:space="0"/>
              <w:right w:val="single" w:color="auto" w:sz="4" w:space="0"/>
            </w:tcBorders>
            <w:shd w:val="clear" w:color="auto" w:fill="auto"/>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650" w:type="dxa"/>
            <w:tcBorders>
              <w:top w:val="nil"/>
              <w:left w:val="nil"/>
              <w:bottom w:val="single" w:color="auto" w:sz="4" w:space="0"/>
              <w:right w:val="single" w:color="auto" w:sz="4" w:space="0"/>
            </w:tcBorders>
            <w:shd w:val="clear" w:color="auto" w:fill="auto"/>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637" w:type="dxa"/>
            <w:tcBorders>
              <w:top w:val="nil"/>
              <w:left w:val="nil"/>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Layout w:type="fixed"/>
          <w:tblCellMar>
            <w:top w:w="0" w:type="dxa"/>
            <w:left w:w="108" w:type="dxa"/>
            <w:bottom w:w="0" w:type="dxa"/>
            <w:right w:w="108" w:type="dxa"/>
          </w:tblCellMar>
        </w:tblPrEx>
        <w:trPr>
          <w:trHeight w:val="283" w:hRule="atLeast"/>
          <w:jc w:val="center"/>
        </w:trPr>
        <w:tc>
          <w:tcPr>
            <w:tcW w:w="3276" w:type="dxa"/>
            <w:tcBorders>
              <w:top w:val="nil"/>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（2）公务用车运行维护费</w:t>
            </w:r>
          </w:p>
        </w:tc>
        <w:tc>
          <w:tcPr>
            <w:tcW w:w="1692" w:type="dxa"/>
            <w:tcBorders>
              <w:top w:val="nil"/>
              <w:left w:val="nil"/>
              <w:bottom w:val="single" w:color="auto" w:sz="4" w:space="0"/>
              <w:right w:val="single" w:color="auto" w:sz="4" w:space="0"/>
            </w:tcBorders>
            <w:shd w:val="clear" w:color="auto" w:fill="auto"/>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6.00</w:t>
            </w:r>
          </w:p>
        </w:tc>
        <w:tc>
          <w:tcPr>
            <w:tcW w:w="1650" w:type="dxa"/>
            <w:tcBorders>
              <w:top w:val="nil"/>
              <w:left w:val="nil"/>
              <w:bottom w:val="single" w:color="auto" w:sz="4" w:space="0"/>
              <w:right w:val="single" w:color="auto" w:sz="4" w:space="0"/>
            </w:tcBorders>
            <w:shd w:val="clear" w:color="auto" w:fill="auto"/>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5.10</w:t>
            </w:r>
          </w:p>
        </w:tc>
        <w:tc>
          <w:tcPr>
            <w:tcW w:w="1637" w:type="dxa"/>
            <w:tcBorders>
              <w:top w:val="nil"/>
              <w:left w:val="nil"/>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85.00%</w:t>
            </w:r>
          </w:p>
        </w:tc>
      </w:tr>
      <w:tr>
        <w:tblPrEx>
          <w:tblLayout w:type="fixed"/>
          <w:tblCellMar>
            <w:top w:w="0" w:type="dxa"/>
            <w:left w:w="108" w:type="dxa"/>
            <w:bottom w:w="0" w:type="dxa"/>
            <w:right w:w="108" w:type="dxa"/>
          </w:tblCellMar>
        </w:tblPrEx>
        <w:trPr>
          <w:trHeight w:val="283" w:hRule="atLeast"/>
          <w:jc w:val="center"/>
        </w:trPr>
        <w:tc>
          <w:tcPr>
            <w:tcW w:w="3276" w:type="dxa"/>
            <w:tcBorders>
              <w:top w:val="nil"/>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3.公务接待费</w:t>
            </w:r>
          </w:p>
        </w:tc>
        <w:tc>
          <w:tcPr>
            <w:tcW w:w="1692" w:type="dxa"/>
            <w:tcBorders>
              <w:top w:val="nil"/>
              <w:left w:val="nil"/>
              <w:bottom w:val="single" w:color="auto" w:sz="4" w:space="0"/>
              <w:right w:val="single" w:color="auto" w:sz="4" w:space="0"/>
            </w:tcBorders>
            <w:shd w:val="clear" w:color="auto" w:fill="auto"/>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7.90</w:t>
            </w:r>
          </w:p>
        </w:tc>
        <w:tc>
          <w:tcPr>
            <w:tcW w:w="1650" w:type="dxa"/>
            <w:tcBorders>
              <w:top w:val="nil"/>
              <w:left w:val="nil"/>
              <w:bottom w:val="single" w:color="auto" w:sz="4" w:space="0"/>
              <w:right w:val="single" w:color="auto" w:sz="4" w:space="0"/>
            </w:tcBorders>
            <w:shd w:val="clear" w:color="auto" w:fill="auto"/>
            <w:vAlign w:val="center"/>
          </w:tcPr>
          <w:p>
            <w:pPr>
              <w:pStyle w:val="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1637" w:type="dxa"/>
            <w:tcBorders>
              <w:top w:val="nil"/>
              <w:left w:val="nil"/>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12.78%</w:t>
            </w:r>
          </w:p>
        </w:tc>
      </w:tr>
      <w:tr>
        <w:tblPrEx>
          <w:tblLayout w:type="fixed"/>
          <w:tblCellMar>
            <w:top w:w="0" w:type="dxa"/>
            <w:left w:w="108" w:type="dxa"/>
            <w:bottom w:w="0" w:type="dxa"/>
            <w:right w:w="108" w:type="dxa"/>
          </w:tblCellMar>
        </w:tblPrEx>
        <w:trPr>
          <w:trHeight w:val="283" w:hRule="atLeast"/>
          <w:jc w:val="center"/>
        </w:trPr>
        <w:tc>
          <w:tcPr>
            <w:tcW w:w="3276" w:type="dxa"/>
            <w:tcBorders>
              <w:top w:val="nil"/>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szCs w:val="21"/>
              </w:rPr>
              <w:t>合  计</w:t>
            </w:r>
          </w:p>
        </w:tc>
        <w:tc>
          <w:tcPr>
            <w:tcW w:w="1692" w:type="dxa"/>
            <w:tcBorders>
              <w:top w:val="nil"/>
              <w:left w:val="nil"/>
              <w:bottom w:val="single" w:color="auto" w:sz="4" w:space="0"/>
              <w:right w:val="single" w:color="auto" w:sz="4" w:space="0"/>
            </w:tcBorders>
            <w:shd w:val="clear" w:color="auto" w:fill="auto"/>
            <w:vAlign w:val="center"/>
          </w:tcPr>
          <w:p>
            <w:pPr>
              <w:pStyle w:val="40"/>
              <w:jc w:val="right"/>
              <w:rPr>
                <w:rFonts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szCs w:val="21"/>
              </w:rPr>
              <w:t>13.90</w:t>
            </w:r>
          </w:p>
        </w:tc>
        <w:tc>
          <w:tcPr>
            <w:tcW w:w="1650" w:type="dxa"/>
            <w:tcBorders>
              <w:top w:val="nil"/>
              <w:left w:val="nil"/>
              <w:bottom w:val="single" w:color="auto" w:sz="4" w:space="0"/>
              <w:right w:val="single" w:color="auto" w:sz="4" w:space="0"/>
            </w:tcBorders>
            <w:shd w:val="clear" w:color="auto" w:fill="auto"/>
            <w:vAlign w:val="center"/>
          </w:tcPr>
          <w:p>
            <w:pPr>
              <w:pStyle w:val="40"/>
              <w:jc w:val="right"/>
              <w:rPr>
                <w:rFonts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szCs w:val="21"/>
              </w:rPr>
              <w:t>6.11</w:t>
            </w:r>
          </w:p>
        </w:tc>
        <w:tc>
          <w:tcPr>
            <w:tcW w:w="1637" w:type="dxa"/>
            <w:tcBorders>
              <w:top w:val="nil"/>
              <w:left w:val="nil"/>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szCs w:val="21"/>
              </w:rPr>
              <w:t>43.96%</w:t>
            </w:r>
          </w:p>
        </w:tc>
      </w:tr>
    </w:tbl>
    <w:p>
      <w:pPr>
        <w:pStyle w:val="5"/>
        <w:ind w:left="0" w:leftChars="0" w:firstLine="640" w:firstLineChars="20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3.政府采购情况</w:t>
      </w:r>
    </w:p>
    <w:p>
      <w:pPr>
        <w:ind w:firstLine="64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2021年度市委党校政府采购计划金额为166.04万元，实际采购金额为152.93万元，政府采购执行率为92.10%。2020年度市委党校政府采购计划金额为27.90万元，实际采购金额为1,009.05万元，政府采购执行率为3616.7%。主要是因为2021年广东南岭干部学院食堂食材和物业服务采购调增预算。</w:t>
      </w:r>
    </w:p>
    <w:p>
      <w:pPr>
        <w:pStyle w:val="3"/>
        <w:ind w:firstLine="640"/>
      </w:pPr>
      <w:bookmarkStart w:id="18" w:name="_Toc26025"/>
      <w:bookmarkStart w:id="19" w:name="_Toc30049"/>
      <w:r>
        <w:t>二、绩效评价指标分析</w:t>
      </w:r>
      <w:bookmarkEnd w:id="18"/>
      <w:bookmarkEnd w:id="19"/>
    </w:p>
    <w:p>
      <w:pPr>
        <w:pStyle w:val="4"/>
        <w:ind w:firstLine="640"/>
        <w:rPr>
          <w:rFonts w:cs="Times New Roman"/>
        </w:rPr>
      </w:pPr>
      <w:bookmarkStart w:id="20" w:name="_Toc1203"/>
      <w:bookmarkStart w:id="21" w:name="_Toc3119"/>
      <w:r>
        <w:rPr>
          <w:rFonts w:cs="Times New Roman"/>
        </w:rPr>
        <w:t>（一）年度工作任务及绩效目标完成情况</w:t>
      </w:r>
      <w:bookmarkEnd w:id="20"/>
      <w:r>
        <w:rPr>
          <w:rFonts w:hint="eastAsia" w:cs="Times New Roman"/>
        </w:rPr>
        <w:t>。</w:t>
      </w:r>
      <w:bookmarkEnd w:id="21"/>
    </w:p>
    <w:p>
      <w:pPr>
        <w:ind w:firstLine="640"/>
        <w:rPr>
          <w:rFonts w:ascii="仿宋_GB2312" w:hAnsi="仿宋_GB2312" w:cs="仿宋_GB2312"/>
        </w:rPr>
      </w:pPr>
      <w:r>
        <w:rPr>
          <w:rFonts w:hint="eastAsia" w:ascii="仿宋_GB2312" w:hAnsi="仿宋_GB2312" w:cs="仿宋_GB2312"/>
        </w:rPr>
        <w:t>2021年，市委党校确定的年度重点工作任务主要有4项，任务内容及实际完成情况</w:t>
      </w:r>
      <w:r>
        <w:rPr>
          <w:rFonts w:hint="eastAsia" w:ascii="仿宋_GB2312" w:hAnsi="仿宋_GB2312" w:cs="仿宋_GB2312"/>
          <w:lang w:eastAsia="zh-CN"/>
        </w:rPr>
        <w:t>及</w:t>
      </w:r>
      <w:r>
        <w:rPr>
          <w:rFonts w:hint="eastAsia" w:ascii="仿宋_GB2312" w:hAnsi="仿宋_GB2312" w:cs="仿宋_GB2312"/>
        </w:rPr>
        <w:t>年初绩效目标完成情况</w:t>
      </w:r>
      <w:r>
        <w:rPr>
          <w:rFonts w:hint="eastAsia" w:ascii="仿宋_GB2312" w:hAnsi="仿宋_GB2312" w:cs="仿宋_GB2312"/>
          <w:lang w:eastAsia="zh-CN"/>
        </w:rPr>
        <w:t>（</w:t>
      </w:r>
      <w:r>
        <w:rPr>
          <w:rFonts w:hint="eastAsia" w:ascii="仿宋_GB2312" w:hAnsi="仿宋_GB2312" w:cs="仿宋_GB2312"/>
        </w:rPr>
        <w:t>详见表2-1</w:t>
      </w:r>
      <w:r>
        <w:rPr>
          <w:rFonts w:hint="eastAsia" w:ascii="仿宋_GB2312" w:hAnsi="仿宋_GB2312" w:cs="仿宋_GB2312"/>
          <w:lang w:eastAsia="zh-CN"/>
        </w:rPr>
        <w:t>、</w:t>
      </w:r>
      <w:r>
        <w:rPr>
          <w:rFonts w:hint="eastAsia" w:ascii="仿宋_GB2312" w:hAnsi="仿宋_GB2312" w:cs="仿宋_GB2312"/>
        </w:rPr>
        <w:t>2-2</w:t>
      </w:r>
      <w:r>
        <w:rPr>
          <w:rFonts w:hint="eastAsia" w:ascii="仿宋_GB2312" w:hAnsi="仿宋_GB2312" w:cs="仿宋_GB2312"/>
          <w:lang w:eastAsia="zh-CN"/>
        </w:rPr>
        <w:t>）</w:t>
      </w:r>
      <w:r>
        <w:rPr>
          <w:rFonts w:hint="eastAsia" w:ascii="仿宋_GB2312" w:hAnsi="仿宋_GB2312" w:cs="仿宋_GB2312"/>
        </w:rPr>
        <w:t>。</w:t>
      </w:r>
    </w:p>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 xml:space="preserve">表2-1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部门年度重点工作任务完成情况表</w:t>
      </w:r>
    </w:p>
    <w:tbl>
      <w:tblPr>
        <w:tblStyle w:val="24"/>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35"/>
        <w:gridCol w:w="1140"/>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blHeader/>
          <w:jc w:val="center"/>
        </w:trPr>
        <w:tc>
          <w:tcPr>
            <w:tcW w:w="694" w:type="dxa"/>
            <w:shd w:val="clear" w:color="auto" w:fill="auto"/>
            <w:vAlign w:val="center"/>
          </w:tcPr>
          <w:p>
            <w:pPr>
              <w:pStyle w:val="40"/>
              <w:rPr>
                <w:rFonts w:asciiTheme="minorEastAsia" w:hAnsiTheme="minorEastAsia" w:eastAsiaTheme="minorEastAsia" w:cstheme="minorEastAsia"/>
                <w:b/>
                <w:lang w:bidi="ar"/>
              </w:rPr>
            </w:pPr>
            <w:r>
              <w:rPr>
                <w:rFonts w:hint="eastAsia" w:asciiTheme="minorEastAsia" w:hAnsiTheme="minorEastAsia" w:eastAsiaTheme="minorEastAsia" w:cstheme="minorEastAsia"/>
                <w:b/>
                <w:lang w:bidi="ar"/>
              </w:rPr>
              <w:t>序号</w:t>
            </w:r>
          </w:p>
        </w:tc>
        <w:tc>
          <w:tcPr>
            <w:tcW w:w="1535" w:type="dxa"/>
            <w:shd w:val="clear" w:color="auto" w:fill="auto"/>
            <w:vAlign w:val="center"/>
          </w:tcPr>
          <w:p>
            <w:pPr>
              <w:pStyle w:val="40"/>
              <w:rPr>
                <w:rFonts w:asciiTheme="minorEastAsia" w:hAnsiTheme="minorEastAsia" w:eastAsiaTheme="minorEastAsia" w:cstheme="minorEastAsia"/>
                <w:b/>
                <w:lang w:bidi="ar"/>
              </w:rPr>
            </w:pPr>
            <w:r>
              <w:rPr>
                <w:rFonts w:hint="eastAsia" w:asciiTheme="minorEastAsia" w:hAnsiTheme="minorEastAsia" w:eastAsiaTheme="minorEastAsia" w:cstheme="minorEastAsia"/>
                <w:b/>
                <w:lang w:bidi="ar"/>
              </w:rPr>
              <w:t>任务名称</w:t>
            </w:r>
          </w:p>
        </w:tc>
        <w:tc>
          <w:tcPr>
            <w:tcW w:w="1140" w:type="dxa"/>
            <w:shd w:val="clear" w:color="auto" w:fill="auto"/>
            <w:vAlign w:val="center"/>
          </w:tcPr>
          <w:p>
            <w:pPr>
              <w:pStyle w:val="40"/>
              <w:rPr>
                <w:rFonts w:hint="eastAsia" w:asciiTheme="minorEastAsia" w:hAnsiTheme="minorEastAsia" w:eastAsiaTheme="minorEastAsia" w:cstheme="minorEastAsia"/>
                <w:b/>
                <w:lang w:eastAsia="zh-CN" w:bidi="ar"/>
              </w:rPr>
            </w:pPr>
            <w:r>
              <w:rPr>
                <w:rFonts w:hint="eastAsia" w:asciiTheme="minorEastAsia" w:hAnsiTheme="minorEastAsia" w:eastAsiaTheme="minorEastAsia" w:cstheme="minorEastAsia"/>
                <w:b/>
                <w:lang w:eastAsia="zh-CN" w:bidi="ar"/>
              </w:rPr>
              <w:t>完成情况</w:t>
            </w:r>
          </w:p>
        </w:tc>
        <w:tc>
          <w:tcPr>
            <w:tcW w:w="5225" w:type="dxa"/>
            <w:shd w:val="clear" w:color="auto" w:fill="auto"/>
            <w:vAlign w:val="center"/>
          </w:tcPr>
          <w:p>
            <w:pPr>
              <w:pStyle w:val="40"/>
              <w:rPr>
                <w:rFonts w:hint="eastAsia" w:asciiTheme="minorEastAsia" w:hAnsiTheme="minorEastAsia" w:eastAsiaTheme="minorEastAsia" w:cstheme="minorEastAsia"/>
                <w:b/>
                <w:lang w:eastAsia="zh-CN" w:bidi="ar"/>
              </w:rPr>
            </w:pPr>
            <w:r>
              <w:rPr>
                <w:rFonts w:hint="eastAsia" w:asciiTheme="minorEastAsia" w:hAnsiTheme="minorEastAsia" w:eastAsiaTheme="minorEastAsia" w:cstheme="minorEastAsia"/>
                <w:b/>
                <w:lang w:bidi="ar"/>
              </w:rPr>
              <w:t>实际完成</w:t>
            </w:r>
            <w:r>
              <w:rPr>
                <w:rFonts w:hint="eastAsia" w:asciiTheme="minorEastAsia" w:hAnsiTheme="minorEastAsia" w:eastAsiaTheme="minorEastAsia" w:cstheme="minorEastAsia"/>
                <w:b/>
                <w:lang w:eastAsia="zh-CN" w:bidi="ar"/>
              </w:rPr>
              <w:t>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1</w:t>
            </w:r>
          </w:p>
        </w:tc>
        <w:tc>
          <w:tcPr>
            <w:tcW w:w="1535" w:type="dxa"/>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抓好党的理论和党性教育</w:t>
            </w:r>
          </w:p>
        </w:tc>
        <w:tc>
          <w:tcPr>
            <w:tcW w:w="1140" w:type="dxa"/>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已完成</w:t>
            </w:r>
          </w:p>
        </w:tc>
        <w:tc>
          <w:tcPr>
            <w:tcW w:w="5225" w:type="dxa"/>
            <w:shd w:val="clear" w:color="auto" w:fill="auto"/>
            <w:vAlign w:val="center"/>
          </w:tcPr>
          <w:p>
            <w:pPr>
              <w:pStyle w:val="40"/>
              <w:jc w:val="both"/>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组织传达学习党的十九届三中、四中、五中、六中全会精神、习近平总书记视察广东重要讲话重要指示精神、习近平总书记“七一”重要讲话精神，李希书记在韶调研主要指示精神；市委党校派出校领导及教师深入基层宣讲党的十九届五中全会精神、《〈习近平谈治国理政〉第三卷》《习近平总书记在庆祝中国共产党成立100周年大会上的重要讲话精神》、党的十九届六中全会精神，完成各类重大主题宣讲近360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2</w:t>
            </w:r>
          </w:p>
        </w:tc>
        <w:tc>
          <w:tcPr>
            <w:tcW w:w="1535" w:type="dxa"/>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办好各类培训主业，提升办学质量和水平</w:t>
            </w:r>
          </w:p>
        </w:tc>
        <w:tc>
          <w:tcPr>
            <w:tcW w:w="1140" w:type="dxa"/>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已完成</w:t>
            </w:r>
          </w:p>
        </w:tc>
        <w:tc>
          <w:tcPr>
            <w:tcW w:w="5225" w:type="dxa"/>
            <w:shd w:val="clear" w:color="auto" w:fill="auto"/>
            <w:vAlign w:val="center"/>
          </w:tcPr>
          <w:p>
            <w:pPr>
              <w:pStyle w:val="40"/>
              <w:jc w:val="both"/>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累计举办各类培训班办班（含主体班）289个，21,672人，85,681人</w:t>
            </w:r>
            <w:r>
              <w:rPr>
                <w:rFonts w:hint="eastAsia" w:asciiTheme="minorEastAsia" w:hAnsiTheme="minorEastAsia" w:eastAsiaTheme="minorEastAsia" w:cstheme="minorEastAsia"/>
                <w:lang w:val="en-US" w:eastAsia="zh-CN" w:bidi="ar"/>
              </w:rPr>
              <w:t>/</w:t>
            </w:r>
            <w:r>
              <w:rPr>
                <w:rFonts w:hint="eastAsia" w:asciiTheme="minorEastAsia" w:hAnsiTheme="minorEastAsia" w:eastAsiaTheme="minorEastAsia" w:cstheme="minorEastAsia"/>
                <w:lang w:bidi="ar"/>
              </w:rPr>
              <w:t>天。其中，市内主体班31期，培训学员7,245人。承办了省广晟资产有限公司党组织书记培训班、中山大学等规格较高的班次。揭牌以来，先后有656名副厅级以上领导干部及院士前来参观调研或学习培训。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3</w:t>
            </w:r>
          </w:p>
        </w:tc>
        <w:tc>
          <w:tcPr>
            <w:tcW w:w="1535" w:type="dxa"/>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深入开展学习调研，落实行动方案</w:t>
            </w:r>
          </w:p>
        </w:tc>
        <w:tc>
          <w:tcPr>
            <w:tcW w:w="1140" w:type="dxa"/>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未完成</w:t>
            </w:r>
          </w:p>
        </w:tc>
        <w:tc>
          <w:tcPr>
            <w:tcW w:w="5225" w:type="dxa"/>
            <w:shd w:val="clear" w:color="auto" w:fill="auto"/>
            <w:vAlign w:val="center"/>
          </w:tcPr>
          <w:p>
            <w:pPr>
              <w:pStyle w:val="40"/>
              <w:jc w:val="both"/>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未能提供行动方案落实情况的相关材料，实际未能开展相关工作。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4</w:t>
            </w:r>
          </w:p>
        </w:tc>
        <w:tc>
          <w:tcPr>
            <w:tcW w:w="1535" w:type="dxa"/>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推进红色教育基地建设，打响韶关干部教育品牌</w:t>
            </w:r>
          </w:p>
        </w:tc>
        <w:tc>
          <w:tcPr>
            <w:tcW w:w="1140" w:type="dxa"/>
            <w:shd w:val="clear" w:color="auto" w:fill="auto"/>
            <w:vAlign w:val="center"/>
          </w:tcPr>
          <w:p>
            <w:pPr>
              <w:pStyle w:val="4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已完成</w:t>
            </w:r>
          </w:p>
        </w:tc>
        <w:tc>
          <w:tcPr>
            <w:tcW w:w="5225" w:type="dxa"/>
            <w:shd w:val="clear" w:color="auto" w:fill="auto"/>
            <w:vAlign w:val="center"/>
          </w:tcPr>
          <w:p>
            <w:pPr>
              <w:pStyle w:val="40"/>
              <w:jc w:val="both"/>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打造教学精品线路和课程，开发6条精品教学路线，打造20多个现场教学点，优化教学课程，打磨提升《粤北革命史》《阮啸仙与安岗苏维埃政府》等一系列精品课程；创新教学形式，积极开发和打造案例教学、电影教学、庭审观摩、红色情景剧等特色教学，深入挖掘红色教育资源；实施校区园林绿化、后山步道支线延伸周边优化、后山入口优化边坡改造等提升项目。</w:t>
            </w:r>
          </w:p>
        </w:tc>
      </w:tr>
    </w:tbl>
    <w:p>
      <w:pPr>
        <w:pStyle w:val="3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表2-2   绩效目标完成情况</w:t>
      </w:r>
      <w:r>
        <w:rPr>
          <w:rFonts w:hint="eastAsia" w:asciiTheme="minorEastAsia" w:hAnsiTheme="minorEastAsia" w:eastAsiaTheme="minorEastAsia" w:cstheme="minorEastAsia"/>
          <w:lang w:eastAsia="zh-CN"/>
        </w:rPr>
        <w:t>表</w:t>
      </w:r>
    </w:p>
    <w:tbl>
      <w:tblPr>
        <w:tblStyle w:val="24"/>
        <w:tblW w:w="8698" w:type="dxa"/>
        <w:jc w:val="center"/>
        <w:tblInd w:w="0" w:type="dxa"/>
        <w:tblLayout w:type="fixed"/>
        <w:tblCellMar>
          <w:top w:w="0" w:type="dxa"/>
          <w:left w:w="108" w:type="dxa"/>
          <w:bottom w:w="0" w:type="dxa"/>
          <w:right w:w="108" w:type="dxa"/>
        </w:tblCellMar>
      </w:tblPr>
      <w:tblGrid>
        <w:gridCol w:w="1426"/>
        <w:gridCol w:w="2488"/>
        <w:gridCol w:w="1091"/>
        <w:gridCol w:w="3693"/>
      </w:tblGrid>
      <w:tr>
        <w:tblPrEx>
          <w:tblLayout w:type="fixed"/>
          <w:tblCellMar>
            <w:top w:w="0" w:type="dxa"/>
            <w:left w:w="108" w:type="dxa"/>
            <w:bottom w:w="0" w:type="dxa"/>
            <w:right w:w="108" w:type="dxa"/>
          </w:tblCellMar>
        </w:tblPrEx>
        <w:trPr>
          <w:trHeight w:val="723" w:hRule="atLeast"/>
          <w:tblHeader/>
          <w:jc w:val="center"/>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lang w:bidi="ar"/>
                <w14:textFill>
                  <w14:solidFill>
                    <w14:schemeClr w14:val="tx1"/>
                  </w14:solidFill>
                </w14:textFill>
              </w:rPr>
              <w:t>指标类型</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lang w:bidi="ar"/>
                <w14:textFill>
                  <w14:solidFill>
                    <w14:schemeClr w14:val="tx1"/>
                  </w14:solidFill>
                </w14:textFill>
              </w:rPr>
              <w:t>指标名称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hint="eastAsia" w:asciiTheme="minorEastAsia" w:hAnsiTheme="minorEastAsia" w:eastAsiaTheme="minorEastAsia" w:cstheme="minorEastAsia"/>
                <w:b/>
                <w:color w:val="000000" w:themeColor="text1"/>
                <w:szCs w:val="21"/>
                <w:lang w:eastAsia="zh-CN" w:bidi="ar"/>
                <w14:textFill>
                  <w14:solidFill>
                    <w14:schemeClr w14:val="tx1"/>
                  </w14:solidFill>
                </w14:textFill>
              </w:rPr>
            </w:pPr>
            <w:r>
              <w:rPr>
                <w:rFonts w:hint="eastAsia" w:asciiTheme="minorEastAsia" w:hAnsiTheme="minorEastAsia" w:eastAsiaTheme="minorEastAsia" w:cstheme="minorEastAsia"/>
                <w:b/>
                <w:color w:val="000000" w:themeColor="text1"/>
                <w:szCs w:val="21"/>
                <w:lang w:eastAsia="zh-CN" w:bidi="ar"/>
                <w14:textFill>
                  <w14:solidFill>
                    <w14:schemeClr w14:val="tx1"/>
                  </w14:solidFill>
                </w14:textFill>
              </w:rPr>
              <w:t>完成情况</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lang w:bidi="ar"/>
                <w14:textFill>
                  <w14:solidFill>
                    <w14:schemeClr w14:val="tx1"/>
                  </w14:solidFill>
                </w14:textFill>
              </w:rPr>
              <w:t>实际完成值</w:t>
            </w:r>
          </w:p>
        </w:tc>
      </w:tr>
      <w:tr>
        <w:tblPrEx>
          <w:tblLayout w:type="fixed"/>
          <w:tblCellMar>
            <w:top w:w="0" w:type="dxa"/>
            <w:left w:w="108" w:type="dxa"/>
            <w:bottom w:w="0" w:type="dxa"/>
            <w:right w:w="108" w:type="dxa"/>
          </w:tblCellMar>
        </w:tblPrEx>
        <w:trPr>
          <w:trHeight w:val="283" w:hRule="atLeast"/>
          <w:jc w:val="center"/>
        </w:trPr>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产出指标</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指标1：</w:t>
            </w:r>
            <w:r>
              <w:rPr>
                <w:rFonts w:hint="eastAsia" w:asciiTheme="minorEastAsia" w:hAnsiTheme="minorEastAsia" w:eastAsiaTheme="minorEastAsia" w:cstheme="minorEastAsia"/>
                <w:color w:val="000000" w:themeColor="text1"/>
                <w:szCs w:val="21"/>
                <w:lang w:bidi="ar"/>
                <w14:textFill>
                  <w14:solidFill>
                    <w14:schemeClr w14:val="tx1"/>
                  </w14:solidFill>
                </w14:textFill>
              </w:rPr>
              <w:t>培训频次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已完成</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指标预期值不准确。按培训计划开展，市委党校累计举办各类培训班办班289个，培训学员21,672人，其中，市内主体班31期，培训学员7,245人。</w:t>
            </w:r>
          </w:p>
        </w:tc>
      </w:tr>
      <w:tr>
        <w:tblPrEx>
          <w:tblLayout w:type="fixed"/>
          <w:tblCellMar>
            <w:top w:w="0" w:type="dxa"/>
            <w:left w:w="108" w:type="dxa"/>
            <w:bottom w:w="0" w:type="dxa"/>
            <w:right w:w="108" w:type="dxa"/>
          </w:tblCellMar>
        </w:tblPrEx>
        <w:trPr>
          <w:trHeight w:val="283" w:hRule="atLeast"/>
          <w:jc w:val="center"/>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指标2：</w:t>
            </w:r>
            <w:r>
              <w:rPr>
                <w:rFonts w:hint="eastAsia" w:asciiTheme="minorEastAsia" w:hAnsiTheme="minorEastAsia" w:eastAsiaTheme="minorEastAsia" w:cstheme="minorEastAsia"/>
                <w:color w:val="000000" w:themeColor="text1"/>
                <w:szCs w:val="21"/>
                <w:lang w:bidi="ar"/>
                <w14:textFill>
                  <w14:solidFill>
                    <w14:schemeClr w14:val="tx1"/>
                  </w14:solidFill>
                </w14:textFill>
              </w:rPr>
              <w:t>培训开展及时率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已完成</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按培训计划及时开展</w:t>
            </w:r>
          </w:p>
        </w:tc>
      </w:tr>
      <w:tr>
        <w:tblPrEx>
          <w:tblLayout w:type="fixed"/>
          <w:tblCellMar>
            <w:top w:w="0" w:type="dxa"/>
            <w:left w:w="108" w:type="dxa"/>
            <w:bottom w:w="0" w:type="dxa"/>
            <w:right w:w="108" w:type="dxa"/>
          </w:tblCellMar>
        </w:tblPrEx>
        <w:trPr>
          <w:trHeight w:val="283" w:hRule="atLeast"/>
          <w:jc w:val="center"/>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指标3：</w:t>
            </w:r>
            <w:r>
              <w:rPr>
                <w:rFonts w:hint="eastAsia" w:asciiTheme="minorEastAsia" w:hAnsiTheme="minorEastAsia" w:eastAsiaTheme="minorEastAsia" w:cstheme="minorEastAsia"/>
                <w:color w:val="000000" w:themeColor="text1"/>
                <w:szCs w:val="21"/>
                <w:lang w:bidi="ar"/>
                <w14:textFill>
                  <w14:solidFill>
                    <w14:schemeClr w14:val="tx1"/>
                  </w14:solidFill>
                </w14:textFill>
              </w:rPr>
              <w:t>培训班结业率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lang w:bidi="ar"/>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已完成</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100%</w:t>
            </w:r>
          </w:p>
        </w:tc>
      </w:tr>
      <w:tr>
        <w:tblPrEx>
          <w:tblLayout w:type="fixed"/>
          <w:tblCellMar>
            <w:top w:w="0" w:type="dxa"/>
            <w:left w:w="108" w:type="dxa"/>
            <w:bottom w:w="0" w:type="dxa"/>
            <w:right w:w="108" w:type="dxa"/>
          </w:tblCellMar>
        </w:tblPrEx>
        <w:trPr>
          <w:trHeight w:val="283" w:hRule="atLeast"/>
          <w:jc w:val="center"/>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指标4：</w:t>
            </w:r>
            <w:r>
              <w:rPr>
                <w:rFonts w:hint="eastAsia" w:asciiTheme="minorEastAsia" w:hAnsiTheme="minorEastAsia" w:eastAsiaTheme="minorEastAsia" w:cstheme="minorEastAsia"/>
                <w:color w:val="000000" w:themeColor="text1"/>
                <w:szCs w:val="21"/>
                <w:lang w:bidi="ar"/>
                <w14:textFill>
                  <w14:solidFill>
                    <w14:schemeClr w14:val="tx1"/>
                  </w14:solidFill>
                </w14:textFill>
              </w:rPr>
              <w:t>计划执行率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lang w:bidi="ar"/>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已完成</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100%</w:t>
            </w:r>
          </w:p>
        </w:tc>
      </w:tr>
      <w:tr>
        <w:tblPrEx>
          <w:tblLayout w:type="fixed"/>
          <w:tblCellMar>
            <w:top w:w="0" w:type="dxa"/>
            <w:left w:w="108" w:type="dxa"/>
            <w:bottom w:w="0" w:type="dxa"/>
            <w:right w:w="108" w:type="dxa"/>
          </w:tblCellMar>
        </w:tblPrEx>
        <w:trPr>
          <w:trHeight w:val="283" w:hRule="atLeast"/>
          <w:jc w:val="center"/>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指标5：</w:t>
            </w:r>
            <w:r>
              <w:rPr>
                <w:rFonts w:hint="eastAsia" w:asciiTheme="minorEastAsia" w:hAnsiTheme="minorEastAsia" w:eastAsiaTheme="minorEastAsia" w:cstheme="minorEastAsia"/>
                <w:color w:val="000000" w:themeColor="text1"/>
                <w:szCs w:val="21"/>
                <w:lang w:bidi="ar"/>
                <w14:textFill>
                  <w14:solidFill>
                    <w14:schemeClr w14:val="tx1"/>
                  </w14:solidFill>
                </w14:textFill>
              </w:rPr>
              <w:t>工程进度达标率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lang w:bidi="ar"/>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已完成</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100%</w:t>
            </w:r>
          </w:p>
        </w:tc>
      </w:tr>
      <w:tr>
        <w:tblPrEx>
          <w:tblLayout w:type="fixed"/>
          <w:tblCellMar>
            <w:top w:w="0" w:type="dxa"/>
            <w:left w:w="108" w:type="dxa"/>
            <w:bottom w:w="0" w:type="dxa"/>
            <w:right w:w="108" w:type="dxa"/>
          </w:tblCellMar>
        </w:tblPrEx>
        <w:trPr>
          <w:trHeight w:val="622" w:hRule="atLeast"/>
          <w:jc w:val="center"/>
        </w:trPr>
        <w:tc>
          <w:tcPr>
            <w:tcW w:w="142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p>
        </w:tc>
        <w:tc>
          <w:tcPr>
            <w:tcW w:w="2488"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指标6：</w:t>
            </w:r>
            <w:r>
              <w:rPr>
                <w:rFonts w:hint="eastAsia" w:asciiTheme="minorEastAsia" w:hAnsiTheme="minorEastAsia" w:eastAsiaTheme="minorEastAsia" w:cstheme="minorEastAsia"/>
                <w:color w:val="000000" w:themeColor="text1"/>
                <w:szCs w:val="21"/>
                <w:lang w:bidi="ar"/>
                <w14:textFill>
                  <w14:solidFill>
                    <w14:schemeClr w14:val="tx1"/>
                  </w14:solidFill>
                </w14:textFill>
              </w:rPr>
              <w:t>红色教育基地项目建设及时率</w:t>
            </w:r>
          </w:p>
        </w:tc>
        <w:tc>
          <w:tcPr>
            <w:tcW w:w="1091"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已完成</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及时</w:t>
            </w:r>
          </w:p>
        </w:tc>
      </w:tr>
      <w:tr>
        <w:tblPrEx>
          <w:tblLayout w:type="fixed"/>
          <w:tblCellMar>
            <w:top w:w="0" w:type="dxa"/>
            <w:left w:w="108" w:type="dxa"/>
            <w:bottom w:w="0" w:type="dxa"/>
            <w:right w:w="108" w:type="dxa"/>
          </w:tblCellMar>
        </w:tblPrEx>
        <w:trPr>
          <w:trHeight w:val="283" w:hRule="atLeast"/>
          <w:jc w:val="center"/>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效果指标</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指标1：</w:t>
            </w:r>
            <w:r>
              <w:rPr>
                <w:rFonts w:hint="eastAsia" w:asciiTheme="minorEastAsia" w:hAnsiTheme="minorEastAsia" w:eastAsiaTheme="minorEastAsia" w:cstheme="minorEastAsia"/>
                <w:color w:val="000000" w:themeColor="text1"/>
                <w:szCs w:val="21"/>
                <w:lang w:bidi="ar"/>
                <w14:textFill>
                  <w14:solidFill>
                    <w14:schemeClr w14:val="tx1"/>
                  </w14:solidFill>
                </w14:textFill>
              </w:rPr>
              <w:t>学员思想更新率</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未完成</w:t>
            </w:r>
          </w:p>
        </w:tc>
        <w:tc>
          <w:tcPr>
            <w:tcW w:w="369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指标预期值无法衡量完成情况</w:t>
            </w:r>
          </w:p>
        </w:tc>
      </w:tr>
      <w:tr>
        <w:tblPrEx>
          <w:tblLayout w:type="fixed"/>
          <w:tblCellMar>
            <w:top w:w="0" w:type="dxa"/>
            <w:left w:w="108" w:type="dxa"/>
            <w:bottom w:w="0" w:type="dxa"/>
            <w:right w:w="108" w:type="dxa"/>
          </w:tblCellMar>
        </w:tblPrEx>
        <w:trPr>
          <w:trHeight w:val="283" w:hRule="atLeast"/>
          <w:jc w:val="center"/>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指标2：</w:t>
            </w:r>
            <w:r>
              <w:rPr>
                <w:rFonts w:hint="eastAsia" w:asciiTheme="minorEastAsia" w:hAnsiTheme="minorEastAsia" w:eastAsiaTheme="minorEastAsia" w:cstheme="minorEastAsia"/>
                <w:color w:val="000000" w:themeColor="text1"/>
                <w:szCs w:val="21"/>
                <w:lang w:bidi="ar"/>
                <w14:textFill>
                  <w14:solidFill>
                    <w14:schemeClr w14:val="tx1"/>
                  </w14:solidFill>
                </w14:textFill>
              </w:rPr>
              <w:t>完工验收通过率</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color w:val="000000" w:themeColor="text1"/>
                <w:szCs w:val="21"/>
                <w:lang w:bidi="ar"/>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已完成</w:t>
            </w:r>
          </w:p>
        </w:tc>
        <w:tc>
          <w:tcPr>
            <w:tcW w:w="369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100%</w:t>
            </w:r>
          </w:p>
        </w:tc>
      </w:tr>
      <w:tr>
        <w:tblPrEx>
          <w:tblLayout w:type="fixed"/>
          <w:tblCellMar>
            <w:top w:w="0" w:type="dxa"/>
            <w:left w:w="108" w:type="dxa"/>
            <w:bottom w:w="0" w:type="dxa"/>
            <w:right w:w="108" w:type="dxa"/>
          </w:tblCellMar>
        </w:tblPrEx>
        <w:trPr>
          <w:trHeight w:val="283" w:hRule="atLeast"/>
          <w:jc w:val="center"/>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指标3：</w:t>
            </w:r>
            <w:r>
              <w:rPr>
                <w:rFonts w:hint="eastAsia" w:asciiTheme="minorEastAsia" w:hAnsiTheme="minorEastAsia" w:eastAsiaTheme="minorEastAsia" w:cstheme="minorEastAsia"/>
                <w:color w:val="000000" w:themeColor="text1"/>
                <w:szCs w:val="21"/>
                <w:lang w:bidi="ar"/>
                <w14:textFill>
                  <w14:solidFill>
                    <w14:schemeClr w14:val="tx1"/>
                  </w14:solidFill>
                </w14:textFill>
              </w:rPr>
              <w:t>学员满意度</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未完成</w:t>
            </w:r>
          </w:p>
        </w:tc>
        <w:tc>
          <w:tcPr>
            <w:tcW w:w="369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98.29%</w:t>
            </w:r>
          </w:p>
        </w:tc>
      </w:tr>
    </w:tbl>
    <w:p>
      <w:pPr>
        <w:pStyle w:val="4"/>
        <w:ind w:firstLine="640"/>
        <w:rPr>
          <w:rFonts w:cs="Times New Roman"/>
        </w:rPr>
      </w:pPr>
      <w:bookmarkStart w:id="22" w:name="_Toc25305"/>
      <w:r>
        <w:rPr>
          <w:rFonts w:cs="Times New Roman"/>
        </w:rPr>
        <w:t>（二）指标分析</w:t>
      </w:r>
      <w:r>
        <w:rPr>
          <w:rFonts w:hint="eastAsia" w:cs="Times New Roman"/>
        </w:rPr>
        <w:t>。</w:t>
      </w:r>
      <w:bookmarkEnd w:id="22"/>
    </w:p>
    <w:p>
      <w:pPr>
        <w:ind w:firstLine="640"/>
        <w:rPr>
          <w:rFonts w:ascii="仿宋_GB2312" w:hAnsi="仿宋_GB2312" w:cs="仿宋_GB2312"/>
        </w:rPr>
      </w:pPr>
      <w:r>
        <w:rPr>
          <w:rFonts w:hint="eastAsia" w:ascii="仿宋_GB2312" w:hAnsi="仿宋_GB2312" w:cs="仿宋_GB2312"/>
        </w:rPr>
        <w:t>主要从11个二级指标、32个三级指标对市委党校2021年整体支出情况进行评价，具体如下：</w:t>
      </w:r>
    </w:p>
    <w:p>
      <w:pPr>
        <w:pStyle w:val="5"/>
        <w:ind w:firstLine="640"/>
        <w:rPr>
          <w:rFonts w:ascii="仿宋_GB2312" w:hAnsi="仿宋_GB2312" w:cs="仿宋_GB2312"/>
        </w:rPr>
      </w:pPr>
      <w:r>
        <w:rPr>
          <w:rFonts w:hint="eastAsia" w:ascii="仿宋_GB2312" w:hAnsi="仿宋_GB2312" w:cs="仿宋_GB2312"/>
        </w:rPr>
        <w:t>1.预算编制</w:t>
      </w:r>
    </w:p>
    <w:p>
      <w:pPr>
        <w:ind w:firstLine="640"/>
        <w:rPr>
          <w:rFonts w:ascii="仿宋_GB2312" w:hAnsi="仿宋_GB2312" w:cs="仿宋_GB2312"/>
        </w:rPr>
      </w:pPr>
      <w:r>
        <w:rPr>
          <w:rFonts w:hint="eastAsia" w:ascii="仿宋_GB2312" w:hAnsi="仿宋_GB2312" w:cs="仿宋_GB2312"/>
        </w:rPr>
        <w:t>（1）预算编制规范性。指标分值3分，得分</w:t>
      </w:r>
      <w:r>
        <w:rPr>
          <w:rFonts w:hint="eastAsia" w:ascii="仿宋_GB2312" w:hAnsi="仿宋_GB2312" w:cs="仿宋_GB2312"/>
          <w:lang w:val="en-US" w:eastAsia="zh-CN"/>
        </w:rPr>
        <w:t>3</w:t>
      </w:r>
      <w:r>
        <w:rPr>
          <w:rFonts w:hint="eastAsia" w:ascii="仿宋_GB2312" w:hAnsi="仿宋_GB2312" w:cs="仿宋_GB2312"/>
        </w:rPr>
        <w:t>分，得分率</w:t>
      </w:r>
      <w:r>
        <w:rPr>
          <w:rFonts w:hint="eastAsia" w:ascii="仿宋_GB2312" w:hAnsi="仿宋_GB2312" w:cs="仿宋_GB2312"/>
          <w:lang w:val="en-US" w:eastAsia="zh-CN"/>
        </w:rPr>
        <w:t>100</w:t>
      </w:r>
      <w:r>
        <w:rPr>
          <w:rFonts w:hint="eastAsia" w:ascii="仿宋_GB2312" w:hAnsi="仿宋_GB2312" w:cs="仿宋_GB2312"/>
        </w:rPr>
        <w:t>%。</w:t>
      </w:r>
    </w:p>
    <w:p>
      <w:pPr>
        <w:ind w:firstLine="640"/>
      </w:pPr>
      <w:r>
        <w:rPr>
          <w:rFonts w:hint="eastAsia" w:ascii="仿宋_GB2312" w:hAnsi="仿宋_GB2312" w:cs="仿宋_GB2312"/>
        </w:rPr>
        <w:t>根据对市委党校2021年预算编制情况梳理，2021年度预算编制、分配符合部门职责，符合市委市政府的方针政策和工作要求，且能根据年度工作重点，在不同项目、不同用途之间进行财政资源分配，</w:t>
      </w:r>
      <w:r>
        <w:rPr>
          <w:rFonts w:hint="eastAsia" w:ascii="仿宋_GB2312" w:hAnsi="仿宋_GB2312" w:cs="仿宋_GB2312"/>
          <w:szCs w:val="32"/>
        </w:rPr>
        <w:t>市委党校年初预算数为10,538.97万元，</w:t>
      </w:r>
      <w:r>
        <w:rPr>
          <w:rFonts w:hint="eastAsia" w:ascii="仿宋_GB2312" w:hAnsi="仿宋_GB2312" w:cs="仿宋_GB2312"/>
          <w:szCs w:val="32"/>
          <w:lang w:val="en-US" w:eastAsia="zh-CN"/>
        </w:rPr>
        <w:t>因2021年市财政通知压减一般性支出，且部分项目资金未能在当年支付，部门支出</w:t>
      </w:r>
      <w:r>
        <w:rPr>
          <w:rFonts w:hint="eastAsia" w:ascii="仿宋_GB2312" w:hAnsi="仿宋_GB2312" w:cs="仿宋_GB2312"/>
          <w:szCs w:val="32"/>
        </w:rPr>
        <w:t>决算数为7,464.59万元，调整率为29.17%</w:t>
      </w:r>
      <w:r>
        <w:t>。</w:t>
      </w:r>
    </w:p>
    <w:p>
      <w:pPr>
        <w:ind w:firstLine="640"/>
        <w:rPr>
          <w:rFonts w:ascii="仿宋_GB2312" w:hAnsi="仿宋_GB2312" w:cs="仿宋_GB2312"/>
          <w:szCs w:val="32"/>
        </w:rPr>
      </w:pPr>
      <w:r>
        <w:rPr>
          <w:rFonts w:hint="eastAsia" w:ascii="仿宋_GB2312" w:hAnsi="仿宋_GB2312" w:cs="仿宋_GB2312"/>
          <w:szCs w:val="32"/>
        </w:rPr>
        <w:t>（2）预算调整率。指标分值3分，得分</w:t>
      </w:r>
      <w:r>
        <w:rPr>
          <w:rFonts w:hint="eastAsia" w:ascii="仿宋_GB2312" w:hAnsi="仿宋_GB2312" w:cs="仿宋_GB2312"/>
          <w:szCs w:val="32"/>
          <w:lang w:val="en-US" w:eastAsia="zh-CN"/>
        </w:rPr>
        <w:t>2.5</w:t>
      </w:r>
      <w:r>
        <w:rPr>
          <w:rFonts w:hint="eastAsia" w:ascii="仿宋_GB2312" w:hAnsi="仿宋_GB2312" w:cs="仿宋_GB2312"/>
          <w:szCs w:val="32"/>
        </w:rPr>
        <w:t>分，得分率</w:t>
      </w:r>
      <w:r>
        <w:rPr>
          <w:rFonts w:hint="eastAsia" w:ascii="仿宋_GB2312" w:hAnsi="仿宋_GB2312" w:cs="仿宋_GB2312"/>
          <w:szCs w:val="32"/>
          <w:lang w:val="en-US" w:eastAsia="zh-CN"/>
        </w:rPr>
        <w:t>83.3</w:t>
      </w:r>
      <w:r>
        <w:rPr>
          <w:rFonts w:hint="eastAsia" w:ascii="仿宋_GB2312" w:hAnsi="仿宋_GB2312" w:cs="仿宋_GB2312"/>
          <w:szCs w:val="32"/>
        </w:rPr>
        <w:t>%。</w:t>
      </w:r>
    </w:p>
    <w:p>
      <w:pPr>
        <w:ind w:firstLine="640"/>
        <w:rPr>
          <w:rFonts w:ascii="仿宋_GB2312" w:hAnsi="仿宋_GB2312" w:cs="仿宋_GB2312"/>
          <w:szCs w:val="32"/>
        </w:rPr>
      </w:pPr>
      <w:r>
        <w:rPr>
          <w:rFonts w:hint="eastAsia" w:ascii="仿宋_GB2312" w:hAnsi="仿宋_GB2312" w:cs="仿宋_GB2312"/>
          <w:szCs w:val="32"/>
        </w:rPr>
        <w:t>2021年市委党校支出预算数为10,538.97万元，调整预算数为3,074.38万元，预算调整率为29.17%，</w:t>
      </w:r>
      <w:r>
        <w:rPr>
          <w:rFonts w:hint="eastAsia" w:ascii="仿宋_GB2312" w:hAnsi="仿宋_GB2312" w:cs="仿宋_GB2312"/>
          <w:szCs w:val="32"/>
          <w:lang w:val="en-US" w:eastAsia="zh-CN"/>
        </w:rPr>
        <w:t>考虑预算调整受财政政策影响，本指标酌情扣0.5分</w:t>
      </w:r>
      <w:r>
        <w:rPr>
          <w:rFonts w:hint="eastAsia" w:ascii="仿宋_GB2312" w:hAnsi="仿宋_GB2312" w:cs="仿宋_GB2312"/>
          <w:szCs w:val="32"/>
        </w:rPr>
        <w:t>。</w:t>
      </w:r>
    </w:p>
    <w:p>
      <w:pPr>
        <w:pStyle w:val="5"/>
        <w:ind w:firstLine="640"/>
        <w:rPr>
          <w:rFonts w:ascii="仿宋_GB2312" w:hAnsi="仿宋_GB2312" w:cs="仿宋_GB2312"/>
          <w:szCs w:val="32"/>
        </w:rPr>
      </w:pPr>
      <w:r>
        <w:rPr>
          <w:rFonts w:hint="eastAsia" w:ascii="仿宋_GB2312" w:hAnsi="仿宋_GB2312" w:cs="仿宋_GB2312"/>
          <w:szCs w:val="32"/>
        </w:rPr>
        <w:t>2.目标设置</w:t>
      </w:r>
    </w:p>
    <w:p>
      <w:pPr>
        <w:ind w:firstLine="640"/>
        <w:rPr>
          <w:rFonts w:ascii="仿宋_GB2312" w:hAnsi="仿宋_GB2312" w:cs="仿宋_GB2312"/>
          <w:szCs w:val="32"/>
        </w:rPr>
      </w:pPr>
      <w:r>
        <w:rPr>
          <w:rFonts w:hint="eastAsia" w:ascii="仿宋_GB2312" w:hAnsi="仿宋_GB2312" w:cs="仿宋_GB2312"/>
          <w:szCs w:val="32"/>
        </w:rPr>
        <w:t>（1）绩效目标覆盖率。指标分值2分，得分</w:t>
      </w:r>
      <w:r>
        <w:rPr>
          <w:rFonts w:hint="eastAsia" w:ascii="仿宋_GB2312" w:hAnsi="仿宋_GB2312" w:cs="仿宋_GB2312"/>
          <w:szCs w:val="32"/>
          <w:lang w:val="en-US" w:eastAsia="zh-CN"/>
        </w:rPr>
        <w:t>2</w:t>
      </w:r>
      <w:r>
        <w:rPr>
          <w:rFonts w:hint="eastAsia" w:ascii="仿宋_GB2312" w:hAnsi="仿宋_GB2312" w:cs="仿宋_GB2312"/>
          <w:szCs w:val="32"/>
        </w:rPr>
        <w:t>分，得分率</w:t>
      </w:r>
      <w:r>
        <w:rPr>
          <w:rFonts w:hint="eastAsia" w:ascii="仿宋_GB2312" w:hAnsi="仿宋_GB2312" w:cs="仿宋_GB2312"/>
          <w:szCs w:val="32"/>
          <w:lang w:val="en-US" w:eastAsia="zh-CN"/>
        </w:rPr>
        <w:t>为100%</w:t>
      </w:r>
      <w:r>
        <w:rPr>
          <w:rFonts w:hint="eastAsia" w:ascii="仿宋_GB2312" w:hAnsi="仿宋_GB2312" w:cs="仿宋_GB2312"/>
          <w:szCs w:val="32"/>
        </w:rPr>
        <w:t>。</w:t>
      </w:r>
    </w:p>
    <w:p>
      <w:pPr>
        <w:ind w:firstLine="640"/>
        <w:rPr>
          <w:rFonts w:ascii="仿宋_GB2312" w:hAnsi="仿宋_GB2312" w:cs="仿宋_GB2312"/>
          <w:szCs w:val="32"/>
        </w:rPr>
      </w:pPr>
      <w:r>
        <w:rPr>
          <w:rFonts w:hint="eastAsia" w:ascii="仿宋_GB2312" w:hAnsi="仿宋_GB2312" w:cs="仿宋_GB2312"/>
          <w:szCs w:val="32"/>
          <w:lang w:val="en-US" w:eastAsia="zh-CN"/>
        </w:rPr>
        <w:t>市委党校2021年重点项目共2个，全部已设置绩效目标，绩效目标覆盖率达100%</w:t>
      </w:r>
      <w:r>
        <w:rPr>
          <w:rFonts w:hint="eastAsia" w:ascii="仿宋_GB2312" w:hAnsi="仿宋_GB2312" w:cs="仿宋_GB2312"/>
          <w:szCs w:val="32"/>
        </w:rPr>
        <w:t>。</w:t>
      </w:r>
    </w:p>
    <w:p>
      <w:pPr>
        <w:ind w:firstLine="640"/>
        <w:rPr>
          <w:rFonts w:ascii="仿宋_GB2312" w:hAnsi="仿宋_GB2312" w:cs="仿宋_GB2312"/>
          <w:szCs w:val="32"/>
        </w:rPr>
      </w:pPr>
      <w:r>
        <w:rPr>
          <w:rFonts w:hint="eastAsia" w:ascii="仿宋_GB2312" w:hAnsi="仿宋_GB2312" w:cs="仿宋_GB2312"/>
          <w:szCs w:val="32"/>
        </w:rPr>
        <w:t>（2）绩效目标合理性。指标分值4分，得分2分，得分率50%。</w:t>
      </w:r>
    </w:p>
    <w:p>
      <w:pPr>
        <w:ind w:firstLine="640"/>
        <w:rPr>
          <w:rFonts w:ascii="仿宋_GB2312" w:hAnsi="仿宋_GB2312" w:cs="仿宋_GB2312"/>
          <w:szCs w:val="32"/>
        </w:rPr>
      </w:pPr>
      <w:r>
        <w:rPr>
          <w:rFonts w:hint="eastAsia" w:ascii="仿宋_GB2312" w:hAnsi="仿宋_GB2312" w:cs="仿宋_GB2312"/>
          <w:szCs w:val="32"/>
        </w:rPr>
        <w:t>根据《部门整体预算绩效目标申报表》，市委党校设立的部门整体绩效目标较为简单，未能体现部门“三定”方案规定的部门职能和部门年度工作计划，绩效目标未能分解成具体工作任务，绩效目标不够合理，扣2分。</w:t>
      </w:r>
    </w:p>
    <w:p>
      <w:pPr>
        <w:ind w:firstLine="640"/>
        <w:rPr>
          <w:rFonts w:ascii="仿宋_GB2312" w:hAnsi="仿宋_GB2312" w:cs="仿宋_GB2312"/>
          <w:kern w:val="0"/>
          <w:szCs w:val="32"/>
        </w:rPr>
      </w:pPr>
      <w:r>
        <w:rPr>
          <w:rFonts w:hint="eastAsia" w:ascii="仿宋_GB2312" w:hAnsi="仿宋_GB2312" w:cs="仿宋_GB2312"/>
          <w:kern w:val="0"/>
          <w:szCs w:val="32"/>
        </w:rPr>
        <w:t>（3）绩效指标明确性。指标分值3分，得分1分，得分率33.3%。</w:t>
      </w:r>
    </w:p>
    <w:p>
      <w:pPr>
        <w:ind w:firstLine="640"/>
        <w:rPr>
          <w:rFonts w:ascii="仿宋_GB2312" w:hAnsi="仿宋_GB2312" w:cs="仿宋_GB2312"/>
          <w:kern w:val="0"/>
          <w:szCs w:val="32"/>
        </w:rPr>
      </w:pPr>
      <w:r>
        <w:rPr>
          <w:rFonts w:hint="eastAsia" w:ascii="仿宋_GB2312" w:hAnsi="仿宋_GB2312" w:cs="仿宋_GB2312"/>
          <w:szCs w:val="32"/>
        </w:rPr>
        <w:t>根据《部门整体预算绩效目标申报表》</w:t>
      </w:r>
      <w:r>
        <w:rPr>
          <w:rFonts w:hint="eastAsia" w:ascii="仿宋_GB2312" w:hAnsi="仿宋_GB2312" w:cs="仿宋_GB2312"/>
          <w:kern w:val="0"/>
          <w:szCs w:val="32"/>
        </w:rPr>
        <w:t>，市委党校设置的产出及效益指标设置不够全面，仅包含培训相关产出和效益指标，未能覆盖全部绩效目标，部分效益指标缺少数据佐证，无法衡量完成情况，且部分指标的指标值设置不合理，如“培训频次”指标值定为100%，扣2分。</w:t>
      </w:r>
    </w:p>
    <w:p>
      <w:pPr>
        <w:pStyle w:val="5"/>
        <w:ind w:firstLine="640"/>
        <w:rPr>
          <w:rFonts w:ascii="仿宋_GB2312" w:hAnsi="仿宋_GB2312" w:cs="仿宋_GB2312"/>
          <w:szCs w:val="32"/>
        </w:rPr>
      </w:pPr>
      <w:r>
        <w:rPr>
          <w:rFonts w:hint="eastAsia" w:ascii="仿宋_GB2312" w:hAnsi="仿宋_GB2312" w:cs="仿宋_GB2312"/>
          <w:szCs w:val="32"/>
        </w:rPr>
        <w:t>3.资金管理</w:t>
      </w:r>
    </w:p>
    <w:p>
      <w:pPr>
        <w:ind w:firstLine="640"/>
        <w:rPr>
          <w:rFonts w:ascii="仿宋_GB2312" w:hAnsi="仿宋_GB2312" w:cs="仿宋_GB2312"/>
          <w:szCs w:val="32"/>
        </w:rPr>
      </w:pPr>
      <w:r>
        <w:rPr>
          <w:rFonts w:hint="eastAsia" w:ascii="仿宋_GB2312" w:hAnsi="仿宋_GB2312" w:cs="仿宋_GB2312"/>
          <w:szCs w:val="32"/>
        </w:rPr>
        <w:t>（1）部门预算支出率。指标分值3分，得分3分，得分率100%。</w:t>
      </w:r>
    </w:p>
    <w:p>
      <w:pPr>
        <w:ind w:firstLine="640"/>
        <w:rPr>
          <w:rFonts w:ascii="仿宋_GB2312" w:hAnsi="仿宋_GB2312" w:cs="仿宋_GB2312"/>
          <w:szCs w:val="32"/>
        </w:rPr>
      </w:pPr>
      <w:r>
        <w:rPr>
          <w:rFonts w:hint="eastAsia" w:ascii="仿宋_GB2312" w:hAnsi="仿宋_GB2312" w:cs="仿宋_GB2312"/>
          <w:szCs w:val="32"/>
        </w:rPr>
        <w:t>根据2021年度韶关市机关绩效考核支出进度情况，市委党校2021年度支出进度为100%。</w:t>
      </w:r>
    </w:p>
    <w:p>
      <w:pPr>
        <w:ind w:firstLine="640"/>
        <w:rPr>
          <w:rFonts w:ascii="仿宋_GB2312" w:hAnsi="仿宋_GB2312" w:cs="仿宋_GB2312"/>
          <w:szCs w:val="32"/>
        </w:rPr>
      </w:pPr>
      <w:r>
        <w:rPr>
          <w:rFonts w:hint="eastAsia" w:ascii="仿宋_GB2312" w:hAnsi="仿宋_GB2312" w:cs="仿宋_GB2312"/>
          <w:szCs w:val="32"/>
        </w:rPr>
        <w:t>（2）结转结余率。指标分值3分，得分3分，得分率100%。</w:t>
      </w:r>
    </w:p>
    <w:p>
      <w:pPr>
        <w:ind w:firstLine="640"/>
        <w:rPr>
          <w:rFonts w:ascii="仿宋_GB2312" w:hAnsi="仿宋_GB2312" w:cs="仿宋_GB2312"/>
          <w:szCs w:val="32"/>
        </w:rPr>
      </w:pPr>
      <w:r>
        <w:rPr>
          <w:rFonts w:hint="eastAsia" w:ascii="仿宋_GB2312" w:hAnsi="仿宋_GB2312" w:cs="仿宋_GB2312"/>
          <w:szCs w:val="32"/>
        </w:rPr>
        <w:t>2021年度市委党校全年资金全部完成支付使用，无结转结余资金，结转结余率为0。</w:t>
      </w:r>
    </w:p>
    <w:p>
      <w:pPr>
        <w:ind w:firstLine="640"/>
        <w:rPr>
          <w:rFonts w:ascii="仿宋_GB2312" w:hAnsi="仿宋_GB2312" w:cs="仿宋_GB2312"/>
          <w:szCs w:val="32"/>
        </w:rPr>
      </w:pPr>
      <w:r>
        <w:rPr>
          <w:rFonts w:hint="eastAsia" w:ascii="仿宋_GB2312" w:hAnsi="仿宋_GB2312" w:cs="仿宋_GB2312"/>
          <w:szCs w:val="32"/>
        </w:rPr>
        <w:t>（3）政府采购合规性。指标分值4分，得分4分，得分率100%。</w:t>
      </w:r>
    </w:p>
    <w:p>
      <w:pPr>
        <w:ind w:firstLine="640"/>
        <w:rPr>
          <w:rFonts w:ascii="仿宋_GB2312" w:hAnsi="仿宋_GB2312" w:cs="仿宋_GB2312"/>
          <w:szCs w:val="32"/>
        </w:rPr>
      </w:pPr>
      <w:r>
        <w:rPr>
          <w:rFonts w:hint="eastAsia" w:ascii="仿宋_GB2312" w:hAnsi="仿宋_GB2312" w:cs="仿宋_GB2312"/>
          <w:szCs w:val="32"/>
        </w:rPr>
        <w:t>根据市委党校《2021年政府采购预算表》和《2021年政府采购信息统计报表》，市委党校政府采购计划数为166.04万元，实际采购金额数为152.92万元，政府采购执行率为92.10%；根据对市委党校政府采购过程材料审核，未发现违反政府采购相关法律法规情况。</w:t>
      </w:r>
    </w:p>
    <w:p>
      <w:pPr>
        <w:ind w:firstLine="640"/>
        <w:rPr>
          <w:rFonts w:ascii="仿宋_GB2312" w:hAnsi="仿宋_GB2312" w:cs="仿宋_GB2312"/>
          <w:szCs w:val="32"/>
        </w:rPr>
      </w:pPr>
      <w:r>
        <w:rPr>
          <w:rFonts w:hint="eastAsia" w:ascii="仿宋_GB2312" w:hAnsi="仿宋_GB2312" w:cs="仿宋_GB2312"/>
          <w:szCs w:val="32"/>
        </w:rPr>
        <w:t>（4）财务合规性。指标分值5分，得分4分，得分率80%。</w:t>
      </w:r>
    </w:p>
    <w:p>
      <w:pPr>
        <w:ind w:firstLine="643"/>
        <w:rPr>
          <w:rFonts w:ascii="仿宋_GB2312" w:hAnsi="仿宋_GB2312" w:cs="仿宋_GB2312"/>
          <w:szCs w:val="32"/>
        </w:rPr>
      </w:pPr>
      <w:r>
        <w:rPr>
          <w:rFonts w:hint="eastAsia" w:ascii="仿宋_GB2312" w:hAnsi="仿宋_GB2312" w:cs="仿宋_GB2312"/>
          <w:b/>
          <w:szCs w:val="32"/>
        </w:rPr>
        <w:t>一是</w:t>
      </w:r>
      <w:r>
        <w:rPr>
          <w:rFonts w:hint="eastAsia" w:ascii="仿宋_GB2312" w:hAnsi="仿宋_GB2312" w:cs="仿宋_GB2312"/>
          <w:szCs w:val="32"/>
        </w:rPr>
        <w:t>根据对市委党校财务资料核查，市委党校能按规定履行调整报批手续，按事项完成进度支付资金，资金管理、费用标准、支付符合有关制度规定，未发现超范围、超标准支出，虚列支出，截留、挤占、挪用资金等情况；</w:t>
      </w:r>
      <w:r>
        <w:rPr>
          <w:rFonts w:hint="eastAsia" w:ascii="仿宋_GB2312" w:hAnsi="仿宋_GB2312" w:cs="仿宋_GB2312"/>
          <w:b/>
          <w:szCs w:val="32"/>
        </w:rPr>
        <w:t>二是</w:t>
      </w:r>
      <w:r>
        <w:rPr>
          <w:rFonts w:hint="eastAsia" w:ascii="仿宋_GB2312" w:hAnsi="仿宋_GB2312" w:cs="仿宋_GB2312"/>
          <w:szCs w:val="32"/>
        </w:rPr>
        <w:t>通过抽取部分凭证进行核查，总体来看，核算较为规范，但也存在部分凭证附件不够齐全，将各项租金、材料费、工程款混淆记录在同一张凭证中等情况，扣1分。</w:t>
      </w:r>
    </w:p>
    <w:p>
      <w:pPr>
        <w:ind w:firstLine="640"/>
        <w:rPr>
          <w:rFonts w:ascii="仿宋_GB2312" w:hAnsi="仿宋_GB2312" w:cs="仿宋_GB2312"/>
          <w:szCs w:val="32"/>
        </w:rPr>
      </w:pPr>
      <w:r>
        <w:rPr>
          <w:rFonts w:hint="eastAsia" w:ascii="仿宋_GB2312" w:hAnsi="仿宋_GB2312" w:cs="仿宋_GB2312"/>
          <w:szCs w:val="32"/>
        </w:rPr>
        <w:t>（5）预决算信息公开。指标分值2分，得分2分，得分率100%。</w:t>
      </w:r>
    </w:p>
    <w:p>
      <w:pPr>
        <w:ind w:firstLine="640"/>
        <w:rPr>
          <w:rFonts w:ascii="仿宋_GB2312" w:hAnsi="仿宋_GB2312" w:cs="仿宋_GB2312"/>
          <w:szCs w:val="32"/>
        </w:rPr>
      </w:pPr>
      <w:r>
        <w:rPr>
          <w:rFonts w:hint="eastAsia" w:ascii="仿宋_GB2312" w:hAnsi="仿宋_GB2312" w:cs="仿宋_GB2312"/>
          <w:szCs w:val="32"/>
        </w:rPr>
        <w:t>市委党校于2021年3月10日按规定内容、在规定时限和范围内公开2021年部门预算；于2022年9月23日按规定内容、在规定时限和范围内公开2021年部门决算，部门预决算信息公开符合要求。</w:t>
      </w:r>
    </w:p>
    <w:p>
      <w:pPr>
        <w:pStyle w:val="5"/>
        <w:ind w:firstLine="640"/>
        <w:rPr>
          <w:rFonts w:ascii="仿宋_GB2312" w:hAnsi="仿宋_GB2312" w:cs="仿宋_GB2312"/>
          <w:szCs w:val="32"/>
        </w:rPr>
      </w:pPr>
      <w:r>
        <w:rPr>
          <w:rFonts w:hint="eastAsia" w:ascii="仿宋_GB2312" w:hAnsi="仿宋_GB2312" w:cs="仿宋_GB2312"/>
          <w:szCs w:val="32"/>
        </w:rPr>
        <w:t>4.项目管理</w:t>
      </w:r>
    </w:p>
    <w:p>
      <w:pPr>
        <w:ind w:firstLine="640"/>
        <w:rPr>
          <w:rFonts w:ascii="仿宋_GB2312" w:hAnsi="仿宋_GB2312" w:cs="仿宋_GB2312"/>
          <w:szCs w:val="32"/>
        </w:rPr>
      </w:pPr>
      <w:r>
        <w:rPr>
          <w:rFonts w:hint="eastAsia" w:ascii="仿宋_GB2312" w:hAnsi="仿宋_GB2312" w:cs="仿宋_GB2312"/>
          <w:szCs w:val="32"/>
        </w:rPr>
        <w:t>（1）项目实施程序。指标分值4分，得分2分，得分率50%。</w:t>
      </w:r>
    </w:p>
    <w:p>
      <w:pPr>
        <w:ind w:firstLine="640"/>
        <w:rPr>
          <w:rFonts w:ascii="仿宋_GB2312" w:hAnsi="仿宋_GB2312" w:cs="仿宋_GB2312"/>
          <w:szCs w:val="32"/>
        </w:rPr>
      </w:pPr>
      <w:r>
        <w:rPr>
          <w:rFonts w:hint="eastAsia" w:ascii="仿宋_GB2312" w:hAnsi="仿宋_GB2312" w:cs="仿宋_GB2312"/>
          <w:szCs w:val="32"/>
        </w:rPr>
        <w:t>市委党校2021年无新增项目，其中韶关市红色教育基地项目为市委党校委托市政府投资项目代建管理局代建，支出内容为工程项目采购款、进度款、设计费等，总体实施程序规范；但市委党校2021年教学成本支出项目中，食材采购项目缺少供应商选定程序材料，市委党校提交的党校食堂食材配送服务项目招投标及合同材料为2022-2023年度协议，未包括2021年度食堂食材采购内容，佐证材料缺乏说服力，扣2分。</w:t>
      </w:r>
    </w:p>
    <w:p>
      <w:pPr>
        <w:ind w:firstLine="640"/>
        <w:rPr>
          <w:rFonts w:ascii="仿宋_GB2312" w:hAnsi="仿宋_GB2312" w:cs="仿宋_GB2312"/>
          <w:szCs w:val="32"/>
        </w:rPr>
      </w:pPr>
      <w:r>
        <w:rPr>
          <w:rFonts w:hint="eastAsia" w:ascii="仿宋_GB2312" w:hAnsi="仿宋_GB2312" w:cs="仿宋_GB2312"/>
          <w:szCs w:val="32"/>
        </w:rPr>
        <w:t>（2）项目监管。指标分值4分，得分2分，得分率50%。</w:t>
      </w:r>
    </w:p>
    <w:p>
      <w:pPr>
        <w:ind w:firstLine="640"/>
        <w:rPr>
          <w:rFonts w:ascii="仿宋_GB2312" w:hAnsi="仿宋_GB2312" w:cs="仿宋_GB2312"/>
          <w:szCs w:val="32"/>
        </w:rPr>
      </w:pPr>
      <w:r>
        <w:rPr>
          <w:rFonts w:hint="eastAsia" w:ascii="仿宋_GB2312" w:hAnsi="仿宋_GB2312" w:cs="仿宋_GB2312"/>
          <w:szCs w:val="32"/>
        </w:rPr>
        <w:t>市委党校成立了由部门主要负责人任组长的内控工作领导小组，建立了“用制度规范、靠制度管人、按程序办事”的内控体系。但未见对专项资金和专项经费开展检查、监控、督促整改等措施，如市委党校的校园物业管理、餐饮服务和宿舍管理、消防和校园绿化等学校后勤工作通过公开招标委托给广州岭南国际酒店管理有限公司负责，合同中约定需对广州岭南国际酒店管理有限公司开展年度整体服务质量测评，但市委党校未能建立监管措施或出台监督管理办法，也未能提供相关的服务质量测评材料及测评结果，扣2分。</w:t>
      </w:r>
    </w:p>
    <w:p>
      <w:pPr>
        <w:pStyle w:val="5"/>
        <w:ind w:firstLine="640"/>
        <w:rPr>
          <w:rFonts w:ascii="仿宋_GB2312" w:hAnsi="仿宋_GB2312" w:cs="仿宋_GB2312"/>
          <w:szCs w:val="32"/>
        </w:rPr>
      </w:pPr>
      <w:r>
        <w:rPr>
          <w:rFonts w:hint="eastAsia" w:ascii="仿宋_GB2312" w:hAnsi="仿宋_GB2312" w:cs="仿宋_GB2312"/>
          <w:szCs w:val="32"/>
        </w:rPr>
        <w:t>5.资产管理</w:t>
      </w:r>
    </w:p>
    <w:p>
      <w:pPr>
        <w:ind w:firstLine="640"/>
        <w:rPr>
          <w:rFonts w:ascii="仿宋_GB2312" w:hAnsi="仿宋_GB2312" w:cs="仿宋_GB2312"/>
          <w:szCs w:val="32"/>
        </w:rPr>
      </w:pPr>
      <w:r>
        <w:rPr>
          <w:rFonts w:hint="eastAsia" w:ascii="仿宋_GB2312" w:hAnsi="仿宋_GB2312" w:cs="仿宋_GB2312"/>
          <w:szCs w:val="32"/>
        </w:rPr>
        <w:t>（1）资产管理安全性。指标分值4分，得分3分，得分率75%。</w:t>
      </w:r>
    </w:p>
    <w:p>
      <w:pPr>
        <w:ind w:firstLine="640"/>
        <w:rPr>
          <w:rFonts w:ascii="仿宋_GB2312" w:hAnsi="仿宋_GB2312" w:cs="仿宋_GB2312"/>
          <w:szCs w:val="32"/>
        </w:rPr>
      </w:pPr>
      <w:r>
        <w:rPr>
          <w:rFonts w:hint="eastAsia" w:ascii="仿宋_GB2312" w:hAnsi="仿宋_GB2312" w:cs="仿宋_GB2312"/>
          <w:szCs w:val="32"/>
        </w:rPr>
        <w:t>通过核查市委党校《2021年度资产报表汇总表》《2021年度资产管理报告》，部门资产保存完整，能够定期对固定资产进行清查，配置基本合理，未发生严重资产损失和丢失情况。但现场抽查情况了解到部分固定资产如打印一体机未粘贴标签，考试机房设备、门楼等资产处置审批表缺少审核，少量办公电脑等固定资产处于待处置状态，资产管理安全性有待提升，扣1分。</w:t>
      </w:r>
    </w:p>
    <w:p>
      <w:pPr>
        <w:ind w:firstLine="640"/>
        <w:rPr>
          <w:rFonts w:ascii="仿宋_GB2312" w:hAnsi="仿宋_GB2312" w:cs="仿宋_GB2312"/>
          <w:szCs w:val="32"/>
        </w:rPr>
      </w:pPr>
      <w:r>
        <w:rPr>
          <w:rFonts w:hint="eastAsia" w:ascii="仿宋_GB2312" w:hAnsi="仿宋_GB2312" w:cs="仿宋_GB2312"/>
          <w:szCs w:val="32"/>
        </w:rPr>
        <w:t>（2）固定资产利用率。指标分值2分，得分2分，得分率100%。</w:t>
      </w:r>
    </w:p>
    <w:p>
      <w:pPr>
        <w:ind w:firstLine="640"/>
        <w:rPr>
          <w:rFonts w:ascii="仿宋_GB2312" w:hAnsi="仿宋_GB2312" w:cs="仿宋_GB2312"/>
          <w:szCs w:val="32"/>
        </w:rPr>
      </w:pPr>
      <w:r>
        <w:rPr>
          <w:rFonts w:hint="eastAsia" w:ascii="仿宋_GB2312" w:hAnsi="仿宋_GB2312" w:cs="仿宋_GB2312"/>
          <w:szCs w:val="32"/>
        </w:rPr>
        <w:t>根据部门固定资产管理台账及现场询问，部门列入资产负债表中的资产均在使用中，现场抽查情况了解到部分资产使用率低甚至不能使用，少量固定资产留存于仓库处于报废状态，但依然在账面记录，实际固定资产使用率大于90%。</w:t>
      </w:r>
    </w:p>
    <w:p>
      <w:pPr>
        <w:pStyle w:val="5"/>
        <w:ind w:firstLine="640"/>
        <w:rPr>
          <w:rFonts w:ascii="仿宋_GB2312" w:hAnsi="仿宋_GB2312" w:cs="仿宋_GB2312"/>
          <w:szCs w:val="32"/>
        </w:rPr>
      </w:pPr>
      <w:r>
        <w:rPr>
          <w:rFonts w:hint="eastAsia" w:ascii="仿宋_GB2312" w:hAnsi="仿宋_GB2312" w:cs="仿宋_GB2312"/>
          <w:szCs w:val="32"/>
        </w:rPr>
        <w:t>6.制度管理</w:t>
      </w:r>
    </w:p>
    <w:p>
      <w:pPr>
        <w:ind w:firstLine="640"/>
        <w:rPr>
          <w:rFonts w:ascii="仿宋_GB2312" w:hAnsi="仿宋_GB2312" w:cs="仿宋_GB2312"/>
          <w:szCs w:val="32"/>
        </w:rPr>
      </w:pPr>
      <w:r>
        <w:rPr>
          <w:rFonts w:hint="eastAsia" w:ascii="仿宋_GB2312" w:hAnsi="仿宋_GB2312" w:cs="仿宋_GB2312"/>
          <w:szCs w:val="32"/>
        </w:rPr>
        <w:t>（1）管理制度健全性。指标分值4分，得分3分，得分率75%。</w:t>
      </w:r>
    </w:p>
    <w:p>
      <w:pPr>
        <w:ind w:firstLine="640"/>
        <w:rPr>
          <w:rFonts w:ascii="仿宋_GB2312" w:hAnsi="仿宋_GB2312" w:cs="仿宋_GB2312"/>
          <w:szCs w:val="32"/>
        </w:rPr>
      </w:pPr>
      <w:r>
        <w:rPr>
          <w:rFonts w:hint="eastAsia" w:ascii="仿宋_GB2312" w:hAnsi="仿宋_GB2312" w:cs="仿宋_GB2312"/>
          <w:szCs w:val="32"/>
        </w:rPr>
        <w:t>市委党校建立了《财务管理办法》《固定资产管理办法》《采购管理办法》等管理制度，对部门财务、绩效管理做了规定，基本形成和执行了内部控制制度，但市委党校对于重点项目、经常性项目未能制定相关管理办法，扣1分。</w:t>
      </w:r>
    </w:p>
    <w:p>
      <w:pPr>
        <w:pStyle w:val="5"/>
        <w:ind w:firstLine="640"/>
        <w:rPr>
          <w:rFonts w:ascii="仿宋_GB2312" w:hAnsi="仿宋_GB2312" w:cs="仿宋_GB2312"/>
          <w:szCs w:val="32"/>
        </w:rPr>
      </w:pPr>
      <w:r>
        <w:rPr>
          <w:rFonts w:hint="eastAsia" w:ascii="仿宋_GB2312" w:hAnsi="仿宋_GB2312" w:cs="仿宋_GB2312"/>
          <w:szCs w:val="32"/>
        </w:rPr>
        <w:t>7.经济性</w:t>
      </w:r>
    </w:p>
    <w:p>
      <w:pPr>
        <w:ind w:firstLine="640"/>
        <w:rPr>
          <w:rFonts w:ascii="仿宋_GB2312" w:hAnsi="仿宋_GB2312" w:cs="仿宋_GB2312"/>
          <w:szCs w:val="32"/>
        </w:rPr>
      </w:pPr>
      <w:r>
        <w:rPr>
          <w:rFonts w:hint="eastAsia" w:ascii="仿宋_GB2312" w:hAnsi="仿宋_GB2312" w:cs="仿宋_GB2312"/>
          <w:szCs w:val="32"/>
        </w:rPr>
        <w:t>（1）公用经费控制率。指标分值2分，得分2分，得分率100%。</w:t>
      </w:r>
    </w:p>
    <w:p>
      <w:pPr>
        <w:ind w:firstLine="640"/>
        <w:rPr>
          <w:rFonts w:ascii="仿宋_GB2312" w:hAnsi="仿宋_GB2312" w:cs="仿宋_GB2312"/>
          <w:szCs w:val="32"/>
        </w:rPr>
      </w:pPr>
      <w:r>
        <w:rPr>
          <w:rFonts w:hint="eastAsia" w:ascii="仿宋_GB2312" w:hAnsi="仿宋_GB2312" w:cs="仿宋_GB2312"/>
          <w:szCs w:val="32"/>
        </w:rPr>
        <w:t>根据市委党校2021年度部门决算报表，部门日常公用经费预算数为326.96万元，调整预算数为286.29万元，决算数为286.29万元，公用经费决算数等于调整预算数，部门公用经费控制情况较好。</w:t>
      </w:r>
    </w:p>
    <w:p>
      <w:pPr>
        <w:ind w:firstLine="640"/>
        <w:rPr>
          <w:rFonts w:ascii="仿宋_GB2312" w:hAnsi="仿宋_GB2312" w:cs="仿宋_GB2312"/>
          <w:szCs w:val="32"/>
        </w:rPr>
      </w:pPr>
      <w:r>
        <w:rPr>
          <w:rFonts w:hint="eastAsia" w:ascii="仿宋_GB2312" w:hAnsi="仿宋_GB2312" w:cs="仿宋_GB2312"/>
          <w:szCs w:val="32"/>
        </w:rPr>
        <w:t>（2）“三公”经费控制率。指标分值2分，得分2分，得分率100%。</w:t>
      </w:r>
    </w:p>
    <w:p>
      <w:pPr>
        <w:ind w:firstLine="640"/>
        <w:rPr>
          <w:rFonts w:ascii="仿宋_GB2312" w:hAnsi="仿宋_GB2312" w:cs="仿宋_GB2312"/>
          <w:szCs w:val="32"/>
        </w:rPr>
      </w:pPr>
      <w:r>
        <w:rPr>
          <w:rFonts w:hint="eastAsia" w:ascii="仿宋_GB2312" w:hAnsi="仿宋_GB2312" w:cs="仿宋_GB2312"/>
          <w:szCs w:val="32"/>
        </w:rPr>
        <w:t>根据市委党校2021年度部门决算报表，部门“三公”经费预算安排数13.90万元，实际支出数11.00万元，“三公”经费实际支出数小于预算安排数，“三公”经费控制较好。</w:t>
      </w:r>
    </w:p>
    <w:p>
      <w:pPr>
        <w:ind w:firstLine="640"/>
        <w:rPr>
          <w:rFonts w:ascii="仿宋_GB2312" w:hAnsi="仿宋_GB2312" w:cs="仿宋_GB2312"/>
          <w:szCs w:val="32"/>
        </w:rPr>
      </w:pPr>
      <w:r>
        <w:rPr>
          <w:rFonts w:hint="eastAsia" w:ascii="仿宋_GB2312" w:hAnsi="仿宋_GB2312" w:cs="仿宋_GB2312"/>
          <w:szCs w:val="32"/>
        </w:rPr>
        <w:t>（3）完成成本合理性。指标分值6分，得分6分，得分率100%。</w:t>
      </w:r>
    </w:p>
    <w:p>
      <w:pPr>
        <w:ind w:firstLine="640"/>
        <w:rPr>
          <w:rFonts w:ascii="仿宋_GB2312" w:hAnsi="仿宋_GB2312" w:cs="仿宋_GB2312"/>
          <w:szCs w:val="32"/>
        </w:rPr>
      </w:pPr>
      <w:r>
        <w:rPr>
          <w:rFonts w:hint="eastAsia" w:ascii="仿宋_GB2312" w:hAnsi="仿宋_GB2312" w:cs="仿宋_GB2312"/>
          <w:szCs w:val="32"/>
        </w:rPr>
        <w:t>总体来看，部门项目支出有明确的政策文件和项目合同作为依据，政府采购项目能够按照政府采购程序实施，相关工作成本与市场价格、行业标准、其他地市的同类项目相比基本合理。</w:t>
      </w:r>
    </w:p>
    <w:p>
      <w:pPr>
        <w:pStyle w:val="5"/>
        <w:ind w:firstLine="640"/>
        <w:rPr>
          <w:rFonts w:ascii="仿宋_GB2312" w:hAnsi="仿宋_GB2312" w:cs="仿宋_GB2312"/>
          <w:szCs w:val="32"/>
        </w:rPr>
      </w:pPr>
      <w:r>
        <w:rPr>
          <w:rFonts w:hint="eastAsia" w:ascii="仿宋_GB2312" w:hAnsi="仿宋_GB2312" w:cs="仿宋_GB2312"/>
          <w:szCs w:val="32"/>
        </w:rPr>
        <w:t>8.效率性</w:t>
      </w:r>
    </w:p>
    <w:p>
      <w:pPr>
        <w:ind w:firstLine="640"/>
        <w:rPr>
          <w:rFonts w:ascii="仿宋_GB2312" w:hAnsi="仿宋_GB2312" w:cs="仿宋_GB2312"/>
          <w:szCs w:val="32"/>
        </w:rPr>
      </w:pPr>
      <w:r>
        <w:rPr>
          <w:rFonts w:hint="eastAsia" w:ascii="仿宋_GB2312" w:hAnsi="仿宋_GB2312" w:cs="仿宋_GB2312"/>
          <w:szCs w:val="32"/>
        </w:rPr>
        <w:t>（1）重点工作完成率。指标分值3分，得分2.25分，得分率75%。</w:t>
      </w:r>
    </w:p>
    <w:p>
      <w:pPr>
        <w:ind w:firstLine="640"/>
        <w:rPr>
          <w:rFonts w:ascii="仿宋_GB2312" w:hAnsi="仿宋_GB2312" w:cs="仿宋_GB2312"/>
          <w:szCs w:val="32"/>
        </w:rPr>
      </w:pPr>
      <w:r>
        <w:rPr>
          <w:rFonts w:hint="eastAsia" w:ascii="仿宋_GB2312" w:hAnsi="仿宋_GB2312" w:cs="仿宋_GB2312"/>
          <w:szCs w:val="32"/>
        </w:rPr>
        <w:t>经材料审核和现场调研，</w:t>
      </w:r>
      <w:r>
        <w:rPr>
          <w:rFonts w:hint="eastAsia" w:ascii="仿宋_GB2312" w:hAnsi="仿宋_GB2312" w:cs="仿宋_GB2312"/>
          <w:szCs w:val="32"/>
          <w:lang w:eastAsia="zh-CN"/>
        </w:rPr>
        <w:t>市委党校</w:t>
      </w:r>
      <w:r>
        <w:rPr>
          <w:rFonts w:hint="eastAsia" w:ascii="仿宋_GB2312" w:hAnsi="仿宋_GB2312" w:cs="仿宋_GB2312"/>
          <w:szCs w:val="32"/>
          <w:lang w:val="en-US" w:eastAsia="zh-CN"/>
        </w:rPr>
        <w:t>2021年有</w:t>
      </w:r>
      <w:r>
        <w:rPr>
          <w:rFonts w:hint="eastAsia" w:ascii="仿宋_GB2312" w:hAnsi="仿宋_GB2312" w:cs="仿宋_GB2312"/>
          <w:szCs w:val="32"/>
        </w:rPr>
        <w:t>4项工作任务</w:t>
      </w:r>
      <w:r>
        <w:rPr>
          <w:rFonts w:hint="eastAsia" w:ascii="仿宋_GB2312" w:hAnsi="仿宋_GB2312" w:cs="仿宋_GB2312"/>
          <w:szCs w:val="32"/>
          <w:lang w:eastAsia="zh-CN"/>
        </w:rPr>
        <w:t>，其</w:t>
      </w:r>
      <w:r>
        <w:rPr>
          <w:rFonts w:hint="eastAsia" w:ascii="仿宋_GB2312" w:hAnsi="仿宋_GB2312" w:cs="仿宋_GB2312"/>
          <w:szCs w:val="32"/>
        </w:rPr>
        <w:t>中</w:t>
      </w:r>
      <w:r>
        <w:rPr>
          <w:rFonts w:hint="eastAsia" w:ascii="仿宋_GB2312" w:hAnsi="仿宋_GB2312" w:cs="仿宋_GB2312"/>
          <w:szCs w:val="32"/>
          <w:lang w:eastAsia="zh-CN"/>
        </w:rPr>
        <w:t>：</w:t>
      </w:r>
      <w:r>
        <w:rPr>
          <w:rFonts w:hint="eastAsia" w:ascii="仿宋_GB2312" w:hAnsi="仿宋_GB2312" w:cs="仿宋_GB2312"/>
          <w:szCs w:val="32"/>
        </w:rPr>
        <w:t>“充分运用‘大学习、深调研、真落实’成果，扎实推进已制定的系列行动方案的落实”</w:t>
      </w:r>
      <w:r>
        <w:rPr>
          <w:rFonts w:hint="eastAsia" w:ascii="仿宋_GB2312" w:hAnsi="仿宋_GB2312" w:cs="仿宋_GB2312"/>
          <w:szCs w:val="32"/>
          <w:lang w:eastAsia="zh-CN"/>
        </w:rPr>
        <w:t>工作</w:t>
      </w:r>
      <w:r>
        <w:rPr>
          <w:rFonts w:hint="eastAsia" w:ascii="仿宋_GB2312" w:hAnsi="仿宋_GB2312" w:cs="仿宋_GB2312"/>
          <w:szCs w:val="32"/>
        </w:rPr>
        <w:t>未能完成，</w:t>
      </w:r>
      <w:r>
        <w:rPr>
          <w:rFonts w:hint="eastAsia" w:ascii="仿宋_GB2312" w:hAnsi="仿宋_GB2312" w:cs="仿宋_GB2312"/>
          <w:szCs w:val="32"/>
          <w:lang w:eastAsia="zh-CN"/>
        </w:rPr>
        <w:t>重点工作</w:t>
      </w:r>
      <w:r>
        <w:rPr>
          <w:rFonts w:hint="eastAsia" w:ascii="仿宋_GB2312" w:hAnsi="仿宋_GB2312" w:cs="仿宋_GB2312"/>
          <w:szCs w:val="32"/>
        </w:rPr>
        <w:t>完成率为75%，扣0.75分。</w:t>
      </w:r>
    </w:p>
    <w:p>
      <w:pPr>
        <w:ind w:firstLine="640"/>
        <w:rPr>
          <w:rFonts w:ascii="仿宋_GB2312" w:hAnsi="仿宋_GB2312" w:cs="仿宋_GB2312"/>
          <w:szCs w:val="32"/>
        </w:rPr>
      </w:pPr>
      <w:r>
        <w:rPr>
          <w:rFonts w:hint="eastAsia" w:ascii="仿宋_GB2312" w:hAnsi="仿宋_GB2312" w:cs="仿宋_GB2312"/>
          <w:szCs w:val="32"/>
        </w:rPr>
        <w:t>（2）绩效目标完成率。指标分值3分，得分2.5分，得分率83.3%。</w:t>
      </w:r>
    </w:p>
    <w:p>
      <w:pPr>
        <w:ind w:firstLine="640"/>
        <w:rPr>
          <w:rFonts w:ascii="仿宋_GB2312" w:hAnsi="仿宋_GB2312" w:cs="仿宋_GB2312"/>
          <w:szCs w:val="32"/>
        </w:rPr>
      </w:pPr>
      <w:r>
        <w:rPr>
          <w:rFonts w:hint="eastAsia" w:ascii="仿宋_GB2312" w:hAnsi="仿宋_GB2312" w:cs="仿宋_GB2312"/>
          <w:szCs w:val="32"/>
        </w:rPr>
        <w:t>市委党校2021年度绩效目标定为4个，经核实，已完成3个，完成率为75%，扣0.5分。</w:t>
      </w:r>
    </w:p>
    <w:p>
      <w:pPr>
        <w:ind w:firstLine="640"/>
        <w:rPr>
          <w:rFonts w:ascii="仿宋_GB2312" w:hAnsi="仿宋_GB2312" w:cs="仿宋_GB2312"/>
          <w:szCs w:val="32"/>
        </w:rPr>
      </w:pPr>
      <w:r>
        <w:rPr>
          <w:rFonts w:hint="eastAsia" w:ascii="仿宋_GB2312" w:hAnsi="仿宋_GB2312" w:cs="仿宋_GB2312"/>
          <w:szCs w:val="32"/>
        </w:rPr>
        <w:t>（3）项目完成及时性。指标分值4分，得分4分，得分率100%。</w:t>
      </w:r>
    </w:p>
    <w:p>
      <w:pPr>
        <w:ind w:firstLine="640"/>
        <w:rPr>
          <w:rFonts w:ascii="仿宋_GB2312" w:hAnsi="仿宋_GB2312" w:cs="仿宋_GB2312"/>
          <w:szCs w:val="32"/>
        </w:rPr>
      </w:pPr>
      <w:r>
        <w:rPr>
          <w:rFonts w:hint="eastAsia" w:ascii="仿宋_GB2312" w:hAnsi="仿宋_GB2312" w:cs="仿宋_GB2312"/>
          <w:szCs w:val="32"/>
        </w:rPr>
        <w:t>2021年部门共计3个项目，其中3个项目按计划时间完成，完成及时率为100%。</w:t>
      </w:r>
    </w:p>
    <w:p>
      <w:pPr>
        <w:pStyle w:val="5"/>
        <w:ind w:firstLine="640"/>
        <w:rPr>
          <w:rFonts w:ascii="仿宋_GB2312" w:hAnsi="仿宋_GB2312" w:cs="仿宋_GB2312"/>
          <w:szCs w:val="32"/>
        </w:rPr>
      </w:pPr>
      <w:r>
        <w:rPr>
          <w:rFonts w:hint="eastAsia" w:ascii="仿宋_GB2312" w:hAnsi="仿宋_GB2312" w:cs="仿宋_GB2312"/>
          <w:szCs w:val="32"/>
        </w:rPr>
        <w:t>9.效果性</w:t>
      </w:r>
    </w:p>
    <w:p>
      <w:pPr>
        <w:ind w:firstLine="640"/>
        <w:rPr>
          <w:rFonts w:ascii="仿宋_GB2312" w:hAnsi="仿宋_GB2312" w:cs="仿宋_GB2312"/>
          <w:szCs w:val="32"/>
        </w:rPr>
      </w:pPr>
      <w:r>
        <w:rPr>
          <w:rFonts w:hint="eastAsia" w:ascii="仿宋_GB2312" w:hAnsi="仿宋_GB2312" w:cs="仿宋_GB2312"/>
          <w:szCs w:val="32"/>
        </w:rPr>
        <w:t>（1）培训工作完成情况。指标分值5分，得分5分，得分率100%。</w:t>
      </w:r>
    </w:p>
    <w:p>
      <w:pPr>
        <w:ind w:firstLine="640"/>
        <w:rPr>
          <w:rFonts w:ascii="仿宋_GB2312" w:hAnsi="仿宋_GB2312" w:cs="仿宋_GB2312"/>
          <w:szCs w:val="32"/>
        </w:rPr>
      </w:pPr>
      <w:r>
        <w:rPr>
          <w:rFonts w:hint="eastAsia" w:ascii="仿宋_GB2312" w:hAnsi="仿宋_GB2312" w:cs="仿宋_GB2312"/>
          <w:szCs w:val="32"/>
        </w:rPr>
        <w:t>2021年，市委党校根据市委组织部《关于选派干部参加2021年市各主体班次进修培训的通知》（</w:t>
      </w:r>
      <w:r>
        <w:rPr>
          <w:rFonts w:hint="eastAsia" w:ascii="仿宋_GB2312" w:hAnsi="仿宋_GB2312" w:cs="仿宋_GB2312"/>
          <w:color w:val="000000"/>
          <w:szCs w:val="32"/>
          <w:lang w:bidi="ar"/>
        </w:rPr>
        <w:t>韶组通〔2021〕1号</w:t>
      </w:r>
      <w:r>
        <w:rPr>
          <w:rFonts w:hint="eastAsia" w:ascii="仿宋_GB2312" w:hAnsi="仿宋_GB2312" w:cs="仿宋_GB2312"/>
          <w:szCs w:val="32"/>
        </w:rPr>
        <w:t>）开展各类主体班培训工作，2021年共开展主体班培训31期，其中：年度计划内8期，计划外23期，各主体班均按照计划和方案完成，培训学员7,245人，结业学员7,245人，结业率100%，2021年共开展其他单位委托的专项班258个，培训学员14,427人，结业14,427人，结业率100%。</w:t>
      </w:r>
    </w:p>
    <w:p>
      <w:pPr>
        <w:ind w:firstLine="640"/>
        <w:rPr>
          <w:rFonts w:ascii="仿宋_GB2312" w:hAnsi="仿宋_GB2312" w:cs="仿宋_GB2312"/>
          <w:szCs w:val="32"/>
        </w:rPr>
      </w:pPr>
      <w:r>
        <w:rPr>
          <w:rFonts w:hint="eastAsia" w:ascii="仿宋_GB2312" w:hAnsi="仿宋_GB2312" w:cs="仿宋_GB2312"/>
          <w:szCs w:val="32"/>
        </w:rPr>
        <w:t>（2）教学质量评估情况。指标分值4分，得分</w:t>
      </w:r>
      <w:r>
        <w:rPr>
          <w:rFonts w:hint="eastAsia" w:ascii="仿宋_GB2312" w:hAnsi="仿宋_GB2312" w:cs="仿宋_GB2312"/>
          <w:szCs w:val="32"/>
          <w:lang w:val="en-US" w:eastAsia="zh-CN"/>
        </w:rPr>
        <w:t>3</w:t>
      </w:r>
      <w:r>
        <w:rPr>
          <w:rFonts w:hint="eastAsia" w:ascii="仿宋_GB2312" w:hAnsi="仿宋_GB2312" w:cs="仿宋_GB2312"/>
          <w:szCs w:val="32"/>
        </w:rPr>
        <w:t>.5分，得分率</w:t>
      </w:r>
      <w:r>
        <w:rPr>
          <w:rFonts w:hint="eastAsia" w:ascii="仿宋_GB2312" w:hAnsi="仿宋_GB2312" w:cs="仿宋_GB2312"/>
          <w:szCs w:val="32"/>
          <w:lang w:val="en-US" w:eastAsia="zh-CN"/>
        </w:rPr>
        <w:t>87</w:t>
      </w:r>
      <w:r>
        <w:rPr>
          <w:rFonts w:hint="eastAsia" w:ascii="仿宋_GB2312" w:hAnsi="仿宋_GB2312" w:cs="仿宋_GB2312"/>
          <w:szCs w:val="32"/>
        </w:rPr>
        <w:t>.5%。</w:t>
      </w:r>
    </w:p>
    <w:p>
      <w:pPr>
        <w:ind w:firstLine="640"/>
        <w:rPr>
          <w:rFonts w:ascii="仿宋_GB2312" w:hAnsi="仿宋_GB2312" w:cs="仿宋_GB2312"/>
          <w:szCs w:val="32"/>
        </w:rPr>
      </w:pPr>
      <w:r>
        <w:rPr>
          <w:rFonts w:hint="eastAsia" w:ascii="仿宋_GB2312" w:hAnsi="仿宋_GB2312" w:cs="仿宋_GB2312"/>
          <w:szCs w:val="32"/>
        </w:rPr>
        <w:t>市委党校根据制定的《教学质量评估和奖励办法》，教学质量评估得分计算方式为学员评价占比50%，专家评价占比40%，教研室评价占比10%。根据市委党校2021年教学质量评估结果，学员评价平均得分为96.96分，专家评价平均得分为84.37分，未能提供教研室评价得分，总体折算后得分90分，但市委党校</w:t>
      </w:r>
      <w:r>
        <w:rPr>
          <w:rFonts w:hint="eastAsia"/>
        </w:rPr>
        <w:t>未能提供2020年教学质量评估相关结果</w:t>
      </w:r>
      <w:r>
        <w:rPr>
          <w:rFonts w:hint="eastAsia"/>
          <w:lang w:eastAsia="zh-CN"/>
        </w:rPr>
        <w:t>，</w:t>
      </w:r>
      <w:r>
        <w:rPr>
          <w:rFonts w:hint="eastAsia"/>
          <w:lang w:val="en-US" w:eastAsia="zh-CN"/>
        </w:rPr>
        <w:t>难以对近两年教学质量评估情况进行对比</w:t>
      </w:r>
      <w:r>
        <w:rPr>
          <w:rFonts w:hint="eastAsia"/>
          <w:lang w:eastAsia="zh-CN"/>
        </w:rPr>
        <w:t>。因此，</w:t>
      </w:r>
      <w:r>
        <w:rPr>
          <w:rFonts w:hint="eastAsia" w:ascii="仿宋_GB2312" w:hAnsi="仿宋_GB2312" w:cs="仿宋_GB2312"/>
          <w:szCs w:val="32"/>
        </w:rPr>
        <w:t>扣</w:t>
      </w:r>
      <w:r>
        <w:rPr>
          <w:rFonts w:hint="eastAsia" w:ascii="仿宋_GB2312" w:hAnsi="仿宋_GB2312" w:cs="仿宋_GB2312"/>
          <w:szCs w:val="32"/>
          <w:lang w:val="en-US" w:eastAsia="zh-CN"/>
        </w:rPr>
        <w:t>0.5</w:t>
      </w:r>
      <w:r>
        <w:rPr>
          <w:rFonts w:hint="eastAsia" w:ascii="仿宋_GB2312" w:hAnsi="仿宋_GB2312" w:cs="仿宋_GB2312"/>
          <w:szCs w:val="32"/>
        </w:rPr>
        <w:t>分。</w:t>
      </w:r>
    </w:p>
    <w:p>
      <w:pPr>
        <w:ind w:firstLine="640"/>
        <w:rPr>
          <w:rFonts w:ascii="仿宋_GB2312" w:hAnsi="仿宋_GB2312" w:cs="仿宋_GB2312"/>
          <w:szCs w:val="32"/>
        </w:rPr>
      </w:pPr>
      <w:r>
        <w:rPr>
          <w:rFonts w:hint="eastAsia" w:ascii="仿宋_GB2312" w:hAnsi="仿宋_GB2312" w:cs="仿宋_GB2312"/>
          <w:szCs w:val="32"/>
        </w:rPr>
        <w:t>（3）后勤保障质量。指标分值3分，得分2分，得分率66.7%。</w:t>
      </w:r>
    </w:p>
    <w:p>
      <w:pPr>
        <w:ind w:firstLine="640"/>
        <w:rPr>
          <w:rFonts w:ascii="仿宋_GB2312" w:hAnsi="仿宋_GB2312" w:cs="仿宋_GB2312"/>
          <w:szCs w:val="32"/>
        </w:rPr>
      </w:pPr>
      <w:r>
        <w:rPr>
          <w:rFonts w:hint="eastAsia" w:ascii="仿宋_GB2312" w:hAnsi="仿宋_GB2312" w:cs="仿宋_GB2312"/>
          <w:szCs w:val="32"/>
        </w:rPr>
        <w:t>2020年，市委党校自行聘请人员开展各项后勤服务，未实施后勤社会化服务，2021年，市委党校后搬迁至新校区南岭干部学员，教学软硬件设施得到大幅提升，后勤服务总体委托广州岭南国际酒店管理有限公司进行管理，服务团队约140人左右，承接韶关重要会议和培训班，总体服务质量提升较为明显，但2021年市委党校未能针对后勤服务质量进行有效的考核监管，扣1分。</w:t>
      </w:r>
    </w:p>
    <w:p>
      <w:pPr>
        <w:ind w:firstLine="640"/>
        <w:rPr>
          <w:rFonts w:ascii="仿宋_GB2312" w:hAnsi="仿宋_GB2312" w:cs="仿宋_GB2312"/>
          <w:szCs w:val="32"/>
        </w:rPr>
      </w:pPr>
      <w:r>
        <w:rPr>
          <w:rFonts w:hint="eastAsia" w:ascii="仿宋_GB2312" w:hAnsi="仿宋_GB2312" w:cs="仿宋_GB2312"/>
          <w:szCs w:val="32"/>
        </w:rPr>
        <w:t>（4）理论研究项目按期结题率。指标分值2分，得分1分，得分率50%。</w:t>
      </w:r>
    </w:p>
    <w:p>
      <w:pPr>
        <w:ind w:firstLine="640"/>
        <w:rPr>
          <w:rFonts w:ascii="仿宋_GB2312" w:hAnsi="仿宋_GB2312" w:cs="仿宋_GB2312"/>
          <w:szCs w:val="32"/>
        </w:rPr>
      </w:pPr>
      <w:r>
        <w:rPr>
          <w:rFonts w:hint="eastAsia" w:ascii="仿宋_GB2312" w:hAnsi="仿宋_GB2312" w:cs="仿宋_GB2312"/>
          <w:szCs w:val="32"/>
        </w:rPr>
        <w:t>2021年理论研究课题项目立项20项，2021年课题结项12项，但市委党校未能详细汇总每个课题是否按期结题，无法准确判断课题结题率，根据现场访谈，2021年立项的20项课题均未能完成结题。综合以上情况，扣1分。</w:t>
      </w:r>
    </w:p>
    <w:p>
      <w:pPr>
        <w:ind w:firstLine="640"/>
        <w:rPr>
          <w:rFonts w:ascii="仿宋_GB2312" w:hAnsi="仿宋_GB2312" w:cs="仿宋_GB2312"/>
          <w:szCs w:val="32"/>
        </w:rPr>
      </w:pPr>
      <w:r>
        <w:rPr>
          <w:rFonts w:hint="eastAsia" w:ascii="仿宋_GB2312" w:hAnsi="仿宋_GB2312" w:cs="仿宋_GB2312"/>
          <w:szCs w:val="32"/>
        </w:rPr>
        <w:t>（5）对下级党校指导情况。指标分值1分，得分1分，得分率100%。</w:t>
      </w:r>
    </w:p>
    <w:p>
      <w:pPr>
        <w:ind w:firstLine="643"/>
        <w:rPr>
          <w:rFonts w:ascii="仿宋_GB2312" w:hAnsi="仿宋_GB2312" w:cs="仿宋_GB2312"/>
          <w:szCs w:val="32"/>
        </w:rPr>
      </w:pPr>
      <w:r>
        <w:rPr>
          <w:rFonts w:hint="eastAsia" w:ascii="仿宋_GB2312" w:hAnsi="仿宋_GB2312" w:cs="仿宋_GB2312"/>
          <w:b/>
          <w:szCs w:val="32"/>
        </w:rPr>
        <w:t>一是</w:t>
      </w:r>
      <w:r>
        <w:rPr>
          <w:rFonts w:hint="eastAsia" w:ascii="仿宋_GB2312" w:hAnsi="仿宋_GB2312" w:cs="仿宋_GB2312"/>
          <w:szCs w:val="32"/>
        </w:rPr>
        <w:t>在指导办学方面，市委党校把各分校副科级班次纳入市委党校的主体班，在学制设置、教学内容、教学计划、师资调配、教学考评和培训经费等方面由市委党校统筹。</w:t>
      </w:r>
      <w:r>
        <w:rPr>
          <w:rFonts w:hint="eastAsia" w:ascii="仿宋_GB2312" w:hAnsi="仿宋_GB2312" w:cs="仿宋_GB2312"/>
          <w:b/>
          <w:szCs w:val="32"/>
        </w:rPr>
        <w:t>二是</w:t>
      </w:r>
      <w:r>
        <w:rPr>
          <w:rFonts w:hint="eastAsia" w:ascii="仿宋_GB2312" w:hAnsi="仿宋_GB2312" w:cs="仿宋_GB2312"/>
          <w:szCs w:val="32"/>
        </w:rPr>
        <w:t>在师资队伍建设方面，加大师资培训力度，除组织外出学习外，还组织全市性的专题集体备课，特别是对现场教学教师，实行集体备课、集中打磨、考评上岗。</w:t>
      </w:r>
      <w:r>
        <w:rPr>
          <w:rFonts w:hint="eastAsia" w:ascii="仿宋_GB2312" w:hAnsi="仿宋_GB2312" w:cs="仿宋_GB2312"/>
          <w:b/>
          <w:szCs w:val="32"/>
        </w:rPr>
        <w:t>三是</w:t>
      </w:r>
      <w:r>
        <w:rPr>
          <w:rFonts w:hint="eastAsia" w:ascii="仿宋_GB2312" w:hAnsi="仿宋_GB2312" w:cs="仿宋_GB2312"/>
          <w:szCs w:val="32"/>
        </w:rPr>
        <w:t>开展现场教学竞课，提升各级党校教学水平。</w:t>
      </w:r>
    </w:p>
    <w:p>
      <w:pPr>
        <w:ind w:firstLine="640"/>
        <w:rPr>
          <w:rFonts w:ascii="仿宋_GB2312" w:hAnsi="仿宋_GB2312" w:cs="仿宋_GB2312"/>
          <w:szCs w:val="32"/>
        </w:rPr>
      </w:pPr>
      <w:r>
        <w:rPr>
          <w:rFonts w:hint="eastAsia" w:ascii="仿宋_GB2312" w:hAnsi="仿宋_GB2312" w:cs="仿宋_GB2312"/>
          <w:szCs w:val="32"/>
        </w:rPr>
        <w:t>（6）安全和投诉发生情况。指标分值2分，得分2分，得分率100%。</w:t>
      </w:r>
    </w:p>
    <w:p>
      <w:pPr>
        <w:ind w:firstLine="640"/>
        <w:rPr>
          <w:rFonts w:ascii="仿宋_GB2312" w:hAnsi="仿宋_GB2312" w:cs="仿宋_GB2312"/>
          <w:szCs w:val="32"/>
        </w:rPr>
      </w:pPr>
      <w:r>
        <w:rPr>
          <w:rFonts w:hint="eastAsia" w:ascii="仿宋_GB2312" w:hAnsi="仿宋_GB2312" w:cs="仿宋_GB2312"/>
          <w:szCs w:val="32"/>
        </w:rPr>
        <w:t>根据现场访谈和问卷调查，部门2021年度在安全管理和服务方面未发生安全问题和投诉情况。</w:t>
      </w:r>
    </w:p>
    <w:p>
      <w:pPr>
        <w:ind w:firstLine="640"/>
        <w:rPr>
          <w:rFonts w:ascii="仿宋_GB2312" w:hAnsi="仿宋_GB2312" w:cs="仿宋_GB2312"/>
          <w:szCs w:val="32"/>
        </w:rPr>
      </w:pPr>
      <w:r>
        <w:rPr>
          <w:rFonts w:hint="eastAsia" w:ascii="仿宋_GB2312" w:hAnsi="仿宋_GB2312" w:cs="仿宋_GB2312"/>
          <w:szCs w:val="32"/>
        </w:rPr>
        <w:t>（7）红色主题教学开发效果。指标分值4分，得分2.5分，得分率62.5%。</w:t>
      </w:r>
    </w:p>
    <w:p>
      <w:pPr>
        <w:ind w:firstLine="640"/>
        <w:rPr>
          <w:rFonts w:ascii="仿宋_GB2312" w:hAnsi="仿宋_GB2312" w:cs="仿宋_GB2312"/>
          <w:szCs w:val="32"/>
        </w:rPr>
      </w:pPr>
      <w:r>
        <w:rPr>
          <w:rFonts w:hint="eastAsia" w:ascii="仿宋_GB2312" w:hAnsi="仿宋_GB2312" w:cs="仿宋_GB2312"/>
          <w:szCs w:val="32"/>
        </w:rPr>
        <w:t>市委党校依托韶关丰富的红色资源，开发6条精品教学路线，打造19个现场教学点，推出一批精品课程，总体上在红色主题教学方面取得了一定效果，但市委党校没有制定红色主题教育方案和计划，只是将红色主题教育贯穿在日常的教学、培训课程中，未能形成系统的方案和经验总结等成果，扣1.5分。</w:t>
      </w:r>
    </w:p>
    <w:p>
      <w:pPr>
        <w:ind w:firstLine="640"/>
        <w:rPr>
          <w:rFonts w:ascii="仿宋_GB2312" w:hAnsi="仿宋_GB2312" w:cs="仿宋_GB2312"/>
          <w:szCs w:val="32"/>
        </w:rPr>
      </w:pPr>
      <w:r>
        <w:rPr>
          <w:rFonts w:hint="eastAsia" w:ascii="仿宋_GB2312" w:hAnsi="仿宋_GB2312" w:cs="仿宋_GB2312"/>
          <w:szCs w:val="32"/>
        </w:rPr>
        <w:t>（8）重大决策咨询采纳情况。指标分值4分，得分4分，得分率100%。</w:t>
      </w:r>
    </w:p>
    <w:p>
      <w:pPr>
        <w:ind w:firstLine="640"/>
        <w:rPr>
          <w:rFonts w:ascii="仿宋_GB2312" w:hAnsi="仿宋_GB2312" w:cs="仿宋_GB2312"/>
          <w:szCs w:val="32"/>
        </w:rPr>
      </w:pPr>
      <w:r>
        <w:rPr>
          <w:rFonts w:hint="eastAsia" w:ascii="仿宋_GB2312" w:hAnsi="仿宋_GB2312" w:cs="仿宋_GB2312"/>
          <w:szCs w:val="32"/>
        </w:rPr>
        <w:t>2021年，在主体班调研成果中，市委党校第37期中青一班第五课题组调研成果、市委党校第14期中青二班第二课题组调研成果、市委党校第37期中青一班第四课题组调研成果等3篇成果被市委主要领导批示转办至有关部门研究，为市委、市政府决策提供参考意见，达到预期目标。</w:t>
      </w:r>
    </w:p>
    <w:p>
      <w:pPr>
        <w:pStyle w:val="5"/>
        <w:ind w:firstLine="640"/>
        <w:rPr>
          <w:rFonts w:ascii="仿宋_GB2312" w:hAnsi="仿宋_GB2312" w:cs="仿宋_GB2312"/>
          <w:szCs w:val="32"/>
        </w:rPr>
      </w:pPr>
      <w:r>
        <w:rPr>
          <w:rFonts w:hint="eastAsia" w:ascii="仿宋_GB2312" w:hAnsi="仿宋_GB2312" w:cs="仿宋_GB2312"/>
          <w:szCs w:val="32"/>
        </w:rPr>
        <w:t>10.公平性</w:t>
      </w:r>
    </w:p>
    <w:p>
      <w:pPr>
        <w:ind w:firstLine="640"/>
        <w:rPr>
          <w:rFonts w:ascii="仿宋_GB2312" w:hAnsi="仿宋_GB2312" w:cs="仿宋_GB2312"/>
          <w:szCs w:val="32"/>
        </w:rPr>
      </w:pPr>
      <w:r>
        <w:rPr>
          <w:rFonts w:hint="eastAsia" w:ascii="仿宋_GB2312" w:hAnsi="仿宋_GB2312" w:cs="仿宋_GB2312"/>
          <w:szCs w:val="32"/>
        </w:rPr>
        <w:t>（1）群众信访办理情况。指标分值2分，得分2分，得分率100%。</w:t>
      </w:r>
    </w:p>
    <w:p>
      <w:pPr>
        <w:ind w:firstLine="640"/>
        <w:rPr>
          <w:rFonts w:ascii="仿宋_GB2312" w:hAnsi="仿宋_GB2312" w:cs="仿宋_GB2312"/>
          <w:szCs w:val="32"/>
        </w:rPr>
      </w:pPr>
      <w:r>
        <w:rPr>
          <w:rFonts w:hint="eastAsia" w:ascii="仿宋_GB2312" w:hAnsi="仿宋_GB2312" w:cs="仿宋_GB2312"/>
          <w:szCs w:val="32"/>
        </w:rPr>
        <w:t>根据部门2021年群众信访意见办理台账，2021年部门没有来信来访件。</w:t>
      </w:r>
    </w:p>
    <w:p>
      <w:pPr>
        <w:ind w:firstLine="640"/>
        <w:rPr>
          <w:rFonts w:ascii="仿宋_GB2312" w:hAnsi="仿宋_GB2312" w:cs="仿宋_GB2312"/>
          <w:szCs w:val="32"/>
        </w:rPr>
      </w:pPr>
      <w:r>
        <w:rPr>
          <w:rFonts w:hint="eastAsia" w:ascii="仿宋_GB2312" w:hAnsi="仿宋_GB2312" w:cs="仿宋_GB2312"/>
          <w:szCs w:val="32"/>
        </w:rPr>
        <w:t>（2）公众或服务对象满意度。指标分值3分，得分3分。</w:t>
      </w:r>
    </w:p>
    <w:p>
      <w:pPr>
        <w:ind w:firstLine="640"/>
        <w:rPr>
          <w:rFonts w:ascii="仿宋_GB2312" w:hAnsi="仿宋_GB2312" w:cs="仿宋_GB2312"/>
          <w:szCs w:val="32"/>
        </w:rPr>
      </w:pPr>
      <w:r>
        <w:rPr>
          <w:rFonts w:hint="eastAsia" w:ascii="仿宋_GB2312" w:hAnsi="仿宋_GB2312" w:cs="仿宋_GB2312"/>
          <w:szCs w:val="32"/>
        </w:rPr>
        <w:t>2021年，部门未开展服务对象满意度调查，根据第三方对市委党校2021年部门整体绩效满意度问卷调查结果，2021年部门整体绩效平均满意度为98.29%，详细问卷调查情况见附件2。</w:t>
      </w:r>
    </w:p>
    <w:p>
      <w:pPr>
        <w:pStyle w:val="3"/>
        <w:ind w:firstLine="640"/>
      </w:pPr>
      <w:bookmarkStart w:id="23" w:name="_Toc27354"/>
      <w:r>
        <w:t>三、评价结论</w:t>
      </w:r>
      <w:bookmarkEnd w:id="23"/>
    </w:p>
    <w:p>
      <w:pPr>
        <w:ind w:firstLine="640"/>
        <w:rPr>
          <w:rFonts w:ascii="仿宋_GB2312" w:hAnsi="仿宋_GB2312" w:cs="仿宋_GB2312"/>
        </w:rPr>
      </w:pPr>
      <w:r>
        <w:rPr>
          <w:rFonts w:hint="eastAsia" w:ascii="仿宋_GB2312" w:hAnsi="仿宋_GB2312" w:cs="仿宋_GB2312"/>
        </w:rPr>
        <w:t>结合佐证资料审核、现场调研情况，根据部门整体支出绩效管理整体表现与职责履行效益情况，市委党校2021年度部门整体支出绩效评价综合评价得分为</w:t>
      </w:r>
      <w:r>
        <w:rPr>
          <w:rFonts w:hint="eastAsia" w:ascii="仿宋_GB2312" w:hAnsi="仿宋_GB2312" w:cs="仿宋_GB2312"/>
          <w:b/>
          <w:bCs/>
          <w:lang w:val="en-US" w:eastAsia="zh-CN"/>
        </w:rPr>
        <w:t>83.25</w:t>
      </w:r>
      <w:r>
        <w:rPr>
          <w:rFonts w:hint="eastAsia" w:ascii="仿宋_GB2312" w:hAnsi="仿宋_GB2312" w:cs="仿宋_GB2312"/>
        </w:rPr>
        <w:t>分，对应的绩效等级为“</w:t>
      </w:r>
      <w:r>
        <w:rPr>
          <w:rFonts w:hint="eastAsia" w:ascii="仿宋_GB2312" w:hAnsi="仿宋_GB2312" w:cs="仿宋_GB2312"/>
          <w:b/>
          <w:bCs/>
          <w:lang w:val="en-US" w:eastAsia="zh-CN"/>
        </w:rPr>
        <w:t>良</w:t>
      </w:r>
      <w:r>
        <w:rPr>
          <w:rFonts w:hint="eastAsia" w:ascii="仿宋_GB2312" w:hAnsi="仿宋_GB2312" w:cs="仿宋_GB2312"/>
        </w:rPr>
        <w:t>”。其中，预算编制情况、预算执行情况、预算使用效益三项一级指标得分率分别为</w:t>
      </w:r>
      <w:r>
        <w:rPr>
          <w:rFonts w:hint="eastAsia" w:ascii="仿宋_GB2312" w:hAnsi="仿宋_GB2312" w:cs="仿宋_GB2312"/>
          <w:lang w:val="en-US" w:eastAsia="zh-CN"/>
        </w:rPr>
        <w:t>70</w:t>
      </w:r>
      <w:r>
        <w:rPr>
          <w:rFonts w:hint="eastAsia" w:ascii="仿宋_GB2312" w:hAnsi="仿宋_GB2312" w:cs="仿宋_GB2312"/>
        </w:rPr>
        <w:t>%、80%、8</w:t>
      </w:r>
      <w:r>
        <w:rPr>
          <w:rFonts w:hint="eastAsia" w:ascii="仿宋_GB2312" w:hAnsi="仿宋_GB2312" w:cs="仿宋_GB2312"/>
          <w:lang w:val="en-US" w:eastAsia="zh-CN"/>
        </w:rPr>
        <w:t>9</w:t>
      </w:r>
      <w:r>
        <w:rPr>
          <w:rFonts w:hint="eastAsia" w:ascii="仿宋_GB2312" w:hAnsi="仿宋_GB2312" w:cs="仿宋_GB2312"/>
        </w:rPr>
        <w:t>.5%。各项指标综合评价得分情况详见表3-1。</w:t>
      </w:r>
    </w:p>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表3-1  评价情况总表</w:t>
      </w:r>
    </w:p>
    <w:tbl>
      <w:tblPr>
        <w:tblStyle w:val="24"/>
        <w:tblW w:w="82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1762"/>
        <w:gridCol w:w="1888"/>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blHeader/>
          <w:jc w:val="center"/>
        </w:trPr>
        <w:tc>
          <w:tcPr>
            <w:tcW w:w="2736" w:type="dxa"/>
            <w:shd w:val="clear" w:color="auto" w:fill="auto"/>
            <w:vAlign w:val="center"/>
          </w:tcPr>
          <w:p>
            <w:pPr>
              <w:pStyle w:val="40"/>
              <w:rPr>
                <w:b/>
              </w:rPr>
            </w:pPr>
            <w:r>
              <w:rPr>
                <w:b/>
              </w:rPr>
              <w:t>评价因素</w:t>
            </w:r>
          </w:p>
        </w:tc>
        <w:tc>
          <w:tcPr>
            <w:tcW w:w="1762" w:type="dxa"/>
            <w:shd w:val="clear" w:color="auto" w:fill="auto"/>
            <w:vAlign w:val="center"/>
          </w:tcPr>
          <w:p>
            <w:pPr>
              <w:pStyle w:val="40"/>
              <w:rPr>
                <w:b/>
              </w:rPr>
            </w:pPr>
            <w:r>
              <w:rPr>
                <w:b/>
              </w:rPr>
              <w:t>分值</w:t>
            </w:r>
          </w:p>
        </w:tc>
        <w:tc>
          <w:tcPr>
            <w:tcW w:w="1888" w:type="dxa"/>
            <w:shd w:val="clear" w:color="auto" w:fill="auto"/>
            <w:vAlign w:val="center"/>
          </w:tcPr>
          <w:p>
            <w:pPr>
              <w:pStyle w:val="40"/>
              <w:rPr>
                <w:b/>
              </w:rPr>
            </w:pPr>
            <w:r>
              <w:rPr>
                <w:b/>
              </w:rPr>
              <w:t>评价得分</w:t>
            </w:r>
          </w:p>
        </w:tc>
        <w:tc>
          <w:tcPr>
            <w:tcW w:w="1825" w:type="dxa"/>
            <w:shd w:val="clear" w:color="auto" w:fill="auto"/>
            <w:vAlign w:val="center"/>
          </w:tcPr>
          <w:p>
            <w:pPr>
              <w:pStyle w:val="40"/>
              <w:rPr>
                <w:b/>
              </w:rPr>
            </w:pPr>
            <w:r>
              <w:rPr>
                <w:b/>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36" w:type="dxa"/>
            <w:vAlign w:val="center"/>
          </w:tcPr>
          <w:p>
            <w:pPr>
              <w:pStyle w:val="40"/>
            </w:pPr>
            <w:r>
              <w:t>评价总得分</w:t>
            </w:r>
          </w:p>
        </w:tc>
        <w:tc>
          <w:tcPr>
            <w:tcW w:w="1762" w:type="dxa"/>
            <w:vAlign w:val="center"/>
          </w:tcPr>
          <w:p>
            <w:pPr>
              <w:pStyle w:val="40"/>
            </w:pPr>
            <w:r>
              <w:t>100.00</w:t>
            </w:r>
          </w:p>
        </w:tc>
        <w:tc>
          <w:tcPr>
            <w:tcW w:w="1888" w:type="dxa"/>
            <w:vAlign w:val="center"/>
          </w:tcPr>
          <w:p>
            <w:pPr>
              <w:pStyle w:val="40"/>
              <w:rPr>
                <w:rFonts w:hint="default" w:eastAsia="宋体"/>
                <w:lang w:val="en-US" w:eastAsia="zh-CN"/>
              </w:rPr>
            </w:pPr>
            <w:r>
              <w:rPr>
                <w:rFonts w:hint="eastAsia"/>
                <w:lang w:val="en-US" w:eastAsia="zh-CN"/>
              </w:rPr>
              <w:t>83.25</w:t>
            </w:r>
          </w:p>
        </w:tc>
        <w:tc>
          <w:tcPr>
            <w:tcW w:w="1825" w:type="dxa"/>
            <w:vAlign w:val="center"/>
          </w:tcPr>
          <w:p>
            <w:pPr>
              <w:pStyle w:val="40"/>
            </w:pPr>
            <w:r>
              <w:rPr>
                <w:rFonts w:hint="eastAsia"/>
                <w:lang w:val="en-US" w:eastAsia="zh-CN"/>
              </w:rPr>
              <w:t>83.25</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36" w:type="dxa"/>
            <w:vAlign w:val="center"/>
          </w:tcPr>
          <w:p>
            <w:pPr>
              <w:pStyle w:val="40"/>
            </w:pPr>
            <w:r>
              <w:t>一、预算编制情况</w:t>
            </w:r>
          </w:p>
        </w:tc>
        <w:tc>
          <w:tcPr>
            <w:tcW w:w="1762" w:type="dxa"/>
            <w:vAlign w:val="center"/>
          </w:tcPr>
          <w:p>
            <w:pPr>
              <w:pStyle w:val="40"/>
            </w:pPr>
            <w:r>
              <w:t>15</w:t>
            </w:r>
          </w:p>
        </w:tc>
        <w:tc>
          <w:tcPr>
            <w:tcW w:w="1888" w:type="dxa"/>
            <w:vAlign w:val="center"/>
          </w:tcPr>
          <w:p>
            <w:pPr>
              <w:pStyle w:val="40"/>
              <w:rPr>
                <w:rFonts w:hint="default" w:eastAsia="宋体"/>
                <w:lang w:val="en-US" w:eastAsia="zh-CN"/>
              </w:rPr>
            </w:pPr>
            <w:r>
              <w:rPr>
                <w:rFonts w:hint="eastAsia"/>
                <w:lang w:val="en-US" w:eastAsia="zh-CN"/>
              </w:rPr>
              <w:t>10.5</w:t>
            </w:r>
          </w:p>
        </w:tc>
        <w:tc>
          <w:tcPr>
            <w:tcW w:w="1825" w:type="dxa"/>
            <w:vAlign w:val="center"/>
          </w:tcPr>
          <w:p>
            <w:pPr>
              <w:pStyle w:val="40"/>
            </w:pPr>
            <w:r>
              <w:rPr>
                <w:rFonts w:hint="eastAsia"/>
                <w:lang w:val="en-US" w:eastAsia="zh-CN"/>
              </w:rPr>
              <w:t>70.00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36" w:type="dxa"/>
            <w:vAlign w:val="center"/>
          </w:tcPr>
          <w:p>
            <w:pPr>
              <w:pStyle w:val="40"/>
            </w:pPr>
            <w:r>
              <w:t>二、预算执行情况</w:t>
            </w:r>
          </w:p>
        </w:tc>
        <w:tc>
          <w:tcPr>
            <w:tcW w:w="1762" w:type="dxa"/>
            <w:vAlign w:val="center"/>
          </w:tcPr>
          <w:p>
            <w:pPr>
              <w:pStyle w:val="40"/>
            </w:pPr>
            <w:r>
              <w:t>35</w:t>
            </w:r>
          </w:p>
        </w:tc>
        <w:tc>
          <w:tcPr>
            <w:tcW w:w="1888" w:type="dxa"/>
            <w:vAlign w:val="center"/>
          </w:tcPr>
          <w:p>
            <w:pPr>
              <w:pStyle w:val="40"/>
            </w:pPr>
            <w:r>
              <w:t>28</w:t>
            </w:r>
          </w:p>
        </w:tc>
        <w:tc>
          <w:tcPr>
            <w:tcW w:w="1825" w:type="dxa"/>
            <w:vAlign w:val="center"/>
          </w:tcPr>
          <w:p>
            <w:pPr>
              <w:pStyle w:val="40"/>
            </w:pPr>
            <w:r>
              <w:t>8</w:t>
            </w:r>
            <w:r>
              <w:rPr>
                <w:rFonts w:hint="eastAsia"/>
              </w:rPr>
              <w:t>0.00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36" w:type="dxa"/>
            <w:vAlign w:val="center"/>
          </w:tcPr>
          <w:p>
            <w:pPr>
              <w:pStyle w:val="40"/>
            </w:pPr>
            <w:r>
              <w:t>三、预算使用效益</w:t>
            </w:r>
          </w:p>
        </w:tc>
        <w:tc>
          <w:tcPr>
            <w:tcW w:w="1762" w:type="dxa"/>
            <w:vAlign w:val="center"/>
          </w:tcPr>
          <w:p>
            <w:pPr>
              <w:pStyle w:val="40"/>
            </w:pPr>
            <w:r>
              <w:t>50</w:t>
            </w:r>
          </w:p>
        </w:tc>
        <w:tc>
          <w:tcPr>
            <w:tcW w:w="1888" w:type="dxa"/>
            <w:vAlign w:val="center"/>
          </w:tcPr>
          <w:p>
            <w:pPr>
              <w:pStyle w:val="40"/>
            </w:pPr>
            <w:r>
              <w:t>4</w:t>
            </w:r>
            <w:r>
              <w:rPr>
                <w:rFonts w:hint="eastAsia"/>
                <w:lang w:val="en-US" w:eastAsia="zh-CN"/>
              </w:rPr>
              <w:t>4</w:t>
            </w:r>
            <w:r>
              <w:t>.</w:t>
            </w:r>
            <w:r>
              <w:rPr>
                <w:rFonts w:hint="eastAsia"/>
              </w:rPr>
              <w:t>7</w:t>
            </w:r>
            <w:r>
              <w:t>5</w:t>
            </w:r>
          </w:p>
        </w:tc>
        <w:tc>
          <w:tcPr>
            <w:tcW w:w="1825" w:type="dxa"/>
            <w:vAlign w:val="center"/>
          </w:tcPr>
          <w:p>
            <w:pPr>
              <w:pStyle w:val="40"/>
            </w:pPr>
            <w:r>
              <w:rPr>
                <w:rFonts w:hint="eastAsia"/>
              </w:rPr>
              <w:t>8</w:t>
            </w:r>
            <w:r>
              <w:rPr>
                <w:rFonts w:hint="eastAsia"/>
                <w:lang w:val="en-US" w:eastAsia="zh-CN"/>
              </w:rPr>
              <w:t>9</w:t>
            </w:r>
            <w:r>
              <w:t>.5</w:t>
            </w:r>
            <w:r>
              <w:rPr>
                <w:rFonts w:hint="eastAsia"/>
              </w:rPr>
              <w:t>0</w:t>
            </w:r>
            <w:r>
              <w:t>%</w:t>
            </w:r>
          </w:p>
        </w:tc>
      </w:tr>
    </w:tbl>
    <w:p>
      <w:pPr>
        <w:pStyle w:val="3"/>
        <w:ind w:firstLine="640"/>
      </w:pPr>
      <w:bookmarkStart w:id="24" w:name="_Toc12361"/>
      <w:r>
        <w:t>四、主要绩效</w:t>
      </w:r>
      <w:bookmarkEnd w:id="24"/>
    </w:p>
    <w:p>
      <w:pPr>
        <w:pStyle w:val="4"/>
        <w:ind w:firstLine="640"/>
        <w:rPr>
          <w:rFonts w:cs="Times New Roman"/>
        </w:rPr>
      </w:pPr>
      <w:bookmarkStart w:id="25" w:name="_Toc23334"/>
      <w:r>
        <w:rPr>
          <w:rFonts w:cs="Times New Roman"/>
        </w:rPr>
        <w:t>（一）持续做好教学培训主线业务，加强政策理论宣讲。</w:t>
      </w:r>
      <w:bookmarkEnd w:id="25"/>
    </w:p>
    <w:p>
      <w:pPr>
        <w:ind w:firstLine="643"/>
        <w:rPr>
          <w:rFonts w:ascii="仿宋_GB2312" w:hAnsi="仿宋_GB2312" w:cs="仿宋_GB2312"/>
        </w:rPr>
      </w:pPr>
      <w:r>
        <w:rPr>
          <w:rFonts w:hint="eastAsia" w:ascii="仿宋_GB2312" w:hAnsi="仿宋_GB2312" w:cs="仿宋_GB2312"/>
          <w:b/>
        </w:rPr>
        <w:t>一是</w:t>
      </w:r>
      <w:r>
        <w:rPr>
          <w:rFonts w:hint="eastAsia" w:ascii="仿宋_GB2312" w:hAnsi="仿宋_GB2312" w:cs="仿宋_GB2312"/>
        </w:rPr>
        <w:t>做好各类培训班教学任务</w:t>
      </w:r>
      <w:r>
        <w:rPr>
          <w:rFonts w:hint="eastAsia" w:ascii="仿宋_GB2312" w:hAnsi="仿宋_GB2312" w:cs="仿宋_GB2312"/>
          <w:kern w:val="32"/>
        </w:rPr>
        <w:t>。</w:t>
      </w:r>
      <w:r>
        <w:rPr>
          <w:rFonts w:hint="eastAsia" w:ascii="仿宋_GB2312" w:hAnsi="仿宋_GB2312" w:cs="仿宋_GB2312"/>
        </w:rPr>
        <w:t>2021年市委党校累计举办各类培训班办班289个，培训学员21,672人，其中，市内主体班31期，培训学员7,245人，培训学员结业率100%，广东南岭干部学院揭牌以来，先后有656名副厅级以上领导干部及院士前来参观调研或学习培训，学院知名度和影响力持续提升。</w:t>
      </w:r>
      <w:r>
        <w:rPr>
          <w:rFonts w:hint="eastAsia" w:ascii="仿宋_GB2312" w:hAnsi="仿宋_GB2312" w:cs="仿宋_GB2312"/>
          <w:b/>
        </w:rPr>
        <w:t>二是</w:t>
      </w:r>
      <w:r>
        <w:rPr>
          <w:rFonts w:hint="eastAsia" w:ascii="仿宋_GB2312" w:hAnsi="仿宋_GB2312" w:cs="仿宋_GB2312"/>
        </w:rPr>
        <w:t>做好政策理论宣讲，市委党校派出校领导及教师深入基层宣讲党的十九届五中、六中全会精神、《〈习近平谈治国理政〉第三卷》、《习近平总书记在庆祝中国共产党成立100周年大会上的重要讲话精神》等理论宣讲任务，完成各类重大主题宣讲近360场次，提高各级领导干部理论素养。</w:t>
      </w:r>
    </w:p>
    <w:p>
      <w:pPr>
        <w:pStyle w:val="4"/>
        <w:ind w:firstLine="640"/>
        <w:rPr>
          <w:rFonts w:cs="Times New Roman"/>
        </w:rPr>
      </w:pPr>
      <w:bookmarkStart w:id="26" w:name="_Toc8064"/>
      <w:r>
        <w:rPr>
          <w:rFonts w:cs="Times New Roman"/>
        </w:rPr>
        <w:t>（二）抓好党的理论和党性教育，打造精品线路和课程。</w:t>
      </w:r>
      <w:bookmarkEnd w:id="26"/>
    </w:p>
    <w:p>
      <w:pPr>
        <w:ind w:firstLine="643"/>
        <w:rPr>
          <w:rFonts w:ascii="仿宋_GB2312" w:hAnsi="仿宋_GB2312" w:cs="仿宋_GB2312"/>
        </w:rPr>
      </w:pPr>
      <w:r>
        <w:rPr>
          <w:rFonts w:hint="eastAsia" w:ascii="仿宋_GB2312" w:hAnsi="仿宋_GB2312" w:cs="仿宋_GB2312"/>
          <w:b/>
        </w:rPr>
        <w:t>一是</w:t>
      </w:r>
      <w:r>
        <w:rPr>
          <w:rFonts w:hint="eastAsia" w:ascii="仿宋_GB2312" w:hAnsi="仿宋_GB2312" w:cs="仿宋_GB2312"/>
        </w:rPr>
        <w:t>抓好党的理论和党性教育，将习近平新时代中国特色社会主义思想和党性教育纳入主体班必修课，开设“百年辉煌——中国共产党的光辉历程”教学单元，以党史为重点的“四史”教育课程纳入必修课，推出《推进自我革命锻造百年大党》等系列课程；</w:t>
      </w:r>
      <w:r>
        <w:rPr>
          <w:rFonts w:hint="eastAsia" w:ascii="仿宋_GB2312" w:hAnsi="仿宋_GB2312" w:cs="仿宋_GB2312"/>
          <w:b/>
        </w:rPr>
        <w:t>二是</w:t>
      </w:r>
      <w:r>
        <w:rPr>
          <w:rFonts w:hint="eastAsia" w:ascii="仿宋_GB2312" w:hAnsi="仿宋_GB2312" w:cs="仿宋_GB2312"/>
        </w:rPr>
        <w:t>打造教学精品线路和课程，深入挖掘红色教育资源，开发“长征精神与粤北突围”等6条精品教学路线，打造红军长征粤北纪念馆等近20多个现场教学点，打磨提升《粤北革命史》等一系列精品课程，红色特色课程体系不断完善。</w:t>
      </w:r>
    </w:p>
    <w:p>
      <w:pPr>
        <w:pStyle w:val="4"/>
        <w:ind w:firstLine="640"/>
        <w:rPr>
          <w:rFonts w:cs="Times New Roman"/>
        </w:rPr>
      </w:pPr>
      <w:bookmarkStart w:id="27" w:name="_Toc22030"/>
      <w:r>
        <w:rPr>
          <w:rFonts w:cs="Times New Roman"/>
        </w:rPr>
        <w:t>（三）提高科研资政质量，为党委政府决策提供参考。</w:t>
      </w:r>
      <w:bookmarkEnd w:id="27"/>
    </w:p>
    <w:p>
      <w:pPr>
        <w:ind w:firstLine="640"/>
        <w:jc w:val="left"/>
        <w:rPr>
          <w:rFonts w:ascii="仿宋_GB2312" w:hAnsi="仿宋_GB2312" w:cs="仿宋_GB2312"/>
        </w:rPr>
      </w:pPr>
      <w:r>
        <w:rPr>
          <w:rFonts w:hint="eastAsia" w:ascii="仿宋_GB2312" w:hAnsi="仿宋_GB2312" w:cs="仿宋_GB2312"/>
        </w:rPr>
        <w:t>市委党校高质量举办第五届长三角-珠三角党校智库合作联盟论坛，</w:t>
      </w:r>
      <w:r>
        <w:rPr>
          <w:rFonts w:hint="eastAsia" w:ascii="仿宋_GB2312" w:hAnsi="仿宋_GB2312" w:cs="仿宋_GB2312"/>
          <w:szCs w:val="32"/>
        </w:rPr>
        <w:t>邀请中央、省党校和知名高等院校等院校专家学者，围绕贯彻新发展理念、构建新发展格局核心问题，立足地方实践展开交流探讨，</w:t>
      </w:r>
      <w:r>
        <w:rPr>
          <w:rFonts w:hint="eastAsia" w:ascii="仿宋_GB2312" w:hAnsi="仿宋_GB2312" w:cs="仿宋_GB2312"/>
        </w:rPr>
        <w:t>形成了83篇咨政论文。2021年主体班培训中，中青一班专题调研报告共5篇，其中3篇调研报告获市委主要领导批示。积极开展课题研究，2021年课题结项12项，课题立项20项，教师在各类刊物上公开发表论文共计48篇，科研成果获奖1项，入选理论研讨会论文35篇，科研咨政能力进一步提升。</w:t>
      </w:r>
    </w:p>
    <w:p>
      <w:pPr>
        <w:pStyle w:val="3"/>
        <w:ind w:firstLine="640"/>
      </w:pPr>
      <w:bookmarkStart w:id="28" w:name="_Toc28740"/>
      <w:r>
        <w:t>五、存在问题</w:t>
      </w:r>
      <w:bookmarkEnd w:id="28"/>
    </w:p>
    <w:p>
      <w:pPr>
        <w:pStyle w:val="4"/>
        <w:ind w:firstLine="640"/>
        <w:rPr>
          <w:rFonts w:cs="Times New Roman"/>
        </w:rPr>
      </w:pPr>
      <w:bookmarkStart w:id="29" w:name="_Toc19951"/>
      <w:r>
        <w:rPr>
          <w:rFonts w:cs="Times New Roman"/>
        </w:rPr>
        <w:t>（</w:t>
      </w:r>
      <w:r>
        <w:rPr>
          <w:rFonts w:hint="eastAsia" w:cs="Times New Roman"/>
        </w:rPr>
        <w:t>一</w:t>
      </w:r>
      <w:r>
        <w:rPr>
          <w:rFonts w:cs="Times New Roman"/>
        </w:rPr>
        <w:t>）</w:t>
      </w:r>
      <w:r>
        <w:rPr>
          <w:rFonts w:hint="eastAsia" w:cs="Times New Roman"/>
          <w:lang w:val="en-US" w:eastAsia="zh-CN"/>
        </w:rPr>
        <w:t>财务管理不够规范，</w:t>
      </w:r>
      <w:r>
        <w:rPr>
          <w:rFonts w:cs="Times New Roman"/>
        </w:rPr>
        <w:t>资产管理规范性</w:t>
      </w:r>
      <w:r>
        <w:rPr>
          <w:rFonts w:hint="eastAsia" w:cs="Times New Roman"/>
          <w:lang w:val="en-US" w:eastAsia="zh-CN"/>
        </w:rPr>
        <w:t>有待提升</w:t>
      </w:r>
      <w:r>
        <w:rPr>
          <w:rFonts w:cs="Times New Roman"/>
        </w:rPr>
        <w:t>。</w:t>
      </w:r>
      <w:bookmarkEnd w:id="29"/>
    </w:p>
    <w:p>
      <w:pPr>
        <w:ind w:firstLine="643"/>
        <w:rPr>
          <w:rFonts w:ascii="仿宋_GB2312" w:hAnsi="仿宋_GB2312" w:cs="仿宋_GB2312"/>
        </w:rPr>
      </w:pPr>
      <w:r>
        <w:rPr>
          <w:rFonts w:hint="eastAsia" w:ascii="仿宋_GB2312" w:hAnsi="仿宋_GB2312" w:cs="仿宋_GB2312"/>
          <w:b/>
          <w:lang w:val="en-US" w:eastAsia="zh-CN"/>
        </w:rPr>
        <w:t>一</w:t>
      </w:r>
      <w:r>
        <w:rPr>
          <w:rFonts w:hint="eastAsia" w:ascii="仿宋_GB2312" w:hAnsi="仿宋_GB2312" w:cs="仿宋_GB2312"/>
          <w:b/>
        </w:rPr>
        <w:t>是</w:t>
      </w:r>
      <w:r>
        <w:rPr>
          <w:rFonts w:hint="eastAsia" w:ascii="仿宋_GB2312" w:hAnsi="仿宋_GB2312" w:cs="仿宋_GB2312"/>
        </w:rPr>
        <w:t>财务管理不够规范。第一，项目支出同一张凭证包含支出内容较多，如记账-4-0002号凭证内包含付党校洗碗机2月份租金、付党校五金材料费、付党校九楼多功能实训室第二期工程款、付广东南岭干部学院支付岭南酒店10-12月物业管理费、付党校3月份洗碗机租金共计5项支出，将各项租金、材料费、工程款混淆记录在同一张凭证中，不利于业务分类，也不利于凭证核查；第二，部分凭证附件不够齐全。如记账04-0013凭证付党校2021年第一期韶州论坛作者稿费编审费3中，缺少聘用编审合同、编审工作量记录、人员签名等佐证材料。</w:t>
      </w:r>
    </w:p>
    <w:p>
      <w:pPr>
        <w:ind w:firstLine="643"/>
        <w:rPr>
          <w:rFonts w:ascii="仿宋_GB2312" w:hAnsi="仿宋_GB2312" w:cs="仿宋_GB2312"/>
        </w:rPr>
      </w:pPr>
      <w:r>
        <w:rPr>
          <w:rFonts w:hint="eastAsia" w:ascii="仿宋_GB2312" w:hAnsi="仿宋_GB2312" w:cs="仿宋_GB2312"/>
          <w:b/>
          <w:lang w:val="en-US" w:eastAsia="zh-CN"/>
        </w:rPr>
        <w:t>二</w:t>
      </w:r>
      <w:r>
        <w:rPr>
          <w:rFonts w:hint="eastAsia" w:ascii="仿宋_GB2312" w:hAnsi="仿宋_GB2312" w:cs="仿宋_GB2312"/>
          <w:b/>
        </w:rPr>
        <w:t>是</w:t>
      </w:r>
      <w:r>
        <w:rPr>
          <w:rFonts w:hint="eastAsia" w:ascii="仿宋_GB2312" w:hAnsi="仿宋_GB2312" w:cs="仿宋_GB2312"/>
        </w:rPr>
        <w:t>固定资产管理</w:t>
      </w:r>
      <w:r>
        <w:rPr>
          <w:rFonts w:hint="eastAsia" w:ascii="仿宋_GB2312" w:hAnsi="仿宋_GB2312" w:cs="仿宋_GB2312"/>
          <w:lang w:val="en-US" w:eastAsia="zh-CN"/>
        </w:rPr>
        <w:t>规范性有待提升</w:t>
      </w:r>
      <w:r>
        <w:rPr>
          <w:rFonts w:hint="eastAsia" w:ascii="仿宋_GB2312" w:hAnsi="仿宋_GB2312" w:cs="仿宋_GB2312"/>
        </w:rPr>
        <w:t>。</w:t>
      </w:r>
      <w:r>
        <w:rPr>
          <w:rFonts w:hint="eastAsia" w:ascii="仿宋_GB2312" w:hAnsi="仿宋_GB2312" w:cs="仿宋_GB2312"/>
          <w:kern w:val="0"/>
        </w:rPr>
        <w:t>现场抽查情况了解到</w:t>
      </w:r>
      <w:r>
        <w:rPr>
          <w:rFonts w:hint="eastAsia" w:ascii="仿宋_GB2312" w:hAnsi="仿宋_GB2312" w:cs="仿宋_GB2312"/>
        </w:rPr>
        <w:t>部分固定资产如打印一体机未粘贴标签，考试机房设备、门楼等资产处置审批表缺少审核，少量办公电脑等固定资产处于待处置状态，</w:t>
      </w:r>
      <w:r>
        <w:rPr>
          <w:rFonts w:hint="eastAsia" w:ascii="仿宋_GB2312" w:hAnsi="仿宋_GB2312" w:cs="仿宋_GB2312"/>
          <w:kern w:val="0"/>
        </w:rPr>
        <w:t>少量固定资产留存于仓库处于报废状态，但依然在账面记录，</w:t>
      </w:r>
      <w:r>
        <w:rPr>
          <w:rFonts w:hint="eastAsia" w:ascii="仿宋_GB2312" w:hAnsi="仿宋_GB2312" w:cs="仿宋_GB2312"/>
        </w:rPr>
        <w:t>资产管理规范性和安全性有待提升。</w:t>
      </w:r>
    </w:p>
    <w:p>
      <w:pPr>
        <w:pStyle w:val="4"/>
        <w:ind w:firstLine="640"/>
        <w:rPr>
          <w:rFonts w:cs="Times New Roman"/>
        </w:rPr>
      </w:pPr>
      <w:bookmarkStart w:id="30" w:name="_Toc15925"/>
      <w:r>
        <w:rPr>
          <w:rFonts w:cs="Times New Roman"/>
        </w:rPr>
        <w:t>（二）项目实施程序不够规范，后勤服务监督制度未能落实。</w:t>
      </w:r>
      <w:bookmarkEnd w:id="30"/>
    </w:p>
    <w:p>
      <w:pPr>
        <w:ind w:firstLine="643"/>
        <w:rPr>
          <w:rFonts w:ascii="仿宋_GB2312" w:hAnsi="仿宋_GB2312" w:cs="仿宋_GB2312"/>
          <w:color w:val="000000"/>
          <w:szCs w:val="32"/>
          <w:lang w:bidi="ar"/>
        </w:rPr>
      </w:pPr>
      <w:r>
        <w:rPr>
          <w:rFonts w:hint="eastAsia" w:ascii="仿宋_GB2312" w:hAnsi="仿宋_GB2312" w:cs="仿宋_GB2312"/>
          <w:b/>
          <w:bCs/>
          <w:color w:val="000000"/>
          <w:szCs w:val="32"/>
          <w:lang w:bidi="ar"/>
        </w:rPr>
        <w:t>一是</w:t>
      </w:r>
      <w:r>
        <w:rPr>
          <w:rFonts w:hint="eastAsia" w:ascii="仿宋_GB2312" w:hAnsi="仿宋_GB2312" w:cs="仿宋_GB2312"/>
          <w:color w:val="000000"/>
          <w:szCs w:val="32"/>
          <w:lang w:bidi="ar"/>
        </w:rPr>
        <w:t>项目实施程序不够规范。</w:t>
      </w:r>
      <w:r>
        <w:rPr>
          <w:rFonts w:hint="eastAsia" w:ascii="仿宋_GB2312" w:hAnsi="仿宋_GB2312" w:cs="仿宋_GB2312"/>
          <w:szCs w:val="32"/>
        </w:rPr>
        <w:t>部门2021年教学成本支出项目中，部门提交的党校食堂食材配送服务项目招投标及合同材料为2022-2023年度协议，2021年度食堂食材采购合同只有框架内容，没有具体金额，食材采购项目缺少必要的供应商选定程序材料；</w:t>
      </w:r>
      <w:r>
        <w:rPr>
          <w:rFonts w:hint="eastAsia" w:ascii="仿宋_GB2312" w:hAnsi="仿宋_GB2312" w:cs="仿宋_GB2312"/>
          <w:b/>
          <w:bCs/>
          <w:color w:val="000000"/>
          <w:szCs w:val="32"/>
          <w:lang w:bidi="ar"/>
        </w:rPr>
        <w:t>二是</w:t>
      </w:r>
      <w:r>
        <w:rPr>
          <w:rFonts w:hint="eastAsia" w:ascii="仿宋_GB2312" w:hAnsi="仿宋_GB2312" w:cs="仿宋_GB2312"/>
          <w:color w:val="000000"/>
          <w:szCs w:val="32"/>
          <w:lang w:bidi="ar"/>
        </w:rPr>
        <w:t>后勤服务监督制度未能得到落实。</w:t>
      </w:r>
      <w:r>
        <w:rPr>
          <w:rFonts w:hint="eastAsia" w:ascii="仿宋_GB2312" w:hAnsi="仿宋_GB2312" w:cs="仿宋_GB2312"/>
          <w:szCs w:val="32"/>
        </w:rPr>
        <w:t>2021年市委党校的校园物业管理、餐饮服务和宿舍管理、消防和校园绿化等学校后勤工作通过公开招标委托给广州岭南国际酒店管理有限公司负责，合同中约定需对广州岭南国际酒店管理有限公司开展年度整体服务质量测评，但市委党校未能对后勤服务单位进行质量测评，后勤服务监督机制执行不到位。</w:t>
      </w:r>
    </w:p>
    <w:p>
      <w:pPr>
        <w:pStyle w:val="4"/>
        <w:ind w:firstLine="640"/>
        <w:rPr>
          <w:rFonts w:cs="Times New Roman"/>
        </w:rPr>
      </w:pPr>
      <w:bookmarkStart w:id="31" w:name="_Toc26368"/>
      <w:r>
        <w:rPr>
          <w:rFonts w:cs="Times New Roman"/>
        </w:rPr>
        <w:t>（</w:t>
      </w:r>
      <w:r>
        <w:rPr>
          <w:rFonts w:hint="eastAsia" w:cs="Times New Roman"/>
        </w:rPr>
        <w:t>三</w:t>
      </w:r>
      <w:r>
        <w:rPr>
          <w:rFonts w:cs="Times New Roman"/>
        </w:rPr>
        <w:t>）绩效目标和指标设置不够科学，绩效管理意识有待提升。</w:t>
      </w:r>
      <w:bookmarkEnd w:id="31"/>
    </w:p>
    <w:p>
      <w:pPr>
        <w:ind w:firstLine="643"/>
        <w:rPr>
          <w:rFonts w:ascii="仿宋_GB2312" w:hAnsi="仿宋_GB2312" w:cs="仿宋_GB2312"/>
        </w:rPr>
      </w:pPr>
      <w:r>
        <w:rPr>
          <w:rFonts w:hint="eastAsia" w:ascii="仿宋_GB2312" w:hAnsi="仿宋_GB2312" w:cs="仿宋_GB2312"/>
          <w:b/>
          <w:bCs/>
        </w:rPr>
        <w:t>一是</w:t>
      </w:r>
      <w:r>
        <w:rPr>
          <w:rFonts w:hint="eastAsia" w:ascii="仿宋_GB2312" w:hAnsi="仿宋_GB2312" w:cs="仿宋_GB2312"/>
        </w:rPr>
        <w:t>绩效目标设置不够科学，部分目标完成度不高。如设置的“利用韶关丰富的红色教育资源，打造全国地级党校”“一流红色学府”等绩效目标未能体现具体工作任务，也未能体现总体产出和效果等内容，不符合绩效目标要求，再如设置的“深化大学习、深调研、真落实工作，深入基层一线扎实开展调研，增强工作针对性、可操作性”绩效目标实际未开展相关工作，绩效目标未能完成；</w:t>
      </w:r>
      <w:r>
        <w:rPr>
          <w:rFonts w:hint="eastAsia" w:ascii="仿宋_GB2312" w:hAnsi="仿宋_GB2312" w:cs="仿宋_GB2312"/>
          <w:b/>
          <w:bCs/>
        </w:rPr>
        <w:t>二是</w:t>
      </w:r>
      <w:r>
        <w:rPr>
          <w:rFonts w:hint="eastAsia" w:ascii="仿宋_GB2312" w:hAnsi="仿宋_GB2312" w:cs="仿宋_GB2312"/>
        </w:rPr>
        <w:t>绩效指标不够全面、合理。如产出效益指标未能占部门预算较多且与部门重点工作关系密切的“2021年教学成本支出”项目，也未能覆盖年初设置的全部绩效目标，部分效益指标如“学员思想更新率100%”缺少数据佐证，无法衡量完成情况。</w:t>
      </w:r>
    </w:p>
    <w:p>
      <w:pPr>
        <w:pStyle w:val="4"/>
        <w:ind w:firstLine="640"/>
        <w:rPr>
          <w:rFonts w:cs="Times New Roman"/>
        </w:rPr>
      </w:pPr>
      <w:bookmarkStart w:id="32" w:name="_Toc32633"/>
      <w:r>
        <w:rPr>
          <w:rFonts w:cs="Times New Roman"/>
        </w:rPr>
        <w:t>（</w:t>
      </w:r>
      <w:r>
        <w:rPr>
          <w:rFonts w:hint="eastAsia" w:cs="Times New Roman"/>
        </w:rPr>
        <w:t>四</w:t>
      </w:r>
      <w:r>
        <w:rPr>
          <w:rFonts w:cs="Times New Roman"/>
        </w:rPr>
        <w:t>）领导干部讲课占比较低，质量评估未能形成完善体系。</w:t>
      </w:r>
      <w:bookmarkEnd w:id="32"/>
    </w:p>
    <w:p>
      <w:pPr>
        <w:pStyle w:val="8"/>
        <w:ind w:firstLine="640"/>
        <w:rPr>
          <w:rFonts w:ascii="仿宋_GB2312" w:hAnsi="仿宋_GB2312" w:cs="仿宋_GB2312"/>
        </w:rPr>
      </w:pPr>
      <w:r>
        <w:rPr>
          <w:rFonts w:hint="eastAsia" w:ascii="仿宋_GB2312" w:hAnsi="仿宋_GB2312" w:cs="仿宋_GB2312"/>
          <w:b/>
          <w:bCs/>
        </w:rPr>
        <w:t>一是</w:t>
      </w:r>
      <w:r>
        <w:rPr>
          <w:rFonts w:hint="eastAsia" w:ascii="仿宋_GB2312" w:hAnsi="仿宋_GB2312" w:cs="仿宋_GB2312"/>
        </w:rPr>
        <w:t>领导干部讲课占主体班课时比例较低。《中国共产党党校（行政学院）工作条例》要求每年领导干部讲课总课时占各级党校（行政学院）主体班次总课时的比例不低于20%，根据韶关市委党校2021年各主体班教学计划，只有县处班、中青班、科级班安排了领导干部讲课，占总课时比例不到10%，未达</w:t>
      </w:r>
      <w:r>
        <w:rPr>
          <w:rFonts w:hint="eastAsia" w:ascii="仿宋_GB2312" w:hAnsi="仿宋_GB2312" w:cs="仿宋_GB2312"/>
          <w:lang w:eastAsia="zh-CN"/>
        </w:rPr>
        <w:t>到</w:t>
      </w:r>
      <w:r>
        <w:rPr>
          <w:rFonts w:hint="eastAsia" w:ascii="仿宋_GB2312" w:hAnsi="仿宋_GB2312" w:cs="仿宋_GB2312"/>
        </w:rPr>
        <w:t>《中国共产党党校（行政学院）工作条例》</w:t>
      </w:r>
      <w:r>
        <w:rPr>
          <w:rFonts w:hint="eastAsia" w:ascii="仿宋_GB2312" w:hAnsi="仿宋_GB2312" w:cs="仿宋_GB2312"/>
          <w:lang w:eastAsia="zh-CN"/>
        </w:rPr>
        <w:t>“</w:t>
      </w:r>
      <w:r>
        <w:rPr>
          <w:rFonts w:hint="eastAsia" w:ascii="仿宋_GB2312" w:hAnsi="仿宋_GB2312" w:cs="仿宋_GB2312"/>
        </w:rPr>
        <w:t>要求每年领导干部讲课总课时占各级党校（行政学院）主体班次总课时的比例不低于20%</w:t>
      </w:r>
      <w:r>
        <w:rPr>
          <w:rFonts w:hint="eastAsia" w:ascii="仿宋_GB2312" w:hAnsi="仿宋_GB2312" w:cs="仿宋_GB2312"/>
          <w:lang w:eastAsia="zh-CN"/>
        </w:rPr>
        <w:t>”的要求</w:t>
      </w:r>
      <w:r>
        <w:rPr>
          <w:rFonts w:hint="eastAsia" w:ascii="仿宋_GB2312" w:hAnsi="仿宋_GB2312" w:cs="仿宋_GB2312"/>
        </w:rPr>
        <w:t>；</w:t>
      </w:r>
      <w:r>
        <w:rPr>
          <w:rFonts w:hint="eastAsia" w:ascii="仿宋_GB2312" w:hAnsi="仿宋_GB2312" w:cs="仿宋_GB2312"/>
          <w:b/>
          <w:bCs/>
        </w:rPr>
        <w:t>二是</w:t>
      </w:r>
      <w:r>
        <w:rPr>
          <w:rFonts w:hint="eastAsia" w:ascii="仿宋_GB2312" w:hAnsi="仿宋_GB2312" w:cs="仿宋_GB2312"/>
        </w:rPr>
        <w:t>教学质量评估未能形成完善体系。市委党校对教学质量评估主要依据《教学质量评估和奖励办法》，但办法未能进一步细化</w:t>
      </w:r>
      <w:r>
        <w:rPr>
          <w:rFonts w:hint="eastAsia" w:ascii="仿宋_GB2312" w:hAnsi="仿宋_GB2312" w:cs="仿宋_GB2312"/>
          <w:szCs w:val="32"/>
        </w:rPr>
        <w:t>学员评估、专家督导考评和教研室考评的评价指标和评分标准，且2021年度缺少教研室考评结果，教学质量评估质量不高。</w:t>
      </w:r>
    </w:p>
    <w:p>
      <w:pPr>
        <w:pStyle w:val="3"/>
        <w:ind w:firstLine="640"/>
      </w:pPr>
      <w:bookmarkStart w:id="33" w:name="_Toc15981"/>
      <w:bookmarkStart w:id="34" w:name="_Toc89957743"/>
      <w:r>
        <w:t>六、相关建议</w:t>
      </w:r>
      <w:bookmarkEnd w:id="33"/>
      <w:bookmarkEnd w:id="34"/>
    </w:p>
    <w:p>
      <w:pPr>
        <w:pStyle w:val="4"/>
        <w:ind w:firstLine="640"/>
        <w:rPr>
          <w:rFonts w:cs="Times New Roman"/>
        </w:rPr>
      </w:pPr>
      <w:bookmarkStart w:id="35" w:name="_Toc26024"/>
      <w:r>
        <w:rPr>
          <w:rFonts w:cs="Times New Roman"/>
        </w:rPr>
        <w:t>（</w:t>
      </w:r>
      <w:r>
        <w:rPr>
          <w:rFonts w:hint="eastAsia" w:cs="Times New Roman"/>
        </w:rPr>
        <w:t>一</w:t>
      </w:r>
      <w:r>
        <w:rPr>
          <w:rFonts w:cs="Times New Roman"/>
        </w:rPr>
        <w:t>）科学编制部门预算，提升财务及资产管理规范性。</w:t>
      </w:r>
      <w:bookmarkEnd w:id="35"/>
    </w:p>
    <w:p>
      <w:pPr>
        <w:ind w:firstLine="643"/>
      </w:pPr>
      <w:r>
        <w:rPr>
          <w:b/>
          <w:bCs/>
        </w:rPr>
        <w:t>一是</w:t>
      </w:r>
      <w:r>
        <w:t>科学编制部门预算。建议市委党校加强预算申报前的需求测算和决策论证，根据市委、市政府年度重点工作任务和部门重点工作计划，结合近三年预算安排及执行情况，围绕部门履行职能的实际需要，科学申报各项支出预算，细化到每个支出子项目，确保预算规模适度。</w:t>
      </w:r>
    </w:p>
    <w:p>
      <w:pPr>
        <w:ind w:firstLine="643"/>
      </w:pPr>
      <w:r>
        <w:rPr>
          <w:b/>
          <w:bCs/>
        </w:rPr>
        <w:t>二是</w:t>
      </w:r>
      <w:r>
        <w:t>规范财务管理，建议进一步规范财务核算，按经济业务和支出内容编写记账凭证，规范凭证管理，将不同内容和类别的支出项目原始凭证分开记账，保持财务凭证的完整性和真实性。</w:t>
      </w:r>
    </w:p>
    <w:p>
      <w:pPr>
        <w:ind w:firstLine="643"/>
      </w:pPr>
      <w:r>
        <w:rPr>
          <w:b/>
          <w:bCs/>
        </w:rPr>
        <w:t>三是</w:t>
      </w:r>
      <w:r>
        <w:t>加强固定资产管理工作。对入账的固定资产及时粘贴使用标签，明确资产用途及预计使用年限，对于达到报废年限或处于闲置状态的固定资产，及时按照规定注销其固定资产原值和固定资产卡片，并进行固定资产清理工作，针对部分使用率不高或部门职责不相关的救援用品等固定资产，</w:t>
      </w:r>
      <w:r>
        <w:rPr>
          <w:rFonts w:hint="eastAsia"/>
        </w:rPr>
        <w:t>部门</w:t>
      </w:r>
      <w:r>
        <w:t>可考虑采用固定资产租赁的方式取得使用权。</w:t>
      </w:r>
    </w:p>
    <w:p>
      <w:pPr>
        <w:pStyle w:val="4"/>
        <w:ind w:firstLine="640"/>
        <w:rPr>
          <w:rFonts w:cs="Times New Roman"/>
        </w:rPr>
      </w:pPr>
      <w:bookmarkStart w:id="36" w:name="_Toc3104"/>
      <w:r>
        <w:rPr>
          <w:rFonts w:cs="Times New Roman"/>
        </w:rPr>
        <w:t>（二）规范项目实施过程，加强后勤质量监督管理。</w:t>
      </w:r>
      <w:bookmarkEnd w:id="36"/>
    </w:p>
    <w:p>
      <w:pPr>
        <w:ind w:firstLine="643"/>
      </w:pPr>
      <w:r>
        <w:rPr>
          <w:b/>
          <w:bCs/>
        </w:rPr>
        <w:t>一是</w:t>
      </w:r>
      <w:r>
        <w:t>规范项目实施过程。建议市委党校完善政府采购等内部管理制度，明确各种采购方式的具体选定流程、完善合同管理和验收程序等，规范档案留底材料，保障项目规范实施。</w:t>
      </w:r>
    </w:p>
    <w:p>
      <w:pPr>
        <w:ind w:firstLine="643"/>
      </w:pPr>
      <w:r>
        <w:rPr>
          <w:b/>
          <w:bCs/>
        </w:rPr>
        <w:t>二是</w:t>
      </w:r>
      <w:r>
        <w:t>落实监督制度，加强过程质量监督管理。建议市委党校严格落实部门《后勤监督管理办法》等规定，进一步加强对后勤服务单位过程质量控制和把关，采取日检、周检、月检，通过专业检查、抽查的方式强化对食材等物资的采购、使用、保管和监管，保证服务质量，落实过程监督主体责任，必要时可委托第三方机构审计，加强跟踪管理和成本核算，实现后勤管理自主化，服务社会化。</w:t>
      </w:r>
    </w:p>
    <w:p>
      <w:pPr>
        <w:pStyle w:val="4"/>
        <w:ind w:firstLine="640"/>
        <w:rPr>
          <w:rFonts w:cs="Times New Roman"/>
        </w:rPr>
      </w:pPr>
      <w:bookmarkStart w:id="37" w:name="_Toc10986"/>
      <w:r>
        <w:rPr>
          <w:rFonts w:cs="Times New Roman"/>
        </w:rPr>
        <w:t>（</w:t>
      </w:r>
      <w:r>
        <w:rPr>
          <w:rFonts w:hint="eastAsia" w:cs="Times New Roman"/>
        </w:rPr>
        <w:t>三</w:t>
      </w:r>
      <w:r>
        <w:rPr>
          <w:rFonts w:cs="Times New Roman"/>
        </w:rPr>
        <w:t>）科学合理设置绩效目标，提升绩效管理工作水平。</w:t>
      </w:r>
      <w:bookmarkEnd w:id="37"/>
    </w:p>
    <w:p>
      <w:pPr>
        <w:ind w:firstLine="643"/>
      </w:pPr>
      <w:r>
        <w:rPr>
          <w:b/>
          <w:bCs/>
        </w:rPr>
        <w:t>一是</w:t>
      </w:r>
      <w:r>
        <w:t>科学合理设置绩效目标和指标。部门整体绩效目标应与部门职能及年度重点工作安排挂钩，并与部门预算支出内容、范围、方向、效果等紧密相关，市委党校应该围绕教学培训、科学研究、资政水平、师资建设、后勤服务等方面设置较为全面的绩效目标，绩效目标和指标应当从数量、质量、成本、时效以及经济效益、社会效益、生态效益、可持续影响、满意度等方面进行细化，尽量进行定量表述，不能以量化形式表述的，可采用定性表述，但应具有可衡量性。</w:t>
      </w:r>
    </w:p>
    <w:p>
      <w:pPr>
        <w:ind w:firstLine="643"/>
      </w:pPr>
      <w:r>
        <w:rPr>
          <w:b/>
          <w:bCs/>
        </w:rPr>
        <w:t>二是</w:t>
      </w:r>
      <w:r>
        <w:t>增强部门绩效管理意识。建议市委党校按照市财政部门预算绩效管理有关规定，完善</w:t>
      </w:r>
      <w:r>
        <w:rPr>
          <w:rFonts w:hint="eastAsia"/>
        </w:rPr>
        <w:t>部门</w:t>
      </w:r>
      <w:r>
        <w:t>内部的预算绩效管理制度，将日常绩效运行监控制度融入其中，及时分析绩效目标能否按期实现、资金能否按期完成支付。同时，加强对部门项目管理人员和项目经办人员绩效管理培训，帮助项目管理人员和项目经办人员树立责任意识和绩效意识，提升部门及项目绩效管理工作水平。</w:t>
      </w:r>
    </w:p>
    <w:p>
      <w:pPr>
        <w:pStyle w:val="4"/>
        <w:ind w:firstLine="640"/>
        <w:rPr>
          <w:rFonts w:cs="Times New Roman"/>
        </w:rPr>
      </w:pPr>
      <w:bookmarkStart w:id="38" w:name="_Toc9190"/>
      <w:r>
        <w:rPr>
          <w:rFonts w:cs="Times New Roman"/>
        </w:rPr>
        <w:t>（</w:t>
      </w:r>
      <w:r>
        <w:rPr>
          <w:rFonts w:hint="eastAsia" w:cs="Times New Roman"/>
        </w:rPr>
        <w:t>四</w:t>
      </w:r>
      <w:r>
        <w:rPr>
          <w:rFonts w:cs="Times New Roman"/>
        </w:rPr>
        <w:t>）提前谋划课时安排，完善教学质量评估体系。</w:t>
      </w:r>
      <w:bookmarkEnd w:id="38"/>
    </w:p>
    <w:p>
      <w:pPr>
        <w:ind w:firstLine="643"/>
        <w:rPr>
          <w:kern w:val="0"/>
        </w:rPr>
      </w:pPr>
      <w:r>
        <w:rPr>
          <w:b/>
          <w:bCs/>
        </w:rPr>
        <w:t>一是</w:t>
      </w:r>
      <w:r>
        <w:t>提前谋划领导干部讲课安排，落实讲课制度。市委党校应会同上级有关部门，按照《中国共产党党校（行政学院）工作条例》要求，建立领导干部定期讲课制度，确保主体班领导干部讲课课时安排比例不低于20%，同时要提前谋划好下一年度领导干部讲课计划，特别是各级主要领导讲课计划，确保将讲课计划落实到领导工作日程安排，保障讲课制度得到落实。</w:t>
      </w:r>
    </w:p>
    <w:p>
      <w:pPr>
        <w:ind w:firstLine="643"/>
      </w:pPr>
      <w:r>
        <w:rPr>
          <w:b/>
          <w:bCs/>
        </w:rPr>
        <w:t>二是</w:t>
      </w:r>
      <w:r>
        <w:t>进一步做细做实教学质量评估体系。市委党校应严格按照《市县党校（行政院校）办学质量评估办法（试行）》《市县党校（行政院校）办学质量评估工作指引》等文件要求做好办学质量评估工作，把质量立校作为校（院）工作的重要遵循，围绕教学培训、科研咨询、师资队伍建设等方面细化内部教学质量评估体系，不断提升办学治校工作质量。</w:t>
      </w:r>
    </w:p>
    <w:p>
      <w:pPr>
        <w:pStyle w:val="3"/>
        <w:ind w:firstLine="640"/>
        <w:sectPr>
          <w:footerReference r:id="rId6" w:type="default"/>
          <w:pgSz w:w="11906" w:h="16838"/>
          <w:pgMar w:top="1440" w:right="1418" w:bottom="1440" w:left="1531" w:header="851" w:footer="454" w:gutter="0"/>
          <w:pgNumType w:fmt="numberInDash" w:start="1"/>
          <w:cols w:space="425" w:num="1"/>
          <w:docGrid w:type="linesAndChars" w:linePitch="312" w:charSpace="0"/>
        </w:sectPr>
      </w:pPr>
    </w:p>
    <w:p>
      <w:pPr>
        <w:pStyle w:val="3"/>
        <w:ind w:firstLine="0" w:firstLineChars="0"/>
        <w:rPr>
          <w:rFonts w:hint="eastAsia" w:ascii="黑体" w:hAnsi="黑体" w:eastAsia="黑体" w:cs="黑体"/>
        </w:rPr>
      </w:pPr>
      <w:bookmarkStart w:id="39" w:name="_Toc21784"/>
      <w:r>
        <w:rPr>
          <w:rFonts w:hint="eastAsia" w:ascii="黑体" w:hAnsi="黑体" w:eastAsia="黑体" w:cs="黑体"/>
        </w:rPr>
        <w:t>附件1</w:t>
      </w:r>
      <w:bookmarkEnd w:id="39"/>
    </w:p>
    <w:p>
      <w:pPr>
        <w:pStyle w:val="37"/>
        <w:rPr>
          <w:sz w:val="32"/>
          <w:szCs w:val="32"/>
        </w:rPr>
      </w:pPr>
      <w:r>
        <w:rPr>
          <w:rFonts w:hint="eastAsia" w:asciiTheme="majorEastAsia" w:hAnsiTheme="majorEastAsia" w:eastAsiaTheme="majorEastAsia" w:cstheme="majorEastAsia"/>
          <w:sz w:val="32"/>
          <w:szCs w:val="32"/>
          <w:lang w:eastAsia="zh-CN"/>
        </w:rPr>
        <w:t>中共韶关市委党校</w:t>
      </w:r>
      <w:r>
        <w:rPr>
          <w:rFonts w:hint="eastAsia" w:asciiTheme="majorEastAsia" w:hAnsiTheme="majorEastAsia" w:eastAsiaTheme="majorEastAsia" w:cstheme="majorEastAsia"/>
          <w:sz w:val="32"/>
          <w:szCs w:val="32"/>
          <w:lang w:val="en-US" w:eastAsia="zh-CN"/>
        </w:rPr>
        <w:t>2021年</w:t>
      </w:r>
      <w:r>
        <w:rPr>
          <w:rFonts w:hint="eastAsia" w:asciiTheme="majorEastAsia" w:hAnsiTheme="majorEastAsia" w:eastAsiaTheme="majorEastAsia" w:cstheme="majorEastAsia"/>
          <w:sz w:val="32"/>
          <w:szCs w:val="32"/>
        </w:rPr>
        <w:t>部门整体支出绩效评价</w:t>
      </w:r>
      <w:r>
        <w:rPr>
          <w:rFonts w:hint="eastAsia" w:asciiTheme="majorEastAsia" w:hAnsiTheme="majorEastAsia" w:eastAsiaTheme="majorEastAsia" w:cstheme="majorEastAsia"/>
          <w:sz w:val="32"/>
          <w:szCs w:val="32"/>
          <w:lang w:eastAsia="zh-CN"/>
        </w:rPr>
        <w:t>评</w:t>
      </w:r>
      <w:r>
        <w:rPr>
          <w:rFonts w:hint="eastAsia" w:asciiTheme="majorEastAsia" w:hAnsiTheme="majorEastAsia" w:eastAsiaTheme="majorEastAsia" w:cstheme="majorEastAsia"/>
          <w:sz w:val="32"/>
          <w:szCs w:val="32"/>
        </w:rPr>
        <w:t>分表</w:t>
      </w:r>
    </w:p>
    <w:tbl>
      <w:tblPr>
        <w:tblStyle w:val="24"/>
        <w:tblW w:w="14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570"/>
        <w:gridCol w:w="570"/>
        <w:gridCol w:w="510"/>
        <w:gridCol w:w="705"/>
        <w:gridCol w:w="525"/>
        <w:gridCol w:w="645"/>
        <w:gridCol w:w="600"/>
        <w:gridCol w:w="5610"/>
        <w:gridCol w:w="379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blHeader/>
          <w:jc w:val="center"/>
        </w:trPr>
        <w:tc>
          <w:tcPr>
            <w:tcW w:w="4676" w:type="dxa"/>
            <w:gridSpan w:val="8"/>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评价指标</w:t>
            </w:r>
          </w:p>
        </w:tc>
        <w:tc>
          <w:tcPr>
            <w:tcW w:w="561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评分标准</w:t>
            </w:r>
          </w:p>
        </w:tc>
        <w:tc>
          <w:tcPr>
            <w:tcW w:w="3795"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得扣分理由</w:t>
            </w:r>
          </w:p>
        </w:tc>
        <w:tc>
          <w:tcPr>
            <w:tcW w:w="70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jc w:val="center"/>
        </w:trPr>
        <w:tc>
          <w:tcPr>
            <w:tcW w:w="1121" w:type="dxa"/>
            <w:gridSpan w:val="2"/>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一级指标</w:t>
            </w:r>
          </w:p>
        </w:tc>
        <w:tc>
          <w:tcPr>
            <w:tcW w:w="1080" w:type="dxa"/>
            <w:gridSpan w:val="2"/>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二级指标</w:t>
            </w:r>
          </w:p>
        </w:tc>
        <w:tc>
          <w:tcPr>
            <w:tcW w:w="1230" w:type="dxa"/>
            <w:gridSpan w:val="2"/>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三级指标</w:t>
            </w:r>
          </w:p>
        </w:tc>
        <w:tc>
          <w:tcPr>
            <w:tcW w:w="1245" w:type="dxa"/>
            <w:gridSpan w:val="2"/>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四级指标</w:t>
            </w:r>
          </w:p>
        </w:tc>
        <w:tc>
          <w:tcPr>
            <w:tcW w:w="56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p>
        </w:tc>
        <w:tc>
          <w:tcPr>
            <w:tcW w:w="379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p>
        </w:tc>
        <w:tc>
          <w:tcPr>
            <w:tcW w:w="70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blHeader/>
          <w:jc w:val="center"/>
        </w:trPr>
        <w:tc>
          <w:tcPr>
            <w:tcW w:w="55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名称</w:t>
            </w:r>
          </w:p>
        </w:tc>
        <w:tc>
          <w:tcPr>
            <w:tcW w:w="57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权重</w:t>
            </w:r>
          </w:p>
        </w:tc>
        <w:tc>
          <w:tcPr>
            <w:tcW w:w="57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名称</w:t>
            </w:r>
          </w:p>
        </w:tc>
        <w:tc>
          <w:tcPr>
            <w:tcW w:w="5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权重</w:t>
            </w: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名称</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权重</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名称</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权重</w:t>
            </w:r>
          </w:p>
        </w:tc>
        <w:tc>
          <w:tcPr>
            <w:tcW w:w="56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p>
        </w:tc>
        <w:tc>
          <w:tcPr>
            <w:tcW w:w="379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p>
        </w:tc>
        <w:tc>
          <w:tcPr>
            <w:tcW w:w="70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1" w:hRule="atLeast"/>
          <w:tblHeader/>
          <w:jc w:val="center"/>
        </w:trPr>
        <w:tc>
          <w:tcPr>
            <w:tcW w:w="551"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bookmarkStart w:id="40" w:name="OLE_LINK1" w:colFirst="9" w:colLast="9"/>
            <w:r>
              <w:rPr>
                <w:rFonts w:hint="eastAsia" w:asciiTheme="minorEastAsia" w:hAnsiTheme="minorEastAsia" w:eastAsiaTheme="minorEastAsia" w:cstheme="minorEastAsia"/>
                <w:sz w:val="18"/>
                <w:szCs w:val="18"/>
                <w:lang w:bidi="ar"/>
              </w:rPr>
              <w:t>预算编制情况</w:t>
            </w:r>
          </w:p>
        </w:tc>
        <w:tc>
          <w:tcPr>
            <w:tcW w:w="57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15</w:t>
            </w:r>
          </w:p>
        </w:tc>
        <w:tc>
          <w:tcPr>
            <w:tcW w:w="57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预算编制</w:t>
            </w:r>
          </w:p>
        </w:tc>
        <w:tc>
          <w:tcPr>
            <w:tcW w:w="51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6</w:t>
            </w: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预算编制规范性</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1.部门预算编制、分配符合本部门职责、符合市委市政府方针政策和工作要求的，得0.5分；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2.部门预算资金能根据年度工作重点，在不同项目、不同用途之间分配合理的，得0.5分；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3.专项资金编制细化程度合理，未出现因年中调剂导致部门预决算差异过大的问题，得0.5分；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4.符合市财政当年度有关预算编制的原则和要求，功能分类和经济分类编制正确的，得0.5分；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5.预算编制较为准确，年度中间无大量调剂，项目之间未频繁调剂的，得0.5分；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6.部门预算分配不固化，能根据实际情况合理调整（如不存在项目支出完成不理想但连年持续安排预算的情况等），得0.5分。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预算编制、分配符合部门职责，符合市委市政府的方针政策和工作要求，且能根据年度工作重点，在不同项目、不同用途之间进行财政资源分配，调整率为29.17%。</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val="en-US" w:eastAsia="zh-CN" w:bidi="ar"/>
              </w:rPr>
            </w:pPr>
            <w:r>
              <w:rPr>
                <w:rFonts w:hint="eastAsia" w:asciiTheme="minorEastAsia" w:hAnsiTheme="minorEastAsia" w:eastAsiaTheme="minorEastAsia" w:cstheme="minorEastAsia"/>
                <w:sz w:val="18"/>
                <w:szCs w:val="1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预算调整率</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预算调整率=（预算调整数/预算数）×100%。</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预算调整率=0，本项指标得满分；每增加5%（含）扣减0.5分，直至扣完为止。</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以上统计范围不包含增资、增人、上级转移支付资金等预算编制支出因素。</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2021年市委党校支出预算数为10,538.97万元，调整预算数为3,074.38万元，预算调整率为29.17%，考虑预算调整受财政政策影响，本指标酌情扣0.5分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default" w:asciiTheme="minorEastAsia" w:hAnsiTheme="minorEastAsia" w:eastAsiaTheme="minorEastAsia" w:cstheme="minorEastAsia"/>
                <w:sz w:val="18"/>
                <w:szCs w:val="18"/>
                <w:lang w:val="en-US" w:eastAsia="zh-CN" w:bidi="ar"/>
              </w:rPr>
            </w:pPr>
            <w:r>
              <w:rPr>
                <w:rFonts w:hint="eastAsia" w:asciiTheme="minorEastAsia" w:hAnsiTheme="minorEastAsia" w:eastAsiaTheme="minorEastAsia" w:cstheme="minorEastAsia"/>
                <w:sz w:val="18"/>
                <w:szCs w:val="18"/>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目标设置</w:t>
            </w:r>
          </w:p>
        </w:tc>
        <w:tc>
          <w:tcPr>
            <w:tcW w:w="51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9</w:t>
            </w: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绩效目标覆盖率</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1.比率=100%的，得2分；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2.100%＞比率≥80%的，得1.5分；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3.80%＞比率≥60%的，得1分；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4.比率＜60%的，得0分。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bidi="ar"/>
              </w:rPr>
              <w:t>市委党校2021年重点项目共</w:t>
            </w:r>
            <w:r>
              <w:rPr>
                <w:rFonts w:hint="eastAsia" w:asciiTheme="minorEastAsia" w:hAnsiTheme="minorEastAsia" w:eastAsiaTheme="minorEastAsia" w:cstheme="minorEastAsia"/>
                <w:sz w:val="18"/>
                <w:szCs w:val="18"/>
                <w:lang w:val="en-US" w:eastAsia="zh-CN" w:bidi="ar"/>
              </w:rPr>
              <w:t>2</w:t>
            </w:r>
            <w:r>
              <w:rPr>
                <w:rFonts w:hint="eastAsia" w:asciiTheme="minorEastAsia" w:hAnsiTheme="minorEastAsia" w:eastAsiaTheme="minorEastAsia" w:cstheme="minorEastAsia"/>
                <w:sz w:val="18"/>
                <w:szCs w:val="18"/>
                <w:lang w:bidi="ar"/>
              </w:rPr>
              <w:t>个，</w:t>
            </w:r>
            <w:r>
              <w:rPr>
                <w:rFonts w:hint="eastAsia" w:asciiTheme="minorEastAsia" w:hAnsiTheme="minorEastAsia" w:eastAsiaTheme="minorEastAsia" w:cstheme="minorEastAsia"/>
                <w:sz w:val="18"/>
                <w:szCs w:val="18"/>
                <w:lang w:eastAsia="zh-CN" w:bidi="ar"/>
              </w:rPr>
              <w:t>全部设置了绩效目标，</w:t>
            </w:r>
            <w:r>
              <w:rPr>
                <w:rFonts w:hint="eastAsia" w:asciiTheme="minorEastAsia" w:hAnsiTheme="minorEastAsia" w:eastAsiaTheme="minorEastAsia" w:cstheme="minorEastAsia"/>
                <w:sz w:val="18"/>
                <w:szCs w:val="18"/>
                <w:lang w:bidi="ar"/>
              </w:rPr>
              <w:t>绩效目标覆盖率</w:t>
            </w:r>
            <w:r>
              <w:rPr>
                <w:rFonts w:hint="eastAsia" w:asciiTheme="minorEastAsia" w:hAnsiTheme="minorEastAsia" w:eastAsiaTheme="minorEastAsia" w:cstheme="minorEastAsia"/>
                <w:sz w:val="18"/>
                <w:szCs w:val="18"/>
                <w:lang w:val="en-US" w:eastAsia="zh-CN" w:bidi="ar"/>
              </w:rPr>
              <w:t>100</w:t>
            </w:r>
            <w:r>
              <w:rPr>
                <w:rFonts w:hint="eastAsia" w:asciiTheme="minorEastAsia" w:hAnsiTheme="minorEastAsia" w:eastAsiaTheme="minorEastAsia" w:cstheme="minorEastAsia"/>
                <w:sz w:val="18"/>
                <w:szCs w:val="18"/>
                <w:lang w:bidi="ar"/>
              </w:rPr>
              <w:t>%</w:t>
            </w:r>
            <w:r>
              <w:rPr>
                <w:rFonts w:hint="eastAsia" w:asciiTheme="minorEastAsia" w:hAnsiTheme="minorEastAsia" w:eastAsiaTheme="minorEastAsia" w:cstheme="minorEastAsia"/>
                <w:sz w:val="18"/>
                <w:szCs w:val="18"/>
                <w:lang w:eastAsia="zh-CN" w:bidi="ar"/>
              </w:rPr>
              <w:t>。</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val="en-US" w:eastAsia="zh-CN" w:bidi="ar"/>
              </w:rPr>
            </w:pPr>
            <w:r>
              <w:rPr>
                <w:rFonts w:hint="eastAsia" w:asciiTheme="minorEastAsia" w:hAnsiTheme="minorEastAsia" w:eastAsiaTheme="minorEastAsia" w:cstheme="minorEastAsia"/>
                <w:sz w:val="18"/>
                <w:szCs w:val="1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7"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绩效目标合理性</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1.绩效目标能体现部门（单位）“三定”方案规定的部门职能的和中长期规划和年度工作计划的，得1分；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2.绩效目标能分解成具体工作任务的，得1分；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3.绩效目标与本年度部门预算资金相匹配的，得1分；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4.部门申报的项目有进行可行性研究和充分论证的，得1分；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对上述4项标准，没有完全符合的，可酌情扣分。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市委党校设立的部门整体绩效目标较为简单，未能体现部门“三定”方案规定的部门职能和部门年度工作计划，绩效目标未能分解成具体工作任务，绩效目标不够合理，扣2分。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绩效指标明确性</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1.绩效指标中包含能够明确体现部门（单位）履职效果的社会经济效益指标的，得1分；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2.绩效指标具有清晰、可衡量的指标值的，无法量化的指标评分标准较为明确的，得1分；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3.绩效目标的目标值测算能提供相关依据或符合客观实际情况的，得1分，指标完成率高于150%的，扣1分；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对上述3项标准，没有完全符合的，可酌情扣分。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部门设置的产出及效益指标设置不够全面，仅包含培训相关产出和效益指标，未能覆盖全部绩效目标，部分效益指标缺少数据佐证，无法衡量完成情况，扣2分。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blHeader/>
          <w:jc w:val="center"/>
        </w:trPr>
        <w:tc>
          <w:tcPr>
            <w:tcW w:w="551"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预算执行情况</w:t>
            </w:r>
          </w:p>
        </w:tc>
        <w:tc>
          <w:tcPr>
            <w:tcW w:w="57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35</w:t>
            </w:r>
          </w:p>
        </w:tc>
        <w:tc>
          <w:tcPr>
            <w:tcW w:w="57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资金</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管理</w:t>
            </w:r>
          </w:p>
        </w:tc>
        <w:tc>
          <w:tcPr>
            <w:tcW w:w="51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17</w:t>
            </w: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部门预算支出率</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本指标得分=本指标满分分值×全年平均支出进度。全年平均支出进度以2021年度机关绩效考核中支出进度为准。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市委党校2021年度支出进度为100%。</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结转结余率</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结余结转率=1-全年支出进度。</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1.结余结转率≤10%的，得3分；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2.10%＜结余结转率≤20%的，得2分；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3.20%＜结余结转率≤30%的，得1分；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4.结余结转率＞30%的，得0分。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2021年度市委党校全年支出进度为100%，结转结余率为0。</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5"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政府采购合规性</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1.政府采购执行率小于等于100%的，得2分；实际采购金额大于采购计划金额的，本项不得分。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（1）政府采购执行率=（实际采购金额合计数/采购计划金额合计数）×100%；</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（2）政府采购预算是指采购机关根据事业发展计划和行政任务编制的、并经过规定程序批准的年度政府采购计划。</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政府采购执行过程较为规范的，得2分；出现违反《中华人民共和国政府采购法》、《中华人民共和国政府采购法实施条例》（国务院令第658号）、《政府购买服务管理办法》（财政部令第102号）等政府采购相关管理办法的，每次扣0.5分，扣完为止。</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部门政府采购计划数为166.04万元，实际采购金额数为152.92万元，政府采购执行率为92.1%；根据对部门政府采购过程材料审核，未发现违反政府采购相关法律法规情况。</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财务合规性</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5</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1.预算执行规范性1分，按规定履行调整报批手续或未发生调整的，且按事项完成进度支付资金的得满分，否则酌情扣分；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事项支出的合规性1分，资金管理、费用标准、支付符合有关制度规定的得满分，超范围、超标准支出，虚列支出，截留、挤占、挪用资金的，以及其他不符合制度规定支出的，视情节严重情况扣分，直至扣到0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3.会计核算规范性1分，规范执行会计核算制度得满分，未按规定设专账核算，或支出凭证不符合规定，或其他核算不规范的，视具体情况扣分；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4.重大项目支出经过评估论证和必要决策程序的得1分，否则酌情扣分；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5.连续两年对因业务主管部门责任印发的同一问题提出意见，或主管部门未落实相关审计和财会监督整改意见的，扣1分。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通过部门支出明细账抽取部分局本级和下单位凭证进行核查，总体来看，核算较为规范，但存在部分凭证附件不够齐全，将各项租金、材料费、工程款混淆记录在同一张凭证中等情况，扣1分。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预决算信息公开</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1.部门预算公开得分：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（1）按规定内容、在规定时限和范围内公开的，得1分。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（2）进行了公开，但未达到时限、内容或范围要求的，得0.5分。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（3）没有进行公开的，得0分。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（4）涉密部门经批准不需要公开相关信息的，计1分。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部门决算公开得分：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（1）按规定内容、在规定时限和范围内公开的，得1分。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（2）进行了公开，但未达到时限、内容或范围要求的，得0.5分。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（3）没有进行公开的，得0分。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（4）涉密部门经批准不需要公开相关信息的，计1分。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本指标得分=部门预算公开得分+部门决算公开得分。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部门按规定内容、在规定时限和范围内公开2021年部门预算和决算。</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项目</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管理</w:t>
            </w:r>
          </w:p>
        </w:tc>
        <w:tc>
          <w:tcPr>
            <w:tcW w:w="51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8</w:t>
            </w: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项目实施程序</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1.重点或新增项目前期开展了可行性研究或调研，论证较为充分的，项目的设立及调整按规定履行报批程续，得2分；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2.项目招投标、建设、验收等或方案实施严格执行相关制度规定的，得2分；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部门2021年教学成本支出项目中，食材采购项目缺少供应商选定程序材料，提交的党校食堂食材配送服务项目招投标及合同材料为2022-2023年度协议，未包括2021年度食堂食材采购内容，佐证材料缺乏说服力，扣2分。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项目监管</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1.部门（单位）或基层资金管理单位建立有效管理机制，且执行情况良好的,得2分；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各级业务主管部门按规定主管的专项资金和专项经费实施开展有效的检查、监控、督促整改的，得2分（需提供检查底稿或其他材料证明，否则不得分；如被评价年度部门主管的省级、市级、县级专项资金绩效评价等级有低或差的，本项不得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评价时发现有项目不符合上述条件的，酌情扣分。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未见对专项资金和专项经费开展检查、监控、督促整改等措施，党校未能建立后勤服务的监管措施或出台监督管理办法，也未能提供相关的服务质量测评材料及测评结果，扣2分。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资产</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管理</w:t>
            </w:r>
          </w:p>
        </w:tc>
        <w:tc>
          <w:tcPr>
            <w:tcW w:w="51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6</w:t>
            </w: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资产管理安全性</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1.资产保存完整，并定期对固定资产进行清查，未有因管理不当发生严重资产损失和丢失情况的，得1分；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2.资产配置合理、保管完整，账实相符的，得1分；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3.及时处置报废固定资产，资产处置规范，不存在不按要求进行报批或资产不公开处置行为的，得1分；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4.资产有偿使用及处置收入及时足额上缴，得1分。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部分固定资产如打印一体机未粘贴标签，考试机房设备、门楼等资产处置审批表缺少审核，少量办公电脑等固定资产处于待处置状态，资产管理安全性有待提升，扣1分。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固定资产利用率</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1.比率≥90%的，得2分；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2.90%＞比率≥75%的，得1分；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3.75%＞比率≥60%的，得0.5分；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4.比率＜60%的，得0分。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部分资产使用率低甚至不能使用，少量固定资产留存于仓库处于报废状态，但依然在账面记录，实际固定资产使用率大于90%。</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8"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制度管理</w:t>
            </w:r>
          </w:p>
        </w:tc>
        <w:tc>
          <w:tcPr>
            <w:tcW w:w="5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管理制度健全性</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1.部门制订了财政资金管理、内部财务、内部控制、预算绩效管理制度等制度的，得1分；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2.部门对于重点项目、经常性项目制定了相关管理办法、实施方案等制度的，得1分；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3.上述资金、财务和内控制度、预算绩效管理制度得到有效执行的，得1分；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4.所制定的制度或方案得到切实执行的（需有相应佐证材料，如日常检查、稽核的底稿等），得1分。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部门对于重点项目、经常性项目未能制定相关管理办法，扣1分。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tblHeader/>
          <w:jc w:val="center"/>
        </w:trPr>
        <w:tc>
          <w:tcPr>
            <w:tcW w:w="551"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预算使用效益</w:t>
            </w:r>
          </w:p>
        </w:tc>
        <w:tc>
          <w:tcPr>
            <w:tcW w:w="57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50</w:t>
            </w:r>
          </w:p>
        </w:tc>
        <w:tc>
          <w:tcPr>
            <w:tcW w:w="57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经济</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性</w:t>
            </w:r>
          </w:p>
        </w:tc>
        <w:tc>
          <w:tcPr>
            <w:tcW w:w="51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10</w:t>
            </w: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公用经费控制率</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日常公用经费决算数≤日常公用经费调整预算数，得2分，否则不得分。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部门日常公用经费决算数为2,862,905.23元，等于日常公用经费调整预算数。</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“三公”经费控制率</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“三公”经费实际支出数≤预算安排的三公经费数,得2分，否则不得分。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部门“三公”经费预算安排数139,000.00元，实际支出数109,967.53元，小于预算数。</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完成成本合理性</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6</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1.相关工作预算编制依据较为明确的，如经过了三方询价或依据相关行业标准进行编制的，得3分；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2.相关工作成本与市场价格、行业标准、其他地市的同类项目相比较为合理的得3分。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门项目支出基本上有明确的政策文件依据，部分采购项目能够按照政府采购程序实施，相关工作成本与市场价格、行业标准、其他地市的同类项目相比基本合理。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效率</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性</w:t>
            </w:r>
          </w:p>
        </w:tc>
        <w:tc>
          <w:tcPr>
            <w:tcW w:w="51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10</w:t>
            </w: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重点工作完成率</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本项得分由单位自行评估实际得分，按照完成实际效果自评打分。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重点工作是指党委、政府、人大、中央相关部门交办或下达的工作任务。</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自行确定的年度重点工作任务主要有4项，经材料审核和现场调研，确定的4项工作任务中“充分运用“大学习、深调研、真落实”成果，扎实推进已制定的系列行动方案的落实”未能完成，完成率为75%，扣0.75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绩效目标完成率</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绩效目标完成率=部门整体支出绩效目标申报表中已实现目标数/申报目标数×100%；</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本指标得分=绩效目标完成率×3；</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部门年度绩效目标主要包含4个具体目标，经材料审核和现场调研，已完成3个具体目标，完成率75%，扣0.5分。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项目完成及时性</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所有项目均按计划时间完成的，得4分；部分项目未按计划时间完成的，本项得分=已完成项目数/未完成项目数×4。</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项目完成时间将参考年初部门预算项目的支出率进行评价。</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2021年部门共计3个项目，其中3个项目按计划时间完成，完成及时率为100%。</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效果性</w:t>
            </w:r>
          </w:p>
        </w:tc>
        <w:tc>
          <w:tcPr>
            <w:tcW w:w="51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25</w:t>
            </w:r>
          </w:p>
        </w:tc>
        <w:tc>
          <w:tcPr>
            <w:tcW w:w="705"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社会经济环境效益</w:t>
            </w:r>
          </w:p>
        </w:tc>
        <w:tc>
          <w:tcPr>
            <w:tcW w:w="525"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25</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培训工作完成情况</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5</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1.根据部门年度各类主体班培训班培训计划、专项班培训方案，各类培训班完成率为100%的得3分，每有1项培训班未按计划或方案完成的扣减1分，直至扣完。</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2.各类培训班的学员结业率达100%，得2分，否则按实际结业率计算得分。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培训班完成率100%，培训学员结业率100%</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2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教学质量评估情况</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根据与以往年度教学质量对比，结合课程评价情况，部门已建立完善的教学质量评估体系且课程设置和教学方式满意度评价≥95%的得4分，教学质量评估体系未完成的扣减2分，课程设置和教学方式满意度未达目标值的分别扣减1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根据2021年教学质量评估结果，学员评价平均得分为96.96分，专家评价平均得分为84.37分，未能提供教研室评价得分，总体折算后得分约90分左右，但但市委党校未能提供2020年教学质量评估相关结果，难以对近两年教学质量评估情况进行对比，扣0.5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default" w:asciiTheme="minorEastAsia" w:hAnsiTheme="minorEastAsia" w:eastAsiaTheme="minorEastAsia" w:cstheme="minorEastAsia"/>
                <w:sz w:val="18"/>
                <w:szCs w:val="18"/>
                <w:lang w:val="en-US" w:eastAsia="zh-CN" w:bidi="ar"/>
              </w:rPr>
            </w:pPr>
            <w:r>
              <w:rPr>
                <w:rFonts w:hint="eastAsia" w:asciiTheme="minorEastAsia" w:hAnsiTheme="minorEastAsia" w:eastAsiaTheme="minorEastAsia" w:cstheme="minorEastAsia"/>
                <w:sz w:val="18"/>
                <w:szCs w:val="18"/>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2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后勤保障质量</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根据与上一年度对比，部门后勤人员力量增加、办学软硬件更完善的得3分，基本保持持平的，根据具体情况判断得1-2分，下降的不得分。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后勤服务总体委托广州岭南国际酒店管理有限公司进行管理，服务团队约140人左右，承接韶关重要会议和培训班，但2021年未能针对后勤服务进行有效的考核监管，扣1分。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2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理论研究项目按期结题率</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理论研究项目按期结题率达100%，得2分，每有1个理论研究未按期结题的扣减0.5分，直至扣完。</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rPr>
              <w:t>2021年理论研究课题项目立项20项，2021年课题结项12项，但市委党校未能详细汇总每个课题是否按期结题，无法准确判断课题结题率，根据现场访谈，2021年立项的20项课题均未能完成结题。综合以上情况，扣1分。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2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对下级党校指导情况</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对各县（市、区）分校开展业务指导和师资培训的得满分，未开展业务指导和师资培训的不得分。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在指导办学、师资队伍建设、现场教学方面进行指导。</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2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安全和投诉发生情况</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未发生安全问题和投诉的得2分，每发生一次安全问题扣1分，每发生一次投诉扣0.5分，直至扣完。</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根据现场访谈和问卷调查，部门2021年度在安全管理和服务方面未发生安全问题和投诉情况。</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2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红色主题教学开发效果</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根据红色教育课程、教学路线、教学点年初计划综合判断完成情况，各项任务均按计划完成的得满分，每有1项未完成的扣减1分。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市委党校没有制定红色主题教育方案和计划，只是将红色主题教育贯穿在日常的教学、培训课程中，未能形成系统的方案和经验总结等成果，效果不够明显，扣1.5分。</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25"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重大决策咨询采纳情况</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调查研究成果被市委市政府采纳或者获市级以上领导批示的得4分，调查研究或课题被其他上级部门采纳、收录的得3分，调查研究成果未被采纳、收录或批示的得1-2分，未形成调查研究成果的不得分。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有3篇成果被市委主要领导批示转办至有关部门研究，为市委、市政府决策提供参考意见。</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7"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公平</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性</w:t>
            </w:r>
          </w:p>
        </w:tc>
        <w:tc>
          <w:tcPr>
            <w:tcW w:w="510"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5</w:t>
            </w: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群众信访办理情况</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1.设置了便利的群众意见反映渠道和群众意见办理回复机制的，得1分；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2.当年度所有群众信访意见均有回复，得1分，否则按比例扣分。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3.回复意见均在规定时限内的，得1分，否则按比例扣分。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根据部门2021年群众信访意见办理台账，2021年部门没有来信来访件。</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tblHeader/>
          <w:jc w:val="center"/>
        </w:trPr>
        <w:tc>
          <w:tcPr>
            <w:tcW w:w="551"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10"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公众或服务对象满意度</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2021年部门整体绩效平均满意度为98.29%</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tblHeader/>
          <w:jc w:val="center"/>
        </w:trPr>
        <w:tc>
          <w:tcPr>
            <w:tcW w:w="55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57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加减</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分项</w:t>
            </w:r>
          </w:p>
        </w:tc>
        <w:tc>
          <w:tcPr>
            <w:tcW w:w="5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工作表现加减分指标</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1.加分项：工作获得中央或省委省政府表彰的，表彰一次加1分，同一项工作获得多次表彰的，按一次计算，累计加分最多3分，加分后总分不能超过100分；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2.减分项：在国务院大督察或人大审计、监察等监督检查时发现问题并被问责的，问责一次扣2分，同一个问题被问责多次的，按一次计算，累计减分最多6分，减分后总分不能低于0分。</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无此情况</w:t>
            </w: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blHeader/>
          <w:jc w:val="center"/>
        </w:trPr>
        <w:tc>
          <w:tcPr>
            <w:tcW w:w="55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合计</w:t>
            </w:r>
          </w:p>
        </w:tc>
        <w:tc>
          <w:tcPr>
            <w:tcW w:w="57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100</w:t>
            </w:r>
          </w:p>
        </w:tc>
        <w:tc>
          <w:tcPr>
            <w:tcW w:w="57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w:t>
            </w:r>
          </w:p>
        </w:tc>
        <w:tc>
          <w:tcPr>
            <w:tcW w:w="5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100</w:t>
            </w:r>
          </w:p>
        </w:tc>
        <w:tc>
          <w:tcPr>
            <w:tcW w:w="70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w:t>
            </w:r>
          </w:p>
        </w:tc>
        <w:tc>
          <w:tcPr>
            <w:tcW w:w="52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100</w:t>
            </w:r>
          </w:p>
        </w:tc>
        <w:tc>
          <w:tcPr>
            <w:tcW w:w="64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p>
        </w:tc>
        <w:tc>
          <w:tcPr>
            <w:tcW w:w="6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100</w:t>
            </w:r>
          </w:p>
        </w:tc>
        <w:tc>
          <w:tcPr>
            <w:tcW w:w="561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w:t>
            </w:r>
          </w:p>
        </w:tc>
        <w:tc>
          <w:tcPr>
            <w:tcW w:w="3795"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jc w:val="both"/>
              <w:textAlignment w:val="center"/>
              <w:outlineLvl w:val="9"/>
              <w:rPr>
                <w:rFonts w:hint="eastAsia" w:asciiTheme="minorEastAsia" w:hAnsiTheme="minorEastAsia" w:eastAsiaTheme="minorEastAsia" w:cstheme="minorEastAsia"/>
                <w:b/>
                <w:sz w:val="18"/>
                <w:szCs w:val="18"/>
              </w:rPr>
            </w:pPr>
          </w:p>
        </w:tc>
        <w:tc>
          <w:tcPr>
            <w:tcW w:w="700" w:type="dxa"/>
            <w:shd w:val="clear" w:color="auto" w:fill="auto"/>
            <w:vAlign w:val="center"/>
          </w:tcPr>
          <w:p>
            <w:pPr>
              <w:pStyle w:val="40"/>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val="en-US" w:eastAsia="zh-CN" w:bidi="ar"/>
              </w:rPr>
              <w:t>83.25</w:t>
            </w:r>
          </w:p>
        </w:tc>
      </w:tr>
    </w:tbl>
    <w:p>
      <w:pPr>
        <w:pStyle w:val="2"/>
        <w:ind w:firstLine="560"/>
        <w:sectPr>
          <w:footerReference r:id="rId7" w:type="default"/>
          <w:pgSz w:w="16838" w:h="11906" w:orient="landscape"/>
          <w:pgMar w:top="1134" w:right="851" w:bottom="1021" w:left="851" w:header="851" w:footer="454" w:gutter="0"/>
          <w:pgNumType w:fmt="numberInDash"/>
          <w:cols w:space="425" w:num="1"/>
          <w:docGrid w:type="linesAndChars" w:linePitch="435" w:charSpace="0"/>
        </w:sectPr>
      </w:pPr>
    </w:p>
    <w:p>
      <w:pPr>
        <w:pStyle w:val="3"/>
        <w:ind w:firstLine="0" w:firstLineChars="0"/>
        <w:rPr>
          <w:rFonts w:ascii="黑体" w:hAnsi="黑体" w:cs="黑体"/>
          <w:bCs w:val="0"/>
          <w:sz w:val="28"/>
        </w:rPr>
      </w:pPr>
      <w:bookmarkStart w:id="41" w:name="_Toc22660"/>
      <w:r>
        <w:rPr>
          <w:rFonts w:hint="eastAsia" w:ascii="黑体" w:hAnsi="黑体" w:cs="黑体"/>
          <w:bCs w:val="0"/>
          <w:sz w:val="28"/>
        </w:rPr>
        <w:t>附件2</w:t>
      </w:r>
      <w:bookmarkEnd w:id="41"/>
    </w:p>
    <w:p>
      <w:pPr>
        <w:pStyle w:val="3"/>
        <w:ind w:firstLine="0" w:firstLineChars="0"/>
        <w:rPr>
          <w:rFonts w:ascii="宋体" w:eastAsia="宋体"/>
          <w:b/>
          <w:sz w:val="36"/>
          <w:szCs w:val="36"/>
        </w:rPr>
      </w:pPr>
    </w:p>
    <w:p>
      <w:pPr>
        <w:pStyle w:val="3"/>
        <w:ind w:firstLine="0" w:firstLineChars="0"/>
        <w:jc w:val="center"/>
        <w:rPr>
          <w:rFonts w:ascii="宋体" w:eastAsia="宋体"/>
          <w:b/>
          <w:sz w:val="36"/>
          <w:szCs w:val="36"/>
        </w:rPr>
      </w:pPr>
      <w:bookmarkStart w:id="42" w:name="_Toc1766"/>
      <w:r>
        <w:rPr>
          <w:rFonts w:ascii="宋体" w:eastAsia="宋体"/>
          <w:b/>
          <w:sz w:val="36"/>
          <w:szCs w:val="36"/>
        </w:rPr>
        <w:t>中共韶关市委</w:t>
      </w:r>
      <w:r>
        <w:rPr>
          <w:rFonts w:hint="eastAsia" w:ascii="宋体" w:eastAsia="宋体"/>
          <w:b/>
          <w:sz w:val="36"/>
          <w:szCs w:val="36"/>
        </w:rPr>
        <w:t>党校部门整体支出</w:t>
      </w:r>
      <w:bookmarkEnd w:id="42"/>
    </w:p>
    <w:p>
      <w:pPr>
        <w:pStyle w:val="3"/>
        <w:ind w:firstLine="0" w:firstLineChars="0"/>
        <w:jc w:val="center"/>
        <w:rPr>
          <w:rFonts w:ascii="宋体" w:eastAsia="宋体"/>
          <w:b/>
          <w:sz w:val="28"/>
        </w:rPr>
      </w:pPr>
      <w:bookmarkStart w:id="43" w:name="_Toc6336"/>
      <w:r>
        <w:rPr>
          <w:rFonts w:hint="eastAsia" w:ascii="宋体" w:eastAsia="宋体"/>
          <w:b/>
          <w:sz w:val="36"/>
          <w:szCs w:val="36"/>
        </w:rPr>
        <w:t>绩效评价小组成员名单</w:t>
      </w:r>
      <w:bookmarkEnd w:id="43"/>
    </w:p>
    <w:tbl>
      <w:tblPr>
        <w:tblStyle w:val="24"/>
        <w:tblW w:w="939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2235"/>
        <w:gridCol w:w="1710"/>
        <w:gridCol w:w="4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jc w:val="center"/>
        </w:trPr>
        <w:tc>
          <w:tcPr>
            <w:tcW w:w="1097" w:type="dxa"/>
            <w:tcMar>
              <w:top w:w="12" w:type="dxa"/>
              <w:left w:w="12" w:type="dxa"/>
              <w:bottom w:w="0" w:type="dxa"/>
              <w:right w:w="12" w:type="dxa"/>
            </w:tcMar>
            <w:vAlign w:val="center"/>
          </w:tcPr>
          <w:p>
            <w:pPr>
              <w:spacing w:line="240" w:lineRule="auto"/>
              <w:ind w:firstLine="0" w:firstLineChars="0"/>
              <w:jc w:val="center"/>
              <w:rPr>
                <w:rFonts w:ascii="宋体" w:hAnsi="宋体" w:eastAsia="宋体"/>
                <w:b/>
                <w:sz w:val="28"/>
                <w:szCs w:val="28"/>
                <w:lang w:bidi="ar"/>
              </w:rPr>
            </w:pPr>
            <w:r>
              <w:rPr>
                <w:rFonts w:hint="eastAsia" w:ascii="宋体" w:hAnsi="宋体" w:eastAsia="宋体"/>
                <w:b/>
                <w:sz w:val="28"/>
                <w:szCs w:val="28"/>
                <w:lang w:bidi="ar"/>
              </w:rPr>
              <w:t>序号</w:t>
            </w:r>
          </w:p>
        </w:tc>
        <w:tc>
          <w:tcPr>
            <w:tcW w:w="2235" w:type="dxa"/>
            <w:tcMar>
              <w:top w:w="12" w:type="dxa"/>
              <w:left w:w="12" w:type="dxa"/>
              <w:bottom w:w="0" w:type="dxa"/>
              <w:right w:w="12" w:type="dxa"/>
            </w:tcMar>
            <w:vAlign w:val="center"/>
          </w:tcPr>
          <w:p>
            <w:pPr>
              <w:spacing w:line="240" w:lineRule="auto"/>
              <w:ind w:firstLine="0" w:firstLineChars="0"/>
              <w:jc w:val="center"/>
              <w:rPr>
                <w:rFonts w:ascii="宋体" w:hAnsi="宋体" w:eastAsia="宋体"/>
                <w:b/>
                <w:sz w:val="28"/>
                <w:szCs w:val="28"/>
              </w:rPr>
            </w:pPr>
            <w:r>
              <w:rPr>
                <w:rFonts w:hint="eastAsia" w:ascii="宋体" w:hAnsi="宋体" w:eastAsia="宋体"/>
                <w:b/>
                <w:sz w:val="28"/>
                <w:szCs w:val="28"/>
                <w:lang w:bidi="ar"/>
              </w:rPr>
              <w:t>评审组分工</w:t>
            </w:r>
          </w:p>
        </w:tc>
        <w:tc>
          <w:tcPr>
            <w:tcW w:w="1710" w:type="dxa"/>
            <w:tcMar>
              <w:top w:w="12" w:type="dxa"/>
              <w:left w:w="12" w:type="dxa"/>
              <w:bottom w:w="0" w:type="dxa"/>
              <w:right w:w="12" w:type="dxa"/>
            </w:tcMar>
            <w:vAlign w:val="center"/>
          </w:tcPr>
          <w:p>
            <w:pPr>
              <w:spacing w:line="240" w:lineRule="auto"/>
              <w:ind w:firstLine="0" w:firstLineChars="0"/>
              <w:jc w:val="center"/>
              <w:rPr>
                <w:rFonts w:ascii="宋体" w:hAnsi="宋体" w:eastAsia="宋体"/>
                <w:b/>
                <w:sz w:val="28"/>
                <w:szCs w:val="28"/>
              </w:rPr>
            </w:pPr>
            <w:r>
              <w:rPr>
                <w:rFonts w:hint="eastAsia" w:ascii="宋体" w:hAnsi="宋体" w:eastAsia="宋体"/>
                <w:b/>
                <w:sz w:val="28"/>
                <w:szCs w:val="28"/>
                <w:lang w:bidi="ar"/>
              </w:rPr>
              <w:t>姓名</w:t>
            </w:r>
          </w:p>
        </w:tc>
        <w:tc>
          <w:tcPr>
            <w:tcW w:w="4350" w:type="dxa"/>
            <w:tcMar>
              <w:top w:w="12" w:type="dxa"/>
              <w:left w:w="12" w:type="dxa"/>
              <w:bottom w:w="0" w:type="dxa"/>
              <w:right w:w="12" w:type="dxa"/>
            </w:tcMar>
            <w:vAlign w:val="center"/>
          </w:tcPr>
          <w:p>
            <w:pPr>
              <w:spacing w:line="240" w:lineRule="auto"/>
              <w:ind w:firstLine="0" w:firstLineChars="0"/>
              <w:jc w:val="center"/>
              <w:rPr>
                <w:rFonts w:ascii="宋体" w:hAnsi="宋体" w:eastAsia="宋体"/>
                <w:b/>
                <w:sz w:val="28"/>
                <w:szCs w:val="28"/>
              </w:rPr>
            </w:pPr>
            <w:r>
              <w:rPr>
                <w:rFonts w:hint="eastAsia" w:ascii="宋体" w:hAnsi="宋体" w:eastAsia="宋体"/>
                <w:b/>
                <w:sz w:val="28"/>
                <w:szCs w:val="28"/>
                <w:lang w:bidi="ar"/>
              </w:rPr>
              <w:t>职称</w:t>
            </w:r>
            <w:r>
              <w:rPr>
                <w:rFonts w:ascii="宋体" w:hAnsi="宋体" w:eastAsia="宋体"/>
                <w:b/>
                <w:sz w:val="28"/>
                <w:szCs w:val="28"/>
                <w:lang w:bidi="ar"/>
              </w:rPr>
              <w:t>/</w:t>
            </w:r>
            <w:r>
              <w:rPr>
                <w:rFonts w:hint="eastAsia" w:ascii="宋体" w:hAnsi="宋体" w:eastAsia="宋体"/>
                <w:b/>
                <w:sz w:val="28"/>
                <w:szCs w:val="28"/>
                <w:lang w:bidi="ar"/>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atLeast"/>
          <w:jc w:val="center"/>
        </w:trPr>
        <w:tc>
          <w:tcPr>
            <w:tcW w:w="1097"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lang w:bidi="ar"/>
              </w:rPr>
            </w:pPr>
            <w:r>
              <w:rPr>
                <w:rFonts w:hint="eastAsia" w:ascii="宋体" w:hAnsi="宋体" w:eastAsia="宋体"/>
                <w:sz w:val="28"/>
                <w:szCs w:val="28"/>
                <w:lang w:bidi="ar"/>
              </w:rPr>
              <w:t>1</w:t>
            </w:r>
          </w:p>
        </w:tc>
        <w:tc>
          <w:tcPr>
            <w:tcW w:w="223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lang w:bidi="ar"/>
              </w:rPr>
              <w:t>行业专家</w:t>
            </w:r>
          </w:p>
        </w:tc>
        <w:tc>
          <w:tcPr>
            <w:tcW w:w="1710"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rPr>
              <w:t>刘碧坚</w:t>
            </w:r>
          </w:p>
        </w:tc>
        <w:tc>
          <w:tcPr>
            <w:tcW w:w="4350"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rPr>
              <w:t>广州市社会科学院原信息中心主任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jc w:val="center"/>
        </w:trPr>
        <w:tc>
          <w:tcPr>
            <w:tcW w:w="1097"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lang w:bidi="ar"/>
              </w:rPr>
            </w:pPr>
            <w:r>
              <w:rPr>
                <w:rFonts w:hint="eastAsia" w:ascii="宋体" w:hAnsi="宋体" w:eastAsia="宋体"/>
                <w:sz w:val="28"/>
                <w:szCs w:val="28"/>
                <w:lang w:bidi="ar"/>
              </w:rPr>
              <w:t>2</w:t>
            </w:r>
          </w:p>
        </w:tc>
        <w:tc>
          <w:tcPr>
            <w:tcW w:w="223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lang w:bidi="ar"/>
              </w:rPr>
              <w:t>财务专家</w:t>
            </w:r>
          </w:p>
        </w:tc>
        <w:tc>
          <w:tcPr>
            <w:tcW w:w="1710"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rPr>
              <w:t>李燕</w:t>
            </w:r>
          </w:p>
        </w:tc>
        <w:tc>
          <w:tcPr>
            <w:tcW w:w="4350"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rPr>
              <w:t>广东技术师范大学会计学副教授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2" w:hRule="atLeast"/>
          <w:jc w:val="center"/>
        </w:trPr>
        <w:tc>
          <w:tcPr>
            <w:tcW w:w="1097"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lang w:bidi="ar"/>
              </w:rPr>
            </w:pPr>
            <w:r>
              <w:rPr>
                <w:rFonts w:hint="eastAsia" w:ascii="宋体" w:hAnsi="宋体" w:eastAsia="宋体"/>
                <w:sz w:val="28"/>
                <w:szCs w:val="28"/>
                <w:lang w:bidi="ar"/>
              </w:rPr>
              <w:t>3</w:t>
            </w:r>
          </w:p>
        </w:tc>
        <w:tc>
          <w:tcPr>
            <w:tcW w:w="223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lang w:bidi="ar"/>
              </w:rPr>
            </w:pPr>
            <w:r>
              <w:rPr>
                <w:rFonts w:hint="eastAsia" w:ascii="宋体" w:hAnsi="宋体" w:eastAsia="宋体"/>
                <w:sz w:val="28"/>
                <w:szCs w:val="28"/>
                <w:lang w:bidi="ar"/>
              </w:rPr>
              <w:t>绩效专家</w:t>
            </w:r>
          </w:p>
        </w:tc>
        <w:tc>
          <w:tcPr>
            <w:tcW w:w="1710"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lang w:bidi="ar"/>
              </w:rPr>
            </w:pPr>
            <w:r>
              <w:rPr>
                <w:rFonts w:hint="eastAsia" w:ascii="宋体" w:hAnsi="宋体" w:eastAsia="宋体"/>
                <w:sz w:val="28"/>
                <w:szCs w:val="28"/>
                <w:lang w:bidi="ar"/>
              </w:rPr>
              <w:t>朱穗欣</w:t>
            </w:r>
          </w:p>
        </w:tc>
        <w:tc>
          <w:tcPr>
            <w:tcW w:w="4350"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lang w:bidi="ar"/>
              </w:rPr>
            </w:pPr>
            <w:r>
              <w:rPr>
                <w:rFonts w:hint="eastAsia" w:ascii="宋体" w:hAnsi="宋体" w:eastAsia="宋体"/>
                <w:sz w:val="28"/>
                <w:szCs w:val="28"/>
                <w:lang w:bidi="ar"/>
              </w:rPr>
              <w:t>中级会计师/注册会计师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7" w:hRule="atLeast"/>
          <w:jc w:val="center"/>
        </w:trPr>
        <w:tc>
          <w:tcPr>
            <w:tcW w:w="1097"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lang w:bidi="ar"/>
              </w:rPr>
            </w:pPr>
            <w:r>
              <w:rPr>
                <w:rFonts w:hint="eastAsia" w:ascii="宋体" w:hAnsi="宋体" w:eastAsia="宋体"/>
                <w:sz w:val="28"/>
                <w:szCs w:val="28"/>
                <w:lang w:bidi="ar"/>
              </w:rPr>
              <w:t>4</w:t>
            </w:r>
          </w:p>
        </w:tc>
        <w:tc>
          <w:tcPr>
            <w:tcW w:w="223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lang w:bidi="ar"/>
              </w:rPr>
              <w:t>项目经理</w:t>
            </w:r>
          </w:p>
        </w:tc>
        <w:tc>
          <w:tcPr>
            <w:tcW w:w="1710"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rPr>
              <w:t>杨帆</w:t>
            </w:r>
          </w:p>
        </w:tc>
        <w:tc>
          <w:tcPr>
            <w:tcW w:w="4350"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lang w:bidi="ar"/>
              </w:rPr>
              <w:t>项目统筹、报告初稿撰写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jc w:val="center"/>
        </w:trPr>
        <w:tc>
          <w:tcPr>
            <w:tcW w:w="1097"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lang w:bidi="ar"/>
              </w:rPr>
            </w:pPr>
            <w:r>
              <w:rPr>
                <w:rFonts w:hint="eastAsia" w:ascii="宋体" w:hAnsi="宋体" w:eastAsia="宋体"/>
                <w:sz w:val="28"/>
                <w:szCs w:val="28"/>
                <w:lang w:bidi="ar"/>
              </w:rPr>
              <w:t>5</w:t>
            </w:r>
          </w:p>
        </w:tc>
        <w:tc>
          <w:tcPr>
            <w:tcW w:w="223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lang w:bidi="ar"/>
              </w:rPr>
              <w:t>项目助理</w:t>
            </w:r>
          </w:p>
        </w:tc>
        <w:tc>
          <w:tcPr>
            <w:tcW w:w="1710"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rPr>
              <w:t>张小青</w:t>
            </w:r>
          </w:p>
        </w:tc>
        <w:tc>
          <w:tcPr>
            <w:tcW w:w="4350"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lang w:bidi="ar"/>
              </w:rPr>
              <w:t>项目对接、资料分析汇总</w:t>
            </w:r>
          </w:p>
        </w:tc>
      </w:tr>
    </w:tbl>
    <w:p>
      <w:pPr>
        <w:ind w:firstLine="0" w:firstLineChars="0"/>
      </w:pPr>
    </w:p>
    <w:p>
      <w:pPr>
        <w:pStyle w:val="2"/>
        <w:ind w:firstLine="560"/>
      </w:pPr>
    </w:p>
    <w:p>
      <w:pPr>
        <w:ind w:firstLine="640"/>
      </w:pPr>
    </w:p>
    <w:p>
      <w:pPr>
        <w:pStyle w:val="2"/>
        <w:ind w:firstLine="560"/>
      </w:pPr>
    </w:p>
    <w:p>
      <w:pPr>
        <w:ind w:firstLine="0" w:firstLineChars="0"/>
      </w:pPr>
    </w:p>
    <w:sectPr>
      <w:pgSz w:w="11906" w:h="16838"/>
      <w:pgMar w:top="1440" w:right="1418" w:bottom="1440" w:left="1531" w:header="851" w:footer="45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center"/>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32"/>
                              <w:szCs w:val="3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32"/>
                        <w:szCs w:val="32"/>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center"/>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36170173"/>
                          </w:sdtPr>
                          <w:sdtEndPr>
                            <w:rPr>
                              <w:rFonts w:ascii="宋体" w:hAnsi="宋体" w:eastAsia="宋体"/>
                              <w:sz w:val="28"/>
                              <w:szCs w:val="28"/>
                            </w:rPr>
                          </w:sdtEndPr>
                          <w:sdtContent>
                            <w:p>
                              <w:pPr>
                                <w:pStyle w:val="13"/>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536170173"/>
                    </w:sdtPr>
                    <w:sdtEndPr>
                      <w:rPr>
                        <w:rFonts w:ascii="宋体" w:hAnsi="宋体" w:eastAsia="宋体"/>
                        <w:sz w:val="28"/>
                        <w:szCs w:val="28"/>
                      </w:rPr>
                    </w:sdtEndPr>
                    <w:sdtContent>
                      <w:p>
                        <w:pPr>
                          <w:pStyle w:val="13"/>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sdtContent>
                  </w:sdt>
                  <w:p>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08669260"/>
                          </w:sdtPr>
                          <w:sdtEndPr>
                            <w:rPr>
                              <w:rFonts w:ascii="宋体" w:hAnsi="宋体" w:eastAsia="宋体"/>
                              <w:sz w:val="28"/>
                              <w:szCs w:val="28"/>
                            </w:rPr>
                          </w:sdtEndPr>
                          <w:sdtContent>
                            <w:p>
                              <w:pPr>
                                <w:pStyle w:val="13"/>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26 -</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808669260"/>
                    </w:sdtPr>
                    <w:sdtEndPr>
                      <w:rPr>
                        <w:rFonts w:ascii="宋体" w:hAnsi="宋体" w:eastAsia="宋体"/>
                        <w:sz w:val="28"/>
                        <w:szCs w:val="28"/>
                      </w:rPr>
                    </w:sdtEndPr>
                    <w:sdtContent>
                      <w:p>
                        <w:pPr>
                          <w:pStyle w:val="13"/>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26 -</w:t>
                        </w:r>
                        <w:r>
                          <w:rPr>
                            <w:rFonts w:ascii="宋体" w:hAnsi="宋体" w:eastAsia="宋体"/>
                            <w:sz w:val="28"/>
                            <w:szCs w:val="28"/>
                          </w:rPr>
                          <w:fldChar w:fldCharType="end"/>
                        </w:r>
                      </w:p>
                    </w:sdtContent>
                  </w:sd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jc w:val="center"/>
      <w:rPr>
        <w:rFonts w:ascii="宋体" w:hAnsi="宋体" w:eastAsia="宋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MTMyZDJiOGJlOWYzNGQzYzU2ZDQyMmNlYTExODgifQ=="/>
  </w:docVars>
  <w:rsids>
    <w:rsidRoot w:val="2D53649D"/>
    <w:rsid w:val="00066239"/>
    <w:rsid w:val="000751F8"/>
    <w:rsid w:val="000D4081"/>
    <w:rsid w:val="000F5B19"/>
    <w:rsid w:val="00160870"/>
    <w:rsid w:val="00177BF9"/>
    <w:rsid w:val="001A17D5"/>
    <w:rsid w:val="001A78E1"/>
    <w:rsid w:val="001B5A2B"/>
    <w:rsid w:val="001C33D7"/>
    <w:rsid w:val="00203E99"/>
    <w:rsid w:val="002157DC"/>
    <w:rsid w:val="0029544F"/>
    <w:rsid w:val="002C7ECF"/>
    <w:rsid w:val="002D331E"/>
    <w:rsid w:val="003009CF"/>
    <w:rsid w:val="00301E79"/>
    <w:rsid w:val="003064EB"/>
    <w:rsid w:val="00310A59"/>
    <w:rsid w:val="003D00DB"/>
    <w:rsid w:val="003E517C"/>
    <w:rsid w:val="004B6867"/>
    <w:rsid w:val="004B6DC7"/>
    <w:rsid w:val="004C293A"/>
    <w:rsid w:val="004C3D39"/>
    <w:rsid w:val="004F40A5"/>
    <w:rsid w:val="005231CF"/>
    <w:rsid w:val="00537716"/>
    <w:rsid w:val="00546821"/>
    <w:rsid w:val="00553624"/>
    <w:rsid w:val="005711BE"/>
    <w:rsid w:val="00577E3A"/>
    <w:rsid w:val="005A1721"/>
    <w:rsid w:val="005A1F02"/>
    <w:rsid w:val="005B0FA0"/>
    <w:rsid w:val="005B7562"/>
    <w:rsid w:val="005B7B41"/>
    <w:rsid w:val="005F43C5"/>
    <w:rsid w:val="00642B3C"/>
    <w:rsid w:val="00663717"/>
    <w:rsid w:val="006641D2"/>
    <w:rsid w:val="00675570"/>
    <w:rsid w:val="006A0749"/>
    <w:rsid w:val="006B0508"/>
    <w:rsid w:val="006E60A9"/>
    <w:rsid w:val="006F0227"/>
    <w:rsid w:val="00746745"/>
    <w:rsid w:val="00770699"/>
    <w:rsid w:val="007A0B1D"/>
    <w:rsid w:val="007A5526"/>
    <w:rsid w:val="00844ED7"/>
    <w:rsid w:val="008633E7"/>
    <w:rsid w:val="008D3C94"/>
    <w:rsid w:val="008F0B7A"/>
    <w:rsid w:val="00955348"/>
    <w:rsid w:val="009A18D1"/>
    <w:rsid w:val="009A2705"/>
    <w:rsid w:val="009E6FBB"/>
    <w:rsid w:val="009F7F8F"/>
    <w:rsid w:val="00A16362"/>
    <w:rsid w:val="00A341C9"/>
    <w:rsid w:val="00A4080A"/>
    <w:rsid w:val="00AB731A"/>
    <w:rsid w:val="00AF6613"/>
    <w:rsid w:val="00B54146"/>
    <w:rsid w:val="00B5614C"/>
    <w:rsid w:val="00C04BB1"/>
    <w:rsid w:val="00C108AA"/>
    <w:rsid w:val="00C15D49"/>
    <w:rsid w:val="00C27E5A"/>
    <w:rsid w:val="00C524D8"/>
    <w:rsid w:val="00CB05ED"/>
    <w:rsid w:val="00CE41AD"/>
    <w:rsid w:val="00D30FFC"/>
    <w:rsid w:val="00D63B24"/>
    <w:rsid w:val="00D968FE"/>
    <w:rsid w:val="00D97EC4"/>
    <w:rsid w:val="00E416E7"/>
    <w:rsid w:val="00E55A55"/>
    <w:rsid w:val="00E56C44"/>
    <w:rsid w:val="00E63D07"/>
    <w:rsid w:val="00E96CEE"/>
    <w:rsid w:val="00E9789E"/>
    <w:rsid w:val="00EC0A3E"/>
    <w:rsid w:val="00F01E5E"/>
    <w:rsid w:val="00F13E0E"/>
    <w:rsid w:val="00F54667"/>
    <w:rsid w:val="00F64284"/>
    <w:rsid w:val="00F808B4"/>
    <w:rsid w:val="00FF0962"/>
    <w:rsid w:val="0110699D"/>
    <w:rsid w:val="01571347"/>
    <w:rsid w:val="01571C34"/>
    <w:rsid w:val="045626EF"/>
    <w:rsid w:val="054D6454"/>
    <w:rsid w:val="07776B3C"/>
    <w:rsid w:val="07EC0DA7"/>
    <w:rsid w:val="084857E3"/>
    <w:rsid w:val="08A32E39"/>
    <w:rsid w:val="0A684F05"/>
    <w:rsid w:val="0AA95014"/>
    <w:rsid w:val="0C954D2D"/>
    <w:rsid w:val="0D014220"/>
    <w:rsid w:val="0D495708"/>
    <w:rsid w:val="0D9A633A"/>
    <w:rsid w:val="0EEF5E15"/>
    <w:rsid w:val="10F31AAC"/>
    <w:rsid w:val="12F22D4F"/>
    <w:rsid w:val="13CD3249"/>
    <w:rsid w:val="148B30F7"/>
    <w:rsid w:val="150458B1"/>
    <w:rsid w:val="16DA1C12"/>
    <w:rsid w:val="1721756E"/>
    <w:rsid w:val="176A1687"/>
    <w:rsid w:val="181A32C4"/>
    <w:rsid w:val="1A417A80"/>
    <w:rsid w:val="1ABA3372"/>
    <w:rsid w:val="1D0B4DE3"/>
    <w:rsid w:val="1D5D26D7"/>
    <w:rsid w:val="1F2B4D40"/>
    <w:rsid w:val="1FAA0CAA"/>
    <w:rsid w:val="237F145B"/>
    <w:rsid w:val="24A65E16"/>
    <w:rsid w:val="25AB70AB"/>
    <w:rsid w:val="2A5C447F"/>
    <w:rsid w:val="2D53649D"/>
    <w:rsid w:val="2ED4536E"/>
    <w:rsid w:val="30277A97"/>
    <w:rsid w:val="34165986"/>
    <w:rsid w:val="3588527D"/>
    <w:rsid w:val="36DB5B40"/>
    <w:rsid w:val="37B20A59"/>
    <w:rsid w:val="38066A97"/>
    <w:rsid w:val="3842121B"/>
    <w:rsid w:val="3CFC32D6"/>
    <w:rsid w:val="3EF64718"/>
    <w:rsid w:val="40C55B80"/>
    <w:rsid w:val="41FD4859"/>
    <w:rsid w:val="428A217B"/>
    <w:rsid w:val="45472E6F"/>
    <w:rsid w:val="45CF5976"/>
    <w:rsid w:val="47F54457"/>
    <w:rsid w:val="492F7855"/>
    <w:rsid w:val="49C07107"/>
    <w:rsid w:val="4D021E83"/>
    <w:rsid w:val="4E4F688D"/>
    <w:rsid w:val="5193327A"/>
    <w:rsid w:val="5CB2433F"/>
    <w:rsid w:val="5E8A659F"/>
    <w:rsid w:val="5ED511AE"/>
    <w:rsid w:val="5EDA6E84"/>
    <w:rsid w:val="620C5D12"/>
    <w:rsid w:val="6397265A"/>
    <w:rsid w:val="659275BA"/>
    <w:rsid w:val="680A38E5"/>
    <w:rsid w:val="69532C2D"/>
    <w:rsid w:val="6D905278"/>
    <w:rsid w:val="6DF30A68"/>
    <w:rsid w:val="6FBD1C8C"/>
    <w:rsid w:val="70FD5086"/>
    <w:rsid w:val="71AE70A8"/>
    <w:rsid w:val="71FF2EBA"/>
    <w:rsid w:val="740B7B5A"/>
    <w:rsid w:val="7519664D"/>
    <w:rsid w:val="765A2CFE"/>
    <w:rsid w:val="77AC1874"/>
    <w:rsid w:val="79304B88"/>
    <w:rsid w:val="79F95365"/>
    <w:rsid w:val="7DCA51DF"/>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outlineLvl w:val="0"/>
    </w:pPr>
    <w:rPr>
      <w:rFonts w:eastAsia="黑体"/>
      <w:bCs/>
      <w:szCs w:val="28"/>
    </w:rPr>
  </w:style>
  <w:style w:type="paragraph" w:styleId="4">
    <w:name w:val="heading 2"/>
    <w:basedOn w:val="1"/>
    <w:next w:val="1"/>
    <w:link w:val="35"/>
    <w:unhideWhenUsed/>
    <w:qFormat/>
    <w:uiPriority w:val="0"/>
    <w:pPr>
      <w:keepNext/>
      <w:keepLines/>
      <w:outlineLvl w:val="1"/>
    </w:pPr>
    <w:rPr>
      <w:rFonts w:eastAsia="楷体_GB2312" w:cstheme="majorBidi"/>
      <w:bCs/>
      <w:szCs w:val="32"/>
    </w:rPr>
  </w:style>
  <w:style w:type="paragraph" w:styleId="5">
    <w:name w:val="heading 3"/>
    <w:basedOn w:val="1"/>
    <w:next w:val="1"/>
    <w:unhideWhenUsed/>
    <w:qFormat/>
    <w:uiPriority w:val="0"/>
    <w:pPr>
      <w:keepNext/>
      <w:keepLines/>
      <w:outlineLvl w:val="2"/>
    </w:pPr>
  </w:style>
  <w:style w:type="paragraph" w:styleId="6">
    <w:name w:val="heading 9"/>
    <w:basedOn w:val="1"/>
    <w:next w:val="1"/>
    <w:semiHidden/>
    <w:unhideWhenUsed/>
    <w:qFormat/>
    <w:uiPriority w:val="0"/>
    <w:pPr>
      <w:keepNext/>
      <w:keepLines/>
      <w:spacing w:before="240" w:after="64" w:line="317" w:lineRule="auto"/>
      <w:outlineLvl w:val="8"/>
    </w:pPr>
    <w:rPr>
      <w:rFonts w:ascii="Arial" w:hAnsi="Arial" w:eastAsia="黑体"/>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39"/>
    <w:rPr>
      <w:rFonts w:eastAsia="宋体"/>
      <w:sz w:val="28"/>
    </w:rPr>
  </w:style>
  <w:style w:type="paragraph" w:styleId="7">
    <w:name w:val="Normal Indent"/>
    <w:basedOn w:val="1"/>
    <w:qFormat/>
    <w:uiPriority w:val="0"/>
    <w:rPr>
      <w:sz w:val="24"/>
    </w:rPr>
  </w:style>
  <w:style w:type="paragraph" w:styleId="8">
    <w:name w:val="annotation text"/>
    <w:basedOn w:val="1"/>
    <w:qFormat/>
    <w:uiPriority w:val="0"/>
    <w:pPr>
      <w:jc w:val="left"/>
    </w:pPr>
  </w:style>
  <w:style w:type="paragraph" w:styleId="9">
    <w:name w:val="Body Text"/>
    <w:basedOn w:val="1"/>
    <w:next w:val="10"/>
    <w:qFormat/>
    <w:uiPriority w:val="0"/>
    <w:rPr>
      <w:rFonts w:ascii="Arial Unicode MS" w:hAnsi="Arial Unicode MS" w:eastAsia="Arial Unicode MS" w:cs="Arial Unicode MS"/>
      <w:sz w:val="72"/>
      <w:szCs w:val="72"/>
    </w:rPr>
  </w:style>
  <w:style w:type="paragraph" w:styleId="10">
    <w:name w:val="toc 5"/>
    <w:basedOn w:val="1"/>
    <w:next w:val="1"/>
    <w:semiHidden/>
    <w:qFormat/>
    <w:uiPriority w:val="99"/>
    <w:pPr>
      <w:ind w:left="1680"/>
    </w:pPr>
  </w:style>
  <w:style w:type="paragraph" w:styleId="11">
    <w:name w:val="Body Text Indent"/>
    <w:basedOn w:val="1"/>
    <w:qFormat/>
    <w:uiPriority w:val="0"/>
    <w:pPr>
      <w:ind w:firstLine="525"/>
    </w:pPr>
    <w:rPr>
      <w:rFonts w:eastAsia="Times New Roman"/>
      <w:sz w:val="28"/>
    </w:rPr>
  </w:style>
  <w:style w:type="paragraph" w:styleId="12">
    <w:name w:val="Balloon Text"/>
    <w:basedOn w:val="1"/>
    <w:link w:val="43"/>
    <w:qFormat/>
    <w:uiPriority w:val="0"/>
    <w:pPr>
      <w:spacing w:line="240" w:lineRule="auto"/>
    </w:pPr>
    <w:rPr>
      <w:sz w:val="18"/>
      <w:szCs w:val="18"/>
    </w:rPr>
  </w:style>
  <w:style w:type="paragraph" w:styleId="13">
    <w:name w:val="footer"/>
    <w:basedOn w:val="1"/>
    <w:link w:val="34"/>
    <w:qFormat/>
    <w:uiPriority w:val="99"/>
    <w:pPr>
      <w:tabs>
        <w:tab w:val="center" w:pos="4153"/>
        <w:tab w:val="right" w:pos="8306"/>
      </w:tabs>
      <w:snapToGrid w:val="0"/>
      <w:jc w:val="left"/>
    </w:pPr>
    <w:rPr>
      <w:sz w:val="18"/>
    </w:rPr>
  </w:style>
  <w:style w:type="paragraph" w:styleId="14">
    <w:name w:val="Body Text First Indent 2"/>
    <w:basedOn w:val="11"/>
    <w:qFormat/>
    <w:uiPriority w:val="0"/>
    <w:pPr>
      <w:ind w:firstLine="480"/>
    </w:pPr>
    <w:rPr>
      <w:rFonts w:eastAsia="宋体"/>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ind w:firstLine="0" w:firstLineChars="0"/>
    </w:pPr>
    <w:rPr>
      <w:rFonts w:eastAsia="宋体"/>
      <w:b/>
      <w:sz w:val="28"/>
    </w:rPr>
  </w:style>
  <w:style w:type="paragraph" w:styleId="17">
    <w:name w:val="footnote text"/>
    <w:basedOn w:val="1"/>
    <w:qFormat/>
    <w:uiPriority w:val="0"/>
    <w:pPr>
      <w:snapToGrid w:val="0"/>
      <w:jc w:val="left"/>
    </w:pPr>
    <w:rPr>
      <w:sz w:val="18"/>
    </w:rPr>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next w:val="1"/>
    <w:qFormat/>
    <w:uiPriority w:val="0"/>
    <w:pPr>
      <w:spacing w:before="240" w:after="60"/>
      <w:jc w:val="center"/>
      <w:outlineLvl w:val="0"/>
    </w:pPr>
    <w:rPr>
      <w:rFonts w:ascii="Cambria" w:hAnsi="Cambria"/>
      <w:b/>
      <w:bCs/>
      <w:szCs w:val="32"/>
    </w:rPr>
  </w:style>
  <w:style w:type="character" w:styleId="21">
    <w:name w:val="Strong"/>
    <w:basedOn w:val="20"/>
    <w:qFormat/>
    <w:uiPriority w:val="0"/>
    <w:rPr>
      <w:b/>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qFormat/>
    <w:uiPriority w:val="0"/>
    <w:rPr>
      <w:sz w:val="21"/>
      <w:szCs w:val="21"/>
    </w:rPr>
  </w:style>
  <w:style w:type="paragraph" w:customStyle="1" w:styleId="25">
    <w:name w:val="Body Text First Indent 21"/>
    <w:qFormat/>
    <w:uiPriority w:val="0"/>
    <w:pPr>
      <w:ind w:firstLine="480"/>
    </w:pPr>
    <w:rPr>
      <w:rFonts w:ascii="Times New Roman" w:hAnsi="Times New Roman" w:eastAsia="宋体" w:cs="Times New Roman"/>
      <w:lang w:val="en-US" w:eastAsia="zh-CN" w:bidi="ar-SA"/>
    </w:rPr>
  </w:style>
  <w:style w:type="paragraph" w:customStyle="1" w:styleId="26">
    <w:name w:val="p16"/>
    <w:basedOn w:val="1"/>
    <w:link w:val="38"/>
    <w:qFormat/>
    <w:uiPriority w:val="0"/>
    <w:pPr>
      <w:widowControl/>
    </w:pPr>
    <w:rPr>
      <w:kern w:val="0"/>
      <w:szCs w:val="21"/>
    </w:rPr>
  </w:style>
  <w:style w:type="paragraph" w:customStyle="1" w:styleId="27">
    <w:name w:val="正文 New"/>
    <w:qFormat/>
    <w:uiPriority w:val="0"/>
    <w:pPr>
      <w:widowControl w:val="0"/>
      <w:jc w:val="both"/>
    </w:pPr>
    <w:rPr>
      <w:rFonts w:ascii="仿宋_GB2312" w:hAnsi="Times New Roman" w:eastAsia="仿宋_GB2312" w:cs="Times New Roman"/>
      <w:snapToGrid w:val="0"/>
      <w:sz w:val="32"/>
      <w:szCs w:val="32"/>
      <w:lang w:val="en-US" w:eastAsia="zh-CN" w:bidi="ar-SA"/>
    </w:rPr>
  </w:style>
  <w:style w:type="paragraph" w:customStyle="1" w:styleId="28">
    <w:name w:val="正文首行缩进 21"/>
    <w:basedOn w:val="29"/>
    <w:qFormat/>
    <w:uiPriority w:val="0"/>
    <w:pPr>
      <w:spacing w:line="360" w:lineRule="auto"/>
    </w:pPr>
    <w:rPr>
      <w:sz w:val="24"/>
    </w:rPr>
  </w:style>
  <w:style w:type="paragraph" w:customStyle="1" w:styleId="29">
    <w:name w:val="正文文本缩进1"/>
    <w:basedOn w:val="1"/>
    <w:qFormat/>
    <w:uiPriority w:val="0"/>
    <w:pPr>
      <w:spacing w:line="150" w:lineRule="atLeast"/>
      <w:ind w:firstLine="420"/>
      <w:textAlignment w:val="baseline"/>
    </w:pPr>
  </w:style>
  <w:style w:type="character" w:customStyle="1" w:styleId="30">
    <w:name w:val="font31"/>
    <w:qFormat/>
    <w:uiPriority w:val="0"/>
    <w:rPr>
      <w:rFonts w:hint="eastAsia" w:ascii="宋体" w:hAnsi="宋体" w:eastAsia="宋体" w:cs="宋体"/>
      <w:color w:val="000000"/>
      <w:sz w:val="22"/>
      <w:szCs w:val="22"/>
      <w:u w:val="none"/>
    </w:rPr>
  </w:style>
  <w:style w:type="character" w:customStyle="1" w:styleId="31">
    <w:name w:val="font01"/>
    <w:qFormat/>
    <w:uiPriority w:val="0"/>
    <w:rPr>
      <w:rFonts w:hint="eastAsia" w:ascii="宋体" w:hAnsi="宋体" w:eastAsia="宋体" w:cs="宋体"/>
      <w:color w:val="000000"/>
      <w:sz w:val="24"/>
      <w:szCs w:val="24"/>
      <w:u w:val="none"/>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页脚 字符"/>
    <w:basedOn w:val="20"/>
    <w:link w:val="13"/>
    <w:qFormat/>
    <w:uiPriority w:val="99"/>
    <w:rPr>
      <w:rFonts w:eastAsia="仿宋_GB2312"/>
      <w:kern w:val="2"/>
      <w:sz w:val="18"/>
      <w:szCs w:val="24"/>
    </w:rPr>
  </w:style>
  <w:style w:type="character" w:customStyle="1" w:styleId="35">
    <w:name w:val="标题 2 字符"/>
    <w:basedOn w:val="20"/>
    <w:link w:val="4"/>
    <w:qFormat/>
    <w:uiPriority w:val="0"/>
    <w:rPr>
      <w:rFonts w:eastAsia="楷体_GB2312" w:cstheme="majorBidi"/>
      <w:bCs/>
      <w:kern w:val="2"/>
      <w:sz w:val="32"/>
      <w:szCs w:val="32"/>
    </w:rPr>
  </w:style>
  <w:style w:type="paragraph" w:customStyle="1" w:styleId="36">
    <w:name w:val="标题3"/>
    <w:basedOn w:val="26"/>
    <w:link w:val="39"/>
    <w:qFormat/>
    <w:uiPriority w:val="0"/>
    <w:pPr>
      <w:keepNext/>
      <w:keepLines/>
      <w:widowControl w:val="0"/>
    </w:pPr>
    <w:rPr>
      <w:bCs/>
      <w:kern w:val="2"/>
      <w:szCs w:val="32"/>
    </w:rPr>
  </w:style>
  <w:style w:type="paragraph" w:customStyle="1" w:styleId="37">
    <w:name w:val="表题"/>
    <w:basedOn w:val="1"/>
    <w:link w:val="41"/>
    <w:qFormat/>
    <w:uiPriority w:val="0"/>
    <w:pPr>
      <w:keepNext/>
      <w:keepLines/>
      <w:spacing w:line="560" w:lineRule="exact"/>
      <w:ind w:firstLine="0" w:firstLineChars="0"/>
      <w:jc w:val="center"/>
    </w:pPr>
    <w:rPr>
      <w:rFonts w:eastAsia="宋体"/>
      <w:b/>
      <w:bCs/>
      <w:sz w:val="28"/>
      <w:szCs w:val="28"/>
    </w:rPr>
  </w:style>
  <w:style w:type="character" w:customStyle="1" w:styleId="38">
    <w:name w:val="p16 字符"/>
    <w:basedOn w:val="20"/>
    <w:link w:val="26"/>
    <w:qFormat/>
    <w:uiPriority w:val="0"/>
    <w:rPr>
      <w:rFonts w:eastAsia="仿宋_GB2312"/>
      <w:sz w:val="32"/>
      <w:szCs w:val="21"/>
    </w:rPr>
  </w:style>
  <w:style w:type="character" w:customStyle="1" w:styleId="39">
    <w:name w:val="标题3 字符"/>
    <w:basedOn w:val="38"/>
    <w:link w:val="36"/>
    <w:qFormat/>
    <w:uiPriority w:val="0"/>
    <w:rPr>
      <w:rFonts w:eastAsia="仿宋_GB2312"/>
      <w:bCs/>
      <w:kern w:val="2"/>
      <w:sz w:val="32"/>
      <w:szCs w:val="32"/>
    </w:rPr>
  </w:style>
  <w:style w:type="paragraph" w:customStyle="1" w:styleId="40">
    <w:name w:val="表格"/>
    <w:basedOn w:val="1"/>
    <w:link w:val="42"/>
    <w:qFormat/>
    <w:uiPriority w:val="0"/>
    <w:pPr>
      <w:spacing w:line="360" w:lineRule="exact"/>
      <w:ind w:firstLine="0" w:firstLineChars="0"/>
      <w:jc w:val="center"/>
      <w:textAlignment w:val="center"/>
    </w:pPr>
    <w:rPr>
      <w:rFonts w:eastAsia="宋体"/>
      <w:bCs/>
      <w:color w:val="000000"/>
      <w:kern w:val="0"/>
      <w:sz w:val="21"/>
      <w:szCs w:val="28"/>
    </w:rPr>
  </w:style>
  <w:style w:type="character" w:customStyle="1" w:styleId="41">
    <w:name w:val="表题 字符"/>
    <w:basedOn w:val="20"/>
    <w:link w:val="37"/>
    <w:qFormat/>
    <w:uiPriority w:val="0"/>
    <w:rPr>
      <w:b/>
      <w:bCs/>
      <w:kern w:val="2"/>
      <w:sz w:val="28"/>
      <w:szCs w:val="28"/>
    </w:rPr>
  </w:style>
  <w:style w:type="character" w:customStyle="1" w:styleId="42">
    <w:name w:val="表格 字符"/>
    <w:basedOn w:val="20"/>
    <w:link w:val="40"/>
    <w:qFormat/>
    <w:uiPriority w:val="0"/>
    <w:rPr>
      <w:bCs/>
      <w:color w:val="000000"/>
      <w:sz w:val="21"/>
      <w:szCs w:val="28"/>
    </w:rPr>
  </w:style>
  <w:style w:type="character" w:customStyle="1" w:styleId="43">
    <w:name w:val="批注框文本 字符"/>
    <w:basedOn w:val="20"/>
    <w:link w:val="1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66791-BBFD-4535-9738-9CA658A11F23}">
  <ds:schemaRefs/>
</ds:datastoreItem>
</file>

<file path=docProps/app.xml><?xml version="1.0" encoding="utf-8"?>
<Properties xmlns="http://schemas.openxmlformats.org/officeDocument/2006/extended-properties" xmlns:vt="http://schemas.openxmlformats.org/officeDocument/2006/docPropsVTypes">
  <Template>Normal</Template>
  <Pages>36</Pages>
  <Words>18344</Words>
  <Characters>20032</Characters>
  <Lines>158</Lines>
  <Paragraphs>44</Paragraphs>
  <TotalTime>149</TotalTime>
  <ScaleCrop>false</ScaleCrop>
  <LinksUpToDate>false</LinksUpToDate>
  <CharactersWithSpaces>20164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2022-06-27T03:04:00Z</dcterms:created>
  <dc:creator>yangfan11</dc:creator>
  <cp:lastModifiedBy>何艳</cp:lastModifiedBy>
  <cp:lastPrinted>2022-12-02T02:42:00Z</cp:lastPrinted>
  <dcterms:modified xsi:type="dcterms:W3CDTF">2023-02-02T02:03:15Z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D016A667D1F645F88B735486EC2A9858</vt:lpwstr>
  </property>
  <property fmtid="{D5CDD505-2E9C-101B-9397-08002B2CF9AE}" pid="4" name="ribbonExt">
    <vt:lpwstr>{"WPSExtOfficeTab":{"OnGetEnabled":false,"OnGetVisible":false}}</vt:lpwstr>
  </property>
</Properties>
</file>