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0" w:firstLineChars="0"/>
        <w:jc w:val="left"/>
        <w:rPr>
          <w:rFonts w:hint="eastAsia" w:ascii="黑体" w:hAnsi="黑体" w:eastAsia="黑体" w:cs="黑体"/>
          <w:b w:val="0"/>
          <w:bCs w:val="0"/>
          <w:sz w:val="32"/>
          <w:szCs w:val="32"/>
          <w:lang w:eastAsia="zh-CN"/>
        </w:rPr>
      </w:pPr>
      <w:bookmarkStart w:id="75" w:name="_GoBack"/>
      <w:bookmarkEnd w:id="75"/>
      <w:r>
        <w:rPr>
          <w:rFonts w:hint="eastAsia" w:ascii="黑体" w:hAnsi="黑体" w:eastAsia="黑体" w:cs="黑体"/>
          <w:b w:val="0"/>
          <w:bCs w:val="0"/>
          <w:sz w:val="32"/>
          <w:szCs w:val="32"/>
          <w:lang w:eastAsia="zh-CN"/>
        </w:rPr>
        <w:t>附件</w:t>
      </w:r>
    </w:p>
    <w:p>
      <w:pPr>
        <w:wordWrap w:val="0"/>
        <w:ind w:firstLine="1044"/>
        <w:jc w:val="center"/>
        <w:rPr>
          <w:b/>
          <w:bCs/>
          <w:sz w:val="52"/>
          <w:szCs w:val="52"/>
        </w:rPr>
      </w:pPr>
    </w:p>
    <w:p>
      <w:pPr>
        <w:wordWrap w:val="0"/>
        <w:ind w:firstLine="0" w:firstLineChars="0"/>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韶关市应急管理局</w:t>
      </w:r>
      <w:r>
        <w:rPr>
          <w:rFonts w:asciiTheme="minorEastAsia" w:hAnsiTheme="minorEastAsia" w:eastAsiaTheme="minorEastAsia"/>
          <w:b/>
          <w:bCs/>
          <w:sz w:val="44"/>
          <w:szCs w:val="44"/>
        </w:rPr>
        <w:t>2021</w:t>
      </w:r>
      <w:r>
        <w:rPr>
          <w:rFonts w:hint="eastAsia" w:asciiTheme="minorEastAsia" w:hAnsiTheme="minorEastAsia" w:eastAsiaTheme="minorEastAsia"/>
          <w:b/>
          <w:bCs/>
          <w:sz w:val="44"/>
          <w:szCs w:val="44"/>
        </w:rPr>
        <w:t>年部门整体</w:t>
      </w:r>
    </w:p>
    <w:p>
      <w:pPr>
        <w:wordWrap w:val="0"/>
        <w:ind w:firstLine="0" w:firstLineChars="0"/>
        <w:jc w:val="center"/>
        <w:rPr>
          <w:rFonts w:asciiTheme="minorEastAsia" w:hAnsiTheme="minorEastAsia" w:eastAsiaTheme="minorEastAsia"/>
          <w:b/>
          <w:bCs/>
          <w:sz w:val="52"/>
          <w:szCs w:val="52"/>
        </w:rPr>
      </w:pPr>
      <w:r>
        <w:rPr>
          <w:rFonts w:hint="eastAsia" w:asciiTheme="minorEastAsia" w:hAnsiTheme="minorEastAsia" w:eastAsiaTheme="minorEastAsia"/>
          <w:b/>
          <w:bCs/>
          <w:sz w:val="44"/>
          <w:szCs w:val="44"/>
        </w:rPr>
        <w:t>支出项目第三方绩效评价报告</w:t>
      </w:r>
    </w:p>
    <w:p>
      <w:pPr>
        <w:wordWrap w:val="0"/>
        <w:ind w:firstLine="0" w:firstLineChars="0"/>
        <w:jc w:val="center"/>
        <w:rPr>
          <w:rFonts w:hint="eastAsia"/>
          <w:b w:val="0"/>
          <w:bCs w:val="0"/>
          <w:sz w:val="32"/>
          <w:szCs w:val="32"/>
          <w:lang w:eastAsia="zh-CN"/>
        </w:rPr>
      </w:pPr>
    </w:p>
    <w:p>
      <w:pPr>
        <w:wordWrap w:val="0"/>
        <w:ind w:firstLine="1044"/>
        <w:jc w:val="center"/>
        <w:rPr>
          <w:b/>
          <w:bCs/>
          <w:sz w:val="52"/>
          <w:szCs w:val="52"/>
        </w:rPr>
      </w:pPr>
    </w:p>
    <w:p>
      <w:pPr>
        <w:wordWrap w:val="0"/>
        <w:ind w:firstLine="1044"/>
        <w:jc w:val="center"/>
        <w:rPr>
          <w:b/>
          <w:bCs/>
          <w:sz w:val="52"/>
          <w:szCs w:val="52"/>
        </w:rPr>
      </w:pPr>
    </w:p>
    <w:p>
      <w:pPr>
        <w:wordWrap w:val="0"/>
        <w:ind w:firstLine="1044"/>
        <w:jc w:val="center"/>
        <w:rPr>
          <w:b/>
          <w:bCs/>
          <w:sz w:val="52"/>
          <w:szCs w:val="52"/>
        </w:rPr>
      </w:pPr>
    </w:p>
    <w:p>
      <w:pPr>
        <w:wordWrap w:val="0"/>
        <w:ind w:firstLine="1044"/>
        <w:jc w:val="center"/>
        <w:rPr>
          <w:b/>
          <w:bCs/>
          <w:sz w:val="52"/>
          <w:szCs w:val="52"/>
        </w:rPr>
      </w:pPr>
    </w:p>
    <w:p>
      <w:pPr>
        <w:wordWrap w:val="0"/>
        <w:ind w:firstLine="1044"/>
        <w:jc w:val="center"/>
        <w:rPr>
          <w:b/>
          <w:bCs/>
          <w:sz w:val="52"/>
          <w:szCs w:val="52"/>
        </w:rPr>
      </w:pPr>
    </w:p>
    <w:p>
      <w:pPr>
        <w:wordWrap w:val="0"/>
        <w:ind w:firstLine="1044"/>
        <w:jc w:val="center"/>
        <w:rPr>
          <w:b/>
          <w:bCs/>
          <w:sz w:val="52"/>
          <w:szCs w:val="52"/>
        </w:rPr>
      </w:pPr>
    </w:p>
    <w:p>
      <w:pPr>
        <w:wordWrap w:val="0"/>
        <w:ind w:firstLine="1044"/>
        <w:jc w:val="center"/>
        <w:rPr>
          <w:b/>
          <w:bCs/>
          <w:sz w:val="52"/>
          <w:szCs w:val="52"/>
        </w:rPr>
      </w:pPr>
    </w:p>
    <w:p>
      <w:pPr>
        <w:ind w:firstLine="1280" w:firstLineChars="400"/>
        <w:jc w:val="both"/>
        <w:rPr>
          <w:szCs w:val="32"/>
        </w:rPr>
      </w:pPr>
      <w:r>
        <w:rPr>
          <w:rFonts w:hint="eastAsia"/>
          <w:szCs w:val="32"/>
        </w:rPr>
        <w:t>评价机构：广东国众联行资产评估土地房地产</w:t>
      </w:r>
    </w:p>
    <w:p>
      <w:pPr>
        <w:ind w:firstLine="640"/>
        <w:jc w:val="center"/>
        <w:rPr>
          <w:szCs w:val="32"/>
        </w:rPr>
      </w:pPr>
      <w:r>
        <w:rPr>
          <w:rFonts w:hint="eastAsia"/>
          <w:szCs w:val="32"/>
        </w:rPr>
        <w:t>估价规划咨询有限公司</w:t>
      </w:r>
    </w:p>
    <w:p>
      <w:pPr>
        <w:wordWrap w:val="0"/>
        <w:ind w:firstLine="1280" w:firstLineChars="400"/>
        <w:rPr>
          <w:szCs w:val="32"/>
        </w:rPr>
      </w:pPr>
      <w:r>
        <w:rPr>
          <w:rFonts w:hint="eastAsia"/>
          <w:szCs w:val="32"/>
        </w:rPr>
        <w:t>机构负责人：司徒荣轼</w:t>
      </w:r>
    </w:p>
    <w:p>
      <w:pPr>
        <w:wordWrap w:val="0"/>
        <w:ind w:firstLine="1280" w:firstLineChars="400"/>
        <w:rPr>
          <w:szCs w:val="32"/>
        </w:rPr>
      </w:pPr>
      <w:r>
        <w:rPr>
          <w:rFonts w:hint="eastAsia"/>
          <w:szCs w:val="32"/>
        </w:rPr>
        <w:t>项目负责人：刘平</w:t>
      </w:r>
    </w:p>
    <w:p>
      <w:pPr>
        <w:wordWrap w:val="0"/>
        <w:ind w:firstLine="1280" w:firstLineChars="400"/>
        <w:rPr>
          <w:szCs w:val="32"/>
        </w:rPr>
      </w:pPr>
      <w:r>
        <w:rPr>
          <w:rFonts w:hint="eastAsia"/>
          <w:szCs w:val="32"/>
        </w:rPr>
        <w:t>日</w:t>
      </w:r>
      <w:r>
        <w:rPr>
          <w:rFonts w:hint="eastAsia"/>
          <w:szCs w:val="32"/>
          <w:lang w:val="en-US" w:eastAsia="zh-CN"/>
        </w:rPr>
        <w:t xml:space="preserve">      </w:t>
      </w:r>
      <w:r>
        <w:rPr>
          <w:rFonts w:hint="eastAsia"/>
          <w:szCs w:val="32"/>
        </w:rPr>
        <w:t>期：</w:t>
      </w:r>
      <w:r>
        <w:rPr>
          <w:rFonts w:hAnsi="Times New Roman"/>
          <w:szCs w:val="32"/>
        </w:rPr>
        <w:t>2022</w:t>
      </w:r>
      <w:r>
        <w:rPr>
          <w:rFonts w:hint="eastAsia"/>
          <w:szCs w:val="32"/>
        </w:rPr>
        <w:t>年</w:t>
      </w:r>
      <w:r>
        <w:rPr>
          <w:rFonts w:hint="eastAsia" w:hAnsi="Times New Roman"/>
          <w:szCs w:val="32"/>
          <w:lang w:val="en-US" w:eastAsia="zh-CN"/>
        </w:rPr>
        <w:t>12</w:t>
      </w:r>
      <w:r>
        <w:rPr>
          <w:rFonts w:hint="eastAsia"/>
          <w:szCs w:val="32"/>
        </w:rPr>
        <w:t>月</w:t>
      </w:r>
    </w:p>
    <w:p>
      <w:pPr>
        <w:ind w:firstLine="640"/>
        <w:sectPr>
          <w:headerReference r:id="rId6" w:type="first"/>
          <w:footerReference r:id="rId9" w:type="first"/>
          <w:headerReference r:id="rId4" w:type="default"/>
          <w:footerReference r:id="rId7" w:type="default"/>
          <w:headerReference r:id="rId5" w:type="even"/>
          <w:footerReference r:id="rId8" w:type="even"/>
          <w:pgSz w:w="11906" w:h="16838"/>
          <w:pgMar w:top="1440" w:right="1418" w:bottom="1440" w:left="1531" w:header="851" w:footer="992" w:gutter="0"/>
          <w:pgNumType w:fmt="numberInDash"/>
          <w:cols w:space="425" w:num="1"/>
          <w:docGrid w:type="linesAndChars" w:linePitch="312" w:charSpace="0"/>
        </w:sectPr>
      </w:pPr>
    </w:p>
    <w:p>
      <w:pPr>
        <w:wordWrap w:val="0"/>
        <w:ind w:firstLine="0" w:firstLineChars="0"/>
        <w:jc w:val="center"/>
        <w:rPr>
          <w:rFonts w:ascii="黑体" w:hAnsi="黑体" w:eastAsia="黑体" w:cs="黑体"/>
          <w:szCs w:val="32"/>
        </w:rPr>
      </w:pPr>
      <w:r>
        <w:rPr>
          <w:rFonts w:hint="eastAsia" w:ascii="黑体" w:hAnsi="黑体" w:eastAsia="黑体" w:cs="黑体"/>
          <w:szCs w:val="32"/>
        </w:rPr>
        <w:t>摘  要</w:t>
      </w:r>
    </w:p>
    <w:p>
      <w:pPr>
        <w:ind w:firstLine="640"/>
      </w:pPr>
      <w:r>
        <w:rPr>
          <w:rFonts w:hint="eastAsia"/>
        </w:rPr>
        <w:t>为促进预算部门强化绩效理念，提高部门整体支出的整体效果和使用效率，进一步提升政府部门绩效水平，受韶关市财政局委托，广东国众联行资产评估土地房地产估价规划咨询有限公司作为第三方绩效评价机构，本着客观、公平、公正的原则，对韶关市应急管理局（以下简称“市应急局”）</w:t>
      </w:r>
      <w:r>
        <w:t>2021年部门整体支出绩效开展第三方独立评价</w:t>
      </w:r>
      <w:r>
        <w:rPr>
          <w:rFonts w:hint="eastAsia"/>
        </w:rPr>
        <w:t>，评价分数为</w:t>
      </w:r>
      <w:r>
        <w:rPr>
          <w:rFonts w:hint="eastAsia"/>
          <w:b/>
          <w:bCs/>
          <w:lang w:val="en-US" w:eastAsia="zh-CN"/>
        </w:rPr>
        <w:t>79</w:t>
      </w:r>
      <w:r>
        <w:rPr>
          <w:rFonts w:hint="eastAsia"/>
          <w:b/>
          <w:bCs/>
        </w:rPr>
        <w:t>.</w:t>
      </w:r>
      <w:r>
        <w:rPr>
          <w:rFonts w:hint="eastAsia"/>
          <w:b/>
          <w:bCs/>
          <w:lang w:val="en-US" w:eastAsia="zh-CN"/>
        </w:rPr>
        <w:t>2</w:t>
      </w:r>
      <w:r>
        <w:rPr>
          <w:rFonts w:hint="eastAsia"/>
          <w:b/>
          <w:bCs/>
        </w:rPr>
        <w:t>6</w:t>
      </w:r>
      <w:r>
        <w:rPr>
          <w:rFonts w:hint="eastAsia"/>
        </w:rPr>
        <w:t>分，评价等级为</w:t>
      </w:r>
      <w:r>
        <w:rPr>
          <w:rFonts w:hint="eastAsia"/>
          <w:lang w:eastAsia="zh-CN"/>
        </w:rPr>
        <w:t>“</w:t>
      </w:r>
      <w:r>
        <w:rPr>
          <w:rFonts w:hint="eastAsia"/>
          <w:b/>
          <w:bCs/>
          <w:lang w:eastAsia="zh-CN"/>
        </w:rPr>
        <w:t>中</w:t>
      </w:r>
      <w:r>
        <w:rPr>
          <w:rFonts w:hint="eastAsia"/>
          <w:lang w:eastAsia="zh-CN"/>
        </w:rPr>
        <w:t>”</w:t>
      </w:r>
      <w:r>
        <w:rPr>
          <w:rFonts w:hint="eastAsia"/>
        </w:rPr>
        <w:t>。</w:t>
      </w:r>
    </w:p>
    <w:p>
      <w:pPr>
        <w:ind w:firstLine="640"/>
      </w:pPr>
      <w:r>
        <w:t>2021年</w:t>
      </w:r>
      <w:r>
        <w:rPr>
          <w:rFonts w:hint="eastAsia"/>
        </w:rPr>
        <w:t>市应急局推进安全生产专项整治三年行动，对非煤矿山、危险化学品等重点行业领域安全专项整治。顺利完成防汛应急响应、防御应对任务，高效开展抢险救援。组织防旱抗旱会商与实地调研等工作，解决</w:t>
      </w:r>
      <w:r>
        <w:t>饮水问题。</w:t>
      </w:r>
      <w:r>
        <w:rPr>
          <w:rFonts w:hint="eastAsia"/>
        </w:rPr>
        <w:t>畅通森林防火信息报送渠道</w:t>
      </w:r>
      <w:r>
        <w:t>，加强森林火情监控和卫星监测热点核查</w:t>
      </w:r>
      <w:r>
        <w:rPr>
          <w:rFonts w:hint="eastAsia"/>
        </w:rPr>
        <w:t>。</w:t>
      </w:r>
      <w:r>
        <w:rPr>
          <w:rFonts w:hint="eastAsia"/>
          <w:lang w:eastAsia="zh-CN"/>
        </w:rPr>
        <w:t>积极</w:t>
      </w:r>
      <w:r>
        <w:rPr>
          <w:rFonts w:hint="eastAsia"/>
        </w:rPr>
        <w:t>开展应急演练，提高应急预案的实用性和可操作性。推进防灾减灾救灾与安全生产知识宣传，进</w:t>
      </w:r>
      <w:r>
        <w:rPr>
          <w:rFonts w:hint="eastAsia"/>
          <w:lang w:eastAsia="zh-CN"/>
        </w:rPr>
        <w:t>一步</w:t>
      </w:r>
      <w:r>
        <w:rPr>
          <w:rFonts w:hint="eastAsia"/>
        </w:rPr>
        <w:t>提高公众安全生产意识和应急处置能力。</w:t>
      </w:r>
    </w:p>
    <w:p>
      <w:pPr>
        <w:ind w:firstLine="640"/>
      </w:pPr>
      <w:r>
        <w:rPr>
          <w:rFonts w:hint="eastAsia"/>
          <w:lang w:eastAsia="zh-CN"/>
        </w:rPr>
        <w:t>在评价过程中，发现市应急局</w:t>
      </w:r>
      <w:r>
        <w:rPr>
          <w:rFonts w:hint="eastAsia"/>
        </w:rPr>
        <w:t>存在</w:t>
      </w:r>
      <w:r>
        <w:rPr>
          <w:rFonts w:hint="eastAsia"/>
          <w:lang w:eastAsia="zh-CN"/>
        </w:rPr>
        <w:t>如下</w:t>
      </w:r>
      <w:r>
        <w:rPr>
          <w:rFonts w:hint="eastAsia"/>
        </w:rPr>
        <w:t>问题：</w:t>
      </w:r>
      <w:r>
        <w:rPr>
          <w:rFonts w:hint="eastAsia"/>
          <w:b/>
          <w:bCs/>
        </w:rPr>
        <w:t>一是</w:t>
      </w:r>
      <w:r>
        <w:rPr>
          <w:rFonts w:hint="eastAsia"/>
        </w:rPr>
        <w:t>预算编制不够全面、合理，绩效管理工作尚有提升空间。</w:t>
      </w:r>
      <w:r>
        <w:rPr>
          <w:rFonts w:hint="eastAsia"/>
          <w:b/>
        </w:rPr>
        <w:t>二是</w:t>
      </w:r>
      <w:r>
        <w:t>现场核查发现部分项目验收、询价</w:t>
      </w:r>
      <w:r>
        <w:rPr>
          <w:rFonts w:hint="eastAsia"/>
        </w:rPr>
        <w:t>过程不够规范</w:t>
      </w:r>
      <w:r>
        <w:t>等问题，存在资金支付不规范现象。</w:t>
      </w:r>
      <w:r>
        <w:rPr>
          <w:rFonts w:hint="eastAsia"/>
          <w:b/>
        </w:rPr>
        <w:t>三是</w:t>
      </w:r>
      <w:r>
        <w:rPr>
          <w:rFonts w:hint="eastAsia"/>
        </w:rPr>
        <w:t>固定资产管理不够规范，部门合并后未能及时更新盘点固定资产。</w:t>
      </w:r>
      <w:r>
        <w:rPr>
          <w:rFonts w:hint="eastAsia"/>
          <w:b/>
        </w:rPr>
        <w:t>四是</w:t>
      </w:r>
      <w:r>
        <w:rPr>
          <w:rFonts w:hint="eastAsia"/>
        </w:rPr>
        <w:t>经常性项目未制定资金使用管理制度；修订的应急预案</w:t>
      </w:r>
      <w:r>
        <w:t>未能按照2021年9月施行的新</w:t>
      </w:r>
      <w:r>
        <w:rPr>
          <w:rFonts w:hint="eastAsia"/>
        </w:rPr>
        <w:t>《中华人民共和国安全生产法》进行</w:t>
      </w:r>
      <w:r>
        <w:t>修订。</w:t>
      </w:r>
    </w:p>
    <w:p>
      <w:pPr>
        <w:ind w:firstLine="640"/>
        <w:rPr>
          <w:b/>
        </w:rPr>
      </w:pPr>
      <w:r>
        <w:rPr>
          <w:rFonts w:hint="eastAsia"/>
        </w:rPr>
        <w:t>针对上述问题，提出如下</w:t>
      </w:r>
      <w:r>
        <w:t>建议：</w:t>
      </w:r>
      <w:r>
        <w:rPr>
          <w:b/>
        </w:rPr>
        <w:t>一是</w:t>
      </w:r>
      <w:r>
        <w:t>提升预算管理水平，减少资金的频繁调剂；</w:t>
      </w:r>
      <w:r>
        <w:rPr>
          <w:b/>
        </w:rPr>
        <w:t>二是</w:t>
      </w:r>
      <w:r>
        <w:t>在项目执行过程中加强管理，规范项目询价采购、验收程序；</w:t>
      </w:r>
      <w:r>
        <w:rPr>
          <w:b/>
        </w:rPr>
        <w:t>三是</w:t>
      </w:r>
      <w:r>
        <w:t>加快推进资产报废处理工作，提高固定资产信息的真实性和准确性；</w:t>
      </w:r>
      <w:r>
        <w:rPr>
          <w:b/>
        </w:rPr>
        <w:t>四是</w:t>
      </w:r>
      <w:r>
        <w:t>制定专项资金使用管理制度，明确项目资金支出范围和禁用范围</w:t>
      </w:r>
      <w:r>
        <w:rPr>
          <w:rFonts w:hint="eastAsia"/>
          <w:lang w:eastAsia="zh-CN"/>
        </w:rPr>
        <w:t>，</w:t>
      </w:r>
      <w:r>
        <w:t>及时修订5个专项</w:t>
      </w:r>
      <w:r>
        <w:rPr>
          <w:rFonts w:hint="eastAsia"/>
        </w:rPr>
        <w:t>应急预案。</w:t>
      </w:r>
    </w:p>
    <w:p>
      <w:pPr>
        <w:ind w:firstLine="640"/>
        <w:sectPr>
          <w:footerReference r:id="rId10" w:type="default"/>
          <w:pgSz w:w="11906" w:h="16838"/>
          <w:pgMar w:top="1440" w:right="1418" w:bottom="1440" w:left="1531" w:header="851" w:footer="992" w:gutter="0"/>
          <w:pgNumType w:fmt="numberInDash" w:start="1"/>
          <w:cols w:space="425" w:num="1"/>
          <w:docGrid w:type="linesAndChars" w:linePitch="435" w:charSpace="0"/>
        </w:sectPr>
      </w:pPr>
    </w:p>
    <w:p>
      <w:pPr>
        <w:pStyle w:val="12"/>
        <w:rPr>
          <w:rFonts w:hint="eastAsia" w:ascii="黑体" w:hAnsi="黑体" w:eastAsia="黑体" w:cs="黑体"/>
          <w:sz w:val="32"/>
          <w:szCs w:val="32"/>
        </w:rPr>
      </w:pPr>
      <w:r>
        <w:rPr>
          <w:rFonts w:hint="eastAsia" w:ascii="黑体" w:hAnsi="黑体" w:eastAsia="黑体" w:cs="黑体"/>
          <w:sz w:val="32"/>
          <w:szCs w:val="32"/>
        </w:rPr>
        <w:t>目  录</w:t>
      </w:r>
    </w:p>
    <w:p>
      <w:pPr>
        <w:pStyle w:val="12"/>
        <w:tabs>
          <w:tab w:val="right" w:leader="dot" w:pos="8957"/>
          <w:tab w:val="clear" w:pos="894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TOC \o "1-2" \h \z \u </w:instrText>
      </w:r>
      <w:r>
        <w:rPr>
          <w:rFonts w:hint="eastAsia" w:cstheme="minorEastAsia"/>
          <w:sz w:val="24"/>
          <w:szCs w:val="24"/>
        </w:rPr>
        <w:fldChar w:fldCharType="separate"/>
      </w:r>
      <w:r>
        <w:rPr>
          <w:rFonts w:hint="eastAsia" w:cstheme="minorEastAsia"/>
          <w:sz w:val="24"/>
          <w:szCs w:val="24"/>
        </w:rPr>
        <w:fldChar w:fldCharType="begin"/>
      </w:r>
      <w:r>
        <w:rPr>
          <w:rFonts w:hint="eastAsia" w:cstheme="minorEastAsia"/>
          <w:sz w:val="24"/>
          <w:szCs w:val="24"/>
        </w:rPr>
        <w:instrText xml:space="preserve"> HYPERLINK \l _Toc2949 </w:instrText>
      </w:r>
      <w:r>
        <w:rPr>
          <w:rFonts w:hint="eastAsia" w:cstheme="minorEastAsia"/>
          <w:sz w:val="24"/>
          <w:szCs w:val="24"/>
        </w:rPr>
        <w:fldChar w:fldCharType="separate"/>
      </w:r>
      <w:r>
        <w:rPr>
          <w:rFonts w:hint="eastAsia" w:cstheme="minorEastAsia"/>
          <w:sz w:val="24"/>
          <w:szCs w:val="24"/>
        </w:rPr>
        <w:t>一、部门基本情况</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_Toc2949 </w:instrText>
      </w:r>
      <w:r>
        <w:rPr>
          <w:rFonts w:hint="eastAsia" w:cstheme="minorEastAsia"/>
          <w:sz w:val="24"/>
          <w:szCs w:val="24"/>
        </w:rPr>
        <w:fldChar w:fldCharType="separate"/>
      </w:r>
      <w:r>
        <w:rPr>
          <w:rFonts w:hint="eastAsia" w:cstheme="minorEastAsia"/>
          <w:sz w:val="24"/>
          <w:szCs w:val="24"/>
        </w:rPr>
        <w:t>- 1 -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_Toc13191 </w:instrText>
      </w:r>
      <w:r>
        <w:rPr>
          <w:rFonts w:hint="eastAsia" w:cstheme="minorEastAsia"/>
          <w:sz w:val="24"/>
          <w:szCs w:val="24"/>
        </w:rPr>
        <w:fldChar w:fldCharType="separate"/>
      </w:r>
      <w:r>
        <w:rPr>
          <w:rFonts w:hint="eastAsia" w:cstheme="minorEastAsia"/>
          <w:sz w:val="24"/>
          <w:szCs w:val="24"/>
        </w:rPr>
        <w:t>（一）部门概要。</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_Toc13191 </w:instrText>
      </w:r>
      <w:r>
        <w:rPr>
          <w:rFonts w:hint="eastAsia" w:cstheme="minorEastAsia"/>
          <w:sz w:val="24"/>
          <w:szCs w:val="24"/>
        </w:rPr>
        <w:fldChar w:fldCharType="separate"/>
      </w:r>
      <w:r>
        <w:rPr>
          <w:rFonts w:hint="eastAsia" w:cstheme="minorEastAsia"/>
          <w:sz w:val="24"/>
          <w:szCs w:val="24"/>
        </w:rPr>
        <w:t>- 1 -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_Toc14989 </w:instrText>
      </w:r>
      <w:r>
        <w:rPr>
          <w:rFonts w:hint="eastAsia" w:cstheme="minorEastAsia"/>
          <w:sz w:val="24"/>
          <w:szCs w:val="24"/>
        </w:rPr>
        <w:fldChar w:fldCharType="separate"/>
      </w:r>
      <w:r>
        <w:rPr>
          <w:rFonts w:hint="eastAsia" w:cstheme="minorEastAsia"/>
          <w:sz w:val="24"/>
          <w:szCs w:val="24"/>
        </w:rPr>
        <w:t>（二）年度总体工作任务及重点工作任务。</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_Toc14989 </w:instrText>
      </w:r>
      <w:r>
        <w:rPr>
          <w:rFonts w:hint="eastAsia" w:cstheme="minorEastAsia"/>
          <w:sz w:val="24"/>
          <w:szCs w:val="24"/>
        </w:rPr>
        <w:fldChar w:fldCharType="separate"/>
      </w:r>
      <w:r>
        <w:rPr>
          <w:rFonts w:hint="eastAsia" w:cstheme="minorEastAsia"/>
          <w:sz w:val="24"/>
          <w:szCs w:val="24"/>
        </w:rPr>
        <w:t>- 2 -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_Toc12556 </w:instrText>
      </w:r>
      <w:r>
        <w:rPr>
          <w:rFonts w:hint="eastAsia" w:cstheme="minorEastAsia"/>
          <w:sz w:val="24"/>
          <w:szCs w:val="24"/>
        </w:rPr>
        <w:fldChar w:fldCharType="separate"/>
      </w:r>
      <w:r>
        <w:rPr>
          <w:rFonts w:hint="eastAsia" w:cstheme="minorEastAsia"/>
          <w:sz w:val="24"/>
          <w:szCs w:val="24"/>
        </w:rPr>
        <w:t>（三）资金使用的绩效目标及指标。</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_Toc12556 </w:instrText>
      </w:r>
      <w:r>
        <w:rPr>
          <w:rFonts w:hint="eastAsia" w:cstheme="minorEastAsia"/>
          <w:sz w:val="24"/>
          <w:szCs w:val="24"/>
        </w:rPr>
        <w:fldChar w:fldCharType="separate"/>
      </w:r>
      <w:r>
        <w:rPr>
          <w:rFonts w:hint="eastAsia" w:cstheme="minorEastAsia"/>
          <w:sz w:val="24"/>
          <w:szCs w:val="24"/>
        </w:rPr>
        <w:t>- 4 -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_Toc20684 </w:instrText>
      </w:r>
      <w:r>
        <w:rPr>
          <w:rFonts w:hint="eastAsia" w:cstheme="minorEastAsia"/>
          <w:sz w:val="24"/>
          <w:szCs w:val="24"/>
        </w:rPr>
        <w:fldChar w:fldCharType="separate"/>
      </w:r>
      <w:r>
        <w:rPr>
          <w:rFonts w:hint="eastAsia" w:cstheme="minorEastAsia"/>
          <w:sz w:val="24"/>
          <w:szCs w:val="24"/>
        </w:rPr>
        <w:t>（四）部门整体收支情况。</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_Toc20684 </w:instrText>
      </w:r>
      <w:r>
        <w:rPr>
          <w:rFonts w:hint="eastAsia" w:cstheme="minorEastAsia"/>
          <w:sz w:val="24"/>
          <w:szCs w:val="24"/>
        </w:rPr>
        <w:fldChar w:fldCharType="separate"/>
      </w:r>
      <w:r>
        <w:rPr>
          <w:rFonts w:hint="eastAsia" w:cstheme="minorEastAsia"/>
          <w:sz w:val="24"/>
          <w:szCs w:val="24"/>
        </w:rPr>
        <w:t>- 7 -</w:t>
      </w:r>
      <w:r>
        <w:rPr>
          <w:rFonts w:hint="eastAsia" w:cstheme="minorEastAsia"/>
          <w:sz w:val="24"/>
          <w:szCs w:val="24"/>
        </w:rPr>
        <w:fldChar w:fldCharType="end"/>
      </w:r>
      <w:r>
        <w:rPr>
          <w:rFonts w:hint="eastAsia" w:cstheme="minorEastAsia"/>
          <w:sz w:val="24"/>
          <w:szCs w:val="24"/>
        </w:rPr>
        <w:fldChar w:fldCharType="end"/>
      </w:r>
    </w:p>
    <w:p>
      <w:pPr>
        <w:pStyle w:val="12"/>
        <w:tabs>
          <w:tab w:val="right" w:leader="dot" w:pos="8957"/>
          <w:tab w:val="clear" w:pos="894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_Toc13826 </w:instrText>
      </w:r>
      <w:r>
        <w:rPr>
          <w:rFonts w:hint="eastAsia" w:cstheme="minorEastAsia"/>
          <w:sz w:val="24"/>
          <w:szCs w:val="24"/>
        </w:rPr>
        <w:fldChar w:fldCharType="separate"/>
      </w:r>
      <w:r>
        <w:rPr>
          <w:rFonts w:hint="eastAsia" w:cstheme="minorEastAsia"/>
          <w:sz w:val="24"/>
          <w:szCs w:val="24"/>
        </w:rPr>
        <w:t>二、绩效指标分析</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_Toc13826 </w:instrText>
      </w:r>
      <w:r>
        <w:rPr>
          <w:rFonts w:hint="eastAsia" w:cstheme="minorEastAsia"/>
          <w:sz w:val="24"/>
          <w:szCs w:val="24"/>
        </w:rPr>
        <w:fldChar w:fldCharType="separate"/>
      </w:r>
      <w:r>
        <w:rPr>
          <w:rFonts w:hint="eastAsia" w:cstheme="minorEastAsia"/>
          <w:sz w:val="24"/>
          <w:szCs w:val="24"/>
        </w:rPr>
        <w:t>- 9 -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_Toc3692 </w:instrText>
      </w:r>
      <w:r>
        <w:rPr>
          <w:rFonts w:hint="eastAsia" w:cstheme="minorEastAsia"/>
          <w:sz w:val="24"/>
          <w:szCs w:val="24"/>
        </w:rPr>
        <w:fldChar w:fldCharType="separate"/>
      </w:r>
      <w:r>
        <w:rPr>
          <w:rFonts w:hint="eastAsia" w:cstheme="minorEastAsia"/>
          <w:sz w:val="24"/>
          <w:szCs w:val="24"/>
        </w:rPr>
        <w:t>（一）预算编制情况</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_Toc3692 </w:instrText>
      </w:r>
      <w:r>
        <w:rPr>
          <w:rFonts w:hint="eastAsia" w:cstheme="minorEastAsia"/>
          <w:sz w:val="24"/>
          <w:szCs w:val="24"/>
        </w:rPr>
        <w:fldChar w:fldCharType="separate"/>
      </w:r>
      <w:r>
        <w:rPr>
          <w:rFonts w:hint="eastAsia" w:cstheme="minorEastAsia"/>
          <w:sz w:val="24"/>
          <w:szCs w:val="24"/>
        </w:rPr>
        <w:t>- 9 -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_Toc11452 </w:instrText>
      </w:r>
      <w:r>
        <w:rPr>
          <w:rFonts w:hint="eastAsia" w:cstheme="minorEastAsia"/>
          <w:sz w:val="24"/>
          <w:szCs w:val="24"/>
        </w:rPr>
        <w:fldChar w:fldCharType="separate"/>
      </w:r>
      <w:r>
        <w:rPr>
          <w:rFonts w:hint="eastAsia" w:cstheme="minorEastAsia"/>
          <w:sz w:val="24"/>
          <w:szCs w:val="24"/>
        </w:rPr>
        <w:t>（二）预算执行情况</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_Toc11452 </w:instrText>
      </w:r>
      <w:r>
        <w:rPr>
          <w:rFonts w:hint="eastAsia" w:cstheme="minorEastAsia"/>
          <w:sz w:val="24"/>
          <w:szCs w:val="24"/>
        </w:rPr>
        <w:fldChar w:fldCharType="separate"/>
      </w:r>
      <w:r>
        <w:rPr>
          <w:rFonts w:hint="eastAsia" w:cstheme="minorEastAsia"/>
          <w:sz w:val="24"/>
          <w:szCs w:val="24"/>
        </w:rPr>
        <w:t>- 12 -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_Toc23577 </w:instrText>
      </w:r>
      <w:r>
        <w:rPr>
          <w:rFonts w:hint="eastAsia" w:cstheme="minorEastAsia"/>
          <w:sz w:val="24"/>
          <w:szCs w:val="24"/>
        </w:rPr>
        <w:fldChar w:fldCharType="separate"/>
      </w:r>
      <w:r>
        <w:rPr>
          <w:rFonts w:hint="eastAsia" w:cstheme="minorEastAsia"/>
          <w:sz w:val="24"/>
          <w:szCs w:val="24"/>
        </w:rPr>
        <w:t>（三）预算使用效益</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_Toc23577 </w:instrText>
      </w:r>
      <w:r>
        <w:rPr>
          <w:rFonts w:hint="eastAsia" w:cstheme="minorEastAsia"/>
          <w:sz w:val="24"/>
          <w:szCs w:val="24"/>
        </w:rPr>
        <w:fldChar w:fldCharType="separate"/>
      </w:r>
      <w:r>
        <w:rPr>
          <w:rFonts w:hint="eastAsia" w:cstheme="minorEastAsia"/>
          <w:sz w:val="24"/>
          <w:szCs w:val="24"/>
        </w:rPr>
        <w:t>- 16 -</w:t>
      </w:r>
      <w:r>
        <w:rPr>
          <w:rFonts w:hint="eastAsia" w:cstheme="minorEastAsia"/>
          <w:sz w:val="24"/>
          <w:szCs w:val="24"/>
        </w:rPr>
        <w:fldChar w:fldCharType="end"/>
      </w:r>
      <w:r>
        <w:rPr>
          <w:rFonts w:hint="eastAsia" w:cstheme="minorEastAsia"/>
          <w:sz w:val="24"/>
          <w:szCs w:val="24"/>
        </w:rPr>
        <w:fldChar w:fldCharType="end"/>
      </w:r>
    </w:p>
    <w:p>
      <w:pPr>
        <w:pStyle w:val="12"/>
        <w:tabs>
          <w:tab w:val="right" w:leader="dot" w:pos="8957"/>
          <w:tab w:val="clear" w:pos="894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_Toc27722 </w:instrText>
      </w:r>
      <w:r>
        <w:rPr>
          <w:rFonts w:hint="eastAsia" w:cstheme="minorEastAsia"/>
          <w:sz w:val="24"/>
          <w:szCs w:val="24"/>
        </w:rPr>
        <w:fldChar w:fldCharType="separate"/>
      </w:r>
      <w:r>
        <w:rPr>
          <w:rFonts w:hint="eastAsia" w:cstheme="minorEastAsia"/>
          <w:sz w:val="24"/>
          <w:szCs w:val="24"/>
        </w:rPr>
        <w:t>三、评价结论</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_Toc27722 </w:instrText>
      </w:r>
      <w:r>
        <w:rPr>
          <w:rFonts w:hint="eastAsia" w:cstheme="minorEastAsia"/>
          <w:sz w:val="24"/>
          <w:szCs w:val="24"/>
        </w:rPr>
        <w:fldChar w:fldCharType="separate"/>
      </w:r>
      <w:r>
        <w:rPr>
          <w:rFonts w:hint="eastAsia" w:cstheme="minorEastAsia"/>
          <w:sz w:val="24"/>
          <w:szCs w:val="24"/>
        </w:rPr>
        <w:t>- 22 -</w:t>
      </w:r>
      <w:r>
        <w:rPr>
          <w:rFonts w:hint="eastAsia" w:cstheme="minorEastAsia"/>
          <w:sz w:val="24"/>
          <w:szCs w:val="24"/>
        </w:rPr>
        <w:fldChar w:fldCharType="end"/>
      </w:r>
      <w:r>
        <w:rPr>
          <w:rFonts w:hint="eastAsia" w:cstheme="minorEastAsia"/>
          <w:sz w:val="24"/>
          <w:szCs w:val="24"/>
        </w:rPr>
        <w:fldChar w:fldCharType="end"/>
      </w:r>
    </w:p>
    <w:p>
      <w:pPr>
        <w:pStyle w:val="12"/>
        <w:tabs>
          <w:tab w:val="right" w:leader="dot" w:pos="8957"/>
          <w:tab w:val="clear" w:pos="894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_Toc26961 </w:instrText>
      </w:r>
      <w:r>
        <w:rPr>
          <w:rFonts w:hint="eastAsia" w:cstheme="minorEastAsia"/>
          <w:sz w:val="24"/>
          <w:szCs w:val="24"/>
        </w:rPr>
        <w:fldChar w:fldCharType="separate"/>
      </w:r>
      <w:r>
        <w:rPr>
          <w:rFonts w:hint="eastAsia" w:cstheme="minorEastAsia"/>
          <w:bCs w:val="0"/>
          <w:sz w:val="24"/>
          <w:szCs w:val="24"/>
        </w:rPr>
        <w:t>四、主要绩效</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_Toc26961 </w:instrText>
      </w:r>
      <w:r>
        <w:rPr>
          <w:rFonts w:hint="eastAsia" w:cstheme="minorEastAsia"/>
          <w:sz w:val="24"/>
          <w:szCs w:val="24"/>
        </w:rPr>
        <w:fldChar w:fldCharType="separate"/>
      </w:r>
      <w:r>
        <w:rPr>
          <w:rFonts w:hint="eastAsia" w:cstheme="minorEastAsia"/>
          <w:sz w:val="24"/>
          <w:szCs w:val="24"/>
        </w:rPr>
        <w:t>- 22 -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_Toc4125 </w:instrText>
      </w:r>
      <w:r>
        <w:rPr>
          <w:rFonts w:hint="eastAsia" w:cstheme="minorEastAsia"/>
          <w:sz w:val="24"/>
          <w:szCs w:val="24"/>
        </w:rPr>
        <w:fldChar w:fldCharType="separate"/>
      </w:r>
      <w:r>
        <w:rPr>
          <w:rFonts w:hint="eastAsia" w:cstheme="minorEastAsia"/>
          <w:sz w:val="24"/>
          <w:szCs w:val="24"/>
        </w:rPr>
        <w:t>（一）排查重点领域隐患，推进安全生产形势稳定。</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_Toc4125 </w:instrText>
      </w:r>
      <w:r>
        <w:rPr>
          <w:rFonts w:hint="eastAsia" w:cstheme="minorEastAsia"/>
          <w:sz w:val="24"/>
          <w:szCs w:val="24"/>
        </w:rPr>
        <w:fldChar w:fldCharType="separate"/>
      </w:r>
      <w:r>
        <w:rPr>
          <w:rFonts w:hint="eastAsia" w:cstheme="minorEastAsia"/>
          <w:sz w:val="24"/>
          <w:szCs w:val="24"/>
        </w:rPr>
        <w:t>- 22 -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_Toc3585 </w:instrText>
      </w:r>
      <w:r>
        <w:rPr>
          <w:rFonts w:hint="eastAsia" w:cstheme="minorEastAsia"/>
          <w:sz w:val="24"/>
          <w:szCs w:val="24"/>
        </w:rPr>
        <w:fldChar w:fldCharType="separate"/>
      </w:r>
      <w:r>
        <w:rPr>
          <w:rFonts w:hint="eastAsia" w:cstheme="minorEastAsia"/>
          <w:sz w:val="24"/>
          <w:szCs w:val="24"/>
        </w:rPr>
        <w:t>（二）提升防汛抗旱防火能力，防范化解自然灾害。</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_Toc3585 </w:instrText>
      </w:r>
      <w:r>
        <w:rPr>
          <w:rFonts w:hint="eastAsia" w:cstheme="minorEastAsia"/>
          <w:sz w:val="24"/>
          <w:szCs w:val="24"/>
        </w:rPr>
        <w:fldChar w:fldCharType="separate"/>
      </w:r>
      <w:r>
        <w:rPr>
          <w:rFonts w:hint="eastAsia" w:cstheme="minorEastAsia"/>
          <w:sz w:val="24"/>
          <w:szCs w:val="24"/>
        </w:rPr>
        <w:t>- 23 -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_Toc6570 </w:instrText>
      </w:r>
      <w:r>
        <w:rPr>
          <w:rFonts w:hint="eastAsia" w:cstheme="minorEastAsia"/>
          <w:sz w:val="24"/>
          <w:szCs w:val="24"/>
        </w:rPr>
        <w:fldChar w:fldCharType="separate"/>
      </w:r>
      <w:r>
        <w:rPr>
          <w:rFonts w:hint="eastAsia" w:cstheme="minorEastAsia"/>
          <w:sz w:val="24"/>
          <w:szCs w:val="24"/>
        </w:rPr>
        <w:t>（三）做好应急救援准备工作，增强群众安全意识。</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_Toc6570 </w:instrText>
      </w:r>
      <w:r>
        <w:rPr>
          <w:rFonts w:hint="eastAsia" w:cstheme="minorEastAsia"/>
          <w:sz w:val="24"/>
          <w:szCs w:val="24"/>
        </w:rPr>
        <w:fldChar w:fldCharType="separate"/>
      </w:r>
      <w:r>
        <w:rPr>
          <w:rFonts w:hint="eastAsia" w:cstheme="minorEastAsia"/>
          <w:sz w:val="24"/>
          <w:szCs w:val="24"/>
        </w:rPr>
        <w:t>- 24 -</w:t>
      </w:r>
      <w:r>
        <w:rPr>
          <w:rFonts w:hint="eastAsia" w:cstheme="minorEastAsia"/>
          <w:sz w:val="24"/>
          <w:szCs w:val="24"/>
        </w:rPr>
        <w:fldChar w:fldCharType="end"/>
      </w:r>
      <w:r>
        <w:rPr>
          <w:rFonts w:hint="eastAsia" w:cstheme="minorEastAsia"/>
          <w:sz w:val="24"/>
          <w:szCs w:val="24"/>
        </w:rPr>
        <w:fldChar w:fldCharType="end"/>
      </w:r>
    </w:p>
    <w:p>
      <w:pPr>
        <w:pStyle w:val="12"/>
        <w:tabs>
          <w:tab w:val="right" w:leader="dot" w:pos="8957"/>
          <w:tab w:val="clear" w:pos="894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_Toc4642 </w:instrText>
      </w:r>
      <w:r>
        <w:rPr>
          <w:rFonts w:hint="eastAsia" w:cstheme="minorEastAsia"/>
          <w:sz w:val="24"/>
          <w:szCs w:val="24"/>
        </w:rPr>
        <w:fldChar w:fldCharType="separate"/>
      </w:r>
      <w:r>
        <w:rPr>
          <w:rFonts w:hint="eastAsia" w:cstheme="minorEastAsia"/>
          <w:sz w:val="24"/>
          <w:szCs w:val="24"/>
        </w:rPr>
        <w:t>五、存在问题</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_Toc4642 </w:instrText>
      </w:r>
      <w:r>
        <w:rPr>
          <w:rFonts w:hint="eastAsia" w:cstheme="minorEastAsia"/>
          <w:sz w:val="24"/>
          <w:szCs w:val="24"/>
        </w:rPr>
        <w:fldChar w:fldCharType="separate"/>
      </w:r>
      <w:r>
        <w:rPr>
          <w:rFonts w:hint="eastAsia" w:cstheme="minorEastAsia"/>
          <w:sz w:val="24"/>
          <w:szCs w:val="24"/>
        </w:rPr>
        <w:t>- 25 -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_Toc5134 </w:instrText>
      </w:r>
      <w:r>
        <w:rPr>
          <w:rFonts w:hint="eastAsia" w:cstheme="minorEastAsia"/>
          <w:sz w:val="24"/>
          <w:szCs w:val="24"/>
        </w:rPr>
        <w:fldChar w:fldCharType="separate"/>
      </w:r>
      <w:r>
        <w:rPr>
          <w:rFonts w:hint="eastAsia" w:cstheme="minorEastAsia"/>
          <w:sz w:val="24"/>
          <w:szCs w:val="24"/>
        </w:rPr>
        <w:t>（一）预算编制不够合理，绩效管理尚有提升空间。</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_Toc5134 </w:instrText>
      </w:r>
      <w:r>
        <w:rPr>
          <w:rFonts w:hint="eastAsia" w:cstheme="minorEastAsia"/>
          <w:sz w:val="24"/>
          <w:szCs w:val="24"/>
        </w:rPr>
        <w:fldChar w:fldCharType="separate"/>
      </w:r>
      <w:r>
        <w:rPr>
          <w:rFonts w:hint="eastAsia" w:cstheme="minorEastAsia"/>
          <w:sz w:val="24"/>
          <w:szCs w:val="24"/>
        </w:rPr>
        <w:t>- 25 -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_Toc21308 </w:instrText>
      </w:r>
      <w:r>
        <w:rPr>
          <w:rFonts w:hint="eastAsia" w:cstheme="minorEastAsia"/>
          <w:sz w:val="24"/>
          <w:szCs w:val="24"/>
        </w:rPr>
        <w:fldChar w:fldCharType="separate"/>
      </w:r>
      <w:r>
        <w:rPr>
          <w:rFonts w:hint="eastAsia" w:cstheme="minorEastAsia"/>
          <w:sz w:val="24"/>
          <w:szCs w:val="24"/>
        </w:rPr>
        <w:t>（二）项目采购与验收不够规范，内控管理严谨性待提升。</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_Toc21308 </w:instrText>
      </w:r>
      <w:r>
        <w:rPr>
          <w:rFonts w:hint="eastAsia" w:cstheme="minorEastAsia"/>
          <w:sz w:val="24"/>
          <w:szCs w:val="24"/>
        </w:rPr>
        <w:fldChar w:fldCharType="separate"/>
      </w:r>
      <w:r>
        <w:rPr>
          <w:rFonts w:hint="eastAsia" w:cstheme="minorEastAsia"/>
          <w:sz w:val="24"/>
          <w:szCs w:val="24"/>
        </w:rPr>
        <w:t>- 26 -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_Toc29198 </w:instrText>
      </w:r>
      <w:r>
        <w:rPr>
          <w:rFonts w:hint="eastAsia" w:cstheme="minorEastAsia"/>
          <w:sz w:val="24"/>
          <w:szCs w:val="24"/>
        </w:rPr>
        <w:fldChar w:fldCharType="separate"/>
      </w:r>
      <w:r>
        <w:rPr>
          <w:rFonts w:hint="eastAsia" w:cstheme="minorEastAsia"/>
          <w:sz w:val="24"/>
          <w:szCs w:val="24"/>
        </w:rPr>
        <w:t>（三）固定资产管理不严谨，资产盘点与报废工作开展不及时。</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_Toc29198 </w:instrText>
      </w:r>
      <w:r>
        <w:rPr>
          <w:rFonts w:hint="eastAsia" w:cstheme="minorEastAsia"/>
          <w:sz w:val="24"/>
          <w:szCs w:val="24"/>
        </w:rPr>
        <w:fldChar w:fldCharType="separate"/>
      </w:r>
      <w:r>
        <w:rPr>
          <w:rFonts w:hint="eastAsia" w:cstheme="minorEastAsia"/>
          <w:sz w:val="24"/>
          <w:szCs w:val="24"/>
        </w:rPr>
        <w:t>- 27 -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_Toc16114 </w:instrText>
      </w:r>
      <w:r>
        <w:rPr>
          <w:rFonts w:hint="eastAsia" w:cstheme="minorEastAsia"/>
          <w:sz w:val="24"/>
          <w:szCs w:val="24"/>
        </w:rPr>
        <w:fldChar w:fldCharType="separate"/>
      </w:r>
      <w:r>
        <w:rPr>
          <w:rFonts w:hint="eastAsia" w:cstheme="minorEastAsia"/>
          <w:sz w:val="24"/>
          <w:szCs w:val="24"/>
        </w:rPr>
        <w:t>（四）经常性项目缺乏专项管理制度，不利于资金监管。</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_Toc16114 </w:instrText>
      </w:r>
      <w:r>
        <w:rPr>
          <w:rFonts w:hint="eastAsia" w:cstheme="minorEastAsia"/>
          <w:sz w:val="24"/>
          <w:szCs w:val="24"/>
        </w:rPr>
        <w:fldChar w:fldCharType="separate"/>
      </w:r>
      <w:r>
        <w:rPr>
          <w:rFonts w:hint="eastAsia" w:cstheme="minorEastAsia"/>
          <w:sz w:val="24"/>
          <w:szCs w:val="24"/>
        </w:rPr>
        <w:t>- 28 -</w:t>
      </w:r>
      <w:r>
        <w:rPr>
          <w:rFonts w:hint="eastAsia" w:cstheme="minorEastAsia"/>
          <w:sz w:val="24"/>
          <w:szCs w:val="24"/>
        </w:rPr>
        <w:fldChar w:fldCharType="end"/>
      </w:r>
      <w:r>
        <w:rPr>
          <w:rFonts w:hint="eastAsia" w:cstheme="minorEastAsia"/>
          <w:sz w:val="24"/>
          <w:szCs w:val="24"/>
        </w:rPr>
        <w:fldChar w:fldCharType="end"/>
      </w:r>
    </w:p>
    <w:p>
      <w:pPr>
        <w:pStyle w:val="12"/>
        <w:tabs>
          <w:tab w:val="right" w:leader="dot" w:pos="8957"/>
          <w:tab w:val="clear" w:pos="894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_Toc24810 </w:instrText>
      </w:r>
      <w:r>
        <w:rPr>
          <w:rFonts w:hint="eastAsia" w:cstheme="minorEastAsia"/>
          <w:sz w:val="24"/>
          <w:szCs w:val="24"/>
        </w:rPr>
        <w:fldChar w:fldCharType="separate"/>
      </w:r>
      <w:r>
        <w:rPr>
          <w:rFonts w:hint="eastAsia" w:cstheme="minorEastAsia"/>
          <w:sz w:val="24"/>
          <w:szCs w:val="24"/>
        </w:rPr>
        <w:t>六、相关建议</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_Toc24810 </w:instrText>
      </w:r>
      <w:r>
        <w:rPr>
          <w:rFonts w:hint="eastAsia" w:cstheme="minorEastAsia"/>
          <w:sz w:val="24"/>
          <w:szCs w:val="24"/>
        </w:rPr>
        <w:fldChar w:fldCharType="separate"/>
      </w:r>
      <w:r>
        <w:rPr>
          <w:rFonts w:hint="eastAsia" w:cstheme="minorEastAsia"/>
          <w:sz w:val="24"/>
          <w:szCs w:val="24"/>
        </w:rPr>
        <w:t>- 29 -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_Toc4871 </w:instrText>
      </w:r>
      <w:r>
        <w:rPr>
          <w:rFonts w:hint="eastAsia" w:cstheme="minorEastAsia"/>
          <w:sz w:val="24"/>
          <w:szCs w:val="24"/>
        </w:rPr>
        <w:fldChar w:fldCharType="separate"/>
      </w:r>
      <w:r>
        <w:rPr>
          <w:rFonts w:hint="eastAsia" w:cstheme="minorEastAsia"/>
          <w:sz w:val="24"/>
          <w:szCs w:val="24"/>
        </w:rPr>
        <w:t>（一）结合年度工作合理申报预算，完善绩效指标设置。</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_Toc4871 </w:instrText>
      </w:r>
      <w:r>
        <w:rPr>
          <w:rFonts w:hint="eastAsia" w:cstheme="minorEastAsia"/>
          <w:sz w:val="24"/>
          <w:szCs w:val="24"/>
        </w:rPr>
        <w:fldChar w:fldCharType="separate"/>
      </w:r>
      <w:r>
        <w:rPr>
          <w:rFonts w:hint="eastAsia" w:cstheme="minorEastAsia"/>
          <w:sz w:val="24"/>
          <w:szCs w:val="24"/>
        </w:rPr>
        <w:t>- 29 -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_Toc24273 </w:instrText>
      </w:r>
      <w:r>
        <w:rPr>
          <w:rFonts w:hint="eastAsia" w:cstheme="minorEastAsia"/>
          <w:sz w:val="24"/>
          <w:szCs w:val="24"/>
        </w:rPr>
        <w:fldChar w:fldCharType="separate"/>
      </w:r>
      <w:r>
        <w:rPr>
          <w:rFonts w:hint="eastAsia" w:cstheme="minorEastAsia"/>
          <w:sz w:val="24"/>
          <w:szCs w:val="24"/>
        </w:rPr>
        <w:t>（二）落实采购与验收有关规定，加强项目执行过程管理。</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_Toc24273 </w:instrText>
      </w:r>
      <w:r>
        <w:rPr>
          <w:rFonts w:hint="eastAsia" w:cstheme="minorEastAsia"/>
          <w:sz w:val="24"/>
          <w:szCs w:val="24"/>
        </w:rPr>
        <w:fldChar w:fldCharType="separate"/>
      </w:r>
      <w:r>
        <w:rPr>
          <w:rFonts w:hint="eastAsia" w:cstheme="minorEastAsia"/>
          <w:sz w:val="24"/>
          <w:szCs w:val="24"/>
        </w:rPr>
        <w:t>- 30 -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_Toc5761 </w:instrText>
      </w:r>
      <w:r>
        <w:rPr>
          <w:rFonts w:hint="eastAsia" w:cstheme="minorEastAsia"/>
          <w:sz w:val="24"/>
          <w:szCs w:val="24"/>
        </w:rPr>
        <w:fldChar w:fldCharType="separate"/>
      </w:r>
      <w:r>
        <w:rPr>
          <w:rFonts w:hint="eastAsia" w:cstheme="minorEastAsia"/>
          <w:sz w:val="24"/>
          <w:szCs w:val="24"/>
        </w:rPr>
        <w:t>（三）落实固定资产管理规定，及时履行盘点与报废手续。</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_Toc5761 </w:instrText>
      </w:r>
      <w:r>
        <w:rPr>
          <w:rFonts w:hint="eastAsia" w:cstheme="minorEastAsia"/>
          <w:sz w:val="24"/>
          <w:szCs w:val="24"/>
        </w:rPr>
        <w:fldChar w:fldCharType="separate"/>
      </w:r>
      <w:r>
        <w:rPr>
          <w:rFonts w:hint="eastAsia" w:cstheme="minorEastAsia"/>
          <w:sz w:val="24"/>
          <w:szCs w:val="24"/>
        </w:rPr>
        <w:t>- 30 -</w:t>
      </w:r>
      <w:r>
        <w:rPr>
          <w:rFonts w:hint="eastAsia" w:cstheme="minorEastAsia"/>
          <w:sz w:val="24"/>
          <w:szCs w:val="24"/>
        </w:rPr>
        <w:fldChar w:fldCharType="end"/>
      </w:r>
      <w:r>
        <w:rPr>
          <w:rFonts w:hint="eastAsia" w:cstheme="minorEastAsia"/>
          <w:sz w:val="24"/>
          <w:szCs w:val="24"/>
        </w:rPr>
        <w:fldChar w:fldCharType="end"/>
      </w:r>
    </w:p>
    <w:p>
      <w:pPr>
        <w:pStyle w:val="14"/>
        <w:tabs>
          <w:tab w:val="right" w:leader="dot" w:pos="8957"/>
        </w:tabs>
        <w:spacing w:line="480" w:lineRule="exact"/>
        <w:rPr>
          <w:rFonts w:hint="eastAsia" w:cstheme="minorEastAsia"/>
          <w:sz w:val="24"/>
          <w:szCs w:val="24"/>
        </w:rPr>
      </w:pPr>
      <w:r>
        <w:rPr>
          <w:rFonts w:hint="eastAsia" w:cstheme="minorEastAsia"/>
          <w:sz w:val="24"/>
          <w:szCs w:val="24"/>
        </w:rPr>
        <w:fldChar w:fldCharType="begin"/>
      </w:r>
      <w:r>
        <w:rPr>
          <w:rFonts w:hint="eastAsia" w:cstheme="minorEastAsia"/>
          <w:sz w:val="24"/>
          <w:szCs w:val="24"/>
        </w:rPr>
        <w:instrText xml:space="preserve"> HYPERLINK \l _Toc6655 </w:instrText>
      </w:r>
      <w:r>
        <w:rPr>
          <w:rFonts w:hint="eastAsia" w:cstheme="minorEastAsia"/>
          <w:sz w:val="24"/>
          <w:szCs w:val="24"/>
        </w:rPr>
        <w:fldChar w:fldCharType="separate"/>
      </w:r>
      <w:r>
        <w:rPr>
          <w:rFonts w:hint="eastAsia" w:cstheme="minorEastAsia"/>
          <w:sz w:val="24"/>
          <w:szCs w:val="24"/>
        </w:rPr>
        <w:t>（四）完善专项资金管理规定，明确项目资金使用范围。</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_Toc6655 </w:instrText>
      </w:r>
      <w:r>
        <w:rPr>
          <w:rFonts w:hint="eastAsia" w:cstheme="minorEastAsia"/>
          <w:sz w:val="24"/>
          <w:szCs w:val="24"/>
        </w:rPr>
        <w:fldChar w:fldCharType="separate"/>
      </w:r>
      <w:r>
        <w:rPr>
          <w:rFonts w:hint="eastAsia" w:cstheme="minorEastAsia"/>
          <w:sz w:val="24"/>
          <w:szCs w:val="24"/>
        </w:rPr>
        <w:t>- 31 -</w:t>
      </w:r>
      <w:r>
        <w:rPr>
          <w:rFonts w:hint="eastAsia" w:cstheme="minorEastAsia"/>
          <w:sz w:val="24"/>
          <w:szCs w:val="24"/>
        </w:rPr>
        <w:fldChar w:fldCharType="end"/>
      </w:r>
      <w:r>
        <w:rPr>
          <w:rFonts w:hint="eastAsia" w:cstheme="minorEastAsia"/>
          <w:sz w:val="24"/>
          <w:szCs w:val="24"/>
        </w:rPr>
        <w:fldChar w:fldCharType="end"/>
      </w:r>
    </w:p>
    <w:p>
      <w:pPr>
        <w:pStyle w:val="12"/>
        <w:tabs>
          <w:tab w:val="right" w:leader="dot" w:pos="8957"/>
          <w:tab w:val="clear" w:pos="8947"/>
        </w:tabs>
        <w:spacing w:line="480" w:lineRule="exact"/>
      </w:pPr>
      <w:r>
        <w:rPr>
          <w:rFonts w:hint="eastAsia" w:cstheme="minorEastAsia"/>
          <w:sz w:val="24"/>
          <w:szCs w:val="24"/>
        </w:rPr>
        <w:fldChar w:fldCharType="begin"/>
      </w:r>
      <w:r>
        <w:rPr>
          <w:rFonts w:hint="eastAsia" w:cstheme="minorEastAsia"/>
          <w:sz w:val="24"/>
          <w:szCs w:val="24"/>
        </w:rPr>
        <w:instrText xml:space="preserve"> HYPERLINK \l _Toc23752 </w:instrText>
      </w:r>
      <w:r>
        <w:rPr>
          <w:rFonts w:hint="eastAsia" w:cstheme="minorEastAsia"/>
          <w:sz w:val="24"/>
          <w:szCs w:val="24"/>
        </w:rPr>
        <w:fldChar w:fldCharType="separate"/>
      </w:r>
      <w:r>
        <w:rPr>
          <w:rFonts w:hint="eastAsia" w:cstheme="minorEastAsia"/>
          <w:sz w:val="24"/>
          <w:szCs w:val="24"/>
        </w:rPr>
        <w:t>附件</w:t>
      </w:r>
      <w:r>
        <w:rPr>
          <w:rFonts w:hint="eastAsia" w:cstheme="minorEastAsia"/>
          <w:sz w:val="24"/>
          <w:szCs w:val="24"/>
          <w:lang w:val="en-US" w:eastAsia="zh-CN"/>
        </w:rPr>
        <w:t>1</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_Toc23752 </w:instrText>
      </w:r>
      <w:r>
        <w:rPr>
          <w:rFonts w:hint="eastAsia" w:cstheme="minorEastAsia"/>
          <w:sz w:val="24"/>
          <w:szCs w:val="24"/>
        </w:rPr>
        <w:fldChar w:fldCharType="separate"/>
      </w:r>
      <w:r>
        <w:rPr>
          <w:rFonts w:hint="eastAsia" w:cstheme="minorEastAsia"/>
          <w:sz w:val="24"/>
          <w:szCs w:val="24"/>
        </w:rPr>
        <w:t>- 33 -</w:t>
      </w:r>
      <w:r>
        <w:rPr>
          <w:rFonts w:hint="eastAsia" w:cstheme="minorEastAsia"/>
          <w:sz w:val="24"/>
          <w:szCs w:val="24"/>
        </w:rPr>
        <w:fldChar w:fldCharType="end"/>
      </w:r>
      <w:r>
        <w:rPr>
          <w:rFonts w:hint="eastAsia" w:cstheme="minorEastAsia"/>
          <w:sz w:val="24"/>
          <w:szCs w:val="24"/>
        </w:rPr>
        <w:fldChar w:fldCharType="end"/>
      </w:r>
    </w:p>
    <w:p>
      <w:pPr>
        <w:pStyle w:val="12"/>
        <w:tabs>
          <w:tab w:val="right" w:leader="dot" w:pos="8957"/>
          <w:tab w:val="clear" w:pos="8947"/>
        </w:tabs>
        <w:spacing w:line="480" w:lineRule="exact"/>
      </w:pPr>
      <w:r>
        <w:rPr>
          <w:rFonts w:hint="eastAsia" w:cstheme="minorEastAsia"/>
          <w:sz w:val="24"/>
          <w:szCs w:val="24"/>
        </w:rPr>
        <w:fldChar w:fldCharType="end"/>
      </w:r>
      <w:r>
        <w:rPr>
          <w:rFonts w:hint="eastAsia" w:cstheme="minorEastAsia"/>
          <w:sz w:val="24"/>
          <w:szCs w:val="24"/>
        </w:rPr>
        <w:fldChar w:fldCharType="begin"/>
      </w:r>
      <w:r>
        <w:rPr>
          <w:rFonts w:hint="eastAsia" w:cstheme="minorEastAsia"/>
          <w:sz w:val="24"/>
          <w:szCs w:val="24"/>
        </w:rPr>
        <w:instrText xml:space="preserve"> HYPERLINK \l _Toc23752 </w:instrText>
      </w:r>
      <w:r>
        <w:rPr>
          <w:rFonts w:hint="eastAsia" w:cstheme="minorEastAsia"/>
          <w:sz w:val="24"/>
          <w:szCs w:val="24"/>
        </w:rPr>
        <w:fldChar w:fldCharType="separate"/>
      </w:r>
      <w:r>
        <w:rPr>
          <w:rFonts w:hint="eastAsia" w:cstheme="minorEastAsia"/>
          <w:sz w:val="24"/>
          <w:szCs w:val="24"/>
        </w:rPr>
        <w:t>附件</w:t>
      </w:r>
      <w:r>
        <w:rPr>
          <w:rFonts w:hint="eastAsia" w:cstheme="minorEastAsia"/>
          <w:sz w:val="24"/>
          <w:szCs w:val="24"/>
          <w:lang w:val="en-US" w:eastAsia="zh-CN"/>
        </w:rPr>
        <w:t>2</w:t>
      </w:r>
      <w:r>
        <w:rPr>
          <w:rFonts w:hint="eastAsia" w:cstheme="minorEastAsia"/>
          <w:sz w:val="24"/>
          <w:szCs w:val="24"/>
        </w:rPr>
        <w:tab/>
      </w:r>
      <w:r>
        <w:rPr>
          <w:rFonts w:hint="eastAsia" w:cstheme="minorEastAsia"/>
          <w:sz w:val="24"/>
          <w:szCs w:val="24"/>
        </w:rPr>
        <w:fldChar w:fldCharType="begin"/>
      </w:r>
      <w:r>
        <w:rPr>
          <w:rFonts w:hint="eastAsia" w:cstheme="minorEastAsia"/>
          <w:sz w:val="24"/>
          <w:szCs w:val="24"/>
        </w:rPr>
        <w:instrText xml:space="preserve"> PAGEREF _Toc23752 </w:instrText>
      </w:r>
      <w:r>
        <w:rPr>
          <w:rFonts w:hint="eastAsia" w:cstheme="minorEastAsia"/>
          <w:sz w:val="24"/>
          <w:szCs w:val="24"/>
        </w:rPr>
        <w:fldChar w:fldCharType="separate"/>
      </w:r>
      <w:r>
        <w:rPr>
          <w:rFonts w:hint="eastAsia" w:cstheme="minorEastAsia"/>
          <w:sz w:val="24"/>
          <w:szCs w:val="24"/>
        </w:rPr>
        <w:t>- 33 -</w:t>
      </w:r>
      <w:r>
        <w:rPr>
          <w:rFonts w:hint="eastAsia" w:cstheme="minorEastAsia"/>
          <w:sz w:val="24"/>
          <w:szCs w:val="24"/>
        </w:rPr>
        <w:fldChar w:fldCharType="end"/>
      </w:r>
      <w:r>
        <w:rPr>
          <w:rFonts w:hint="eastAsia" w:cstheme="minorEastAsia"/>
          <w:sz w:val="24"/>
          <w:szCs w:val="24"/>
        </w:rPr>
        <w:fldChar w:fldCharType="end"/>
      </w:r>
    </w:p>
    <w:p>
      <w:pPr>
        <w:pStyle w:val="12"/>
        <w:spacing w:line="480" w:lineRule="exact"/>
        <w:rPr>
          <w:rFonts w:hint="eastAsia" w:cstheme="minorEastAsia"/>
          <w:sz w:val="24"/>
          <w:szCs w:val="24"/>
        </w:rPr>
      </w:pPr>
    </w:p>
    <w:p>
      <w:pPr>
        <w:ind w:firstLine="640"/>
        <w:sectPr>
          <w:footerReference r:id="rId11" w:type="default"/>
          <w:footerReference r:id="rId12" w:type="even"/>
          <w:pgSz w:w="11906" w:h="16838"/>
          <w:pgMar w:top="1440" w:right="1418" w:bottom="1440" w:left="1531" w:header="851" w:footer="992" w:gutter="0"/>
          <w:pgNumType w:fmt="numberInDash"/>
          <w:cols w:space="425" w:num="1"/>
          <w:docGrid w:type="linesAndChars" w:linePitch="312" w:charSpace="0"/>
        </w:sectPr>
      </w:pPr>
    </w:p>
    <w:p>
      <w:pPr>
        <w:ind w:firstLine="640" w:firstLineChars="200"/>
      </w:pPr>
      <w:r>
        <w:rPr>
          <w:rFonts w:hint="eastAsia"/>
        </w:rPr>
        <w:t>为贯彻落实党的十九大关于“全面实施绩效管理”重要战略部署，</w:t>
      </w:r>
      <w:r>
        <w:rPr>
          <w:rFonts w:hint="eastAsia"/>
          <w:lang w:eastAsia="zh-CN"/>
        </w:rPr>
        <w:t>提高</w:t>
      </w:r>
      <w:r>
        <w:rPr>
          <w:rFonts w:hint="eastAsia"/>
        </w:rPr>
        <w:t>财政资金使用效益，根据《韶关市市级全面实施预算绩效管理工作方案（</w:t>
      </w:r>
      <w:r>
        <w:t>2019-2022年）》（韶府办〔2019〕36号），</w:t>
      </w:r>
      <w:r>
        <w:rPr>
          <w:rFonts w:hint="eastAsia"/>
        </w:rPr>
        <w:t>韶关市财政局（以下简称“市财政局”）组织</w:t>
      </w:r>
      <w:r>
        <w:t>委托广东国众联行资产评估土地房地产估价规划咨询有限公司（以下简称</w:t>
      </w:r>
      <w:r>
        <w:rPr>
          <w:rFonts w:hint="eastAsia"/>
        </w:rPr>
        <w:t>“第三方</w:t>
      </w:r>
      <w:r>
        <w:t>机构</w:t>
      </w:r>
      <w:r>
        <w:rPr>
          <w:rFonts w:hint="eastAsia"/>
        </w:rPr>
        <w:t>”）</w:t>
      </w:r>
      <w:r>
        <w:t>对</w:t>
      </w:r>
      <w:r>
        <w:rPr>
          <w:rFonts w:hint="eastAsia"/>
        </w:rPr>
        <w:t>韶关市应急管理局</w:t>
      </w:r>
      <w:r>
        <w:t>（以下简称</w:t>
      </w:r>
      <w:r>
        <w:rPr>
          <w:rFonts w:hint="eastAsia"/>
        </w:rPr>
        <w:t>“市应急局”</w:t>
      </w:r>
      <w:r>
        <w:t>）202</w:t>
      </w:r>
      <w:r>
        <w:rPr>
          <w:rFonts w:hint="eastAsia"/>
        </w:rPr>
        <w:t>1</w:t>
      </w:r>
      <w:r>
        <w:t>年度部门整体支出履职效益情况开展绩效评价。</w:t>
      </w:r>
      <w:r>
        <w:rPr>
          <w:rFonts w:hint="eastAsia"/>
        </w:rPr>
        <w:t>评价具体情况如下：</w:t>
      </w:r>
    </w:p>
    <w:p>
      <w:pPr>
        <w:pStyle w:val="2"/>
        <w:ind w:firstLine="640"/>
      </w:pPr>
      <w:bookmarkStart w:id="0" w:name="_Toc120887963"/>
      <w:bookmarkStart w:id="1" w:name="_Toc17369"/>
      <w:bookmarkStart w:id="2" w:name="_Toc2949"/>
      <w:r>
        <w:rPr>
          <w:rFonts w:hint="eastAsia"/>
        </w:rPr>
        <w:t>一、部门基本情况</w:t>
      </w:r>
      <w:bookmarkEnd w:id="0"/>
      <w:bookmarkEnd w:id="1"/>
      <w:bookmarkEnd w:id="2"/>
    </w:p>
    <w:p>
      <w:pPr>
        <w:pStyle w:val="3"/>
        <w:ind w:firstLine="640"/>
      </w:pPr>
      <w:bookmarkStart w:id="3" w:name="_Toc13191"/>
      <w:bookmarkStart w:id="4" w:name="_Toc120887964"/>
      <w:bookmarkStart w:id="5" w:name="_Toc18047"/>
      <w:r>
        <w:rPr>
          <w:rFonts w:hint="eastAsia"/>
        </w:rPr>
        <w:t>（一）</w:t>
      </w:r>
      <w:r>
        <w:t>部门概要。</w:t>
      </w:r>
      <w:bookmarkEnd w:id="3"/>
      <w:bookmarkEnd w:id="4"/>
      <w:bookmarkEnd w:id="5"/>
    </w:p>
    <w:p>
      <w:pPr>
        <w:pStyle w:val="4"/>
        <w:ind w:firstLine="643"/>
      </w:pPr>
      <w:r>
        <w:t>1.部门主要</w:t>
      </w:r>
      <w:r>
        <w:rPr>
          <w:rFonts w:hint="eastAsia"/>
        </w:rPr>
        <w:t>职责</w:t>
      </w:r>
    </w:p>
    <w:p>
      <w:pPr>
        <w:ind w:firstLine="640"/>
      </w:pPr>
      <w:r>
        <w:rPr>
          <w:rFonts w:hint="eastAsia"/>
        </w:rPr>
        <w:t>市应急局主要职责包括</w:t>
      </w:r>
      <w:r>
        <w:rPr>
          <w:rFonts w:hint="eastAsia"/>
          <w:lang w:eastAsia="zh-CN"/>
        </w:rPr>
        <w:t>：</w:t>
      </w:r>
      <w:r>
        <w:rPr>
          <w:rFonts w:hint="eastAsia"/>
        </w:rPr>
        <w:t>指导韶关市各地区部门对安生产类、自然灾害等突发事件和综合防减救工作；拟定应急管理、安全生产等政策；统筹全市应急预案体系建设，牵头建立统一的应急管理信息系统；组织指导应对突发事件工作，建立应急协调联动机制；指导消防监督、火灾预防、火灾扑救等工作，协调森林火灾、水旱灾害、冰冻、台风、地震和地质灾害等防治工作。</w:t>
      </w:r>
    </w:p>
    <w:p>
      <w:pPr>
        <w:pStyle w:val="4"/>
        <w:ind w:firstLine="643"/>
      </w:pPr>
      <w:r>
        <w:rPr>
          <w:rFonts w:hint="eastAsia"/>
        </w:rPr>
        <w:t>2</w:t>
      </w:r>
      <w:r>
        <w:t>.部门内设机构</w:t>
      </w:r>
      <w:r>
        <w:rPr>
          <w:rFonts w:hint="eastAsia"/>
        </w:rPr>
        <w:t>、</w:t>
      </w:r>
      <w:r>
        <w:t>下属机构及人员编制构成情况</w:t>
      </w:r>
    </w:p>
    <w:p>
      <w:pPr>
        <w:ind w:firstLine="640"/>
      </w:pPr>
      <w:r>
        <w:rPr>
          <w:rFonts w:hint="eastAsia"/>
        </w:rPr>
        <w:t>市应急局内设14</w:t>
      </w:r>
      <w:r>
        <w:t>个</w:t>
      </w:r>
      <w:r>
        <w:rPr>
          <w:rFonts w:hint="eastAsia"/>
        </w:rPr>
        <w:t>科室</w:t>
      </w:r>
      <w:r>
        <w:t>，</w:t>
      </w:r>
      <w:r>
        <w:rPr>
          <w:rFonts w:hint="eastAsia"/>
        </w:rPr>
        <w:t>行政编制55名；下设韶关市矿山救护队（韶关市安全生产宣传教育中心）</w:t>
      </w:r>
      <w:r>
        <w:t>1个下属单位，事业编制</w:t>
      </w:r>
      <w:r>
        <w:rPr>
          <w:rFonts w:hint="eastAsia"/>
        </w:rPr>
        <w:t>14</w:t>
      </w:r>
      <w:r>
        <w:t>名</w:t>
      </w:r>
      <w:r>
        <w:rPr>
          <w:rFonts w:hint="eastAsia"/>
        </w:rPr>
        <w:t>。2021年市应急局</w:t>
      </w:r>
      <w:r>
        <w:t>实有在职人员</w:t>
      </w:r>
      <w:r>
        <w:rPr>
          <w:rFonts w:hint="eastAsia"/>
        </w:rPr>
        <w:t>65</w:t>
      </w:r>
      <w:r>
        <w:t>人</w:t>
      </w:r>
      <w:r>
        <w:rPr>
          <w:rFonts w:hint="eastAsia"/>
        </w:rPr>
        <w:t>，</w:t>
      </w:r>
      <w:r>
        <w:t>其中行政人员</w:t>
      </w:r>
      <w:r>
        <w:rPr>
          <w:rFonts w:hint="eastAsia"/>
        </w:rPr>
        <w:t>52人，事业单位13人。</w:t>
      </w:r>
    </w:p>
    <w:p>
      <w:pPr>
        <w:pStyle w:val="3"/>
        <w:ind w:firstLine="640"/>
      </w:pPr>
      <w:bookmarkStart w:id="6" w:name="_Toc14989"/>
      <w:bookmarkStart w:id="7" w:name="_Toc15615"/>
      <w:bookmarkStart w:id="8" w:name="_Toc120887965"/>
      <w:r>
        <w:rPr>
          <w:rFonts w:hint="eastAsia"/>
        </w:rPr>
        <w:t>（二）</w:t>
      </w:r>
      <w:r>
        <w:t>年度总体工作任务及重点工作任务。</w:t>
      </w:r>
      <w:bookmarkEnd w:id="6"/>
      <w:bookmarkEnd w:id="7"/>
      <w:bookmarkEnd w:id="8"/>
    </w:p>
    <w:p>
      <w:pPr>
        <w:pStyle w:val="4"/>
        <w:ind w:firstLine="643"/>
      </w:pPr>
      <w:r>
        <w:t>1.部门年度总体工作任务</w:t>
      </w:r>
    </w:p>
    <w:p>
      <w:pPr>
        <w:ind w:firstLine="640"/>
      </w:pPr>
      <w:r>
        <w:rPr>
          <w:rFonts w:hint="eastAsia"/>
        </w:rPr>
        <w:t>2021年市应急局年度总体工作任务包括：</w:t>
      </w:r>
      <w:r>
        <w:rPr>
          <w:b/>
        </w:rPr>
        <w:t>一是</w:t>
      </w:r>
      <w:r>
        <w:rPr>
          <w:rFonts w:hint="eastAsia"/>
        </w:rPr>
        <w:t>加强应急管理培训，提升应急意识和能力，加强安全生产人员培训监管；</w:t>
      </w:r>
      <w:r>
        <w:rPr>
          <w:rFonts w:hint="eastAsia"/>
          <w:b/>
        </w:rPr>
        <w:t>二是</w:t>
      </w:r>
      <w:r>
        <w:rPr>
          <w:rFonts w:hint="eastAsia"/>
        </w:rPr>
        <w:t>加强应急管理宣传，营造良好氛围，充分利用全国安全生产月等时间节点，开展防灾减灾宣传教育；</w:t>
      </w:r>
      <w:r>
        <w:rPr>
          <w:rFonts w:hint="eastAsia"/>
          <w:b/>
        </w:rPr>
        <w:t>三是</w:t>
      </w:r>
      <w:r>
        <w:rPr>
          <w:rFonts w:hint="eastAsia"/>
        </w:rPr>
        <w:t>建设应急管理信息系统，做好信息传输与共享，做好节假日和特殊防护期的值班值守和信息报送工作。2021年度市应急局总体工作任务有10项（详见表1-1）。</w:t>
      </w:r>
    </w:p>
    <w:p>
      <w:pPr>
        <w:pStyle w:val="8"/>
        <w:keepNext/>
        <w:spacing w:before="0" w:beforeLines="0" w:line="440" w:lineRule="exact"/>
        <w:rPr>
          <w:rFonts w:cs="Times New Roman" w:asciiTheme="minorEastAsia" w:hAnsiTheme="minorEastAsia" w:eastAsiaTheme="minorEastAsia"/>
          <w:b/>
        </w:rPr>
      </w:pPr>
      <w:r>
        <w:rPr>
          <w:rFonts w:hint="eastAsia" w:cs="Times New Roman" w:asciiTheme="minorEastAsia" w:hAnsiTheme="minorEastAsia" w:eastAsiaTheme="minorEastAsia"/>
          <w:b/>
        </w:rPr>
        <w:t>表1-1 2021年总体工作完成情况表</w:t>
      </w:r>
    </w:p>
    <w:tbl>
      <w:tblPr>
        <w:tblStyle w:val="20"/>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55"/>
        <w:gridCol w:w="2580"/>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blHeader/>
        </w:trPr>
        <w:tc>
          <w:tcPr>
            <w:tcW w:w="647" w:type="dxa"/>
            <w:vAlign w:val="center"/>
          </w:tcPr>
          <w:p>
            <w:pPr>
              <w:widowControl/>
              <w:adjustRightInd w:val="0"/>
              <w:snapToGrid w:val="0"/>
              <w:spacing w:beforeLines="0" w:line="440" w:lineRule="exact"/>
              <w:ind w:left="64" w:leftChars="20" w:right="64" w:rightChars="20" w:firstLine="0" w:firstLineChars="0"/>
              <w:jc w:val="center"/>
              <w:textAlignment w:val="center"/>
              <w:rPr>
                <w:rFonts w:cs="仿宋_GB2312" w:asciiTheme="minorEastAsia" w:hAnsiTheme="minorEastAsia" w:eastAsiaTheme="minorEastAsia"/>
                <w:b/>
                <w:bCs/>
                <w:kern w:val="0"/>
                <w:sz w:val="21"/>
                <w:szCs w:val="21"/>
                <w:lang w:bidi="ar"/>
              </w:rPr>
            </w:pPr>
            <w:r>
              <w:rPr>
                <w:rFonts w:cs="仿宋_GB2312" w:asciiTheme="minorEastAsia" w:hAnsiTheme="minorEastAsia" w:eastAsiaTheme="minorEastAsia"/>
                <w:b/>
                <w:bCs/>
                <w:kern w:val="0"/>
                <w:sz w:val="21"/>
                <w:szCs w:val="21"/>
                <w:lang w:bidi="ar"/>
              </w:rPr>
              <w:t>序号</w:t>
            </w:r>
          </w:p>
        </w:tc>
        <w:tc>
          <w:tcPr>
            <w:tcW w:w="1355" w:type="dxa"/>
            <w:vAlign w:val="center"/>
          </w:tcPr>
          <w:p>
            <w:pPr>
              <w:widowControl/>
              <w:adjustRightInd w:val="0"/>
              <w:snapToGrid w:val="0"/>
              <w:spacing w:beforeLines="0" w:line="440" w:lineRule="exact"/>
              <w:ind w:left="64" w:leftChars="20" w:right="64" w:rightChars="20" w:firstLine="0" w:firstLineChars="0"/>
              <w:jc w:val="center"/>
              <w:textAlignment w:val="center"/>
              <w:rPr>
                <w:rFonts w:cs="仿宋_GB2312" w:asciiTheme="minorEastAsia" w:hAnsiTheme="minorEastAsia" w:eastAsiaTheme="minorEastAsia"/>
                <w:b/>
                <w:bCs/>
                <w:kern w:val="0"/>
                <w:sz w:val="21"/>
                <w:szCs w:val="21"/>
                <w:lang w:bidi="ar"/>
              </w:rPr>
            </w:pPr>
            <w:r>
              <w:rPr>
                <w:rFonts w:hint="eastAsia" w:cs="仿宋_GB2312" w:asciiTheme="minorEastAsia" w:hAnsiTheme="minorEastAsia" w:eastAsiaTheme="minorEastAsia"/>
                <w:b/>
                <w:bCs/>
                <w:kern w:val="0"/>
                <w:sz w:val="21"/>
                <w:szCs w:val="21"/>
                <w:lang w:bidi="ar"/>
              </w:rPr>
              <w:t>年度履职</w:t>
            </w:r>
          </w:p>
          <w:p>
            <w:pPr>
              <w:widowControl/>
              <w:adjustRightInd w:val="0"/>
              <w:snapToGrid w:val="0"/>
              <w:spacing w:beforeLines="0" w:line="440" w:lineRule="exact"/>
              <w:ind w:left="64" w:leftChars="20" w:right="64" w:rightChars="20" w:firstLine="0" w:firstLineChars="0"/>
              <w:jc w:val="center"/>
              <w:textAlignment w:val="center"/>
              <w:rPr>
                <w:rFonts w:cs="仿宋_GB2312" w:asciiTheme="minorEastAsia" w:hAnsiTheme="minorEastAsia" w:eastAsiaTheme="minorEastAsia"/>
                <w:b/>
                <w:bCs/>
                <w:kern w:val="0"/>
                <w:sz w:val="21"/>
                <w:szCs w:val="21"/>
                <w:lang w:bidi="ar"/>
              </w:rPr>
            </w:pPr>
            <w:r>
              <w:rPr>
                <w:rFonts w:hint="eastAsia" w:cs="仿宋_GB2312" w:asciiTheme="minorEastAsia" w:hAnsiTheme="minorEastAsia" w:eastAsiaTheme="minorEastAsia"/>
                <w:b/>
                <w:bCs/>
                <w:kern w:val="0"/>
                <w:sz w:val="21"/>
                <w:szCs w:val="21"/>
                <w:lang w:bidi="ar"/>
              </w:rPr>
              <w:t>总体工作</w:t>
            </w:r>
          </w:p>
        </w:tc>
        <w:tc>
          <w:tcPr>
            <w:tcW w:w="2580" w:type="dxa"/>
            <w:vAlign w:val="center"/>
          </w:tcPr>
          <w:p>
            <w:pPr>
              <w:widowControl/>
              <w:adjustRightInd w:val="0"/>
              <w:snapToGrid w:val="0"/>
              <w:spacing w:beforeLines="0" w:line="440" w:lineRule="exact"/>
              <w:ind w:left="64" w:leftChars="20" w:right="64" w:rightChars="20" w:firstLine="0" w:firstLineChars="0"/>
              <w:jc w:val="center"/>
              <w:textAlignment w:val="center"/>
              <w:rPr>
                <w:rFonts w:cs="仿宋_GB2312" w:asciiTheme="minorEastAsia" w:hAnsiTheme="minorEastAsia" w:eastAsiaTheme="minorEastAsia"/>
                <w:b/>
                <w:bCs/>
                <w:kern w:val="0"/>
                <w:sz w:val="21"/>
                <w:szCs w:val="21"/>
                <w:lang w:bidi="ar"/>
              </w:rPr>
            </w:pPr>
            <w:r>
              <w:rPr>
                <w:rFonts w:cs="仿宋_GB2312" w:asciiTheme="minorEastAsia" w:hAnsiTheme="minorEastAsia" w:eastAsiaTheme="minorEastAsia"/>
                <w:b/>
                <w:bCs/>
                <w:kern w:val="0"/>
                <w:sz w:val="21"/>
                <w:szCs w:val="21"/>
                <w:lang w:bidi="ar"/>
              </w:rPr>
              <w:t>细化目标</w:t>
            </w:r>
          </w:p>
        </w:tc>
        <w:tc>
          <w:tcPr>
            <w:tcW w:w="4636" w:type="dxa"/>
            <w:vAlign w:val="center"/>
          </w:tcPr>
          <w:p>
            <w:pPr>
              <w:widowControl/>
              <w:adjustRightInd w:val="0"/>
              <w:snapToGrid w:val="0"/>
              <w:spacing w:beforeLines="0" w:line="440" w:lineRule="exact"/>
              <w:ind w:left="64" w:leftChars="20" w:right="64" w:rightChars="20" w:firstLine="0" w:firstLineChars="0"/>
              <w:jc w:val="center"/>
              <w:textAlignment w:val="center"/>
              <w:rPr>
                <w:rFonts w:cs="仿宋_GB2312" w:asciiTheme="minorEastAsia" w:hAnsiTheme="minorEastAsia" w:eastAsiaTheme="minorEastAsia"/>
                <w:b/>
                <w:bCs/>
                <w:kern w:val="0"/>
                <w:sz w:val="21"/>
                <w:szCs w:val="21"/>
                <w:lang w:bidi="ar"/>
              </w:rPr>
            </w:pPr>
            <w:r>
              <w:rPr>
                <w:rFonts w:cs="仿宋_GB2312" w:asciiTheme="minorEastAsia" w:hAnsiTheme="minorEastAsia" w:eastAsiaTheme="minorEastAsia"/>
                <w:b/>
                <w:bCs/>
                <w:kern w:val="0"/>
                <w:sz w:val="21"/>
                <w:szCs w:val="21"/>
                <w:lang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组织编制市应急体系规划</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制定“十四五”应急管理规划。</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2021年12月市应急局提请市政府常务会议审议《韶关市应急管理“十四五”规划（送审稿）》。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指导协调各县（市、区）政府和相关市直部门履行安全生产监督管理职责</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1.印发《韶关市安委会2021年工作要点》；</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2.继续推进《韶关市安全生产专项整治三年行动》。</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2021年6月印发《韶关市安全生产委员会2021年工作要点》，持续开展全市安全生产专项整治三年行动，制定重点攻坚任务路线图。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组织指导、协调各地森林防灭火工作</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1.组织开展森林火灾隐患排查；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2.开展森林特别防护期专项检查；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3.组织森林火灾扑救演练。</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1.2021年3月至5月组织10个检查组对镇、村开展森林防灭火工作检查；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2.组织县（市、区）应急、林业系统及乡镇（街道）参与培训会，开展森林火灾风险隐患排查工作，排查出18533个森林火险隐患点；</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3.组织韶关市森防办各成员单位2021年8月在韶关市曲江林场山子背工区开展2021年市区森林火灾处置应急演练。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指导协调水旱灾害、冰冻、台风灾害等防治工作，组织协调冰冻、台风防御工作</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1.印发实施《韶关市防御低温冰冻灾害工作实施方案（试行）》的通知、《关于进一步做好低温冰冻灾害防御工作的通知》；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2.组织开展汛前防汛安全大检查；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3.组织签订防汛安全责任书；</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4.加强三防会商，做好通告（预警）工作，印发三防工作简报。</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1.2021年1月印发《关于进一步做好低温冰冻灾害防御工作的通知》《韶关市防御低温冰冻灾害工作方案（试行）》；</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2.2021年3月开展了汛前防汛安全准备工作专项检查并通报相关结果；</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3.2021年4月印发《关于组织逐级签订防汛工作责任书的通知》，5月组织市、县、镇、村、组三防责任人更新和防汛安全责任书签订；</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4.组织有关成员单位开展会商研判11次，发布预警通告11份，印发三防简报22份。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提升全市地震和地质灾害救援能力</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1.与省地震局第三地质大队建立抗震救灾联动机制；</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2.联合市自然资源局指导协调在浈江区乐园镇六合村地质灾害应急演练；</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3.指导协调在曲江区樟市镇开展地质灾害应急演练。</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1.2021年2月印发《韶关市应急管理局 广东省地质局第三地质大队抗震救灾协同联动工作机制》；</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2.在浈江区、曲江区分别组织开展了地质灾害应急演练。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开展全市医药化工企业和危险化学品生产储存企业安全隐患排查整治工作</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制定下发《关于开展全市医药化工企业和危险化学品生产储存企业安全隐患排查整治工作的通知》（韶应急〔2021〕30号），并组织实施。</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关于开展全市医药化工企业和危险化学品生产储存企业安全隐患排查整治工作的通知》(韶应急〔2021〕30号)要求，组织开展医药化工企业和危险化学品生产储存企业安全隐患排查整治，共检查企业154家，发现隐患1254处,其中重大隐患6处，停产整顿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组织开展非煤矿山及尾矿库汛期安全生产专项整治工作</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1.开展非煤矿山爆破安全专项执法检查；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2.深入开展非煤矿山安全生产专项检查；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3.开展非煤矿山外包工程专项检查；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4.开展尾矿库汛期安全生产检查。</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1.完成了非煤矿山及地质勘探项目（坑探）联合执法检查，并督促武江区、曲江区的公安、应急管理部门对需整改的企业跟踪落实整改情况；</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2.组织各县区开展非煤矿山安全生产专项检查，督促企业开展自查自纠工作。</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3.2021年4月至5月组织完成非煤矿山外包工程安全管理专项检查工作；</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4.组织县区督促有关尾矿库企业开展自查自纠，对尾矿库进行全覆盖检查，检查结果纳入非煤矿山安全生产专项整治三年行动“一图两清单”。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开展钢铁企业安全生产专项整治</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1.开展钢铁行业“回头看”专项检查；</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2.聘请行业专家深入全市钢铁行业开展隐患排查。</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展钢铁行业“回头看”专项检查，聘请行业专家深入全市钢铁行业开展隐患排查，检查宝武集团中南钢铁有限公司（韶钢松山）、广东韶钢松山股份有限公司、广东粤韶钢铁有限公司、韶关市宏德热轧带钢有限公司等 企业，并出具安全生产行政执法文书（现场检查记录）与钢铁企业安全生产检查情况表等。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开展工贸行业有限空间专项整治</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1.进一步深刻吸取汕尾5·1有限空间事故教训强化涉及超纯水处理系统工艺企业有限空间管理工作；</w:t>
            </w:r>
          </w:p>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2.深入开展、持续推进涉有限空间作业企业专项执法检查（整治）工作，积极探索结合信息化手段，充分应用省工矿商贸隐患排查基础信息系统。</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展有限空间作业安全专项整治，推进工贸行业全面开展自查自纠，排查整治事故隐患。2021年组织市（县）两级共检查涉有限空间企业73家次，排查隐患95项，现场督促企业加强有限空间作业场所安全意识，规范有限空间行业作业流程，切实提高对各工贸行业企业的有限空间的辨识危险源，落实管控措施，遏制有限空间作业生产安全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Align w:val="center"/>
          </w:tcPr>
          <w:p>
            <w:pPr>
              <w:widowControl/>
              <w:adjustRightInd w:val="0"/>
              <w:snapToGrid w:val="0"/>
              <w:spacing w:line="240" w:lineRule="auto"/>
              <w:ind w:left="64" w:leftChars="20" w:right="64" w:rightChars="2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355"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开展非煤矿山、工贸企业安全生产执法检查</w:t>
            </w:r>
          </w:p>
        </w:tc>
        <w:tc>
          <w:tcPr>
            <w:tcW w:w="2580"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制定韶关市应急管理局2021年安全生产监管检查计划并组织实施。</w:t>
            </w:r>
          </w:p>
        </w:tc>
        <w:tc>
          <w:tcPr>
            <w:tcW w:w="4636" w:type="dxa"/>
            <w:vAlign w:val="center"/>
          </w:tcPr>
          <w:p>
            <w:pPr>
              <w:widowControl/>
              <w:adjustRightInd w:val="0"/>
              <w:snapToGrid w:val="0"/>
              <w:spacing w:line="240" w:lineRule="auto"/>
              <w:ind w:left="64" w:leftChars="20" w:right="64" w:rightChars="2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2021年1月印发《韶关市应急管理局2021年度安全生产监督检查计划》，开展了冶金行业、金属非金属地下矿山、有色行业、涉爆粉尘行业企业日常执法检查；开展了执法警示行动与安全生产明查暗访专项执法行动。</w:t>
            </w:r>
          </w:p>
        </w:tc>
      </w:tr>
    </w:tbl>
    <w:p>
      <w:pPr>
        <w:pStyle w:val="4"/>
        <w:ind w:firstLine="0" w:firstLineChars="0"/>
      </w:pPr>
      <w:r>
        <w:rPr>
          <w:rFonts w:hint="eastAsia"/>
          <w:lang w:val="en-US" w:eastAsia="zh-CN"/>
        </w:rPr>
        <w:t xml:space="preserve">    </w:t>
      </w:r>
      <w:r>
        <w:t>2.</w:t>
      </w:r>
      <w:r>
        <w:rPr>
          <w:rFonts w:hint="eastAsia"/>
        </w:rPr>
        <w:t>部门重点工作任务</w:t>
      </w:r>
    </w:p>
    <w:p>
      <w:pPr>
        <w:ind w:firstLine="640"/>
      </w:pPr>
      <w:r>
        <w:t>2021年市应急局年度重点工作</w:t>
      </w:r>
      <w:r>
        <w:rPr>
          <w:rFonts w:hint="eastAsia"/>
          <w:lang w:eastAsia="zh-CN"/>
        </w:rPr>
        <w:t>任务共</w:t>
      </w:r>
      <w:r>
        <w:rPr>
          <w:rFonts w:hint="eastAsia"/>
        </w:rPr>
        <w:t>有</w:t>
      </w:r>
      <w:r>
        <w:t>2项</w:t>
      </w:r>
      <w:r>
        <w:rPr>
          <w:rFonts w:hint="eastAsia"/>
        </w:rPr>
        <w:t>（</w:t>
      </w:r>
      <w:r>
        <w:t>详见表</w:t>
      </w:r>
      <w:r>
        <w:rPr>
          <w:rFonts w:hint="eastAsia"/>
        </w:rPr>
        <w:t>1-2）</w:t>
      </w:r>
      <w:r>
        <w:t>。</w:t>
      </w:r>
    </w:p>
    <w:p>
      <w:pPr>
        <w:ind w:firstLine="0" w:firstLineChars="0"/>
        <w:jc w:val="center"/>
        <w:rPr>
          <w:rFonts w:asciiTheme="minorEastAsia" w:hAnsiTheme="minorEastAsia" w:eastAsiaTheme="minorEastAsia"/>
          <w:b/>
          <w:szCs w:val="28"/>
        </w:rPr>
      </w:pPr>
      <w:r>
        <w:rPr>
          <w:rFonts w:hint="eastAsia" w:asciiTheme="minorEastAsia" w:hAnsiTheme="minorEastAsia" w:eastAsiaTheme="minorEastAsia"/>
          <w:b/>
          <w:sz w:val="28"/>
          <w:szCs w:val="28"/>
        </w:rPr>
        <w:t>表</w:t>
      </w:r>
      <w:r>
        <w:rPr>
          <w:rFonts w:asciiTheme="minorEastAsia" w:hAnsiTheme="minorEastAsia" w:eastAsiaTheme="minorEastAsia"/>
          <w:b/>
          <w:sz w:val="28"/>
          <w:szCs w:val="28"/>
        </w:rPr>
        <w:t>1-2   2021年</w:t>
      </w:r>
      <w:r>
        <w:rPr>
          <w:rFonts w:hint="eastAsia" w:asciiTheme="minorEastAsia" w:hAnsiTheme="minorEastAsia" w:eastAsiaTheme="minorEastAsia"/>
          <w:b/>
          <w:sz w:val="28"/>
          <w:szCs w:val="28"/>
        </w:rPr>
        <w:t>市应急局重点工作任务完成情况表</w:t>
      </w:r>
    </w:p>
    <w:tbl>
      <w:tblPr>
        <w:tblStyle w:val="19"/>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215"/>
        <w:gridCol w:w="3346"/>
        <w:gridCol w:w="88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tblHeader/>
          <w:jc w:val="center"/>
        </w:trPr>
        <w:tc>
          <w:tcPr>
            <w:tcW w:w="651"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jc w:val="center"/>
              <w:textAlignment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kern w:val="0"/>
                <w:sz w:val="21"/>
                <w:szCs w:val="21"/>
                <w:lang w:bidi="ar"/>
              </w:rPr>
              <w:t>序号</w:t>
            </w:r>
          </w:p>
        </w:tc>
        <w:tc>
          <w:tcPr>
            <w:tcW w:w="1215"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jc w:val="center"/>
              <w:textAlignment w:val="center"/>
              <w:rPr>
                <w:rFonts w:hint="eastAsia" w:cs="仿宋_GB2312" w:asciiTheme="minorEastAsia" w:hAnsiTheme="minorEastAsia" w:eastAsiaTheme="minorEastAsia"/>
                <w:b/>
                <w:bCs/>
                <w:kern w:val="0"/>
                <w:sz w:val="21"/>
                <w:szCs w:val="21"/>
                <w:lang w:val="en-US" w:eastAsia="zh-CN" w:bidi="ar"/>
              </w:rPr>
            </w:pPr>
            <w:r>
              <w:rPr>
                <w:rFonts w:hint="eastAsia" w:cs="仿宋_GB2312" w:asciiTheme="minorEastAsia" w:hAnsiTheme="minorEastAsia" w:eastAsiaTheme="minorEastAsia"/>
                <w:b/>
                <w:bCs/>
                <w:kern w:val="0"/>
                <w:sz w:val="21"/>
                <w:szCs w:val="21"/>
                <w:lang w:bidi="ar"/>
              </w:rPr>
              <w:t>重点工作</w:t>
            </w:r>
            <w:r>
              <w:rPr>
                <w:rFonts w:hint="eastAsia" w:cs="仿宋_GB2312" w:asciiTheme="minorEastAsia" w:hAnsiTheme="minorEastAsia" w:eastAsiaTheme="minorEastAsia"/>
                <w:b/>
                <w:bCs/>
                <w:kern w:val="0"/>
                <w:sz w:val="21"/>
                <w:szCs w:val="21"/>
                <w:lang w:val="en-US" w:eastAsia="zh-CN" w:bidi="ar"/>
              </w:rPr>
              <w:t xml:space="preserve"> </w:t>
            </w:r>
          </w:p>
          <w:p>
            <w:pPr>
              <w:widowControl/>
              <w:adjustRightInd w:val="0"/>
              <w:snapToGrid w:val="0"/>
              <w:spacing w:line="240" w:lineRule="auto"/>
              <w:ind w:left="64" w:leftChars="20" w:right="64" w:rightChars="20" w:firstLine="0" w:firstLineChars="0"/>
              <w:jc w:val="center"/>
              <w:textAlignment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kern w:val="0"/>
                <w:sz w:val="21"/>
                <w:szCs w:val="21"/>
                <w:lang w:bidi="ar"/>
              </w:rPr>
              <w:t>内容</w:t>
            </w:r>
          </w:p>
        </w:tc>
        <w:tc>
          <w:tcPr>
            <w:tcW w:w="3346"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jc w:val="center"/>
              <w:textAlignment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kern w:val="0"/>
                <w:sz w:val="21"/>
                <w:szCs w:val="21"/>
                <w:lang w:bidi="ar"/>
              </w:rPr>
              <w:t>重点工作细化目标</w:t>
            </w:r>
          </w:p>
        </w:tc>
        <w:tc>
          <w:tcPr>
            <w:tcW w:w="885"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jc w:val="center"/>
              <w:textAlignment w:val="center"/>
              <w:rPr>
                <w:rFonts w:cs="仿宋_GB2312" w:asciiTheme="minorEastAsia" w:hAnsiTheme="minorEastAsia" w:eastAsiaTheme="minorEastAsia"/>
                <w:b/>
                <w:bCs/>
                <w:kern w:val="0"/>
                <w:sz w:val="21"/>
                <w:szCs w:val="21"/>
                <w:lang w:bidi="ar"/>
              </w:rPr>
            </w:pPr>
            <w:r>
              <w:rPr>
                <w:rFonts w:hint="eastAsia" w:cs="仿宋_GB2312" w:asciiTheme="minorEastAsia" w:hAnsiTheme="minorEastAsia" w:eastAsiaTheme="minorEastAsia"/>
                <w:b/>
                <w:bCs/>
                <w:kern w:val="0"/>
                <w:sz w:val="21"/>
                <w:szCs w:val="21"/>
                <w:lang w:bidi="ar"/>
              </w:rPr>
              <w:t>文件</w:t>
            </w:r>
          </w:p>
          <w:p>
            <w:pPr>
              <w:widowControl/>
              <w:adjustRightInd w:val="0"/>
              <w:snapToGrid w:val="0"/>
              <w:spacing w:line="240" w:lineRule="auto"/>
              <w:ind w:left="64" w:leftChars="20" w:right="64" w:rightChars="20" w:firstLine="0" w:firstLineChars="0"/>
              <w:jc w:val="center"/>
              <w:textAlignment w:val="center"/>
              <w:rPr>
                <w:rFonts w:cs="仿宋_GB2312" w:asciiTheme="minorEastAsia" w:hAnsiTheme="minorEastAsia" w:eastAsiaTheme="minorEastAsia"/>
                <w:b/>
                <w:bCs/>
                <w:kern w:val="0"/>
                <w:sz w:val="21"/>
                <w:szCs w:val="21"/>
                <w:lang w:bidi="ar"/>
              </w:rPr>
            </w:pPr>
            <w:r>
              <w:rPr>
                <w:rFonts w:hint="eastAsia" w:cs="仿宋_GB2312" w:asciiTheme="minorEastAsia" w:hAnsiTheme="minorEastAsia" w:eastAsiaTheme="minorEastAsia"/>
                <w:b/>
                <w:bCs/>
                <w:kern w:val="0"/>
                <w:sz w:val="21"/>
                <w:szCs w:val="21"/>
                <w:lang w:bidi="ar"/>
              </w:rPr>
              <w:t>依据</w:t>
            </w:r>
          </w:p>
        </w:tc>
        <w:tc>
          <w:tcPr>
            <w:tcW w:w="2865" w:type="dxa"/>
            <w:vAlign w:val="center"/>
          </w:tcPr>
          <w:p>
            <w:pPr>
              <w:widowControl/>
              <w:adjustRightInd w:val="0"/>
              <w:snapToGrid w:val="0"/>
              <w:spacing w:line="240" w:lineRule="auto"/>
              <w:ind w:left="64" w:leftChars="20" w:right="64" w:rightChars="20" w:firstLine="0" w:firstLineChars="0"/>
              <w:jc w:val="center"/>
              <w:textAlignment w:val="center"/>
              <w:rPr>
                <w:rFonts w:cs="仿宋_GB2312" w:asciiTheme="minorEastAsia" w:hAnsiTheme="minorEastAsia" w:eastAsiaTheme="minorEastAsia"/>
                <w:b/>
                <w:bCs/>
                <w:kern w:val="0"/>
                <w:sz w:val="21"/>
                <w:szCs w:val="21"/>
                <w:lang w:bidi="ar"/>
              </w:rPr>
            </w:pPr>
            <w:r>
              <w:rPr>
                <w:rFonts w:hint="eastAsia" w:cs="仿宋_GB2312" w:asciiTheme="minorEastAsia" w:hAnsiTheme="minorEastAsia" w:eastAsiaTheme="minorEastAsia"/>
                <w:b/>
                <w:bCs/>
                <w:kern w:val="0"/>
                <w:sz w:val="21"/>
                <w:szCs w:val="21"/>
                <w:lang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651"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p>
        </w:tc>
        <w:tc>
          <w:tcPr>
            <w:tcW w:w="1215"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高度重视安全生产工作，压实企业主体责任，确保人民群众生命财产安全</w:t>
            </w:r>
          </w:p>
        </w:tc>
        <w:tc>
          <w:tcPr>
            <w:tcW w:w="3346"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1.督导各地、各负有安全生产监管职责或行业管理职责的市直部门按照《韶关市安全生产专项整治三年行动实施计划》内容和要求，持续推动全业落实安全生产主体责任，切实抓好各领域安全生产工作。</w:t>
            </w:r>
          </w:p>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2.推动各类生产经营单位持续落实安全生产主体责任清单备案和承诺公示制度，健全落实全员安全教育培训、企业职工风险隐患报告奖励、引入第三方专业技术服务机构排查治理安全风险隐患等制度。</w:t>
            </w:r>
          </w:p>
        </w:tc>
        <w:tc>
          <w:tcPr>
            <w:tcW w:w="885"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2021年市委常委会工作要点》</w:t>
            </w:r>
          </w:p>
        </w:tc>
        <w:tc>
          <w:tcPr>
            <w:tcW w:w="2865" w:type="dxa"/>
            <w:vAlign w:val="center"/>
          </w:tcPr>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2.2021年</w:t>
            </w:r>
            <w:r>
              <w:rPr>
                <w:rFonts w:cs="仿宋_GB2312" w:asciiTheme="minorEastAsia" w:hAnsiTheme="minorEastAsia" w:eastAsiaTheme="minorEastAsia"/>
                <w:sz w:val="18"/>
                <w:szCs w:val="18"/>
              </w:rPr>
              <w:t>6月印发</w:t>
            </w:r>
            <w:r>
              <w:rPr>
                <w:rFonts w:hint="eastAsia" w:cs="仿宋_GB2312" w:asciiTheme="minorEastAsia" w:hAnsiTheme="minorEastAsia" w:eastAsiaTheme="minorEastAsia"/>
                <w:sz w:val="18"/>
                <w:szCs w:val="18"/>
              </w:rPr>
              <w:t>《关于推进</w:t>
            </w:r>
            <w:r>
              <w:rPr>
                <w:rFonts w:cs="仿宋_GB2312" w:asciiTheme="minorEastAsia" w:hAnsiTheme="minorEastAsia" w:eastAsiaTheme="minorEastAsia"/>
                <w:sz w:val="18"/>
                <w:szCs w:val="18"/>
              </w:rPr>
              <w:t>2021年韶关市安全生产专项整治</w:t>
            </w:r>
            <w:r>
              <w:rPr>
                <w:rFonts w:hint="eastAsia" w:cs="仿宋_GB2312" w:asciiTheme="minorEastAsia" w:hAnsiTheme="minorEastAsia" w:eastAsiaTheme="minorEastAsia"/>
                <w:sz w:val="18"/>
                <w:szCs w:val="18"/>
              </w:rPr>
              <w:t>三年行动重点攻坚任务的通知》，定期汇报</w:t>
            </w:r>
            <w:r>
              <w:rPr>
                <w:rFonts w:cs="仿宋_GB2312" w:asciiTheme="minorEastAsia" w:hAnsiTheme="minorEastAsia" w:eastAsiaTheme="minorEastAsia"/>
                <w:sz w:val="18"/>
                <w:szCs w:val="18"/>
              </w:rPr>
              <w:t>韶关市应急管理（安全生产）工作及专项整治三年行动推进情况</w:t>
            </w:r>
            <w:r>
              <w:rPr>
                <w:rFonts w:hint="eastAsia" w:cs="仿宋_GB2312" w:asciiTheme="minorEastAsia" w:hAnsiTheme="minorEastAsia" w:eastAsiaTheme="minorEastAsia"/>
                <w:sz w:val="18"/>
                <w:szCs w:val="18"/>
              </w:rPr>
              <w:t>。</w:t>
            </w:r>
          </w:p>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2020年12月印发生产经营单位安全生产主体责任清单备案和承诺公示制度、2021年3月印发安全生产“四项工作”和消防安全“两项工作”考核制度。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651"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p>
        </w:tc>
        <w:tc>
          <w:tcPr>
            <w:tcW w:w="1215"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开展安全生产专项整治三年行动，充实强化镇街应急和消防力量，加快粤北（韶关）区域应急救援中心</w:t>
            </w:r>
          </w:p>
        </w:tc>
        <w:tc>
          <w:tcPr>
            <w:tcW w:w="3346"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1.开展安全生产专项整治三年行动；</w:t>
            </w:r>
          </w:p>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2.充实强化镇街应急和消防力量：开展应急管理危化行业监管、工矿商贸行业监管、三防救援和火灾防治等专题业务培训，着力提升应急管理能力水平，2021年12月底完成。</w:t>
            </w:r>
          </w:p>
          <w:p>
            <w:pPr>
              <w:widowControl/>
              <w:adjustRightInd w:val="0"/>
              <w:snapToGrid w:val="0"/>
              <w:spacing w:line="240" w:lineRule="auto"/>
              <w:ind w:left="64" w:leftChars="20" w:right="64" w:rightChars="20" w:firstLine="0" w:firstLineChars="0"/>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3.加快粤北（韶关）区域应急救援中心项目建设。</w:t>
            </w:r>
          </w:p>
        </w:tc>
        <w:tc>
          <w:tcPr>
            <w:tcW w:w="885" w:type="dxa"/>
            <w:tcMar>
              <w:top w:w="15" w:type="dxa"/>
              <w:left w:w="15" w:type="dxa"/>
              <w:right w:w="15" w:type="dxa"/>
            </w:tcMar>
            <w:vAlign w:val="center"/>
          </w:tcPr>
          <w:p>
            <w:pPr>
              <w:widowControl/>
              <w:adjustRightInd w:val="0"/>
              <w:snapToGrid w:val="0"/>
              <w:spacing w:line="240" w:lineRule="auto"/>
              <w:ind w:left="64" w:leftChars="20" w:right="64" w:rightChars="20" w:firstLine="0" w:firstLineChars="0"/>
              <w:jc w:val="center"/>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《2021年市政府工作报告》</w:t>
            </w:r>
          </w:p>
        </w:tc>
        <w:tc>
          <w:tcPr>
            <w:tcW w:w="2865" w:type="dxa"/>
            <w:vAlign w:val="center"/>
          </w:tcPr>
          <w:p>
            <w:pPr>
              <w:widowControl/>
              <w:adjustRightInd w:val="0"/>
              <w:snapToGrid w:val="0"/>
              <w:spacing w:line="240" w:lineRule="auto"/>
              <w:ind w:left="64" w:leftChars="20" w:right="64" w:rightChars="20" w:firstLine="0" w:firstLineChars="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1.持续开展安全生产专项整治三年行动，按要求每周、月、季度收集梳理上报情况。</w:t>
            </w:r>
          </w:p>
          <w:p>
            <w:pPr>
              <w:widowControl/>
              <w:adjustRightInd w:val="0"/>
              <w:snapToGrid w:val="0"/>
              <w:spacing w:line="240" w:lineRule="auto"/>
              <w:ind w:left="64" w:leftChars="20" w:right="64" w:rightChars="20" w:firstLine="0" w:firstLineChars="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2.按计划完成了三防、工矿商贸、防火、危化行业从业人员等培训工作</w:t>
            </w:r>
            <w:r>
              <w:rPr>
                <w:rFonts w:cs="仿宋_GB2312" w:asciiTheme="minorEastAsia" w:hAnsiTheme="minorEastAsia" w:eastAsiaTheme="minorEastAsia"/>
                <w:sz w:val="18"/>
                <w:szCs w:val="18"/>
              </w:rPr>
              <w:t>。</w:t>
            </w:r>
          </w:p>
          <w:p>
            <w:pPr>
              <w:widowControl/>
              <w:adjustRightInd w:val="0"/>
              <w:snapToGrid w:val="0"/>
              <w:spacing w:line="240" w:lineRule="auto"/>
              <w:ind w:left="64" w:leftChars="20" w:right="64" w:rightChars="20" w:firstLine="0" w:firstLineChars="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3.粤北（韶关）区域应急救援中心项目省发改委2021年尚未立项，省级</w:t>
            </w:r>
            <w:r>
              <w:rPr>
                <w:rFonts w:cs="仿宋_GB2312" w:asciiTheme="minorEastAsia" w:hAnsiTheme="minorEastAsia" w:eastAsiaTheme="minorEastAsia"/>
                <w:sz w:val="18"/>
                <w:szCs w:val="18"/>
              </w:rPr>
              <w:t>建设资金也暂未下达</w:t>
            </w: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经请示该项目不纳入2021年度绩效考核指标。</w:t>
            </w:r>
          </w:p>
        </w:tc>
      </w:tr>
    </w:tbl>
    <w:p>
      <w:pPr>
        <w:pStyle w:val="3"/>
        <w:ind w:firstLine="640"/>
      </w:pPr>
      <w:bookmarkStart w:id="9" w:name="_Toc120887966"/>
      <w:bookmarkStart w:id="10" w:name="_Toc12556"/>
      <w:bookmarkStart w:id="11" w:name="_Toc27160"/>
      <w:r>
        <w:rPr>
          <w:rFonts w:hint="eastAsia"/>
        </w:rPr>
        <w:t>（三）</w:t>
      </w:r>
      <w:r>
        <w:t>资金使用的绩效目标及指标。</w:t>
      </w:r>
      <w:bookmarkEnd w:id="9"/>
      <w:bookmarkEnd w:id="10"/>
      <w:bookmarkEnd w:id="11"/>
    </w:p>
    <w:p>
      <w:pPr>
        <w:pStyle w:val="4"/>
        <w:ind w:firstLine="643"/>
      </w:pPr>
      <w:r>
        <w:rPr>
          <w:rFonts w:hint="eastAsia"/>
        </w:rPr>
        <w:t>1.部门整体绩效目标、绩效指标及完成情况</w:t>
      </w:r>
    </w:p>
    <w:p>
      <w:pPr>
        <w:pStyle w:val="5"/>
        <w:ind w:firstLine="640"/>
      </w:pPr>
      <w:r>
        <w:rPr>
          <w:rFonts w:hint="eastAsia"/>
        </w:rPr>
        <w:t>（1）</w:t>
      </w:r>
      <w:r>
        <w:t>2021年部门整体绩效目标及完成情况</w:t>
      </w:r>
    </w:p>
    <w:p>
      <w:pPr>
        <w:ind w:firstLine="640"/>
      </w:pPr>
      <w:r>
        <w:t>2021年</w:t>
      </w:r>
      <w:r>
        <w:rPr>
          <w:rFonts w:hint="eastAsia"/>
        </w:rPr>
        <w:t>市应急局主要</w:t>
      </w:r>
      <w:r>
        <w:t>负责</w:t>
      </w:r>
      <w:r>
        <w:rPr>
          <w:rFonts w:hint="eastAsia"/>
        </w:rPr>
        <w:t>应急管理</w:t>
      </w:r>
      <w:r>
        <w:t>培训</w:t>
      </w:r>
      <w:r>
        <w:rPr>
          <w:rFonts w:hint="eastAsia"/>
        </w:rPr>
        <w:t>、</w:t>
      </w:r>
      <w:r>
        <w:t>宣传以及信息报送</w:t>
      </w:r>
      <w:r>
        <w:rPr>
          <w:rFonts w:hint="eastAsia"/>
        </w:rPr>
        <w:t>等</w:t>
      </w:r>
      <w:r>
        <w:t>工作</w:t>
      </w:r>
      <w:r>
        <w:rPr>
          <w:rFonts w:hint="eastAsia"/>
        </w:rPr>
        <w:t>，部门整体绩效目标包括：</w:t>
      </w:r>
      <w:r>
        <w:rPr>
          <w:b/>
        </w:rPr>
        <w:t>一是</w:t>
      </w:r>
      <w:r>
        <w:t>加强应急管理工作，指导应对安全生产类、自然灾害类等突发事件和综合防灾减灾救灾</w:t>
      </w:r>
      <w:r>
        <w:rPr>
          <w:rFonts w:hint="eastAsia"/>
        </w:rPr>
        <w:t>；</w:t>
      </w:r>
      <w:r>
        <w:rPr>
          <w:b/>
        </w:rPr>
        <w:t>二是</w:t>
      </w:r>
      <w:r>
        <w:t>深入工矿商贸行业、危险化学品和烟花爆竹行业安全生产监督管理工作，开展隐患排查工作专项治理</w:t>
      </w:r>
      <w:r>
        <w:rPr>
          <w:rFonts w:hint="eastAsia"/>
        </w:rPr>
        <w:t>；</w:t>
      </w:r>
      <w:r>
        <w:rPr>
          <w:b/>
        </w:rPr>
        <w:t>三是</w:t>
      </w:r>
      <w:r>
        <w:rPr>
          <w:rFonts w:hint="eastAsia"/>
        </w:rPr>
        <w:t>修订</w:t>
      </w:r>
      <w:r>
        <w:t>总体应急预案和安全生产、自然灾害专项预案</w:t>
      </w:r>
      <w:r>
        <w:rPr>
          <w:rFonts w:hint="eastAsia"/>
        </w:rPr>
        <w:t>，指导协调相关部门履行安全生产监督管理职责；</w:t>
      </w:r>
      <w:r>
        <w:rPr>
          <w:b/>
        </w:rPr>
        <w:t>四是</w:t>
      </w:r>
      <w:r>
        <w:t>开展安全生产、应急管理新闻宣传，安全生产宣传教育和培训工作</w:t>
      </w:r>
      <w:r>
        <w:rPr>
          <w:rFonts w:hint="eastAsia"/>
        </w:rPr>
        <w:t>；</w:t>
      </w:r>
      <w:r>
        <w:rPr>
          <w:b/>
        </w:rPr>
        <w:t>五是</w:t>
      </w:r>
      <w:r>
        <w:t>加强监测预警，应急管理安全生产网格化管理及信息化建设</w:t>
      </w:r>
      <w:r>
        <w:rPr>
          <w:rFonts w:hint="eastAsia"/>
        </w:rPr>
        <w:t>。</w:t>
      </w:r>
    </w:p>
    <w:p>
      <w:pPr>
        <w:ind w:firstLine="640"/>
      </w:pPr>
      <w:r>
        <w:rPr>
          <w:rFonts w:hint="eastAsia"/>
        </w:rPr>
        <w:t>2021年市应急局基本按整体绩效目标推进各项工作，开展森林火灾风险隐患排查工作，排查出</w:t>
      </w:r>
      <w:r>
        <w:t>18533个森林火险隐患点</w:t>
      </w:r>
      <w:r>
        <w:rPr>
          <w:rFonts w:hint="eastAsia"/>
        </w:rPr>
        <w:t>；</w:t>
      </w:r>
      <w:r>
        <w:t>印发《韶关市防御低温冰冻灾害工作方案（试行）》</w:t>
      </w:r>
      <w:r>
        <w:rPr>
          <w:rFonts w:hint="eastAsia"/>
        </w:rPr>
        <w:t>，开展汛前防汛安全准备工作专项检查，与省地震局第三地质大队建立抗震救灾联动机制，指导协调地质灾害应急演练；推进冶金行业、金属非金属地下矿山、有色行业、涉爆粉尘等行业企业安全生产检查工作；对韶关市安全生产和自然灾害方面</w:t>
      </w:r>
      <w:r>
        <w:t>10个专项应急预案进行修订</w:t>
      </w:r>
      <w:r>
        <w:rPr>
          <w:rFonts w:hint="eastAsia"/>
        </w:rPr>
        <w:t>；按计划在</w:t>
      </w:r>
      <w:r>
        <w:t>2021年5月7日召开韶关市防灾减灾宣传周新闻发布会</w:t>
      </w:r>
      <w:r>
        <w:rPr>
          <w:rFonts w:hint="eastAsia"/>
        </w:rPr>
        <w:t>，如期完成</w:t>
      </w:r>
      <w:r>
        <w:t>2021年“5·12”防灾减灾日宣传、</w:t>
      </w:r>
      <w:r>
        <w:rPr>
          <w:rFonts w:hint="eastAsia"/>
        </w:rPr>
        <w:t>《中华人民共和国安全生产法》</w:t>
      </w:r>
      <w:r>
        <w:t>等宣传活动</w:t>
      </w:r>
      <w:r>
        <w:rPr>
          <w:rFonts w:hint="eastAsia"/>
        </w:rPr>
        <w:t>；组织相关职能部门和生产经营企业开展应急演练，2021年</w:t>
      </w:r>
      <w:r>
        <w:t>共开展3812次应急演练</w:t>
      </w:r>
      <w:r>
        <w:rPr>
          <w:rFonts w:hint="eastAsia"/>
        </w:rPr>
        <w:t>；</w:t>
      </w:r>
      <w:r>
        <w:t>定期维护应急管理信息化系统</w:t>
      </w:r>
      <w:r>
        <w:rPr>
          <w:rFonts w:hint="eastAsia"/>
        </w:rPr>
        <w:t>，</w:t>
      </w:r>
      <w:r>
        <w:t>确保相关信息传达及时</w:t>
      </w:r>
      <w:r>
        <w:rPr>
          <w:rFonts w:hint="eastAsia"/>
        </w:rPr>
        <w:t>、有效，不断提升韶关市应急管理救援能力。</w:t>
      </w:r>
    </w:p>
    <w:p>
      <w:pPr>
        <w:pStyle w:val="5"/>
        <w:ind w:firstLine="640"/>
      </w:pPr>
      <w:r>
        <w:rPr>
          <w:rFonts w:hint="eastAsia"/>
        </w:rPr>
        <w:t>（2）</w:t>
      </w:r>
      <w:r>
        <w:t>部门整体绩效</w:t>
      </w:r>
      <w:r>
        <w:rPr>
          <w:rFonts w:hint="eastAsia"/>
        </w:rPr>
        <w:t>指标</w:t>
      </w:r>
      <w:r>
        <w:t>及完成情况</w:t>
      </w:r>
    </w:p>
    <w:p>
      <w:pPr>
        <w:ind w:firstLine="640"/>
      </w:pPr>
      <w:r>
        <w:rPr>
          <w:rFonts w:hint="eastAsia"/>
        </w:rPr>
        <w:t>市应急局在预算申报阶段</w:t>
      </w:r>
      <w:r>
        <w:rPr>
          <w:rFonts w:hint="eastAsia"/>
          <w:lang w:eastAsia="zh-CN"/>
        </w:rPr>
        <w:t>，</w:t>
      </w:r>
      <w:r>
        <w:rPr>
          <w:rFonts w:hint="eastAsia"/>
        </w:rPr>
        <w:t>设置了</w:t>
      </w:r>
      <w:r>
        <w:t>防灾演练次数达标率</w:t>
      </w:r>
      <w:r>
        <w:rPr>
          <w:rFonts w:hint="eastAsia"/>
          <w:lang w:eastAsia="zh-CN"/>
        </w:rPr>
        <w:t>等</w:t>
      </w:r>
      <w:r>
        <w:rPr>
          <w:rFonts w:hint="eastAsia"/>
        </w:rPr>
        <w:t>8个部门整体绩效指标</w:t>
      </w:r>
      <w:r>
        <w:rPr>
          <w:rFonts w:hint="eastAsia"/>
          <w:lang w:eastAsia="zh-CN"/>
        </w:rPr>
        <w:t>；</w:t>
      </w:r>
      <w:r>
        <w:rPr>
          <w:rFonts w:hint="eastAsia"/>
        </w:rPr>
        <w:t>绩效自评阶段</w:t>
      </w:r>
      <w:r>
        <w:rPr>
          <w:rFonts w:hint="eastAsia"/>
          <w:lang w:eastAsia="zh-CN"/>
        </w:rPr>
        <w:t>，市应急局</w:t>
      </w:r>
      <w:r>
        <w:rPr>
          <w:rFonts w:hint="eastAsia"/>
        </w:rPr>
        <w:t>结合工作开展情况</w:t>
      </w:r>
      <w:r>
        <w:rPr>
          <w:rFonts w:hint="eastAsia"/>
          <w:lang w:eastAsia="zh-CN"/>
        </w:rPr>
        <w:t>，</w:t>
      </w:r>
      <w:r>
        <w:rPr>
          <w:rFonts w:hint="eastAsia"/>
        </w:rPr>
        <w:t>将</w:t>
      </w:r>
      <w:r>
        <w:t>整体绩效指标调整完善为7个</w:t>
      </w:r>
      <w:r>
        <w:rPr>
          <w:rFonts w:hint="eastAsia"/>
          <w:lang w:eastAsia="zh-CN"/>
        </w:rPr>
        <w:t>（</w:t>
      </w:r>
      <w:r>
        <w:rPr>
          <w:rFonts w:hint="eastAsia"/>
        </w:rPr>
        <w:t>详见表1-3</w:t>
      </w:r>
      <w:r>
        <w:rPr>
          <w:rFonts w:hint="eastAsia"/>
          <w:lang w:eastAsia="zh-CN"/>
        </w:rPr>
        <w:t>）。</w:t>
      </w:r>
    </w:p>
    <w:p>
      <w:pPr>
        <w:pStyle w:val="8"/>
        <w:keepNext/>
        <w:spacing w:line="360" w:lineRule="auto"/>
        <w:rPr>
          <w:rFonts w:cs="Times New Roman" w:asciiTheme="minorEastAsia" w:hAnsiTheme="minorEastAsia" w:eastAsiaTheme="minorEastAsia"/>
          <w:b/>
        </w:rPr>
      </w:pPr>
      <w:r>
        <w:rPr>
          <w:rFonts w:hint="eastAsia" w:cs="Times New Roman" w:asciiTheme="minorEastAsia" w:hAnsiTheme="minorEastAsia" w:eastAsiaTheme="minorEastAsia"/>
          <w:b/>
        </w:rPr>
        <w:t>表1-3 2021年市应急局整体绩效指标完成情况表</w:t>
      </w:r>
    </w:p>
    <w:tbl>
      <w:tblPr>
        <w:tblStyle w:val="19"/>
        <w:tblW w:w="8697" w:type="dxa"/>
        <w:jc w:val="center"/>
        <w:tblInd w:w="0" w:type="dxa"/>
        <w:tblLayout w:type="fixed"/>
        <w:tblCellMar>
          <w:top w:w="0" w:type="dxa"/>
          <w:left w:w="108" w:type="dxa"/>
          <w:bottom w:w="0" w:type="dxa"/>
          <w:right w:w="108" w:type="dxa"/>
        </w:tblCellMar>
      </w:tblPr>
      <w:tblGrid>
        <w:gridCol w:w="1324"/>
        <w:gridCol w:w="735"/>
        <w:gridCol w:w="2201"/>
        <w:gridCol w:w="1892"/>
        <w:gridCol w:w="2545"/>
      </w:tblGrid>
      <w:tr>
        <w:tblPrEx>
          <w:tblLayout w:type="fixed"/>
          <w:tblCellMar>
            <w:top w:w="0" w:type="dxa"/>
            <w:left w:w="108" w:type="dxa"/>
            <w:bottom w:w="0" w:type="dxa"/>
            <w:right w:w="108" w:type="dxa"/>
          </w:tblCellMar>
        </w:tblPrEx>
        <w:trPr>
          <w:trHeight w:val="409" w:hRule="atLeast"/>
          <w:tblHeader/>
          <w:jc w:val="center"/>
        </w:trPr>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指标类型</w:t>
            </w: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序号</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指标名称</w:t>
            </w:r>
          </w:p>
        </w:tc>
        <w:tc>
          <w:tcPr>
            <w:tcW w:w="18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预期目标值</w:t>
            </w:r>
          </w:p>
        </w:tc>
        <w:tc>
          <w:tcPr>
            <w:tcW w:w="254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实际完成情况</w:t>
            </w:r>
          </w:p>
        </w:tc>
      </w:tr>
      <w:tr>
        <w:tblPrEx>
          <w:tblLayout w:type="fixed"/>
          <w:tblCellMar>
            <w:top w:w="0" w:type="dxa"/>
            <w:left w:w="108" w:type="dxa"/>
            <w:bottom w:w="0" w:type="dxa"/>
            <w:right w:w="108" w:type="dxa"/>
          </w:tblCellMar>
        </w:tblPrEx>
        <w:trPr>
          <w:trHeight w:val="284" w:hRule="atLeast"/>
          <w:jc w:val="center"/>
        </w:trPr>
        <w:tc>
          <w:tcPr>
            <w:tcW w:w="1324" w:type="dxa"/>
            <w:vMerge w:val="restart"/>
            <w:tcBorders>
              <w:top w:val="nil"/>
              <w:left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产出指标</w:t>
            </w: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20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应急管理宣传场次</w:t>
            </w:r>
          </w:p>
        </w:tc>
        <w:tc>
          <w:tcPr>
            <w:tcW w:w="18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≥2场</w:t>
            </w:r>
          </w:p>
        </w:tc>
        <w:tc>
          <w:tcPr>
            <w:tcW w:w="254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开展“</w:t>
            </w:r>
            <w:r>
              <w:rPr>
                <w:rFonts w:cs="宋体" w:asciiTheme="minorEastAsia" w:hAnsiTheme="minorEastAsia" w:eastAsiaTheme="minorEastAsia"/>
                <w:kern w:val="0"/>
                <w:sz w:val="18"/>
                <w:szCs w:val="18"/>
              </w:rPr>
              <w:t>5.12”防灾减灾日</w:t>
            </w:r>
            <w:r>
              <w:rPr>
                <w:rFonts w:hint="eastAsia" w:cs="宋体" w:asciiTheme="minorEastAsia" w:hAnsiTheme="minorEastAsia" w:eastAsiaTheme="minorEastAsia"/>
                <w:kern w:val="0"/>
                <w:sz w:val="18"/>
                <w:szCs w:val="18"/>
              </w:rPr>
              <w:t>、新修改《中华人民共和国安全生产法》等宣传活动</w:t>
            </w:r>
          </w:p>
        </w:tc>
      </w:tr>
      <w:tr>
        <w:tblPrEx>
          <w:tblLayout w:type="fixed"/>
          <w:tblCellMar>
            <w:top w:w="0" w:type="dxa"/>
            <w:left w:w="108" w:type="dxa"/>
            <w:bottom w:w="0" w:type="dxa"/>
            <w:right w:w="108" w:type="dxa"/>
          </w:tblCellMar>
        </w:tblPrEx>
        <w:trPr>
          <w:trHeight w:val="284" w:hRule="atLeast"/>
          <w:jc w:val="center"/>
        </w:trPr>
        <w:tc>
          <w:tcPr>
            <w:tcW w:w="1324" w:type="dxa"/>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asciiTheme="minorEastAsia" w:hAnsiTheme="minorEastAsia" w:eastAsiaTheme="minorEastAsia"/>
                <w:b/>
                <w:bCs/>
                <w:kern w:val="0"/>
                <w:sz w:val="18"/>
                <w:szCs w:val="18"/>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20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全国综合减灾示范社区创建通过率</w:t>
            </w:r>
          </w:p>
        </w:tc>
        <w:tc>
          <w:tcPr>
            <w:tcW w:w="18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w:t>
            </w:r>
          </w:p>
        </w:tc>
        <w:tc>
          <w:tcPr>
            <w:tcW w:w="254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w:t>
            </w:r>
          </w:p>
        </w:tc>
      </w:tr>
      <w:tr>
        <w:tblPrEx>
          <w:tblLayout w:type="fixed"/>
          <w:tblCellMar>
            <w:top w:w="0" w:type="dxa"/>
            <w:left w:w="108" w:type="dxa"/>
            <w:bottom w:w="0" w:type="dxa"/>
            <w:right w:w="108" w:type="dxa"/>
          </w:tblCellMar>
        </w:tblPrEx>
        <w:trPr>
          <w:trHeight w:val="284" w:hRule="atLeast"/>
          <w:jc w:val="center"/>
        </w:trPr>
        <w:tc>
          <w:tcPr>
            <w:tcW w:w="1324" w:type="dxa"/>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asciiTheme="minorEastAsia" w:hAnsiTheme="minorEastAsia" w:eastAsiaTheme="minorEastAsia"/>
                <w:b/>
                <w:bCs/>
                <w:kern w:val="0"/>
                <w:sz w:val="18"/>
                <w:szCs w:val="18"/>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20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值守时间</w:t>
            </w:r>
          </w:p>
        </w:tc>
        <w:tc>
          <w:tcPr>
            <w:tcW w:w="18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24小时*7天</w:t>
            </w:r>
          </w:p>
        </w:tc>
        <w:tc>
          <w:tcPr>
            <w:tcW w:w="254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24小时*7天</w:t>
            </w:r>
          </w:p>
        </w:tc>
      </w:tr>
      <w:tr>
        <w:tblPrEx>
          <w:tblLayout w:type="fixed"/>
          <w:tblCellMar>
            <w:top w:w="0" w:type="dxa"/>
            <w:left w:w="108" w:type="dxa"/>
            <w:bottom w:w="0" w:type="dxa"/>
            <w:right w:w="108" w:type="dxa"/>
          </w:tblCellMar>
        </w:tblPrEx>
        <w:trPr>
          <w:trHeight w:val="284" w:hRule="atLeast"/>
          <w:jc w:val="center"/>
        </w:trPr>
        <w:tc>
          <w:tcPr>
            <w:tcW w:w="1324"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asciiTheme="minorEastAsia" w:hAnsiTheme="minorEastAsia" w:eastAsiaTheme="minorEastAsia"/>
                <w:b/>
                <w:bCs/>
                <w:kern w:val="0"/>
                <w:sz w:val="18"/>
                <w:szCs w:val="18"/>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220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系统运维成本超支率</w:t>
            </w:r>
          </w:p>
        </w:tc>
        <w:tc>
          <w:tcPr>
            <w:tcW w:w="18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254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r>
      <w:tr>
        <w:tblPrEx>
          <w:tblLayout w:type="fixed"/>
          <w:tblCellMar>
            <w:top w:w="0" w:type="dxa"/>
            <w:left w:w="108" w:type="dxa"/>
            <w:bottom w:w="0" w:type="dxa"/>
            <w:right w:w="108" w:type="dxa"/>
          </w:tblCellMar>
        </w:tblPrEx>
        <w:trPr>
          <w:trHeight w:val="284" w:hRule="atLeast"/>
          <w:jc w:val="center"/>
        </w:trPr>
        <w:tc>
          <w:tcPr>
            <w:tcW w:w="1324" w:type="dxa"/>
            <w:vMerge w:val="restart"/>
            <w:tcBorders>
              <w:top w:val="nil"/>
              <w:left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效果指标</w:t>
            </w: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5</w:t>
            </w:r>
          </w:p>
        </w:tc>
        <w:tc>
          <w:tcPr>
            <w:tcW w:w="220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行政复议与诉讼情况</w:t>
            </w:r>
          </w:p>
        </w:tc>
        <w:tc>
          <w:tcPr>
            <w:tcW w:w="18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≤1起</w:t>
            </w:r>
          </w:p>
        </w:tc>
        <w:tc>
          <w:tcPr>
            <w:tcW w:w="254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2021年未发生行政复议和诉讼情况</w:t>
            </w:r>
          </w:p>
        </w:tc>
      </w:tr>
      <w:tr>
        <w:tblPrEx>
          <w:tblLayout w:type="fixed"/>
          <w:tblCellMar>
            <w:top w:w="0" w:type="dxa"/>
            <w:left w:w="108" w:type="dxa"/>
            <w:bottom w:w="0" w:type="dxa"/>
            <w:right w:w="108" w:type="dxa"/>
          </w:tblCellMar>
        </w:tblPrEx>
        <w:trPr>
          <w:trHeight w:val="284" w:hRule="atLeast"/>
          <w:jc w:val="center"/>
        </w:trPr>
        <w:tc>
          <w:tcPr>
            <w:tcW w:w="1324"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18"/>
                <w:szCs w:val="18"/>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6</w:t>
            </w:r>
          </w:p>
        </w:tc>
        <w:tc>
          <w:tcPr>
            <w:tcW w:w="220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较大安全生产责任事故发生次数</w:t>
            </w:r>
          </w:p>
        </w:tc>
        <w:tc>
          <w:tcPr>
            <w:tcW w:w="18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0起</w:t>
            </w:r>
          </w:p>
        </w:tc>
        <w:tc>
          <w:tcPr>
            <w:tcW w:w="254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0起</w:t>
            </w:r>
          </w:p>
        </w:tc>
      </w:tr>
      <w:tr>
        <w:tblPrEx>
          <w:tblLayout w:type="fixed"/>
          <w:tblCellMar>
            <w:top w:w="0" w:type="dxa"/>
            <w:left w:w="108" w:type="dxa"/>
            <w:bottom w:w="0" w:type="dxa"/>
            <w:right w:w="108" w:type="dxa"/>
          </w:tblCellMar>
        </w:tblPrEx>
        <w:trPr>
          <w:trHeight w:val="284" w:hRule="atLeast"/>
          <w:jc w:val="center"/>
        </w:trPr>
        <w:tc>
          <w:tcPr>
            <w:tcW w:w="132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满意度</w:t>
            </w:r>
          </w:p>
          <w:p>
            <w:pPr>
              <w:widowControl/>
              <w:adjustRightInd w:val="0"/>
              <w:snapToGrid w:val="0"/>
              <w:spacing w:line="240" w:lineRule="auto"/>
              <w:ind w:firstLine="0" w:firstLineChars="0"/>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指标</w:t>
            </w: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7</w:t>
            </w:r>
          </w:p>
        </w:tc>
        <w:tc>
          <w:tcPr>
            <w:tcW w:w="220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考核单位满意度</w:t>
            </w:r>
          </w:p>
        </w:tc>
        <w:tc>
          <w:tcPr>
            <w:tcW w:w="18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w:t>
            </w:r>
          </w:p>
        </w:tc>
        <w:tc>
          <w:tcPr>
            <w:tcW w:w="254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r>
    </w:tbl>
    <w:p>
      <w:pPr>
        <w:pStyle w:val="4"/>
        <w:ind w:firstLine="640" w:firstLineChars="200"/>
      </w:pPr>
      <w:r>
        <w:rPr>
          <w:rFonts w:hint="eastAsia"/>
        </w:rPr>
        <w:t>2.重点项目</w:t>
      </w:r>
      <w:r>
        <w:rPr>
          <w:rStyle w:val="18"/>
        </w:rPr>
        <w:footnoteReference w:id="0"/>
      </w:r>
      <w:r>
        <w:rPr>
          <w:rFonts w:hint="eastAsia"/>
        </w:rPr>
        <w:t>绩效目标及完成情况</w:t>
      </w:r>
    </w:p>
    <w:p>
      <w:pPr>
        <w:ind w:firstLine="640"/>
      </w:pPr>
      <w:r>
        <w:rPr>
          <w:rFonts w:hint="eastAsia"/>
        </w:rPr>
        <w:t>2021年度市应急局重点项目</w:t>
      </w:r>
      <w:r>
        <w:rPr>
          <w:rFonts w:hint="eastAsia"/>
          <w:lang w:eastAsia="zh-CN"/>
        </w:rPr>
        <w:t>有</w:t>
      </w:r>
      <w:r>
        <w:rPr>
          <w:rFonts w:hint="eastAsia"/>
          <w:lang w:val="en-US" w:eastAsia="zh-CN"/>
        </w:rPr>
        <w:t>5</w:t>
      </w:r>
      <w:r>
        <w:rPr>
          <w:rFonts w:hint="eastAsia"/>
        </w:rPr>
        <w:t>个，各项目</w:t>
      </w:r>
      <w:r>
        <w:t>基本按计划</w:t>
      </w:r>
      <w:r>
        <w:rPr>
          <w:rFonts w:hint="eastAsia"/>
          <w:lang w:eastAsia="zh-CN"/>
        </w:rPr>
        <w:t>有序开展。</w:t>
      </w:r>
      <w:r>
        <w:t>聘请专家完成有关行业隐患排查与检查，保障应急值班值守及防灾减灾工作有效推进，顺利完成三防业务培训、演练和检查工作，组织完成高危行业、安全管理、特种作业等理论与实操考试，指导落实非煤矿山、危险化学品等行业应急演练</w:t>
      </w:r>
      <w:r>
        <w:rPr>
          <w:rFonts w:hint="eastAsia"/>
          <w:lang w:eastAsia="zh-CN"/>
        </w:rPr>
        <w:t>（详见表</w:t>
      </w:r>
      <w:r>
        <w:rPr>
          <w:rFonts w:hint="eastAsia"/>
          <w:lang w:val="en-US" w:eastAsia="zh-CN"/>
        </w:rPr>
        <w:t>1-4</w:t>
      </w:r>
      <w:r>
        <w:rPr>
          <w:rFonts w:hint="eastAsia"/>
          <w:lang w:eastAsia="zh-CN"/>
        </w:rPr>
        <w:t>）</w:t>
      </w:r>
      <w:r>
        <w:t>。</w:t>
      </w:r>
    </w:p>
    <w:p>
      <w:pPr>
        <w:pStyle w:val="8"/>
        <w:keepNext/>
        <w:spacing w:before="0" w:beforeLines="0" w:line="480" w:lineRule="exact"/>
        <w:rPr>
          <w:rFonts w:cs="Times New Roman" w:asciiTheme="minorEastAsia" w:hAnsiTheme="minorEastAsia" w:eastAsiaTheme="minorEastAsia"/>
          <w:b/>
        </w:rPr>
      </w:pPr>
      <w:r>
        <w:rPr>
          <w:rFonts w:hint="eastAsia" w:cs="Times New Roman" w:asciiTheme="minorEastAsia" w:hAnsiTheme="minorEastAsia" w:eastAsiaTheme="minorEastAsia"/>
          <w:b/>
        </w:rPr>
        <w:t>表1-4 2021年度重点项目完成情况表</w:t>
      </w:r>
    </w:p>
    <w:tbl>
      <w:tblPr>
        <w:tblStyle w:val="19"/>
        <w:tblpPr w:leftFromText="180" w:rightFromText="180" w:vertAnchor="text" w:horzAnchor="page" w:tblpX="1189" w:tblpY="234"/>
        <w:tblOverlap w:val="never"/>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97"/>
        <w:gridCol w:w="1062"/>
        <w:gridCol w:w="797"/>
        <w:gridCol w:w="797"/>
        <w:gridCol w:w="797"/>
        <w:gridCol w:w="2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trPr>
        <w:tc>
          <w:tcPr>
            <w:tcW w:w="507" w:type="dxa"/>
            <w:shd w:val="clear" w:color="auto" w:fill="auto"/>
            <w:vAlign w:val="center"/>
          </w:tcPr>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序号</w:t>
            </w:r>
          </w:p>
        </w:tc>
        <w:tc>
          <w:tcPr>
            <w:tcW w:w="797" w:type="dxa"/>
            <w:shd w:val="clear" w:color="auto" w:fill="auto"/>
            <w:vAlign w:val="center"/>
          </w:tcPr>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项目名称</w:t>
            </w:r>
          </w:p>
        </w:tc>
        <w:tc>
          <w:tcPr>
            <w:tcW w:w="1062" w:type="dxa"/>
            <w:shd w:val="clear" w:color="auto" w:fill="auto"/>
            <w:vAlign w:val="center"/>
          </w:tcPr>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主要实施内容</w:t>
            </w:r>
          </w:p>
        </w:tc>
        <w:tc>
          <w:tcPr>
            <w:tcW w:w="797" w:type="dxa"/>
            <w:vAlign w:val="center"/>
          </w:tcPr>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cs="宋体" w:asciiTheme="minorEastAsia" w:hAnsiTheme="minorEastAsia" w:eastAsiaTheme="minorEastAsia"/>
                <w:b/>
                <w:kern w:val="0"/>
                <w:sz w:val="21"/>
                <w:szCs w:val="21"/>
              </w:rPr>
              <w:t>年初</w:t>
            </w:r>
          </w:p>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cs="宋体" w:asciiTheme="minorEastAsia" w:hAnsiTheme="minorEastAsia" w:eastAsiaTheme="minorEastAsia"/>
                <w:b/>
                <w:kern w:val="0"/>
                <w:sz w:val="21"/>
                <w:szCs w:val="21"/>
              </w:rPr>
              <w:t>预算</w:t>
            </w:r>
          </w:p>
        </w:tc>
        <w:tc>
          <w:tcPr>
            <w:tcW w:w="797" w:type="dxa"/>
            <w:vAlign w:val="center"/>
          </w:tcPr>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调整预算</w:t>
            </w:r>
          </w:p>
        </w:tc>
        <w:tc>
          <w:tcPr>
            <w:tcW w:w="797" w:type="dxa"/>
            <w:shd w:val="clear" w:color="auto" w:fill="auto"/>
            <w:vAlign w:val="center"/>
          </w:tcPr>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年度</w:t>
            </w:r>
          </w:p>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预算</w:t>
            </w:r>
          </w:p>
        </w:tc>
        <w:tc>
          <w:tcPr>
            <w:tcW w:w="2150" w:type="dxa"/>
            <w:shd w:val="clear" w:color="auto" w:fill="auto"/>
            <w:vAlign w:val="center"/>
          </w:tcPr>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lang w:eastAsia="zh-CN"/>
              </w:rPr>
              <w:t>预期</w:t>
            </w:r>
            <w:r>
              <w:rPr>
                <w:rFonts w:hint="eastAsia" w:cs="宋体" w:asciiTheme="minorEastAsia" w:hAnsiTheme="minorEastAsia" w:eastAsiaTheme="minorEastAsia"/>
                <w:b/>
                <w:kern w:val="0"/>
                <w:sz w:val="21"/>
                <w:szCs w:val="21"/>
              </w:rPr>
              <w:t>目标</w:t>
            </w:r>
          </w:p>
        </w:tc>
        <w:tc>
          <w:tcPr>
            <w:tcW w:w="2460" w:type="dxa"/>
            <w:vAlign w:val="center"/>
          </w:tcPr>
          <w:p>
            <w:pPr>
              <w:widowControl/>
              <w:adjustRightInd w:val="0"/>
              <w:snapToGrid w:val="0"/>
              <w:spacing w:beforeLines="0" w:line="400" w:lineRule="exact"/>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0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安全生产聘请专家</w:t>
            </w:r>
          </w:p>
        </w:tc>
        <w:tc>
          <w:tcPr>
            <w:tcW w:w="1062"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通过聘请专家，实现安全生产排查、检验、监管治理等工作</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55.61</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64.61</w:t>
            </w:r>
          </w:p>
        </w:tc>
        <w:tc>
          <w:tcPr>
            <w:tcW w:w="2150"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为督促企业落实主体责任，全面提升企业本质安全水平，有效防范生产安全事故发生，计划聘请专家对全市目标企业进行安全隐患排查，确保目标行业的企业的隐患排查覆盖率达100%。</w:t>
            </w:r>
          </w:p>
        </w:tc>
        <w:tc>
          <w:tcPr>
            <w:tcW w:w="2460" w:type="dxa"/>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支出64.59万元，</w:t>
            </w:r>
            <w:r>
              <w:rPr>
                <w:rFonts w:cs="宋体" w:asciiTheme="minorEastAsia" w:hAnsiTheme="minorEastAsia" w:eastAsiaTheme="minorEastAsia"/>
                <w:kern w:val="0"/>
                <w:sz w:val="18"/>
                <w:szCs w:val="18"/>
              </w:rPr>
              <w:t>组织专家对医药化工企业和危险化学品生产储存企业</w:t>
            </w:r>
            <w:r>
              <w:rPr>
                <w:rFonts w:hint="eastAsia" w:cs="宋体" w:asciiTheme="minorEastAsia" w:hAnsiTheme="minorEastAsia" w:eastAsiaTheme="minorEastAsia"/>
                <w:kern w:val="0"/>
                <w:sz w:val="18"/>
                <w:szCs w:val="18"/>
              </w:rPr>
              <w:t>开展</w:t>
            </w:r>
            <w:r>
              <w:rPr>
                <w:rFonts w:cs="宋体" w:asciiTheme="minorEastAsia" w:hAnsiTheme="minorEastAsia" w:eastAsiaTheme="minorEastAsia"/>
                <w:kern w:val="0"/>
                <w:sz w:val="18"/>
                <w:szCs w:val="18"/>
              </w:rPr>
              <w:t>安全隐患排查，同时对安全风险较高的重点企业开展“回头看”检查，共检查企业154家，发现隐患1254处；组织专家对5座销库尾砂回采安全设施设计进行审查；聘请专家对在韶关开展技术服务的安全评价机构出具的法定安全评价报告合法性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0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2021年应急值班值守及防灾减灾辅助工作</w:t>
            </w:r>
          </w:p>
        </w:tc>
        <w:tc>
          <w:tcPr>
            <w:tcW w:w="1062"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通过购买服务人员辅助完成此项工作</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w:t>
            </w:r>
          </w:p>
        </w:tc>
        <w:tc>
          <w:tcPr>
            <w:tcW w:w="2150"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为进一步加强值班管理，规范值班工作程序，切实履行应急值守、信息汇总和协调职能，发挥运转枢纽作用，提高突发事件信息报送质量和处置效率，需聘用8人为专职值班人员，24小时不间断的值班，保障值班到岗率100%、突发事件信息报送及时率100%、资金拨付及时率100%、突发事故处置率100%。</w:t>
            </w:r>
          </w:p>
        </w:tc>
        <w:tc>
          <w:tcPr>
            <w:tcW w:w="2460" w:type="dxa"/>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支出51.97万元，解决了值班人员基本物资需求，保障值班人员在岗率</w:t>
            </w:r>
            <w:r>
              <w:rPr>
                <w:rFonts w:cs="宋体" w:asciiTheme="minorEastAsia" w:hAnsiTheme="minorEastAsia" w:eastAsiaTheme="minorEastAsia"/>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0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安全生产资格考核</w:t>
            </w:r>
          </w:p>
        </w:tc>
        <w:tc>
          <w:tcPr>
            <w:tcW w:w="1062"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组织全市安全生产资格考核，发放合格证书</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113.10</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先调减4万元，后调增16万元</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125.1</w:t>
            </w:r>
          </w:p>
        </w:tc>
        <w:tc>
          <w:tcPr>
            <w:tcW w:w="2150"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规范和加强安全生产资格考核工作，为提高安全生产培训质量打下基础，切实提高从业人员安全素质，进一步促进全市安全生产形势持续稳定好转。</w:t>
            </w:r>
          </w:p>
        </w:tc>
        <w:tc>
          <w:tcPr>
            <w:tcW w:w="2460" w:type="dxa"/>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支出123.91万元，</w:t>
            </w:r>
            <w:r>
              <w:rPr>
                <w:rFonts w:cs="宋体" w:asciiTheme="minorEastAsia" w:hAnsiTheme="minorEastAsia" w:eastAsiaTheme="minorEastAsia"/>
                <w:kern w:val="0"/>
                <w:sz w:val="18"/>
                <w:szCs w:val="18"/>
              </w:rPr>
              <w:t>2021年1—12月理论考试27365人次（高危行业主要负责人797人次；安全管理人员1155人次；特种作业25413人次)</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实操考试13019人次。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0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三防工作</w:t>
            </w:r>
          </w:p>
        </w:tc>
        <w:tc>
          <w:tcPr>
            <w:tcW w:w="1062"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金视通系统维护费、值班值守物资保障、防汛期间不可预见的开支等。</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66.49</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-3.98</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62.51</w:t>
            </w:r>
          </w:p>
        </w:tc>
        <w:tc>
          <w:tcPr>
            <w:tcW w:w="2150"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善全市自然灾害防治体系，提高自然灾害防治能力，全力保障人民群众生命财产安全，市委市政府关于汛旱风冻灾害防御工作的决策部署，组织、指挥、协调、监督全市汛旱风冻灾害防御和救援工作，持续推动全市三防体系建设，最大限度减少人员伤亡和财产损失。</w:t>
            </w:r>
          </w:p>
        </w:tc>
        <w:tc>
          <w:tcPr>
            <w:tcW w:w="2460" w:type="dxa"/>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支出44.27万元，顺利完成</w:t>
            </w:r>
            <w:r>
              <w:rPr>
                <w:rFonts w:cs="宋体" w:asciiTheme="minorEastAsia" w:hAnsiTheme="minorEastAsia" w:eastAsiaTheme="minorEastAsia"/>
                <w:kern w:val="0"/>
                <w:sz w:val="18"/>
                <w:szCs w:val="18"/>
              </w:rPr>
              <w:t>2021年</w:t>
            </w:r>
            <w:r>
              <w:rPr>
                <w:rFonts w:hint="eastAsia" w:cs="宋体" w:asciiTheme="minorEastAsia" w:hAnsiTheme="minorEastAsia" w:eastAsiaTheme="minorEastAsia"/>
                <w:kern w:val="0"/>
                <w:sz w:val="18"/>
                <w:szCs w:val="18"/>
              </w:rPr>
              <w:t>低温冰冻防御工作及汛前防汛安全工作检查，落实三防业务培训、防洪预案演练和韶关市防汛抢险队伍骨干训练，完成秋冬春连旱防御部署等工作</w:t>
            </w:r>
            <w:r>
              <w:rPr>
                <w:rFonts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0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2021年安全生产和自然灾害应急演练</w:t>
            </w:r>
          </w:p>
        </w:tc>
        <w:tc>
          <w:tcPr>
            <w:tcW w:w="1062"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开展非煤矿山、防汛、森林防火、地质灾害应急演练</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797" w:type="dxa"/>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乐昌</w:t>
            </w:r>
            <w:r>
              <w:rPr>
                <w:rFonts w:cs="宋体" w:asciiTheme="minorEastAsia" w:hAnsiTheme="minorEastAsia" w:eastAsiaTheme="minorEastAsia"/>
                <w:kern w:val="0"/>
                <w:sz w:val="18"/>
                <w:szCs w:val="18"/>
              </w:rPr>
              <w:t>6万元</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曲江10万元</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后调增</w:t>
            </w:r>
            <w:r>
              <w:rPr>
                <w:rFonts w:hint="eastAsia" w:cs="宋体" w:asciiTheme="minorEastAsia" w:hAnsiTheme="minorEastAsia" w:eastAsiaTheme="minorEastAsia"/>
                <w:kern w:val="0"/>
                <w:sz w:val="18"/>
                <w:szCs w:val="18"/>
              </w:rPr>
              <w:t>16万元</w:t>
            </w:r>
          </w:p>
        </w:tc>
        <w:tc>
          <w:tcPr>
            <w:tcW w:w="797" w:type="dxa"/>
            <w:shd w:val="clear" w:color="auto" w:fill="auto"/>
            <w:vAlign w:val="center"/>
          </w:tcPr>
          <w:p>
            <w:pPr>
              <w:widowControl/>
              <w:adjustRightInd w:val="0"/>
              <w:snapToGrid w:val="0"/>
              <w:spacing w:beforeLines="0" w:line="28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2150" w:type="dxa"/>
            <w:shd w:val="clear" w:color="auto" w:fill="auto"/>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预防和减少安全生产和自然灾害事故的发生，保障韶关市经济社会平安稳定</w:t>
            </w:r>
          </w:p>
        </w:tc>
        <w:tc>
          <w:tcPr>
            <w:tcW w:w="2460" w:type="dxa"/>
            <w:vAlign w:val="center"/>
          </w:tcPr>
          <w:p>
            <w:pPr>
              <w:widowControl/>
              <w:adjustRightInd w:val="0"/>
              <w:snapToGrid w:val="0"/>
              <w:spacing w:beforeLines="0" w:line="28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支出20万元，落实了</w:t>
            </w:r>
            <w:r>
              <w:rPr>
                <w:rFonts w:cs="宋体" w:asciiTheme="minorEastAsia" w:hAnsiTheme="minorEastAsia" w:eastAsiaTheme="minorEastAsia"/>
                <w:kern w:val="0"/>
                <w:sz w:val="18"/>
                <w:szCs w:val="18"/>
              </w:rPr>
              <w:t>2021年安全生产月应急演练活动，</w:t>
            </w:r>
            <w:r>
              <w:rPr>
                <w:rFonts w:hint="eastAsia" w:cs="宋体" w:asciiTheme="minorEastAsia" w:hAnsiTheme="minorEastAsia" w:eastAsiaTheme="minorEastAsia"/>
                <w:kern w:val="0"/>
                <w:sz w:val="18"/>
                <w:szCs w:val="18"/>
              </w:rPr>
              <w:t>指导</w:t>
            </w:r>
            <w:r>
              <w:rPr>
                <w:rFonts w:cs="宋体" w:asciiTheme="minorEastAsia" w:hAnsiTheme="minorEastAsia" w:eastAsiaTheme="minorEastAsia"/>
                <w:kern w:val="0"/>
                <w:sz w:val="18"/>
                <w:szCs w:val="18"/>
              </w:rPr>
              <w:t>各县（市、区）应急管理局</w:t>
            </w:r>
            <w:r>
              <w:rPr>
                <w:rFonts w:hint="eastAsia" w:cs="宋体" w:asciiTheme="minorEastAsia" w:hAnsiTheme="minorEastAsia" w:eastAsiaTheme="minorEastAsia"/>
                <w:kern w:val="0"/>
                <w:sz w:val="18"/>
                <w:szCs w:val="18"/>
              </w:rPr>
              <w:t>完成</w:t>
            </w:r>
            <w:r>
              <w:rPr>
                <w:rFonts w:cs="宋体" w:asciiTheme="minorEastAsia" w:hAnsiTheme="minorEastAsia" w:eastAsiaTheme="minorEastAsia"/>
                <w:kern w:val="0"/>
                <w:sz w:val="18"/>
                <w:szCs w:val="18"/>
              </w:rPr>
              <w:t>非煤矿山、危险化学品、金属冶炼、森林防火、地质灾害、防汛抢险等领域应急演练，</w:t>
            </w:r>
            <w:r>
              <w:rPr>
                <w:rFonts w:hint="eastAsia" w:cs="宋体" w:asciiTheme="minorEastAsia" w:hAnsiTheme="minorEastAsia" w:eastAsiaTheme="minorEastAsia"/>
                <w:kern w:val="0"/>
                <w:sz w:val="18"/>
                <w:szCs w:val="18"/>
              </w:rPr>
              <w:t>指导非煤矿山、危险化学品等行业领域应急演练。</w:t>
            </w:r>
          </w:p>
        </w:tc>
      </w:tr>
    </w:tbl>
    <w:p>
      <w:pPr>
        <w:pStyle w:val="3"/>
        <w:ind w:firstLine="0" w:firstLineChars="0"/>
      </w:pPr>
      <w:r>
        <w:rPr>
          <w:rFonts w:hint="eastAsia"/>
          <w:sz w:val="24"/>
          <w:lang w:val="en-US" w:eastAsia="zh-CN"/>
        </w:rPr>
        <w:t xml:space="preserve">    </w:t>
      </w:r>
      <w:bookmarkStart w:id="12" w:name="_Toc20684"/>
      <w:bookmarkStart w:id="13" w:name="_Toc120887967"/>
      <w:bookmarkStart w:id="14" w:name="_Toc19759"/>
      <w:r>
        <w:rPr>
          <w:rFonts w:hint="eastAsia"/>
        </w:rPr>
        <w:t>（四）</w:t>
      </w:r>
      <w:r>
        <w:t>部门整体收支情况</w:t>
      </w:r>
      <w:r>
        <w:rPr>
          <w:rFonts w:hint="eastAsia"/>
        </w:rPr>
        <w:t>。</w:t>
      </w:r>
      <w:bookmarkEnd w:id="12"/>
      <w:bookmarkEnd w:id="13"/>
      <w:bookmarkEnd w:id="14"/>
    </w:p>
    <w:p>
      <w:pPr>
        <w:pStyle w:val="4"/>
        <w:ind w:firstLine="643"/>
      </w:pPr>
      <w:r>
        <w:rPr>
          <w:rFonts w:hint="eastAsia"/>
        </w:rPr>
        <w:t>1.</w:t>
      </w:r>
      <w:r>
        <w:t>2021年部门整体收入</w:t>
      </w:r>
    </w:p>
    <w:p>
      <w:pPr>
        <w:ind w:firstLine="640"/>
      </w:pPr>
      <w:r>
        <w:rPr>
          <w:rFonts w:hint="eastAsia"/>
        </w:rPr>
        <w:t>2021年市应急局收入年初预算数3148.50</w:t>
      </w:r>
      <w:r>
        <w:t>万元</w:t>
      </w:r>
      <w:r>
        <w:rPr>
          <w:rFonts w:hint="eastAsia"/>
        </w:rPr>
        <w:t>，其中：一般公共预算2962.90</w:t>
      </w:r>
      <w:r>
        <w:t>万元，政府性基金预算</w:t>
      </w:r>
      <w:r>
        <w:rPr>
          <w:rFonts w:hint="eastAsia"/>
        </w:rPr>
        <w:t>185.60</w:t>
      </w:r>
      <w:r>
        <w:t>万元</w:t>
      </w:r>
      <w:r>
        <w:rPr>
          <w:rFonts w:hint="eastAsia"/>
        </w:rPr>
        <w:t>，对比上年增加</w:t>
      </w:r>
      <w:r>
        <w:rPr>
          <w:rFonts w:hint="eastAsia"/>
          <w:lang w:eastAsia="zh-CN"/>
        </w:rPr>
        <w:t>了</w:t>
      </w:r>
      <w:r>
        <w:rPr>
          <w:rFonts w:hint="eastAsia"/>
        </w:rPr>
        <w:t>798.46</w:t>
      </w:r>
      <w:r>
        <w:t>万元</w:t>
      </w:r>
      <w:r>
        <w:rPr>
          <w:rFonts w:hint="eastAsia"/>
        </w:rPr>
        <w:t>，增长33.98</w:t>
      </w:r>
      <w:r>
        <w:t>%，主要原因是</w:t>
      </w:r>
      <w:r>
        <w:rPr>
          <w:rFonts w:hint="eastAsia"/>
        </w:rPr>
        <w:t>韶关市“三合一”专职消防大队划转至市应急局，新增了职能与人员</w:t>
      </w:r>
      <w:r>
        <w:rPr>
          <w:rFonts w:hint="eastAsia"/>
          <w:lang w:eastAsia="zh-CN"/>
        </w:rPr>
        <w:t>，</w:t>
      </w:r>
      <w:r>
        <w:rPr>
          <w:rFonts w:hint="eastAsia"/>
        </w:rPr>
        <w:t>因此相应增加经费。</w:t>
      </w:r>
    </w:p>
    <w:p>
      <w:pPr>
        <w:pStyle w:val="8"/>
        <w:keepNext/>
        <w:spacing w:before="0" w:beforeLines="0" w:line="360" w:lineRule="auto"/>
        <w:ind w:firstLine="0"/>
        <w:jc w:val="center"/>
        <w:rPr>
          <w:szCs w:val="28"/>
        </w:rPr>
      </w:pPr>
      <w:r>
        <w:rPr>
          <w:rFonts w:cs="Times New Roman" w:asciiTheme="minorEastAsia" w:hAnsiTheme="minorEastAsia" w:eastAsiaTheme="minorEastAsia"/>
          <w:b/>
        </w:rPr>
        <w:t>表</w:t>
      </w:r>
      <w:r>
        <w:rPr>
          <w:rFonts w:hint="eastAsia" w:cs="Times New Roman" w:asciiTheme="minorEastAsia" w:hAnsiTheme="minorEastAsia" w:eastAsiaTheme="minorEastAsia"/>
          <w:b/>
        </w:rPr>
        <w:t>1-5</w:t>
      </w:r>
      <w:r>
        <w:rPr>
          <w:rFonts w:cs="Times New Roman" w:asciiTheme="minorEastAsia" w:hAnsiTheme="minorEastAsia" w:eastAsiaTheme="minorEastAsia"/>
          <w:b/>
        </w:rPr>
        <w:t xml:space="preserve"> </w:t>
      </w:r>
      <w:r>
        <w:rPr>
          <w:rFonts w:hint="eastAsia" w:cs="Times New Roman" w:asciiTheme="minorEastAsia" w:hAnsiTheme="minorEastAsia" w:eastAsiaTheme="minorEastAsia"/>
          <w:b/>
          <w:lang w:val="en-US" w:eastAsia="zh-CN"/>
        </w:rPr>
        <w:t xml:space="preserve"> </w:t>
      </w:r>
      <w:r>
        <w:rPr>
          <w:rFonts w:hint="eastAsia" w:cs="Times New Roman" w:asciiTheme="minorEastAsia" w:hAnsiTheme="minorEastAsia" w:eastAsiaTheme="minorEastAsia"/>
          <w:b/>
        </w:rPr>
        <w:t>市应急局</w:t>
      </w:r>
      <w:r>
        <w:rPr>
          <w:rFonts w:cs="Times New Roman" w:asciiTheme="minorEastAsia" w:hAnsiTheme="minorEastAsia" w:eastAsiaTheme="minorEastAsia"/>
          <w:b/>
        </w:rPr>
        <w:t>2021年部门整体</w:t>
      </w:r>
      <w:r>
        <w:rPr>
          <w:rFonts w:hint="eastAsia" w:cs="Times New Roman" w:asciiTheme="minorEastAsia" w:hAnsiTheme="minorEastAsia" w:eastAsiaTheme="minorEastAsia"/>
          <w:b/>
        </w:rPr>
        <w:t>收入</w:t>
      </w:r>
      <w:r>
        <w:rPr>
          <w:rFonts w:cs="Times New Roman" w:asciiTheme="minorEastAsia" w:hAnsiTheme="minorEastAsia" w:eastAsiaTheme="minorEastAsia"/>
          <w:b/>
        </w:rPr>
        <w:t>出决算表</w:t>
      </w:r>
    </w:p>
    <w:tbl>
      <w:tblPr>
        <w:tblStyle w:val="19"/>
        <w:tblW w:w="8758" w:type="dxa"/>
        <w:jc w:val="center"/>
        <w:tblInd w:w="0" w:type="dxa"/>
        <w:tblLayout w:type="fixed"/>
        <w:tblCellMar>
          <w:top w:w="0" w:type="dxa"/>
          <w:left w:w="108" w:type="dxa"/>
          <w:bottom w:w="0" w:type="dxa"/>
          <w:right w:w="108" w:type="dxa"/>
        </w:tblCellMar>
      </w:tblPr>
      <w:tblGrid>
        <w:gridCol w:w="3133"/>
        <w:gridCol w:w="1905"/>
        <w:gridCol w:w="1980"/>
        <w:gridCol w:w="1740"/>
      </w:tblGrid>
      <w:tr>
        <w:tblPrEx>
          <w:tblLayout w:type="fixed"/>
          <w:tblCellMar>
            <w:top w:w="0" w:type="dxa"/>
            <w:left w:w="108" w:type="dxa"/>
            <w:bottom w:w="0" w:type="dxa"/>
            <w:right w:w="108" w:type="dxa"/>
          </w:tblCellMar>
        </w:tblPrEx>
        <w:trPr>
          <w:trHeight w:val="284" w:hRule="atLeast"/>
          <w:tblHeader/>
          <w:jc w:val="center"/>
        </w:trPr>
        <w:tc>
          <w:tcPr>
            <w:tcW w:w="31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line="240" w:lineRule="auto"/>
              <w:ind w:right="-102" w:rightChars="-32" w:firstLine="0" w:firstLineChars="0"/>
              <w:jc w:val="center"/>
              <w:textAlignment w:val="center"/>
              <w:rPr>
                <w:rFonts w:cs="宋体" w:asciiTheme="minorEastAsia" w:hAnsiTheme="minorEastAsia" w:eastAsiaTheme="minorEastAsia"/>
                <w:b/>
                <w:bCs/>
                <w:kern w:val="0"/>
                <w:sz w:val="21"/>
                <w:szCs w:val="21"/>
                <w:lang w:bidi="ar"/>
              </w:rPr>
            </w:pPr>
            <w:r>
              <w:rPr>
                <w:rFonts w:hint="eastAsia" w:cs="宋体" w:asciiTheme="minorEastAsia" w:hAnsiTheme="minorEastAsia" w:eastAsiaTheme="minorEastAsia"/>
                <w:b/>
                <w:bCs/>
                <w:kern w:val="0"/>
                <w:sz w:val="21"/>
                <w:szCs w:val="21"/>
                <w:lang w:bidi="ar"/>
              </w:rPr>
              <w:t>项目</w:t>
            </w:r>
          </w:p>
          <w:p>
            <w:pPr>
              <w:widowControl/>
              <w:adjustRightInd w:val="0"/>
              <w:snapToGrid w:val="0"/>
              <w:spacing w:beforeLines="0" w:line="240" w:lineRule="auto"/>
              <w:ind w:right="-102" w:rightChars="-32" w:firstLine="0" w:firstLineChars="0"/>
              <w:jc w:val="center"/>
              <w:textAlignment w:val="center"/>
              <w:rPr>
                <w:rFonts w:cs="宋体" w:asciiTheme="minorEastAsia" w:hAnsiTheme="minorEastAsia" w:eastAsiaTheme="minorEastAsia"/>
                <w:b/>
                <w:bCs/>
                <w:sz w:val="21"/>
                <w:szCs w:val="21"/>
              </w:rPr>
            </w:pPr>
            <w:r>
              <w:rPr>
                <w:rFonts w:cs="宋体" w:asciiTheme="minorEastAsia" w:hAnsiTheme="minorEastAsia" w:eastAsiaTheme="minorEastAsia"/>
                <w:b/>
                <w:bCs/>
                <w:kern w:val="0"/>
                <w:sz w:val="21"/>
                <w:szCs w:val="21"/>
                <w:lang w:bidi="ar"/>
              </w:rPr>
              <w:t>(按支出性质和经济分类)</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line="240" w:lineRule="auto"/>
              <w:ind w:right="-102" w:rightChars="-32" w:firstLine="0" w:firstLineChars="0"/>
              <w:jc w:val="center"/>
              <w:textAlignment w:val="center"/>
              <w:rPr>
                <w:rFonts w:cs="宋体" w:asciiTheme="minorEastAsia" w:hAnsiTheme="minorEastAsia" w:eastAsiaTheme="minorEastAsia"/>
                <w:b/>
                <w:bCs/>
                <w:kern w:val="0"/>
                <w:sz w:val="21"/>
                <w:szCs w:val="21"/>
                <w:lang w:bidi="ar"/>
              </w:rPr>
            </w:pPr>
            <w:r>
              <w:rPr>
                <w:rFonts w:hint="eastAsia" w:cs="宋体" w:asciiTheme="minorEastAsia" w:hAnsiTheme="minorEastAsia" w:eastAsiaTheme="minorEastAsia"/>
                <w:b/>
                <w:bCs/>
                <w:kern w:val="0"/>
                <w:sz w:val="21"/>
                <w:szCs w:val="21"/>
                <w:lang w:bidi="ar"/>
              </w:rPr>
              <w:t>年初预算数</w:t>
            </w:r>
          </w:p>
          <w:p>
            <w:pPr>
              <w:widowControl/>
              <w:adjustRightInd w:val="0"/>
              <w:snapToGrid w:val="0"/>
              <w:spacing w:beforeLines="0" w:line="240" w:lineRule="auto"/>
              <w:ind w:right="-102" w:rightChars="-32" w:firstLine="0" w:firstLineChars="0"/>
              <w:jc w:val="center"/>
              <w:textAlignment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kern w:val="0"/>
                <w:sz w:val="21"/>
                <w:szCs w:val="21"/>
                <w:lang w:bidi="ar"/>
              </w:rPr>
              <w:t>（元）</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line="240" w:lineRule="auto"/>
              <w:ind w:right="-102" w:rightChars="-32" w:firstLine="0" w:firstLineChars="0"/>
              <w:jc w:val="center"/>
              <w:textAlignment w:val="center"/>
              <w:rPr>
                <w:rFonts w:cs="宋体" w:asciiTheme="minorEastAsia" w:hAnsiTheme="minorEastAsia" w:eastAsiaTheme="minorEastAsia"/>
                <w:b/>
                <w:bCs/>
                <w:kern w:val="0"/>
                <w:sz w:val="21"/>
                <w:szCs w:val="21"/>
                <w:lang w:bidi="ar"/>
              </w:rPr>
            </w:pPr>
            <w:r>
              <w:rPr>
                <w:rFonts w:hint="eastAsia" w:cs="宋体" w:asciiTheme="minorEastAsia" w:hAnsiTheme="minorEastAsia" w:eastAsiaTheme="minorEastAsia"/>
                <w:b/>
                <w:bCs/>
                <w:kern w:val="0"/>
                <w:sz w:val="21"/>
                <w:szCs w:val="21"/>
                <w:lang w:bidi="ar"/>
              </w:rPr>
              <w:t>调整预算数</w:t>
            </w:r>
          </w:p>
          <w:p>
            <w:pPr>
              <w:widowControl/>
              <w:adjustRightInd w:val="0"/>
              <w:snapToGrid w:val="0"/>
              <w:spacing w:beforeLines="0" w:line="240" w:lineRule="auto"/>
              <w:ind w:right="-102" w:rightChars="-32" w:firstLine="0" w:firstLineChars="0"/>
              <w:jc w:val="center"/>
              <w:textAlignment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kern w:val="0"/>
                <w:sz w:val="21"/>
                <w:szCs w:val="21"/>
                <w:lang w:bidi="ar"/>
              </w:rPr>
              <w:t>（元）</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line="240" w:lineRule="auto"/>
              <w:ind w:right="-102" w:rightChars="-32" w:firstLine="0" w:firstLineChars="0"/>
              <w:jc w:val="center"/>
              <w:textAlignment w:val="center"/>
              <w:rPr>
                <w:rFonts w:cs="宋体" w:asciiTheme="minorEastAsia" w:hAnsiTheme="minorEastAsia" w:eastAsiaTheme="minorEastAsia"/>
                <w:b/>
                <w:bCs/>
                <w:kern w:val="0"/>
                <w:sz w:val="21"/>
                <w:szCs w:val="21"/>
                <w:lang w:bidi="ar"/>
              </w:rPr>
            </w:pPr>
            <w:r>
              <w:rPr>
                <w:rFonts w:hint="eastAsia" w:cs="宋体" w:asciiTheme="minorEastAsia" w:hAnsiTheme="minorEastAsia" w:eastAsiaTheme="minorEastAsia"/>
                <w:b/>
                <w:bCs/>
                <w:kern w:val="0"/>
                <w:sz w:val="21"/>
                <w:szCs w:val="21"/>
                <w:lang w:bidi="ar"/>
              </w:rPr>
              <w:t>决算数</w:t>
            </w:r>
          </w:p>
          <w:p>
            <w:pPr>
              <w:widowControl/>
              <w:adjustRightInd w:val="0"/>
              <w:snapToGrid w:val="0"/>
              <w:spacing w:beforeLines="0" w:line="240" w:lineRule="auto"/>
              <w:ind w:right="-102" w:rightChars="-32" w:firstLine="0" w:firstLineChars="0"/>
              <w:jc w:val="center"/>
              <w:textAlignment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kern w:val="0"/>
                <w:sz w:val="21"/>
                <w:szCs w:val="21"/>
                <w:lang w:bidi="ar"/>
              </w:rPr>
              <w:t>（元）</w:t>
            </w:r>
          </w:p>
        </w:tc>
      </w:tr>
      <w:tr>
        <w:tblPrEx>
          <w:tblLayout w:type="fixed"/>
          <w:tblCellMar>
            <w:top w:w="0" w:type="dxa"/>
            <w:left w:w="108" w:type="dxa"/>
            <w:bottom w:w="0" w:type="dxa"/>
            <w:right w:w="108" w:type="dxa"/>
          </w:tblCellMar>
        </w:tblPrEx>
        <w:trPr>
          <w:trHeight w:val="564"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textAlignment w:val="center"/>
              <w:rPr>
                <w:rFonts w:cs="宋体" w:asciiTheme="minorEastAsia" w:hAnsiTheme="minorEastAsia" w:eastAsiaTheme="minorEastAsia"/>
                <w:b/>
                <w:sz w:val="18"/>
                <w:szCs w:val="18"/>
              </w:rPr>
            </w:pPr>
            <w:r>
              <w:rPr>
                <w:rFonts w:hint="eastAsia" w:cs="Arial" w:asciiTheme="minorEastAsia" w:hAnsiTheme="minorEastAsia" w:eastAsiaTheme="minorEastAsia"/>
                <w:b/>
                <w:sz w:val="18"/>
                <w:szCs w:val="18"/>
              </w:rPr>
              <w:t>一、一般公共预算财政拨款收入</w:t>
            </w:r>
          </w:p>
        </w:tc>
        <w:tc>
          <w:tcPr>
            <w:tcW w:w="1905"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40" w:lineRule="auto"/>
              <w:ind w:right="-102" w:rightChars="-32" w:firstLine="420"/>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29,628,994.44</w:t>
            </w:r>
          </w:p>
        </w:tc>
        <w:tc>
          <w:tcPr>
            <w:tcW w:w="1980" w:type="dxa"/>
            <w:tcBorders>
              <w:top w:val="single" w:color="auto" w:sz="4" w:space="0"/>
              <w:left w:val="nil"/>
              <w:bottom w:val="single" w:color="auto" w:sz="4" w:space="0"/>
              <w:right w:val="single" w:color="000000"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38,227,907.37</w:t>
            </w:r>
          </w:p>
        </w:tc>
        <w:tc>
          <w:tcPr>
            <w:tcW w:w="1740" w:type="dxa"/>
            <w:tcBorders>
              <w:top w:val="single" w:color="auto" w:sz="4" w:space="0"/>
              <w:left w:val="nil"/>
              <w:bottom w:val="single" w:color="auto" w:sz="4" w:space="0"/>
              <w:right w:val="single" w:color="000000" w:sz="8"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38,227,907.37</w:t>
            </w:r>
          </w:p>
        </w:tc>
      </w:tr>
      <w:tr>
        <w:tblPrEx>
          <w:tblLayout w:type="fixed"/>
          <w:tblCellMar>
            <w:top w:w="0" w:type="dxa"/>
            <w:left w:w="108" w:type="dxa"/>
            <w:bottom w:w="0" w:type="dxa"/>
            <w:right w:w="108" w:type="dxa"/>
          </w:tblCellMar>
        </w:tblPrEx>
        <w:trPr>
          <w:trHeight w:val="284"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textAlignment w:val="center"/>
              <w:rPr>
                <w:rFonts w:cs="宋体" w:asciiTheme="minorEastAsia" w:hAnsiTheme="minorEastAsia" w:eastAsiaTheme="minorEastAsia"/>
                <w:b/>
                <w:sz w:val="18"/>
                <w:szCs w:val="18"/>
              </w:rPr>
            </w:pPr>
            <w:r>
              <w:rPr>
                <w:rFonts w:hint="eastAsia" w:cs="Arial" w:asciiTheme="minorEastAsia" w:hAnsiTheme="minorEastAsia" w:eastAsiaTheme="minorEastAsia"/>
                <w:b/>
                <w:sz w:val="18"/>
                <w:szCs w:val="18"/>
              </w:rPr>
              <w:t>二、政府性基金预算财政拨款收入</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1,856,000.00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5,065.00</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5,065.00</w:t>
            </w:r>
          </w:p>
        </w:tc>
      </w:tr>
      <w:tr>
        <w:tblPrEx>
          <w:tblLayout w:type="fixed"/>
          <w:tblCellMar>
            <w:top w:w="0" w:type="dxa"/>
            <w:left w:w="108" w:type="dxa"/>
            <w:bottom w:w="0" w:type="dxa"/>
            <w:right w:w="108" w:type="dxa"/>
          </w:tblCellMar>
        </w:tblPrEx>
        <w:trPr>
          <w:trHeight w:val="284"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textAlignment w:val="center"/>
              <w:rPr>
                <w:rFonts w:cs="宋体" w:asciiTheme="minorEastAsia" w:hAnsiTheme="minorEastAsia" w:eastAsiaTheme="minorEastAsia"/>
                <w:b/>
                <w:sz w:val="18"/>
                <w:szCs w:val="18"/>
              </w:rPr>
            </w:pPr>
            <w:r>
              <w:rPr>
                <w:rFonts w:hint="eastAsia" w:cs="Arial" w:asciiTheme="minorEastAsia" w:hAnsiTheme="minorEastAsia" w:eastAsiaTheme="minorEastAsia"/>
                <w:b/>
                <w:sz w:val="18"/>
                <w:szCs w:val="18"/>
              </w:rPr>
              <w:t>三、国有资本经营预算财政拨款收入</w:t>
            </w:r>
          </w:p>
        </w:tc>
        <w:tc>
          <w:tcPr>
            <w:tcW w:w="1905"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c>
          <w:tcPr>
            <w:tcW w:w="1980" w:type="dxa"/>
            <w:tcBorders>
              <w:top w:val="single" w:color="auto" w:sz="4" w:space="0"/>
              <w:left w:val="nil"/>
              <w:bottom w:val="single" w:color="000000" w:sz="4" w:space="0"/>
              <w:right w:val="single" w:color="000000"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c>
          <w:tcPr>
            <w:tcW w:w="1740" w:type="dxa"/>
            <w:tcBorders>
              <w:top w:val="single" w:color="auto" w:sz="4" w:space="0"/>
              <w:left w:val="nil"/>
              <w:bottom w:val="single" w:color="000000" w:sz="4" w:space="0"/>
              <w:right w:val="single" w:color="000000" w:sz="8"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r>
      <w:tr>
        <w:tblPrEx>
          <w:tblLayout w:type="fixed"/>
          <w:tblCellMar>
            <w:top w:w="0" w:type="dxa"/>
            <w:left w:w="108" w:type="dxa"/>
            <w:bottom w:w="0" w:type="dxa"/>
            <w:right w:w="108" w:type="dxa"/>
          </w:tblCellMar>
        </w:tblPrEx>
        <w:trPr>
          <w:trHeight w:val="284"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textAlignment w:val="center"/>
              <w:rPr>
                <w:rFonts w:cs="宋体" w:asciiTheme="minorEastAsia" w:hAnsiTheme="minorEastAsia" w:eastAsiaTheme="minorEastAsia"/>
                <w:b/>
                <w:sz w:val="18"/>
                <w:szCs w:val="18"/>
              </w:rPr>
            </w:pPr>
            <w:r>
              <w:rPr>
                <w:rFonts w:hint="eastAsia" w:cs="Arial" w:asciiTheme="minorEastAsia" w:hAnsiTheme="minorEastAsia" w:eastAsiaTheme="minorEastAsia"/>
                <w:b/>
                <w:sz w:val="18"/>
                <w:szCs w:val="18"/>
              </w:rPr>
              <w:t>四、上级补助收入</w:t>
            </w:r>
          </w:p>
        </w:tc>
        <w:tc>
          <w:tcPr>
            <w:tcW w:w="1905" w:type="dxa"/>
            <w:tcBorders>
              <w:top w:val="nil"/>
              <w:left w:val="single" w:color="auto" w:sz="4" w:space="0"/>
              <w:bottom w:val="single" w:color="auto" w:sz="4" w:space="0"/>
              <w:right w:val="single" w:color="000000"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c>
          <w:tcPr>
            <w:tcW w:w="1980" w:type="dxa"/>
            <w:tcBorders>
              <w:top w:val="nil"/>
              <w:left w:val="nil"/>
              <w:bottom w:val="single" w:color="auto" w:sz="4" w:space="0"/>
              <w:right w:val="single" w:color="000000"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c>
          <w:tcPr>
            <w:tcW w:w="1740" w:type="dxa"/>
            <w:tcBorders>
              <w:top w:val="nil"/>
              <w:left w:val="nil"/>
              <w:bottom w:val="single" w:color="auto" w:sz="4" w:space="0"/>
              <w:right w:val="single" w:color="000000" w:sz="8"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r>
      <w:tr>
        <w:tblPrEx>
          <w:tblLayout w:type="fixed"/>
          <w:tblCellMar>
            <w:top w:w="0" w:type="dxa"/>
            <w:left w:w="108" w:type="dxa"/>
            <w:bottom w:w="0" w:type="dxa"/>
            <w:right w:w="108" w:type="dxa"/>
          </w:tblCellMar>
        </w:tblPrEx>
        <w:trPr>
          <w:trHeight w:val="479"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textAlignment w:val="center"/>
              <w:rPr>
                <w:rFonts w:cs="宋体" w:asciiTheme="minorEastAsia" w:hAnsiTheme="minorEastAsia" w:eastAsiaTheme="minorEastAsia"/>
                <w:b/>
                <w:sz w:val="18"/>
                <w:szCs w:val="18"/>
              </w:rPr>
            </w:pPr>
            <w:r>
              <w:rPr>
                <w:rFonts w:hint="eastAsia" w:cs="Arial" w:asciiTheme="minorEastAsia" w:hAnsiTheme="minorEastAsia" w:eastAsiaTheme="minorEastAsia"/>
                <w:b/>
                <w:sz w:val="18"/>
                <w:szCs w:val="18"/>
              </w:rPr>
              <w:t>五、事业收入</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2,390,061.49</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2,390,061.49</w:t>
            </w:r>
          </w:p>
        </w:tc>
      </w:tr>
      <w:tr>
        <w:tblPrEx>
          <w:tblLayout w:type="fixed"/>
          <w:tblCellMar>
            <w:top w:w="0" w:type="dxa"/>
            <w:left w:w="108" w:type="dxa"/>
            <w:bottom w:w="0" w:type="dxa"/>
            <w:right w:w="108" w:type="dxa"/>
          </w:tblCellMar>
        </w:tblPrEx>
        <w:trPr>
          <w:trHeight w:val="444"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textAlignment w:val="center"/>
              <w:rPr>
                <w:rFonts w:cs="宋体" w:asciiTheme="minorEastAsia" w:hAnsiTheme="minorEastAsia" w:eastAsiaTheme="minorEastAsia"/>
                <w:b/>
                <w:sz w:val="18"/>
                <w:szCs w:val="18"/>
              </w:rPr>
            </w:pPr>
            <w:r>
              <w:rPr>
                <w:rFonts w:hint="eastAsia" w:cs="Arial" w:asciiTheme="minorEastAsia" w:hAnsiTheme="minorEastAsia" w:eastAsiaTheme="minorEastAsia"/>
                <w:b/>
                <w:sz w:val="18"/>
                <w:szCs w:val="18"/>
              </w:rPr>
              <w:t>六、经营收入</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7,551,741.57</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7,551,741.57</w:t>
            </w:r>
          </w:p>
        </w:tc>
      </w:tr>
      <w:tr>
        <w:tblPrEx>
          <w:tblLayout w:type="fixed"/>
          <w:tblCellMar>
            <w:top w:w="0" w:type="dxa"/>
            <w:left w:w="108" w:type="dxa"/>
            <w:bottom w:w="0" w:type="dxa"/>
            <w:right w:w="108" w:type="dxa"/>
          </w:tblCellMar>
        </w:tblPrEx>
        <w:trPr>
          <w:trHeight w:val="284"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textAlignment w:val="center"/>
              <w:rPr>
                <w:rFonts w:cs="宋体" w:asciiTheme="minorEastAsia" w:hAnsiTheme="minorEastAsia" w:eastAsiaTheme="minorEastAsia"/>
                <w:b/>
                <w:sz w:val="18"/>
                <w:szCs w:val="18"/>
              </w:rPr>
            </w:pPr>
            <w:r>
              <w:rPr>
                <w:rFonts w:hint="eastAsia" w:cs="Arial" w:asciiTheme="minorEastAsia" w:hAnsiTheme="minorEastAsia" w:eastAsiaTheme="minorEastAsia"/>
                <w:b/>
                <w:sz w:val="18"/>
                <w:szCs w:val="18"/>
              </w:rPr>
              <w:t>七、附属单位上缴收入</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sz w:val="18"/>
                <w:szCs w:val="18"/>
              </w:rPr>
            </w:pPr>
            <w:r>
              <w:rPr>
                <w:rFonts w:cs="Arial" w:asciiTheme="minorEastAsia" w:hAnsiTheme="minorEastAsia" w:eastAsiaTheme="minorEastAsia"/>
                <w:sz w:val="18"/>
                <w:szCs w:val="18"/>
              </w:rPr>
              <w:t>0.00</w:t>
            </w:r>
          </w:p>
        </w:tc>
      </w:tr>
      <w:tr>
        <w:tblPrEx>
          <w:tblLayout w:type="fixed"/>
          <w:tblCellMar>
            <w:top w:w="0" w:type="dxa"/>
            <w:left w:w="108" w:type="dxa"/>
            <w:bottom w:w="0" w:type="dxa"/>
            <w:right w:w="108" w:type="dxa"/>
          </w:tblCellMar>
        </w:tblPrEx>
        <w:trPr>
          <w:trHeight w:val="284"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textAlignment w:val="center"/>
              <w:rPr>
                <w:rFonts w:cs="宋体" w:asciiTheme="minorEastAsia" w:hAnsiTheme="minorEastAsia" w:eastAsiaTheme="minorEastAsia"/>
                <w:b/>
                <w:kern w:val="0"/>
                <w:sz w:val="18"/>
                <w:szCs w:val="18"/>
                <w:lang w:bidi="ar"/>
              </w:rPr>
            </w:pPr>
            <w:r>
              <w:rPr>
                <w:rFonts w:hint="eastAsia" w:cs="Arial" w:asciiTheme="minorEastAsia" w:hAnsiTheme="minorEastAsia" w:eastAsiaTheme="minorEastAsia"/>
                <w:b/>
                <w:sz w:val="18"/>
                <w:szCs w:val="18"/>
              </w:rPr>
              <w:t>八、其他收入</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kern w:val="0"/>
                <w:sz w:val="18"/>
                <w:szCs w:val="18"/>
                <w:lang w:bidi="ar"/>
              </w:rPr>
            </w:pPr>
            <w:r>
              <w:rPr>
                <w:rFonts w:cs="Arial" w:asciiTheme="minorEastAsia" w:hAnsiTheme="minorEastAsia" w:eastAsiaTheme="minorEastAsia"/>
                <w:sz w:val="18"/>
                <w:szCs w:val="18"/>
              </w:rPr>
              <w:t>0.00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kern w:val="0"/>
                <w:sz w:val="18"/>
                <w:szCs w:val="18"/>
                <w:lang w:bidi="ar"/>
              </w:rPr>
            </w:pPr>
            <w:r>
              <w:rPr>
                <w:rFonts w:cs="Arial" w:asciiTheme="minorEastAsia" w:hAnsiTheme="minorEastAsia" w:eastAsiaTheme="minorEastAsia"/>
                <w:sz w:val="18"/>
                <w:szCs w:val="18"/>
              </w:rPr>
              <w:t>0.00</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440" w:firstLineChars="0"/>
              <w:jc w:val="center"/>
              <w:textAlignment w:val="center"/>
              <w:rPr>
                <w:rFonts w:cs="宋体" w:asciiTheme="minorEastAsia" w:hAnsiTheme="minorEastAsia" w:eastAsiaTheme="minorEastAsia"/>
                <w:kern w:val="0"/>
                <w:sz w:val="18"/>
                <w:szCs w:val="18"/>
                <w:lang w:bidi="ar"/>
              </w:rPr>
            </w:pPr>
            <w:r>
              <w:rPr>
                <w:rFonts w:cs="Arial" w:asciiTheme="minorEastAsia" w:hAnsiTheme="minorEastAsia" w:eastAsiaTheme="minorEastAsia"/>
                <w:sz w:val="18"/>
                <w:szCs w:val="18"/>
              </w:rPr>
              <w:t>0.00</w:t>
            </w:r>
          </w:p>
        </w:tc>
      </w:tr>
      <w:tr>
        <w:tblPrEx>
          <w:tblLayout w:type="fixed"/>
          <w:tblCellMar>
            <w:top w:w="0" w:type="dxa"/>
            <w:left w:w="108" w:type="dxa"/>
            <w:bottom w:w="0" w:type="dxa"/>
            <w:right w:w="108" w:type="dxa"/>
          </w:tblCellMar>
        </w:tblPrEx>
        <w:trPr>
          <w:trHeight w:val="389" w:hRule="atLeast"/>
          <w:jc w:val="center"/>
        </w:trPr>
        <w:tc>
          <w:tcPr>
            <w:tcW w:w="313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adjustRightInd w:val="0"/>
              <w:snapToGrid w:val="0"/>
              <w:spacing w:line="240" w:lineRule="auto"/>
              <w:ind w:right="-102" w:rightChars="-32" w:firstLine="0" w:firstLineChars="0"/>
              <w:jc w:val="center"/>
              <w:textAlignment w:val="center"/>
              <w:rPr>
                <w:rFonts w:cs="Arial" w:asciiTheme="minorEastAsia" w:hAnsiTheme="minorEastAsia" w:eastAsiaTheme="minorEastAsia"/>
                <w:sz w:val="18"/>
                <w:szCs w:val="18"/>
              </w:rPr>
            </w:pPr>
            <w:r>
              <w:rPr>
                <w:rFonts w:hint="eastAsia" w:cs="Arial" w:asciiTheme="minorEastAsia" w:hAnsiTheme="minorEastAsia" w:eastAsiaTheme="minorEastAsia"/>
                <w:b/>
                <w:bCs/>
                <w:sz w:val="18"/>
                <w:szCs w:val="18"/>
              </w:rPr>
              <w:t>本年收入合计</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0" w:firstLineChars="0"/>
              <w:jc w:val="center"/>
              <w:textAlignment w:val="center"/>
              <w:rPr>
                <w:rFonts w:cs="Arial" w:asciiTheme="minorEastAsia" w:hAnsiTheme="minorEastAsia" w:eastAsiaTheme="minorEastAsia"/>
                <w:b/>
                <w:bCs/>
                <w:sz w:val="18"/>
                <w:szCs w:val="18"/>
              </w:rPr>
            </w:pPr>
            <w:r>
              <w:rPr>
                <w:rFonts w:cs="Arial" w:asciiTheme="minorEastAsia" w:hAnsiTheme="minorEastAsia" w:eastAsiaTheme="minorEastAsia"/>
                <w:b/>
                <w:bCs/>
                <w:sz w:val="18"/>
                <w:szCs w:val="18"/>
              </w:rPr>
              <w:t>31,484,994.44</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0" w:firstLineChars="0"/>
              <w:jc w:val="center"/>
              <w:textAlignment w:val="center"/>
              <w:rPr>
                <w:rFonts w:cs="Arial" w:asciiTheme="minorEastAsia" w:hAnsiTheme="minorEastAsia" w:eastAsiaTheme="minorEastAsia"/>
                <w:b/>
                <w:bCs/>
                <w:sz w:val="18"/>
                <w:szCs w:val="18"/>
              </w:rPr>
            </w:pPr>
            <w:r>
              <w:rPr>
                <w:rFonts w:cs="Arial" w:asciiTheme="minorEastAsia" w:hAnsiTheme="minorEastAsia" w:eastAsiaTheme="minorEastAsia"/>
                <w:b/>
                <w:bCs/>
                <w:sz w:val="18"/>
                <w:szCs w:val="18"/>
              </w:rPr>
              <w:t>48,174,775.43</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right="-102" w:rightChars="-32" w:firstLine="0" w:firstLineChars="0"/>
              <w:jc w:val="center"/>
              <w:textAlignment w:val="center"/>
              <w:rPr>
                <w:rFonts w:cs="Arial" w:asciiTheme="minorEastAsia" w:hAnsiTheme="minorEastAsia" w:eastAsiaTheme="minorEastAsia"/>
                <w:b/>
                <w:bCs/>
                <w:sz w:val="18"/>
                <w:szCs w:val="18"/>
              </w:rPr>
            </w:pPr>
            <w:r>
              <w:rPr>
                <w:rFonts w:cs="Arial" w:asciiTheme="minorEastAsia" w:hAnsiTheme="minorEastAsia" w:eastAsiaTheme="minorEastAsia"/>
                <w:b/>
                <w:bCs/>
                <w:sz w:val="18"/>
                <w:szCs w:val="18"/>
              </w:rPr>
              <w:t>48,174,775.43</w:t>
            </w:r>
          </w:p>
        </w:tc>
      </w:tr>
    </w:tbl>
    <w:p>
      <w:pPr>
        <w:pStyle w:val="4"/>
        <w:ind w:firstLine="0" w:firstLineChars="0"/>
      </w:pPr>
      <w:r>
        <w:rPr>
          <w:rFonts w:hint="eastAsia"/>
          <w:lang w:val="en-US" w:eastAsia="zh-CN"/>
        </w:rPr>
        <w:t xml:space="preserve">    </w:t>
      </w:r>
      <w:r>
        <w:rPr>
          <w:rFonts w:hint="eastAsia"/>
        </w:rPr>
        <w:t>2.</w:t>
      </w:r>
      <w:r>
        <w:t>2021年部门整体支出</w:t>
      </w:r>
    </w:p>
    <w:p>
      <w:pPr>
        <w:ind w:firstLine="640"/>
      </w:pPr>
      <w:r>
        <w:rPr>
          <w:rFonts w:hint="eastAsia"/>
        </w:rPr>
        <w:t>根据市应急局2021年度部门决算报表，</w:t>
      </w:r>
      <w:r>
        <w:t>部门支出决算数为4471.44万元，其中</w:t>
      </w:r>
      <w:r>
        <w:rPr>
          <w:rFonts w:hint="eastAsia"/>
        </w:rPr>
        <w:t>：</w:t>
      </w:r>
      <w:r>
        <w:t>基本支出1417.46万元，占总支出的</w:t>
      </w:r>
      <w:r>
        <w:rPr>
          <w:rFonts w:hint="eastAsia"/>
        </w:rPr>
        <w:t>31.70%；</w:t>
      </w:r>
      <w:r>
        <w:t>项目支出2644.84万元，占总支出的</w:t>
      </w:r>
      <w:r>
        <w:rPr>
          <w:rFonts w:hint="eastAsia"/>
        </w:rPr>
        <w:t>59.15%；</w:t>
      </w:r>
      <w:r>
        <w:t>经营支出409.14万元，占总支出的</w:t>
      </w:r>
      <w:r>
        <w:rPr>
          <w:rFonts w:hint="eastAsia"/>
        </w:rPr>
        <w:t>9.15%；</w:t>
      </w:r>
      <w:r>
        <w:t>年末结转结余资金93.03万元</w:t>
      </w:r>
      <w:r>
        <w:rPr>
          <w:rFonts w:hint="eastAsia"/>
          <w:lang w:eastAsia="zh-CN"/>
        </w:rPr>
        <w:t>（</w:t>
      </w:r>
      <w:r>
        <w:t>详见表</w:t>
      </w:r>
      <w:r>
        <w:rPr>
          <w:rFonts w:hint="eastAsia"/>
          <w:lang w:val="en-US" w:eastAsia="zh-CN"/>
        </w:rPr>
        <w:t>1-6</w:t>
      </w:r>
      <w:r>
        <w:rPr>
          <w:rFonts w:hint="eastAsia"/>
          <w:lang w:eastAsia="zh-CN"/>
        </w:rPr>
        <w:t>）</w:t>
      </w:r>
      <w:r>
        <w:t>。</w:t>
      </w:r>
    </w:p>
    <w:p>
      <w:pPr>
        <w:pStyle w:val="8"/>
        <w:keepNext/>
        <w:spacing w:before="0" w:beforeLines="-2147483648" w:line="360" w:lineRule="auto"/>
        <w:rPr>
          <w:rFonts w:cs="Times New Roman" w:asciiTheme="minorEastAsia" w:hAnsiTheme="minorEastAsia" w:eastAsiaTheme="minorEastAsia"/>
          <w:b/>
        </w:rPr>
      </w:pPr>
      <w:r>
        <w:rPr>
          <w:rFonts w:cs="Times New Roman" w:asciiTheme="minorEastAsia" w:hAnsiTheme="minorEastAsia" w:eastAsiaTheme="minorEastAsia"/>
          <w:b/>
        </w:rPr>
        <w:t>表</w:t>
      </w:r>
      <w:r>
        <w:rPr>
          <w:rFonts w:hint="eastAsia" w:cs="Times New Roman" w:asciiTheme="minorEastAsia" w:hAnsiTheme="minorEastAsia" w:eastAsiaTheme="minorEastAsia"/>
          <w:b/>
        </w:rPr>
        <w:t>1-6</w:t>
      </w:r>
      <w:r>
        <w:rPr>
          <w:rFonts w:cs="Times New Roman" w:asciiTheme="minorEastAsia" w:hAnsiTheme="minorEastAsia" w:eastAsiaTheme="minorEastAsia"/>
          <w:b/>
        </w:rPr>
        <w:t xml:space="preserve"> </w:t>
      </w:r>
      <w:r>
        <w:rPr>
          <w:rFonts w:hint="eastAsia" w:cs="Times New Roman" w:asciiTheme="minorEastAsia" w:hAnsiTheme="minorEastAsia" w:eastAsiaTheme="minorEastAsia"/>
          <w:b/>
        </w:rPr>
        <w:t>市应急局2021年</w:t>
      </w:r>
      <w:r>
        <w:rPr>
          <w:rFonts w:cs="Times New Roman" w:asciiTheme="minorEastAsia" w:hAnsiTheme="minorEastAsia" w:eastAsiaTheme="minorEastAsia"/>
          <w:b/>
        </w:rPr>
        <w:t>部门整体支出决算表</w:t>
      </w:r>
    </w:p>
    <w:tbl>
      <w:tblPr>
        <w:tblStyle w:val="19"/>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1701"/>
        <w:gridCol w:w="1701"/>
        <w:gridCol w:w="16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2631"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b/>
                <w:bCs/>
                <w:sz w:val="21"/>
                <w:szCs w:val="21"/>
              </w:rPr>
            </w:pPr>
            <w:r>
              <w:rPr>
                <w:rFonts w:asciiTheme="minorEastAsia" w:hAnsiTheme="minorEastAsia" w:eastAsiaTheme="minorEastAsia"/>
                <w:b/>
                <w:bCs/>
                <w:kern w:val="0"/>
                <w:sz w:val="21"/>
                <w:szCs w:val="21"/>
                <w:lang w:bidi="ar"/>
              </w:rPr>
              <w:t>按支出性质分类</w:t>
            </w:r>
          </w:p>
        </w:tc>
        <w:tc>
          <w:tcPr>
            <w:tcW w:w="1701"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b/>
                <w:bCs/>
                <w:kern w:val="0"/>
                <w:sz w:val="21"/>
                <w:szCs w:val="21"/>
                <w:lang w:bidi="ar"/>
              </w:rPr>
            </w:pPr>
            <w:r>
              <w:rPr>
                <w:rFonts w:asciiTheme="minorEastAsia" w:hAnsiTheme="minorEastAsia" w:eastAsiaTheme="minorEastAsia"/>
                <w:b/>
                <w:bCs/>
                <w:kern w:val="0"/>
                <w:sz w:val="21"/>
                <w:szCs w:val="21"/>
                <w:lang w:bidi="ar"/>
              </w:rPr>
              <w:t>年初预算数</w:t>
            </w:r>
          </w:p>
          <w:p>
            <w:pPr>
              <w:widowControl/>
              <w:adjustRightInd w:val="0"/>
              <w:snapToGrid w:val="0"/>
              <w:spacing w:line="240" w:lineRule="auto"/>
              <w:ind w:firstLine="0" w:firstLineChars="0"/>
              <w:jc w:val="center"/>
              <w:textAlignment w:val="center"/>
              <w:rPr>
                <w:rFonts w:asciiTheme="minorEastAsia" w:hAnsiTheme="minorEastAsia" w:eastAsiaTheme="minorEastAsia"/>
                <w:b/>
                <w:bCs/>
                <w:kern w:val="0"/>
                <w:sz w:val="21"/>
                <w:szCs w:val="21"/>
                <w:lang w:bidi="ar"/>
              </w:rPr>
            </w:pPr>
            <w:r>
              <w:rPr>
                <w:rFonts w:hint="eastAsia" w:asciiTheme="minorEastAsia" w:hAnsiTheme="minorEastAsia" w:eastAsiaTheme="minorEastAsia"/>
                <w:b/>
                <w:bCs/>
                <w:kern w:val="0"/>
                <w:sz w:val="21"/>
                <w:szCs w:val="21"/>
                <w:lang w:bidi="ar"/>
              </w:rPr>
              <w:t>（</w:t>
            </w:r>
            <w:r>
              <w:rPr>
                <w:rFonts w:asciiTheme="minorEastAsia" w:hAnsiTheme="minorEastAsia" w:eastAsiaTheme="minorEastAsia"/>
                <w:b/>
                <w:bCs/>
                <w:kern w:val="0"/>
                <w:sz w:val="21"/>
                <w:szCs w:val="21"/>
                <w:lang w:bidi="ar"/>
              </w:rPr>
              <w:t>元）</w:t>
            </w:r>
          </w:p>
        </w:tc>
        <w:tc>
          <w:tcPr>
            <w:tcW w:w="1701"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b/>
                <w:bCs/>
                <w:kern w:val="0"/>
                <w:sz w:val="21"/>
                <w:szCs w:val="21"/>
                <w:lang w:bidi="ar"/>
              </w:rPr>
            </w:pPr>
            <w:r>
              <w:rPr>
                <w:rFonts w:asciiTheme="minorEastAsia" w:hAnsiTheme="minorEastAsia" w:eastAsiaTheme="minorEastAsia"/>
                <w:b/>
                <w:bCs/>
                <w:kern w:val="0"/>
                <w:sz w:val="21"/>
                <w:szCs w:val="21"/>
                <w:lang w:bidi="ar"/>
              </w:rPr>
              <w:t>调整预算数</w:t>
            </w:r>
          </w:p>
          <w:p>
            <w:pPr>
              <w:widowControl/>
              <w:adjustRightInd w:val="0"/>
              <w:snapToGrid w:val="0"/>
              <w:spacing w:line="240" w:lineRule="auto"/>
              <w:ind w:firstLine="0" w:firstLineChars="0"/>
              <w:jc w:val="center"/>
              <w:textAlignment w:val="center"/>
              <w:rPr>
                <w:rFonts w:asciiTheme="minorEastAsia" w:hAnsiTheme="minorEastAsia" w:eastAsiaTheme="minorEastAsia"/>
                <w:b/>
                <w:bCs/>
                <w:kern w:val="0"/>
                <w:sz w:val="21"/>
                <w:szCs w:val="21"/>
                <w:lang w:bidi="ar"/>
              </w:rPr>
            </w:pPr>
            <w:r>
              <w:rPr>
                <w:rFonts w:hint="eastAsia" w:asciiTheme="minorEastAsia" w:hAnsiTheme="minorEastAsia" w:eastAsiaTheme="minorEastAsia"/>
                <w:b/>
                <w:bCs/>
                <w:kern w:val="0"/>
                <w:sz w:val="21"/>
                <w:szCs w:val="21"/>
                <w:lang w:bidi="ar"/>
              </w:rPr>
              <w:t>（</w:t>
            </w:r>
            <w:r>
              <w:rPr>
                <w:rFonts w:asciiTheme="minorEastAsia" w:hAnsiTheme="minorEastAsia" w:eastAsiaTheme="minorEastAsia"/>
                <w:b/>
                <w:bCs/>
                <w:kern w:val="0"/>
                <w:sz w:val="21"/>
                <w:szCs w:val="21"/>
                <w:lang w:bidi="ar"/>
              </w:rPr>
              <w:t>元）</w:t>
            </w:r>
          </w:p>
        </w:tc>
        <w:tc>
          <w:tcPr>
            <w:tcW w:w="1660"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b/>
                <w:bCs/>
                <w:kern w:val="0"/>
                <w:sz w:val="21"/>
                <w:szCs w:val="21"/>
                <w:lang w:bidi="ar"/>
              </w:rPr>
            </w:pPr>
            <w:r>
              <w:rPr>
                <w:rFonts w:asciiTheme="minorEastAsia" w:hAnsiTheme="minorEastAsia" w:eastAsiaTheme="minorEastAsia"/>
                <w:b/>
                <w:bCs/>
                <w:kern w:val="0"/>
                <w:sz w:val="21"/>
                <w:szCs w:val="21"/>
                <w:lang w:bidi="ar"/>
              </w:rPr>
              <w:t>决算数</w:t>
            </w:r>
          </w:p>
          <w:p>
            <w:pPr>
              <w:widowControl/>
              <w:adjustRightInd w:val="0"/>
              <w:snapToGrid w:val="0"/>
              <w:spacing w:line="240" w:lineRule="auto"/>
              <w:ind w:firstLine="0" w:firstLineChars="0"/>
              <w:jc w:val="center"/>
              <w:textAlignment w:val="center"/>
              <w:rPr>
                <w:rFonts w:asciiTheme="minorEastAsia" w:hAnsiTheme="minorEastAsia" w:eastAsiaTheme="minorEastAsia"/>
                <w:b/>
                <w:bCs/>
                <w:kern w:val="0"/>
                <w:sz w:val="21"/>
                <w:szCs w:val="21"/>
                <w:lang w:bidi="ar"/>
              </w:rPr>
            </w:pPr>
            <w:r>
              <w:rPr>
                <w:rFonts w:hint="eastAsia" w:asciiTheme="minorEastAsia" w:hAnsiTheme="minorEastAsia" w:eastAsiaTheme="minorEastAsia"/>
                <w:b/>
                <w:bCs/>
                <w:kern w:val="0"/>
                <w:sz w:val="21"/>
                <w:szCs w:val="21"/>
                <w:lang w:bidi="ar"/>
              </w:rPr>
              <w:t>（</w:t>
            </w:r>
            <w:r>
              <w:rPr>
                <w:rFonts w:asciiTheme="minorEastAsia" w:hAnsiTheme="minorEastAsia" w:eastAsiaTheme="minorEastAsia"/>
                <w:b/>
                <w:bCs/>
                <w:kern w:val="0"/>
                <w:sz w:val="21"/>
                <w:szCs w:val="21"/>
                <w:lang w:bidi="ar"/>
              </w:rPr>
              <w:t>元）</w:t>
            </w:r>
          </w:p>
        </w:tc>
        <w:tc>
          <w:tcPr>
            <w:tcW w:w="1162" w:type="dxa"/>
            <w:vAlign w:val="center"/>
          </w:tcPr>
          <w:p>
            <w:pPr>
              <w:widowControl/>
              <w:adjustRightInd w:val="0"/>
              <w:snapToGrid w:val="0"/>
              <w:spacing w:line="240" w:lineRule="auto"/>
              <w:ind w:firstLine="0" w:firstLineChars="0"/>
              <w:jc w:val="center"/>
              <w:textAlignment w:val="center"/>
              <w:rPr>
                <w:rFonts w:cs="仿宋_GB2312" w:asciiTheme="minorEastAsia" w:hAnsiTheme="minorEastAsia" w:eastAsiaTheme="minorEastAsia"/>
                <w:b/>
                <w:bCs/>
                <w:kern w:val="0"/>
                <w:sz w:val="21"/>
                <w:szCs w:val="21"/>
                <w:lang w:bidi="ar"/>
              </w:rPr>
            </w:pPr>
            <w:r>
              <w:rPr>
                <w:rFonts w:hint="eastAsia" w:cs="仿宋_GB2312" w:asciiTheme="minorEastAsia" w:hAnsiTheme="minorEastAsia" w:eastAsiaTheme="minorEastAsia"/>
                <w:b/>
                <w:bCs/>
                <w:kern w:val="0"/>
                <w:sz w:val="21"/>
                <w:szCs w:val="21"/>
                <w:lang w:bidi="ar"/>
              </w:rPr>
              <w:t>占总收入</w:t>
            </w:r>
          </w:p>
          <w:p>
            <w:pPr>
              <w:widowControl/>
              <w:adjustRightInd w:val="0"/>
              <w:snapToGrid w:val="0"/>
              <w:spacing w:line="240" w:lineRule="auto"/>
              <w:ind w:firstLine="0" w:firstLineChars="0"/>
              <w:jc w:val="center"/>
              <w:textAlignment w:val="center"/>
              <w:rPr>
                <w:rFonts w:asciiTheme="minorEastAsia" w:hAnsiTheme="minorEastAsia" w:eastAsiaTheme="minorEastAsia"/>
                <w:b/>
                <w:bCs/>
                <w:kern w:val="0"/>
                <w:sz w:val="21"/>
                <w:szCs w:val="21"/>
                <w:lang w:bidi="ar"/>
              </w:rPr>
            </w:pPr>
            <w:r>
              <w:rPr>
                <w:rFonts w:hint="eastAsia" w:cs="仿宋_GB2312" w:asciiTheme="minorEastAsia" w:hAnsiTheme="minorEastAsia" w:eastAsiaTheme="minorEastAsia"/>
                <w:b/>
                <w:bCs/>
                <w:kern w:val="0"/>
                <w:sz w:val="21"/>
                <w:szCs w:val="21"/>
                <w:lang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0" w:firstLineChars="0"/>
              <w:jc w:val="left"/>
              <w:textAlignment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一、基本支出</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16,642,682.59</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14,174,667.59</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14,174,667.59</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420"/>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人员经费</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14,626,782.59</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12,281,762.22</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12,281,762.22</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27.47%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420"/>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公用经费</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2,015,900.00</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1,892,905.37</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1,892,905.37</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0" w:firstLineChars="0"/>
              <w:jc w:val="left"/>
              <w:textAlignment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二、项目支出</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14,842,311.85</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26,448,366.27</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26,448,366.27</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59.15%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420"/>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其中：基本建设类项目</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0" w:firstLineChars="0"/>
              <w:jc w:val="left"/>
              <w:textAlignment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三、上缴上级支出</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0" w:firstLineChars="0"/>
              <w:jc w:val="left"/>
              <w:textAlignment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四、经营支出</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4,091,393.44</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4,091,393.44</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0" w:firstLineChars="0"/>
              <w:jc w:val="left"/>
              <w:textAlignment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五、对附属单位补助支出</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631" w:type="dxa"/>
            <w:shd w:val="clear" w:color="FFFFFF" w:fill="auto"/>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本年支出合计</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31,484,994.44</w:t>
            </w:r>
          </w:p>
        </w:tc>
        <w:tc>
          <w:tcPr>
            <w:tcW w:w="1701"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44,714,427.30</w:t>
            </w:r>
          </w:p>
        </w:tc>
        <w:tc>
          <w:tcPr>
            <w:tcW w:w="1660" w:type="dxa"/>
            <w:vAlign w:val="center"/>
          </w:tcPr>
          <w:p>
            <w:pPr>
              <w:widowControl/>
              <w:adjustRightInd w:val="0"/>
              <w:snapToGrid w:val="0"/>
              <w:spacing w:line="240" w:lineRule="auto"/>
              <w:ind w:firstLine="0" w:firstLineChars="0"/>
              <w:jc w:val="right"/>
              <w:textAlignment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44,714,427.30</w:t>
            </w:r>
          </w:p>
        </w:tc>
        <w:tc>
          <w:tcPr>
            <w:tcW w:w="1162" w:type="dxa"/>
            <w:vAlign w:val="center"/>
          </w:tcPr>
          <w:p>
            <w:pPr>
              <w:widowControl/>
              <w:adjustRightInd w:val="0"/>
              <w:snapToGrid w:val="0"/>
              <w:spacing w:line="240" w:lineRule="auto"/>
              <w:ind w:firstLine="0" w:firstLineChars="0"/>
              <w:jc w:val="center"/>
              <w:textAlignment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100.00%</w:t>
            </w:r>
          </w:p>
        </w:tc>
      </w:tr>
    </w:tbl>
    <w:p>
      <w:pPr>
        <w:spacing w:after="0" w:afterLines="-2147483648"/>
        <w:ind w:firstLine="0" w:firstLineChars="0"/>
        <w:rPr>
          <w:sz w:val="24"/>
        </w:rPr>
      </w:pPr>
      <w:r>
        <w:rPr>
          <w:sz w:val="24"/>
        </w:rPr>
        <w:t>注</w:t>
      </w:r>
      <w:r>
        <w:rPr>
          <w:rFonts w:hint="eastAsia"/>
          <w:sz w:val="24"/>
        </w:rPr>
        <w:t>：</w:t>
      </w:r>
      <w:r>
        <w:rPr>
          <w:sz w:val="24"/>
        </w:rPr>
        <w:t>数据来源于</w:t>
      </w:r>
      <w:r>
        <w:rPr>
          <w:rFonts w:hint="eastAsia"/>
          <w:sz w:val="24"/>
        </w:rPr>
        <w:t>《</w:t>
      </w:r>
      <w:r>
        <w:rPr>
          <w:sz w:val="24"/>
        </w:rPr>
        <w:t>2021年度韶关市</w:t>
      </w:r>
      <w:r>
        <w:rPr>
          <w:rFonts w:hint="eastAsia"/>
          <w:sz w:val="24"/>
        </w:rPr>
        <w:t>应急</w:t>
      </w:r>
      <w:r>
        <w:rPr>
          <w:sz w:val="24"/>
        </w:rPr>
        <w:t>管理局部门决算报表</w:t>
      </w:r>
      <w:r>
        <w:rPr>
          <w:rFonts w:hint="eastAsia"/>
          <w:sz w:val="24"/>
        </w:rPr>
        <w:t>》。</w:t>
      </w:r>
    </w:p>
    <w:p>
      <w:pPr>
        <w:ind w:firstLine="640"/>
      </w:pPr>
      <w:r>
        <w:rPr>
          <w:rFonts w:hint="eastAsia"/>
        </w:rPr>
        <w:t>从经济分类来看，其中：工资福利支出</w:t>
      </w:r>
      <w:r>
        <w:t>2080.19万元，占年度总支出的46.52%；商品和服务支出1265.50万元，占年度总支出的28.30%；对个人和家庭的补助支出22.59万元，占年度总支出的0.51%；资本性支出1103.17万元，占年度总支出的24.67%。</w:t>
      </w:r>
    </w:p>
    <w:p>
      <w:pPr>
        <w:spacing w:before="0" w:beforeLines="0"/>
        <w:ind w:firstLine="0" w:firstLineChars="0"/>
        <w:jc w:val="center"/>
      </w:pPr>
      <w:r>
        <w:rPr>
          <w:rFonts w:hint="eastAsia"/>
        </w:rPr>
        <w:drawing>
          <wp:inline distT="0" distB="0" distL="0" distR="0">
            <wp:extent cx="5486400" cy="32004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keepNext/>
        <w:ind w:firstLine="562"/>
      </w:pPr>
      <w:r>
        <w:rPr>
          <w:rFonts w:hint="eastAsia" w:cs="Times New Roman" w:asciiTheme="minorEastAsia" w:hAnsiTheme="minorEastAsia" w:eastAsiaTheme="minorEastAsia"/>
          <w:b/>
        </w:rPr>
        <w:t>图</w:t>
      </w:r>
      <w:r>
        <w:rPr>
          <w:rFonts w:cs="Times New Roman" w:asciiTheme="minorEastAsia" w:hAnsiTheme="minorEastAsia" w:eastAsiaTheme="minorEastAsia"/>
          <w:b/>
        </w:rPr>
        <w:t>1-1 2021年部门整体支出</w:t>
      </w:r>
      <w:r>
        <w:rPr>
          <w:rFonts w:hint="eastAsia" w:cs="Times New Roman" w:asciiTheme="minorEastAsia" w:hAnsiTheme="minorEastAsia" w:eastAsiaTheme="minorEastAsia"/>
          <w:b/>
        </w:rPr>
        <w:t>经济分类</w:t>
      </w:r>
      <w:r>
        <w:rPr>
          <w:rFonts w:cs="Times New Roman" w:asciiTheme="minorEastAsia" w:hAnsiTheme="minorEastAsia" w:eastAsiaTheme="minorEastAsia"/>
          <w:b/>
        </w:rPr>
        <w:t>图</w:t>
      </w:r>
    </w:p>
    <w:p>
      <w:pPr>
        <w:pStyle w:val="2"/>
        <w:ind w:firstLine="640"/>
      </w:pPr>
      <w:bookmarkStart w:id="15" w:name="_Toc13826"/>
      <w:bookmarkStart w:id="16" w:name="_Toc20526"/>
      <w:bookmarkStart w:id="17" w:name="_Toc120887968"/>
      <w:r>
        <w:t>二、绩效指标分析</w:t>
      </w:r>
      <w:bookmarkEnd w:id="15"/>
      <w:bookmarkEnd w:id="16"/>
      <w:bookmarkEnd w:id="17"/>
    </w:p>
    <w:p>
      <w:pPr>
        <w:pStyle w:val="3"/>
        <w:ind w:firstLine="640"/>
      </w:pPr>
      <w:bookmarkStart w:id="18" w:name="_Toc120887969"/>
      <w:bookmarkStart w:id="19" w:name="_Toc16407"/>
      <w:bookmarkStart w:id="20" w:name="_Toc3692"/>
      <w:r>
        <w:rPr>
          <w:rFonts w:hint="eastAsia"/>
        </w:rPr>
        <w:t>（一）</w:t>
      </w:r>
      <w:r>
        <w:t>预算</w:t>
      </w:r>
      <w:r>
        <w:rPr>
          <w:rFonts w:hint="eastAsia"/>
        </w:rPr>
        <w:t>编制情况</w:t>
      </w:r>
      <w:bookmarkEnd w:id="18"/>
      <w:bookmarkEnd w:id="19"/>
      <w:bookmarkEnd w:id="20"/>
    </w:p>
    <w:p>
      <w:pPr>
        <w:ind w:firstLine="640"/>
      </w:pPr>
      <w:r>
        <w:rPr>
          <w:rFonts w:hint="eastAsia"/>
        </w:rPr>
        <w:t>指标下设预算编制、目标设置两个二级指标，主要考核部门年初预算编制合理性、绩效目标设置合理性与明确性情况。指标分值15</w:t>
      </w:r>
      <w:r>
        <w:t>分，评价得分</w:t>
      </w:r>
      <w:r>
        <w:rPr>
          <w:rFonts w:hint="eastAsia"/>
        </w:rPr>
        <w:t>1</w:t>
      </w:r>
      <w:r>
        <w:rPr>
          <w:rFonts w:hint="eastAsia"/>
          <w:lang w:val="en-US" w:eastAsia="zh-CN"/>
        </w:rPr>
        <w:t>0.5</w:t>
      </w:r>
      <w:r>
        <w:t>分，得分率为</w:t>
      </w:r>
      <w:r>
        <w:rPr>
          <w:rFonts w:hint="eastAsia"/>
        </w:rPr>
        <w:t>7</w:t>
      </w:r>
      <w:r>
        <w:rPr>
          <w:rFonts w:hint="eastAsia"/>
          <w:lang w:val="en-US" w:eastAsia="zh-CN"/>
        </w:rPr>
        <w:t>0%</w:t>
      </w:r>
      <w:r>
        <w:t>。</w:t>
      </w:r>
    </w:p>
    <w:p>
      <w:pPr>
        <w:pStyle w:val="4"/>
        <w:ind w:firstLine="643"/>
      </w:pPr>
      <w:r>
        <w:rPr>
          <w:rFonts w:hint="eastAsia"/>
        </w:rPr>
        <w:t>1.预算编制</w:t>
      </w:r>
    </w:p>
    <w:p>
      <w:pPr>
        <w:pStyle w:val="5"/>
        <w:ind w:firstLine="640"/>
      </w:pPr>
      <w:r>
        <w:rPr>
          <w:rFonts w:hint="eastAsia"/>
        </w:rPr>
        <w:t>（1）预算编制规范性</w:t>
      </w:r>
    </w:p>
    <w:p>
      <w:pPr>
        <w:ind w:firstLine="640"/>
      </w:pPr>
      <w:r>
        <w:t>指标分值</w:t>
      </w:r>
      <w:r>
        <w:rPr>
          <w:rFonts w:hint="eastAsia"/>
        </w:rPr>
        <w:t>3</w:t>
      </w:r>
      <w:r>
        <w:t>分，评价得分</w:t>
      </w:r>
      <w:r>
        <w:rPr>
          <w:rFonts w:hint="eastAsia"/>
          <w:lang w:val="en-US" w:eastAsia="zh-CN"/>
        </w:rPr>
        <w:t>1.5</w:t>
      </w:r>
      <w:r>
        <w:t>分。</w:t>
      </w:r>
      <w:r>
        <w:rPr>
          <w:rFonts w:hint="eastAsia"/>
        </w:rPr>
        <w:t>2021年市应急局预算编制</w:t>
      </w:r>
      <w:r>
        <w:t>符合当年度预算编制的原则和要求，</w:t>
      </w:r>
      <w:r>
        <w:rPr>
          <w:rFonts w:hint="eastAsia"/>
        </w:rPr>
        <w:t>预算内容贴合本部门职责。但资金在不同项目与用途之间分配合理性不足，2021年市应急局</w:t>
      </w:r>
      <w:r>
        <w:t>共有19个项目</w:t>
      </w:r>
      <w:r>
        <w:rPr>
          <w:rFonts w:hint="eastAsia"/>
        </w:rPr>
        <w:t>涉及预算</w:t>
      </w:r>
      <w:r>
        <w:t>调整</w:t>
      </w:r>
      <w:r>
        <w:rPr>
          <w:rFonts w:hint="eastAsia"/>
        </w:rPr>
        <w:t>，</w:t>
      </w:r>
      <w:r>
        <w:t>其中</w:t>
      </w:r>
      <w:r>
        <w:rPr>
          <w:rFonts w:hint="eastAsia"/>
        </w:rPr>
        <w:t>“防汛抢险轻舟队抢险救援装备及森林防灭火装备经费”、“应急管理装备经费”等项目多次进行调剂；而“省级特大三防应急救灾资金广东省防汛抢险民兵轻舟机动三大队补助经费项目”等</w:t>
      </w:r>
      <w:r>
        <w:rPr>
          <w:rFonts w:hint="eastAsia"/>
          <w:lang w:val="en-US" w:eastAsia="zh-CN"/>
        </w:rPr>
        <w:t>4个</w:t>
      </w:r>
      <w:r>
        <w:rPr>
          <w:rFonts w:hint="eastAsia"/>
        </w:rPr>
        <w:t>项目资金支出率较低，综合考虑“省级特大三防应急救灾资金广东省防汛抢险民兵轻舟机动三大队补助经费项目”资金拨付时间较晚</w:t>
      </w:r>
      <w:r>
        <w:rPr>
          <w:rFonts w:hint="eastAsia"/>
          <w:lang w:eastAsia="zh-CN"/>
        </w:rPr>
        <w:t>，“</w:t>
      </w:r>
      <w:r>
        <w:rPr>
          <w:rFonts w:hint="eastAsia"/>
        </w:rPr>
        <w:t>粤北（韶关）区域应急救援中心项目</w:t>
      </w:r>
      <w:r>
        <w:rPr>
          <w:rFonts w:hint="eastAsia"/>
          <w:lang w:eastAsia="zh-CN"/>
        </w:rPr>
        <w:t>”</w:t>
      </w:r>
      <w:r>
        <w:rPr>
          <w:rFonts w:hint="eastAsia"/>
        </w:rPr>
        <w:t>目前未经省人民政府批复立项等原因，酌情扣1</w:t>
      </w:r>
      <w:r>
        <w:rPr>
          <w:rFonts w:hint="eastAsia"/>
          <w:lang w:val="en-US" w:eastAsia="zh-CN"/>
        </w:rPr>
        <w:t>.5</w:t>
      </w:r>
      <w:r>
        <w:rPr>
          <w:rFonts w:hint="eastAsia"/>
        </w:rPr>
        <w:t>分。</w:t>
      </w:r>
    </w:p>
    <w:p>
      <w:pPr>
        <w:pStyle w:val="5"/>
        <w:ind w:firstLine="640"/>
      </w:pPr>
      <w:r>
        <w:rPr>
          <w:rFonts w:hint="eastAsia"/>
        </w:rPr>
        <w:t>（2）预算调整率</w:t>
      </w:r>
    </w:p>
    <w:p>
      <w:pPr>
        <w:ind w:firstLine="640"/>
      </w:pPr>
      <w:r>
        <w:rPr>
          <w:rFonts w:hint="eastAsia"/>
        </w:rPr>
        <w:t>指标分值3分，</w:t>
      </w:r>
      <w:r>
        <w:t>评价得分</w:t>
      </w:r>
      <w:r>
        <w:rPr>
          <w:rFonts w:hint="eastAsia"/>
        </w:rPr>
        <w:t>2</w:t>
      </w:r>
      <w:r>
        <w:t>分。市</w:t>
      </w:r>
      <w:r>
        <w:rPr>
          <w:rFonts w:hint="eastAsia"/>
        </w:rPr>
        <w:t>应急</w:t>
      </w:r>
      <w:r>
        <w:t>局2021年年初</w:t>
      </w:r>
      <w:r>
        <w:rPr>
          <w:rFonts w:hint="eastAsia"/>
        </w:rPr>
        <w:t>部门</w:t>
      </w:r>
      <w:r>
        <w:t>预算</w:t>
      </w:r>
      <w:r>
        <w:rPr>
          <w:rFonts w:hint="eastAsia"/>
        </w:rPr>
        <w:t>3148.50</w:t>
      </w:r>
      <w:r>
        <w:t>万元，</w:t>
      </w:r>
      <w:r>
        <w:rPr>
          <w:rFonts w:hint="eastAsia"/>
        </w:rPr>
        <w:t>预算调整数4817.48</w:t>
      </w:r>
      <w:r>
        <w:t>万元，</w:t>
      </w:r>
      <w:r>
        <w:rPr>
          <w:rFonts w:hint="eastAsia"/>
        </w:rPr>
        <w:t>去除增资、增人、上级转移支付资金等预算编制支出因素产生的预算调整金额，纳入预算调整率指标考核的预算调整数为333.67万元，预算调整率为10.60</w:t>
      </w:r>
      <w:r>
        <w:t>%</w:t>
      </w:r>
      <w:r>
        <w:rPr>
          <w:rFonts w:hint="eastAsia"/>
        </w:rPr>
        <w:t>，因此，扣1</w:t>
      </w:r>
      <w:r>
        <w:t>分。</w:t>
      </w:r>
    </w:p>
    <w:p>
      <w:pPr>
        <w:pStyle w:val="4"/>
        <w:ind w:firstLine="643"/>
      </w:pPr>
      <w:r>
        <w:rPr>
          <w:rFonts w:hint="eastAsia"/>
        </w:rPr>
        <w:t>2.目标设置</w:t>
      </w:r>
    </w:p>
    <w:p>
      <w:pPr>
        <w:pStyle w:val="5"/>
        <w:ind w:firstLine="640"/>
      </w:pPr>
      <w:r>
        <w:rPr>
          <w:rFonts w:hint="eastAsia"/>
        </w:rPr>
        <w:t>（1）绩效目标覆盖率</w:t>
      </w:r>
    </w:p>
    <w:p>
      <w:pPr>
        <w:ind w:firstLine="640"/>
      </w:pPr>
      <w:r>
        <w:rPr>
          <w:rFonts w:hint="eastAsia"/>
        </w:rPr>
        <w:t>指标分值2分，</w:t>
      </w:r>
      <w:r>
        <w:t>评价得分</w:t>
      </w:r>
      <w:r>
        <w:rPr>
          <w:rFonts w:hint="eastAsia"/>
          <w:lang w:val="en-US" w:eastAsia="zh-CN"/>
        </w:rPr>
        <w:t>2</w:t>
      </w:r>
      <w:r>
        <w:t>分。</w:t>
      </w:r>
      <w:r>
        <w:rPr>
          <w:rFonts w:hint="eastAsia"/>
        </w:rPr>
        <w:t>2021年市应急局本级</w:t>
      </w:r>
      <w:r>
        <w:t>项目</w:t>
      </w:r>
      <w:r>
        <w:rPr>
          <w:rFonts w:hint="eastAsia"/>
        </w:rPr>
        <w:t>16</w:t>
      </w:r>
      <w:r>
        <w:t>个，下属单位项目</w:t>
      </w:r>
      <w:r>
        <w:rPr>
          <w:rFonts w:hint="eastAsia"/>
        </w:rPr>
        <w:t>6</w:t>
      </w:r>
      <w:r>
        <w:t>个，</w:t>
      </w:r>
      <w:r>
        <w:rPr>
          <w:rFonts w:hint="eastAsia"/>
        </w:rPr>
        <w:t>均</w:t>
      </w:r>
      <w:r>
        <w:t>设置了绩效目标</w:t>
      </w:r>
      <w:r>
        <w:rPr>
          <w:rFonts w:hint="eastAsia"/>
        </w:rPr>
        <w:t>，绩效目标覆盖率100%。</w:t>
      </w:r>
    </w:p>
    <w:p>
      <w:pPr>
        <w:pStyle w:val="5"/>
        <w:ind w:firstLine="640"/>
      </w:pPr>
      <w:r>
        <w:rPr>
          <w:rFonts w:hint="eastAsia"/>
        </w:rPr>
        <w:t>（2）绩效目标合理性</w:t>
      </w:r>
    </w:p>
    <w:p>
      <w:pPr>
        <w:ind w:firstLine="640"/>
      </w:pPr>
      <w:r>
        <w:rPr>
          <w:rFonts w:hint="eastAsia"/>
        </w:rPr>
        <w:t>指标分值4分，</w:t>
      </w:r>
      <w:r>
        <w:t>评价得分</w:t>
      </w:r>
      <w:r>
        <w:rPr>
          <w:rFonts w:hint="eastAsia"/>
          <w:lang w:val="en-US" w:eastAsia="zh-CN"/>
        </w:rPr>
        <w:t>2</w:t>
      </w:r>
      <w:r>
        <w:t>分。</w:t>
      </w:r>
      <w:r>
        <w:rPr>
          <w:rFonts w:hint="eastAsia"/>
        </w:rPr>
        <w:t>市应急局设置</w:t>
      </w:r>
      <w:r>
        <w:t>绩效目标基本能体现部门“三定”方案规定的部门职能</w:t>
      </w:r>
      <w:r>
        <w:rPr>
          <w:rFonts w:hint="eastAsia"/>
        </w:rPr>
        <w:t>，体现了2021年部分重点工作计划，</w:t>
      </w:r>
      <w:r>
        <w:t>细化到了具体工作任务或项目</w:t>
      </w:r>
      <w:r>
        <w:rPr>
          <w:rFonts w:hint="eastAsia"/>
        </w:rPr>
        <w:t>，</w:t>
      </w:r>
      <w:r>
        <w:t>对部门履职产生的效益有所体现</w:t>
      </w:r>
      <w:r>
        <w:rPr>
          <w:rFonts w:hint="eastAsia"/>
        </w:rPr>
        <w:t>，但对防汛抗旱应急救援工作以及危险化学品、非煤矿山方面隐患排查等工作的效益未能设置目标予以反映。新增项目有进行可行性论证，但“办公大楼电力改造及地下车库消防系统修缮经费”项目可行性论证不够充分，工程预算设计不合理，设计与现场施工场地不相符，工程量受此影响相应减少，且施工日期</w:t>
      </w:r>
      <w:r>
        <w:rPr>
          <w:rFonts w:hint="eastAsia"/>
          <w:lang w:eastAsia="zh-CN"/>
        </w:rPr>
        <w:t>受部门</w:t>
      </w:r>
      <w:r>
        <w:rPr>
          <w:rFonts w:hint="eastAsia"/>
        </w:rPr>
        <w:t>履职特殊情况影响，无法在工作日开展工程建设，导致项目无法如期完工，反映项目可行性论证不够充分</w:t>
      </w:r>
      <w:r>
        <w:rPr>
          <w:rFonts w:hint="eastAsia"/>
          <w:lang w:eastAsia="zh-CN"/>
        </w:rPr>
        <w:t>，</w:t>
      </w:r>
      <w:r>
        <w:rPr>
          <w:rFonts w:hint="eastAsia"/>
        </w:rPr>
        <w:t>酌情扣</w:t>
      </w:r>
      <w:r>
        <w:rPr>
          <w:rFonts w:hint="eastAsia"/>
          <w:lang w:val="en-US" w:eastAsia="zh-CN"/>
        </w:rPr>
        <w:t>2</w:t>
      </w:r>
      <w:r>
        <w:rPr>
          <w:rFonts w:hint="eastAsia"/>
        </w:rPr>
        <w:t>分。</w:t>
      </w:r>
    </w:p>
    <w:p>
      <w:pPr>
        <w:pStyle w:val="5"/>
        <w:ind w:firstLine="640"/>
      </w:pPr>
      <w:r>
        <w:rPr>
          <w:rFonts w:hint="eastAsia"/>
        </w:rPr>
        <w:t>（3）绩效指标明确性</w:t>
      </w:r>
    </w:p>
    <w:p>
      <w:pPr>
        <w:ind w:firstLine="640"/>
      </w:pPr>
      <w:r>
        <w:rPr>
          <w:rFonts w:hint="eastAsia"/>
        </w:rPr>
        <w:t>指标分值3分，</w:t>
      </w:r>
      <w:r>
        <w:t>评价得分</w:t>
      </w:r>
      <w:r>
        <w:rPr>
          <w:rFonts w:hint="eastAsia"/>
          <w:lang w:val="en-US" w:eastAsia="zh-CN"/>
        </w:rPr>
        <w:t>1.5</w:t>
      </w:r>
      <w:r>
        <w:t>分。</w:t>
      </w:r>
      <w:r>
        <w:rPr>
          <w:rFonts w:hint="eastAsia"/>
        </w:rPr>
        <w:t>市应急局年初预算申报时，部门整体绩效指标及指标值基本设置清晰</w:t>
      </w:r>
      <w:r>
        <w:rPr>
          <w:rFonts w:hint="eastAsia"/>
          <w:lang w:eastAsia="zh-CN"/>
        </w:rPr>
        <w:t>且</w:t>
      </w:r>
      <w:r>
        <w:rPr>
          <w:rFonts w:hint="eastAsia"/>
        </w:rPr>
        <w:t>可衡量，但部门履职效益方面没有具体的指标体现，如防汛防冻、应急演练、隐患排查、提升应急救援能力等方面，未设置有关的指标。因此，扣1</w:t>
      </w:r>
      <w:r>
        <w:rPr>
          <w:rFonts w:hint="eastAsia"/>
          <w:lang w:val="en-US" w:eastAsia="zh-CN"/>
        </w:rPr>
        <w:t>.5</w:t>
      </w:r>
      <w:r>
        <w:rPr>
          <w:rFonts w:hint="eastAsia"/>
        </w:rPr>
        <w:t>分。</w:t>
      </w:r>
    </w:p>
    <w:p>
      <w:pPr>
        <w:pStyle w:val="3"/>
        <w:ind w:firstLine="640"/>
      </w:pPr>
      <w:bookmarkStart w:id="21" w:name="_Toc19613"/>
      <w:bookmarkStart w:id="22" w:name="_Toc11452"/>
      <w:bookmarkStart w:id="23" w:name="_Toc120887970"/>
      <w:r>
        <w:rPr>
          <w:rFonts w:hint="eastAsia"/>
        </w:rPr>
        <w:t>（二）</w:t>
      </w:r>
      <w:r>
        <w:t>预算</w:t>
      </w:r>
      <w:r>
        <w:rPr>
          <w:rFonts w:hint="eastAsia"/>
        </w:rPr>
        <w:t>执行情况</w:t>
      </w:r>
      <w:bookmarkEnd w:id="21"/>
      <w:bookmarkEnd w:id="22"/>
      <w:bookmarkEnd w:id="23"/>
    </w:p>
    <w:p>
      <w:pPr>
        <w:ind w:firstLine="640"/>
      </w:pPr>
      <w:r>
        <w:rPr>
          <w:rFonts w:hint="eastAsia"/>
        </w:rPr>
        <w:t>指标下设资金管理、项目管理、资产管理与制度管理四个二级指标，主要考核部门预算执行管理、项目实施与监管、资产使用管理是否规范以及管理制度是否健全并有效执行。指标分值</w:t>
      </w:r>
      <w:r>
        <w:t>35分，评价得分</w:t>
      </w:r>
      <w:r>
        <w:rPr>
          <w:rFonts w:hint="eastAsia"/>
        </w:rPr>
        <w:t>23.28</w:t>
      </w:r>
      <w:r>
        <w:t>分，得分率为</w:t>
      </w:r>
      <w:r>
        <w:rPr>
          <w:rFonts w:hint="eastAsia"/>
        </w:rPr>
        <w:t>66.51</w:t>
      </w:r>
      <w:r>
        <w:t>%。</w:t>
      </w:r>
    </w:p>
    <w:p>
      <w:pPr>
        <w:pStyle w:val="4"/>
        <w:ind w:firstLine="643"/>
      </w:pPr>
      <w:r>
        <w:rPr>
          <w:rFonts w:hint="eastAsia"/>
        </w:rPr>
        <w:t>1.</w:t>
      </w:r>
      <w:r>
        <w:t>资金</w:t>
      </w:r>
      <w:r>
        <w:rPr>
          <w:rFonts w:hint="eastAsia"/>
        </w:rPr>
        <w:t>管理</w:t>
      </w:r>
    </w:p>
    <w:p>
      <w:pPr>
        <w:pStyle w:val="5"/>
        <w:ind w:firstLine="640"/>
      </w:pPr>
      <w:r>
        <w:rPr>
          <w:rFonts w:hint="eastAsia"/>
        </w:rPr>
        <w:t>（1）部门预算支出率</w:t>
      </w:r>
    </w:p>
    <w:p>
      <w:pPr>
        <w:ind w:firstLine="640"/>
        <w:rPr>
          <w:rFonts w:hint="eastAsia"/>
        </w:rPr>
      </w:pPr>
      <w:r>
        <w:rPr>
          <w:rFonts w:hint="eastAsia"/>
        </w:rPr>
        <w:t>指标分值3</w:t>
      </w:r>
      <w:r>
        <w:t>分，评价得分</w:t>
      </w:r>
      <w:r>
        <w:rPr>
          <w:rFonts w:hint="eastAsia"/>
        </w:rPr>
        <w:t>2.78</w:t>
      </w:r>
      <w:r>
        <w:t>分。市应急局</w:t>
      </w:r>
      <w:r>
        <w:rPr>
          <w:rFonts w:hint="eastAsia"/>
        </w:rPr>
        <w:t>2021年年初部门预算3148.50万元，调整预算数4817.48万元，实际支出4471.44万元，预算</w:t>
      </w:r>
      <w:r>
        <w:rPr>
          <w:rFonts w:hint="eastAsia"/>
          <w:lang w:eastAsia="zh-CN"/>
        </w:rPr>
        <w:t>支出</w:t>
      </w:r>
      <w:r>
        <w:rPr>
          <w:rFonts w:hint="eastAsia"/>
        </w:rPr>
        <w:t>率92.82%，因此，扣0.22分。</w:t>
      </w:r>
    </w:p>
    <w:p>
      <w:pPr>
        <w:ind w:firstLine="640"/>
      </w:pPr>
      <w:r>
        <w:rPr>
          <w:rFonts w:hint="eastAsia"/>
        </w:rPr>
        <w:t>（2）结转结余率</w:t>
      </w:r>
    </w:p>
    <w:p>
      <w:pPr>
        <w:ind w:firstLine="640"/>
      </w:pPr>
      <w:r>
        <w:rPr>
          <w:rFonts w:hint="eastAsia"/>
        </w:rPr>
        <w:t>指标分值</w:t>
      </w:r>
      <w:r>
        <w:t>3分，评价得分</w:t>
      </w:r>
      <w:r>
        <w:rPr>
          <w:rFonts w:hint="eastAsia"/>
        </w:rPr>
        <w:t>3</w:t>
      </w:r>
      <w:r>
        <w:t>分。</w:t>
      </w:r>
      <w:r>
        <w:rPr>
          <w:rFonts w:hint="eastAsia"/>
        </w:rPr>
        <w:t>市应急局</w:t>
      </w:r>
      <w:r>
        <w:t>2021年年初部门预算3148.50万元，调整预算数4817.48万元，年初结转结余数93.03万元</w:t>
      </w:r>
      <w:r>
        <w:rPr>
          <w:rFonts w:hint="eastAsia"/>
        </w:rPr>
        <w:t>，支出4471.44</w:t>
      </w:r>
      <w:r>
        <w:t>万元</w:t>
      </w:r>
      <w:r>
        <w:rPr>
          <w:rFonts w:hint="eastAsia"/>
        </w:rPr>
        <w:t>，年末结转结余资金439.07万元，结转结余率</w:t>
      </w:r>
      <w:r>
        <w:t>为</w:t>
      </w:r>
      <w:r>
        <w:rPr>
          <w:rFonts w:hint="eastAsia"/>
        </w:rPr>
        <w:t>8.94%。</w:t>
      </w:r>
    </w:p>
    <w:p>
      <w:pPr>
        <w:pStyle w:val="5"/>
        <w:ind w:firstLine="640"/>
      </w:pPr>
      <w:r>
        <w:rPr>
          <w:rFonts w:hint="eastAsia"/>
        </w:rPr>
        <w:t>（3）政府采购合规性</w:t>
      </w:r>
    </w:p>
    <w:p>
      <w:pPr>
        <w:ind w:firstLine="640"/>
      </w:pPr>
      <w:r>
        <w:rPr>
          <w:rFonts w:hint="eastAsia"/>
        </w:rPr>
        <w:t>指标分值</w:t>
      </w:r>
      <w:r>
        <w:t>4分，评价得分</w:t>
      </w:r>
      <w:r>
        <w:rPr>
          <w:rFonts w:hint="eastAsia"/>
        </w:rPr>
        <w:t>1</w:t>
      </w:r>
      <w:r>
        <w:t>分。</w:t>
      </w:r>
      <w:r>
        <w:rPr>
          <w:rFonts w:hint="eastAsia"/>
        </w:rPr>
        <w:t>市应急局2021年政府采购计划金额242.95万元，实际执行政府采购金额904.52万元，超出年初政府采购预算，扣2分。政府采购基本按照规定通过公开招标、电子卖场等方式进行采购，结合现场核查情况，</w:t>
      </w:r>
      <w:r>
        <w:t>2021年</w:t>
      </w:r>
      <w:r>
        <w:rPr>
          <w:rFonts w:hint="eastAsia"/>
        </w:rPr>
        <w:t>“</w:t>
      </w:r>
      <w:r>
        <w:t>安全生产宣传（数字化）及责任制考核经费</w:t>
      </w:r>
      <w:r>
        <w:rPr>
          <w:rFonts w:hint="eastAsia"/>
        </w:rPr>
        <w:t>”</w:t>
      </w:r>
      <w:r>
        <w:t>、</w:t>
      </w:r>
      <w:r>
        <w:rPr>
          <w:rFonts w:hint="eastAsia"/>
        </w:rPr>
        <w:t>“</w:t>
      </w:r>
      <w:r>
        <w:t>安全生产和自然灾害应急演练经费</w:t>
      </w:r>
      <w:r>
        <w:rPr>
          <w:rFonts w:hint="eastAsia"/>
        </w:rPr>
        <w:t>”</w:t>
      </w:r>
      <w:r>
        <w:t>等项目</w:t>
      </w:r>
      <w:r>
        <w:rPr>
          <w:rFonts w:hint="eastAsia"/>
        </w:rPr>
        <w:t>，</w:t>
      </w:r>
      <w:r>
        <w:t>询价报价单位数量、询价组成员数量等不符合规定</w:t>
      </w:r>
      <w:r>
        <w:rPr>
          <w:rFonts w:hint="eastAsia"/>
        </w:rPr>
        <w:t>，</w:t>
      </w:r>
      <w:r>
        <w:t>采购管理规范性不足，</w:t>
      </w:r>
      <w:r>
        <w:rPr>
          <w:rFonts w:hint="eastAsia"/>
        </w:rPr>
        <w:t>扣1分。</w:t>
      </w:r>
    </w:p>
    <w:p>
      <w:pPr>
        <w:pStyle w:val="5"/>
        <w:ind w:firstLine="640"/>
      </w:pPr>
      <w:r>
        <w:rPr>
          <w:rFonts w:hint="eastAsia"/>
        </w:rPr>
        <w:t>（4）财务合规性</w:t>
      </w:r>
    </w:p>
    <w:p>
      <w:pPr>
        <w:ind w:firstLine="640"/>
      </w:pPr>
      <w:r>
        <w:rPr>
          <w:rFonts w:hint="eastAsia"/>
        </w:rPr>
        <w:t>指标分值5</w:t>
      </w:r>
      <w:r>
        <w:t>分，评价得分</w:t>
      </w:r>
      <w:r>
        <w:rPr>
          <w:rFonts w:hint="eastAsia"/>
        </w:rPr>
        <w:t>4</w:t>
      </w:r>
      <w:r>
        <w:t>分。</w:t>
      </w:r>
      <w:r>
        <w:rPr>
          <w:rFonts w:hint="eastAsia"/>
        </w:rPr>
        <w:t>市应急局资金支出较为规范，基本能按规定履行预算调整手续；制定有财务管理、专项资金管理等制度，资金支出基本按照规定执行，</w:t>
      </w:r>
      <w:r>
        <w:t>但现场核查发现</w:t>
      </w:r>
      <w:r>
        <w:rPr>
          <w:rFonts w:hint="eastAsia"/>
        </w:rPr>
        <w:t>“</w:t>
      </w:r>
      <w:r>
        <w:t>办公大楼电力改造及地下车库消防系统修缮经费</w:t>
      </w:r>
      <w:r>
        <w:rPr>
          <w:rFonts w:hint="eastAsia"/>
        </w:rPr>
        <w:t>”</w:t>
      </w:r>
      <w:r>
        <w:t>项目，未按事项完成进度支付资金</w:t>
      </w:r>
      <w:r>
        <w:rPr>
          <w:rFonts w:hint="eastAsia"/>
        </w:rPr>
        <w:t>，</w:t>
      </w:r>
      <w:r>
        <w:t>预算申报阶段</w:t>
      </w:r>
      <w:r>
        <w:rPr>
          <w:rFonts w:hint="eastAsia"/>
        </w:rPr>
        <w:t>考虑不全面</w:t>
      </w:r>
      <w:r>
        <w:rPr>
          <w:rFonts w:hint="eastAsia"/>
          <w:lang w:eastAsia="zh-CN"/>
        </w:rPr>
        <w:t>，</w:t>
      </w:r>
      <w:r>
        <w:rPr>
          <w:rFonts w:hint="eastAsia"/>
        </w:rPr>
        <w:t>未申请设计费等前期费用，导致2021年实际仅支付部分工程款与监理费用，项目施工合同签订日期为</w:t>
      </w:r>
      <w:r>
        <w:t>2021年10月12日，但截至现场核查尚未完工及办理验收，合同款未按进度支付</w:t>
      </w:r>
      <w:r>
        <w:rPr>
          <w:rFonts w:hint="eastAsia"/>
        </w:rPr>
        <w:t>。因此，扣1分。</w:t>
      </w:r>
    </w:p>
    <w:p>
      <w:pPr>
        <w:pStyle w:val="5"/>
        <w:ind w:firstLine="640"/>
      </w:pPr>
      <w:r>
        <w:rPr>
          <w:rFonts w:hint="eastAsia"/>
        </w:rPr>
        <w:t>（5）预决算信息公开</w:t>
      </w:r>
    </w:p>
    <w:p>
      <w:pPr>
        <w:ind w:firstLine="640" w:firstLineChars="0"/>
      </w:pPr>
      <w:r>
        <w:rPr>
          <w:rFonts w:hint="eastAsia"/>
        </w:rPr>
        <w:t>指标分值2</w:t>
      </w:r>
      <w:r>
        <w:t>分，评价得分</w:t>
      </w:r>
      <w:r>
        <w:rPr>
          <w:rFonts w:hint="eastAsia"/>
        </w:rPr>
        <w:t>2</w:t>
      </w:r>
      <w:r>
        <w:t>分。</w:t>
      </w:r>
      <w:r>
        <w:rPr>
          <w:rFonts w:hint="eastAsia"/>
        </w:rPr>
        <w:t>市应急局</w:t>
      </w:r>
      <w:r>
        <w:t>2021年2月2</w:t>
      </w:r>
      <w:r>
        <w:rPr>
          <w:rFonts w:hint="eastAsia"/>
        </w:rPr>
        <w:t>2</w:t>
      </w:r>
      <w:r>
        <w:t>日于门户网站公开了《2021年韶关市</w:t>
      </w:r>
      <w:r>
        <w:rPr>
          <w:rFonts w:hint="eastAsia"/>
        </w:rPr>
        <w:t>应急管理局</w:t>
      </w:r>
      <w:r>
        <w:t>部门预算》；2021年8月3</w:t>
      </w:r>
      <w:r>
        <w:rPr>
          <w:rFonts w:hint="eastAsia"/>
        </w:rPr>
        <w:t>0</w:t>
      </w:r>
      <w:r>
        <w:t>日公开了《2020年韶关市</w:t>
      </w:r>
      <w:r>
        <w:rPr>
          <w:rFonts w:hint="eastAsia"/>
        </w:rPr>
        <w:t>应急管理局</w:t>
      </w:r>
      <w:r>
        <w:t>部门决算》，公开内容</w:t>
      </w:r>
      <w:r>
        <w:rPr>
          <w:rFonts w:hint="eastAsia"/>
        </w:rPr>
        <w:t>、</w:t>
      </w:r>
      <w:r>
        <w:t>时间均符合有关规定</w:t>
      </w:r>
      <w:r>
        <w:rPr>
          <w:rFonts w:hint="eastAsia"/>
        </w:rPr>
        <w:t>。</w:t>
      </w:r>
    </w:p>
    <w:p>
      <w:pPr>
        <w:pStyle w:val="4"/>
        <w:ind w:firstLine="643"/>
      </w:pPr>
      <w:r>
        <w:rPr>
          <w:rFonts w:hint="eastAsia"/>
        </w:rPr>
        <w:t>2.</w:t>
      </w:r>
      <w:r>
        <w:t>项目</w:t>
      </w:r>
      <w:r>
        <w:rPr>
          <w:rFonts w:hint="eastAsia"/>
        </w:rPr>
        <w:t>管理</w:t>
      </w:r>
    </w:p>
    <w:p>
      <w:pPr>
        <w:pStyle w:val="5"/>
        <w:ind w:firstLine="640"/>
      </w:pPr>
      <w:r>
        <w:rPr>
          <w:rFonts w:hint="eastAsia"/>
        </w:rPr>
        <w:t>（1）项目实施程序</w:t>
      </w:r>
    </w:p>
    <w:p>
      <w:pPr>
        <w:ind w:firstLine="640"/>
      </w:pPr>
      <w:r>
        <w:rPr>
          <w:rFonts w:hint="eastAsia"/>
        </w:rPr>
        <w:t>指标分值4分，评价得分2分</w:t>
      </w:r>
      <w:r>
        <w:t>。</w:t>
      </w:r>
      <w:r>
        <w:rPr>
          <w:rFonts w:hint="eastAsia"/>
        </w:rPr>
        <w:t>市应急局项目实施落实相关制度履行报批程序，</w:t>
      </w:r>
      <w:r>
        <w:t>重点或新增项目前期开展了可行性研究或调研，</w:t>
      </w:r>
      <w:r>
        <w:rPr>
          <w:rFonts w:hint="eastAsia"/>
        </w:rPr>
        <w:t>但部分项目前期论证不够充分，机关大楼电力改造及地下车库消防系统修缮工程预算设计不合理，设计与现场施工场地不相符，工程量受此影响相应减少，且施工日期受市应急局履职特殊情况影响，无法在工作日开展工程建设，导致项目无法如期完工。项目招投标、建设、验收等实施规范性需进一步提升，部分子项询价工作开展不够规范，询价报价单位数量、询价组成员数量等不符合规定；档案整理服务项目在未完成约定服务的情况下，提前完成项目验收，验收管理工作规范性不足</w:t>
      </w:r>
      <w:r>
        <w:t>。</w:t>
      </w:r>
      <w:r>
        <w:rPr>
          <w:rFonts w:hint="eastAsia"/>
        </w:rPr>
        <w:t>因此，扣2分。</w:t>
      </w:r>
    </w:p>
    <w:p>
      <w:pPr>
        <w:pStyle w:val="5"/>
        <w:ind w:firstLine="640"/>
      </w:pPr>
      <w:r>
        <w:rPr>
          <w:rFonts w:hint="eastAsia"/>
        </w:rPr>
        <w:t>（2）项目监管</w:t>
      </w:r>
    </w:p>
    <w:p>
      <w:pPr>
        <w:ind w:firstLine="640"/>
      </w:pPr>
      <w:r>
        <w:rPr>
          <w:rFonts w:hint="eastAsia"/>
        </w:rPr>
        <w:t>指标分值4</w:t>
      </w:r>
      <w:r>
        <w:t>分，</w:t>
      </w:r>
      <w:r>
        <w:rPr>
          <w:rFonts w:hint="eastAsia"/>
        </w:rPr>
        <w:t>评价得分2</w:t>
      </w:r>
      <w:r>
        <w:t>分</w:t>
      </w:r>
      <w:r>
        <w:rPr>
          <w:rFonts w:hint="eastAsia"/>
        </w:rPr>
        <w:t>。市应急局基本能落实《韶关市应急管理局专项资金管理制度》与相关法律法规的规定对项目进行监管，在安全生产等专项检查过程中，发现问题能要求相关单位落实整改；但对于下拨到各县区的转移支付</w:t>
      </w:r>
      <w:r>
        <w:t>资金</w:t>
      </w:r>
      <w:r>
        <w:rPr>
          <w:rFonts w:hint="eastAsia"/>
          <w:lang w:eastAsia="zh-CN"/>
        </w:rPr>
        <w:t>，</w:t>
      </w:r>
      <w:r>
        <w:t>未开展</w:t>
      </w:r>
      <w:r>
        <w:rPr>
          <w:rFonts w:hint="eastAsia"/>
        </w:rPr>
        <w:t>资金检查、监控工作。因此，扣2分。</w:t>
      </w:r>
    </w:p>
    <w:p>
      <w:pPr>
        <w:pStyle w:val="4"/>
        <w:ind w:firstLine="643"/>
      </w:pPr>
      <w:r>
        <w:rPr>
          <w:rFonts w:hint="eastAsia"/>
        </w:rPr>
        <w:t>3.</w:t>
      </w:r>
      <w:r>
        <w:t>资产</w:t>
      </w:r>
      <w:r>
        <w:rPr>
          <w:rFonts w:hint="eastAsia"/>
        </w:rPr>
        <w:t>管理</w:t>
      </w:r>
    </w:p>
    <w:p>
      <w:pPr>
        <w:pStyle w:val="5"/>
        <w:ind w:firstLine="640"/>
      </w:pPr>
      <w:r>
        <w:rPr>
          <w:rFonts w:hint="eastAsia"/>
        </w:rPr>
        <w:t>（1）资产管理安全性</w:t>
      </w:r>
    </w:p>
    <w:p>
      <w:pPr>
        <w:ind w:firstLine="640"/>
      </w:pPr>
      <w:r>
        <w:rPr>
          <w:rFonts w:hint="eastAsia"/>
        </w:rPr>
        <w:t>指标分值4</w:t>
      </w:r>
      <w:r>
        <w:t>分，</w:t>
      </w:r>
      <w:r>
        <w:rPr>
          <w:rFonts w:hint="eastAsia"/>
        </w:rPr>
        <w:t>评价得分2</w:t>
      </w:r>
      <w:r>
        <w:t>分</w:t>
      </w:r>
      <w:r>
        <w:rPr>
          <w:rFonts w:hint="eastAsia"/>
        </w:rPr>
        <w:t>。根据《</w:t>
      </w:r>
      <w:r>
        <w:t>2021年度行政事业性国有资产报表</w:t>
      </w:r>
      <w:r>
        <w:rPr>
          <w:rFonts w:hint="eastAsia"/>
        </w:rPr>
        <w:t>》，市应急局2021年固定资产期末数为6281.54万元；部门决算报表中2021年固定资产期末数为6320.48万元，两个报表的数据不一致。现场核查固定资产</w:t>
      </w:r>
      <w:r>
        <w:t>配置基本合理、</w:t>
      </w:r>
      <w:r>
        <w:rPr>
          <w:rFonts w:hint="eastAsia"/>
        </w:rPr>
        <w:t>保存完整，</w:t>
      </w:r>
      <w:r>
        <w:t>但</w:t>
      </w:r>
      <w:r>
        <w:rPr>
          <w:rFonts w:hint="eastAsia"/>
        </w:rPr>
        <w:t>通过对市应急局固定资产的盘点发现，</w:t>
      </w:r>
      <w:r>
        <w:t>大部分固定资产</w:t>
      </w:r>
      <w:r>
        <w:rPr>
          <w:rFonts w:hint="eastAsia"/>
        </w:rPr>
        <w:t>未按要求粘贴固定资产卡片；已</w:t>
      </w:r>
      <w:r>
        <w:t>废旧电脑</w:t>
      </w:r>
      <w:r>
        <w:rPr>
          <w:rFonts w:hint="eastAsia"/>
        </w:rPr>
        <w:t>未</w:t>
      </w:r>
      <w:r>
        <w:t>及时履行报废</w:t>
      </w:r>
      <w:r>
        <w:rPr>
          <w:rFonts w:hint="eastAsia"/>
        </w:rPr>
        <w:t>手续；多功能船外机移动车和森林防灭火装备</w:t>
      </w:r>
      <w:r>
        <w:t>固定资产列表登记数量与实</w:t>
      </w:r>
      <w:r>
        <w:rPr>
          <w:rFonts w:hint="eastAsia"/>
        </w:rPr>
        <w:t>有</w:t>
      </w:r>
      <w:r>
        <w:t>情况不一致，列表记录为1项，实际为一批次，</w:t>
      </w:r>
      <w:r>
        <w:rPr>
          <w:rFonts w:hint="eastAsia"/>
        </w:rPr>
        <w:t>固定资产</w:t>
      </w:r>
      <w:r>
        <w:t>具体数量不明确。</w:t>
      </w:r>
      <w:r>
        <w:rPr>
          <w:rFonts w:hint="eastAsia"/>
        </w:rPr>
        <w:t>因机构改革，韶关市安全生产监督管理局已调整合并为市应急局，但部门固定资产管理制度未及时更新调整。因此，扣2分。</w:t>
      </w:r>
    </w:p>
    <w:p>
      <w:pPr>
        <w:pStyle w:val="5"/>
        <w:ind w:firstLine="640"/>
      </w:pPr>
      <w:r>
        <w:rPr>
          <w:rFonts w:hint="eastAsia"/>
        </w:rPr>
        <w:t>（2）固定资产利用率</w:t>
      </w:r>
    </w:p>
    <w:p>
      <w:pPr>
        <w:ind w:firstLine="640"/>
      </w:pPr>
      <w:r>
        <w:rPr>
          <w:rFonts w:hint="eastAsia"/>
        </w:rPr>
        <w:t>指标分值2</w:t>
      </w:r>
      <w:r>
        <w:t>分，</w:t>
      </w:r>
      <w:r>
        <w:rPr>
          <w:rFonts w:hint="eastAsia"/>
        </w:rPr>
        <w:t>评价得分1.5</w:t>
      </w:r>
      <w:r>
        <w:t>分</w:t>
      </w:r>
      <w:r>
        <w:rPr>
          <w:rFonts w:hint="eastAsia"/>
        </w:rPr>
        <w:t>。根据《</w:t>
      </w:r>
      <w:r>
        <w:t>2021年度行政事业性国有资产分析报告》，市应急局固定资产利用率为97.94%；结合现场抽查情况</w:t>
      </w:r>
      <w:r>
        <w:rPr>
          <w:rFonts w:hint="eastAsia"/>
          <w:lang w:eastAsia="zh-CN"/>
        </w:rPr>
        <w:t>来看</w:t>
      </w:r>
      <w:r>
        <w:t>，发现一批电脑已达报废年限</w:t>
      </w:r>
      <w:r>
        <w:rPr>
          <w:rFonts w:hint="eastAsia"/>
          <w:lang w:eastAsia="zh-CN"/>
        </w:rPr>
        <w:t>且</w:t>
      </w:r>
      <w:r>
        <w:t>不再使用，</w:t>
      </w:r>
      <w:r>
        <w:rPr>
          <w:rFonts w:hint="eastAsia"/>
          <w:lang w:eastAsia="zh-CN"/>
        </w:rPr>
        <w:t>但</w:t>
      </w:r>
      <w:r>
        <w:t>未按规定及时履行报废手续，待报废固定资产总额</w:t>
      </w:r>
      <w:r>
        <w:rPr>
          <w:rFonts w:hint="eastAsia"/>
          <w:lang w:eastAsia="zh-CN"/>
        </w:rPr>
        <w:t>也</w:t>
      </w:r>
      <w:r>
        <w:t>不明确。因此，酌情扣0.5分。</w:t>
      </w:r>
    </w:p>
    <w:p>
      <w:pPr>
        <w:pStyle w:val="4"/>
        <w:ind w:firstLine="643"/>
      </w:pPr>
      <w:r>
        <w:rPr>
          <w:rFonts w:hint="eastAsia"/>
        </w:rPr>
        <w:t>4.制度管理</w:t>
      </w:r>
    </w:p>
    <w:p>
      <w:pPr>
        <w:pStyle w:val="5"/>
        <w:ind w:firstLine="640"/>
      </w:pPr>
      <w:r>
        <w:rPr>
          <w:rFonts w:hint="eastAsia"/>
        </w:rPr>
        <w:t>（1）管理制度健全性</w:t>
      </w:r>
    </w:p>
    <w:p>
      <w:pPr>
        <w:ind w:firstLine="640"/>
      </w:pPr>
      <w:r>
        <w:rPr>
          <w:rFonts w:hint="eastAsia"/>
        </w:rPr>
        <w:t>指标分值4</w:t>
      </w:r>
      <w:r>
        <w:t>分，</w:t>
      </w:r>
      <w:r>
        <w:rPr>
          <w:rFonts w:hint="eastAsia"/>
        </w:rPr>
        <w:t>评价得分</w:t>
      </w:r>
      <w:r>
        <w:rPr>
          <w:rFonts w:hint="eastAsia"/>
          <w:lang w:val="en-US" w:eastAsia="zh-CN"/>
        </w:rPr>
        <w:t>2</w:t>
      </w:r>
      <w:r>
        <w:t>分</w:t>
      </w:r>
      <w:r>
        <w:rPr>
          <w:rFonts w:hint="eastAsia"/>
        </w:rPr>
        <w:t>。市应急局制定</w:t>
      </w:r>
      <w:r>
        <w:rPr>
          <w:rFonts w:hint="eastAsia"/>
          <w:lang w:eastAsia="zh-CN"/>
        </w:rPr>
        <w:t>了</w:t>
      </w:r>
      <w:r>
        <w:rPr>
          <w:rFonts w:hint="eastAsia"/>
        </w:rPr>
        <w:t>财务管理、专项资金管理、固定资产管理等制度，</w:t>
      </w:r>
      <w:r>
        <w:t>未制定</w:t>
      </w:r>
      <w:r>
        <w:rPr>
          <w:rFonts w:hint="eastAsia"/>
        </w:rPr>
        <w:t>部门</w:t>
      </w:r>
      <w:r>
        <w:t>内部控制、预算绩效管理等制度</w:t>
      </w:r>
      <w:r>
        <w:rPr>
          <w:rFonts w:hint="eastAsia"/>
        </w:rPr>
        <w:t>；</w:t>
      </w:r>
      <w:r>
        <w:t>未针对</w:t>
      </w:r>
      <w:r>
        <w:rPr>
          <w:rFonts w:hint="eastAsia"/>
        </w:rPr>
        <w:t>三防工作经费</w:t>
      </w:r>
      <w:r>
        <w:t>等</w:t>
      </w:r>
      <w:r>
        <w:rPr>
          <w:rFonts w:hint="eastAsia"/>
        </w:rPr>
        <w:t>经常性项目经费</w:t>
      </w:r>
      <w:r>
        <w:rPr>
          <w:rFonts w:hint="eastAsia"/>
          <w:lang w:eastAsia="zh-CN"/>
        </w:rPr>
        <w:t>，</w:t>
      </w:r>
      <w:r>
        <w:rPr>
          <w:rFonts w:hint="eastAsia"/>
        </w:rPr>
        <w:t>制定具体规定或使用范围指引；固定资产管理制度未及时更新调整。业务管理</w:t>
      </w:r>
      <w:r>
        <w:rPr>
          <w:rFonts w:hint="eastAsia"/>
          <w:lang w:eastAsia="zh-CN"/>
        </w:rPr>
        <w:t>方面，基本</w:t>
      </w:r>
      <w:r>
        <w:rPr>
          <w:rFonts w:hint="eastAsia"/>
        </w:rPr>
        <w:t>参照《中华人民共和国安全生产法》等国家法律法规执行，</w:t>
      </w:r>
      <w:r>
        <w:rPr>
          <w:rFonts w:hint="eastAsia"/>
          <w:lang w:eastAsia="zh-CN"/>
        </w:rPr>
        <w:t>能</w:t>
      </w:r>
      <w:r>
        <w:rPr>
          <w:rFonts w:hint="eastAsia"/>
        </w:rPr>
        <w:t>按要求开展联合执法检查、安全生产专项检查等。因此，扣</w:t>
      </w:r>
      <w:r>
        <w:rPr>
          <w:rFonts w:hint="eastAsia"/>
          <w:lang w:val="en-US" w:eastAsia="zh-CN"/>
        </w:rPr>
        <w:t>2</w:t>
      </w:r>
      <w:r>
        <w:rPr>
          <w:rFonts w:hint="eastAsia"/>
        </w:rPr>
        <w:t>分。</w:t>
      </w:r>
    </w:p>
    <w:p>
      <w:pPr>
        <w:pStyle w:val="3"/>
        <w:ind w:firstLine="640"/>
      </w:pPr>
      <w:bookmarkStart w:id="24" w:name="_Toc120887971"/>
      <w:bookmarkStart w:id="25" w:name="_Toc32121"/>
      <w:bookmarkStart w:id="26" w:name="_Toc23577"/>
      <w:r>
        <w:rPr>
          <w:rFonts w:hint="eastAsia"/>
        </w:rPr>
        <w:t>（三）</w:t>
      </w:r>
      <w:r>
        <w:t>预算</w:t>
      </w:r>
      <w:r>
        <w:rPr>
          <w:rFonts w:hint="eastAsia"/>
        </w:rPr>
        <w:t>使用效益</w:t>
      </w:r>
      <w:bookmarkEnd w:id="24"/>
      <w:bookmarkEnd w:id="25"/>
      <w:bookmarkEnd w:id="26"/>
    </w:p>
    <w:p>
      <w:pPr>
        <w:ind w:firstLine="640"/>
      </w:pPr>
      <w:r>
        <w:rPr>
          <w:rFonts w:hint="eastAsia"/>
        </w:rPr>
        <w:t>指标下设经济性、效率性、效果性、公平性与加减分项五个二级指标，主要考核部门预算资金控制管理、重点工作任务开展、部门主要履职效益、公众信访与满意度等情况。指标分值50</w:t>
      </w:r>
      <w:r>
        <w:t>分，评价得分</w:t>
      </w:r>
      <w:r>
        <w:rPr>
          <w:rFonts w:hint="eastAsia"/>
        </w:rPr>
        <w:t>48.48</w:t>
      </w:r>
      <w:r>
        <w:t>分，得分率为</w:t>
      </w:r>
      <w:r>
        <w:rPr>
          <w:rFonts w:hint="eastAsia"/>
        </w:rPr>
        <w:t>96.96</w:t>
      </w:r>
      <w:r>
        <w:t>%。</w:t>
      </w:r>
    </w:p>
    <w:p>
      <w:pPr>
        <w:pStyle w:val="4"/>
        <w:ind w:firstLine="643"/>
      </w:pPr>
      <w:r>
        <w:rPr>
          <w:rFonts w:hint="eastAsia"/>
        </w:rPr>
        <w:t>1.</w:t>
      </w:r>
      <w:r>
        <w:t>经济</w:t>
      </w:r>
      <w:r>
        <w:rPr>
          <w:rFonts w:hint="eastAsia"/>
        </w:rPr>
        <w:t>性</w:t>
      </w:r>
    </w:p>
    <w:p>
      <w:pPr>
        <w:pStyle w:val="5"/>
        <w:ind w:firstLine="640"/>
      </w:pPr>
      <w:r>
        <w:rPr>
          <w:rFonts w:hint="eastAsia"/>
        </w:rPr>
        <w:t>（1）公用经费控制率</w:t>
      </w:r>
    </w:p>
    <w:p>
      <w:pPr>
        <w:ind w:firstLine="640"/>
        <w:rPr>
          <w:rFonts w:cs="仿宋_GB2312"/>
        </w:rPr>
      </w:pPr>
      <w:r>
        <w:rPr>
          <w:rFonts w:hint="eastAsia" w:cs="仿宋_GB2312"/>
        </w:rPr>
        <w:t>指标分值2分，评价得分2分。市应急局日常公用经费年初预算数201.59万元、调整预算数189.29万元、决算数189.29万元，日常公用经费决算数=日常公用经费调整预算数。</w:t>
      </w:r>
    </w:p>
    <w:p>
      <w:pPr>
        <w:pStyle w:val="5"/>
        <w:ind w:firstLine="640"/>
      </w:pPr>
      <w:r>
        <w:rPr>
          <w:rFonts w:hint="eastAsia"/>
        </w:rPr>
        <w:t>（2）“三公”经费控制率</w:t>
      </w:r>
    </w:p>
    <w:p>
      <w:pPr>
        <w:ind w:firstLine="640"/>
      </w:pPr>
      <w:r>
        <w:rPr>
          <w:rFonts w:hint="eastAsia"/>
        </w:rPr>
        <w:t>指标分值2</w:t>
      </w:r>
      <w:r>
        <w:t>分，</w:t>
      </w:r>
      <w:r>
        <w:rPr>
          <w:rFonts w:hint="eastAsia"/>
        </w:rPr>
        <w:t>评价得分2</w:t>
      </w:r>
      <w:r>
        <w:t>分</w:t>
      </w:r>
      <w:r>
        <w:rPr>
          <w:rFonts w:hint="eastAsia"/>
        </w:rPr>
        <w:t>。2021年市应急局“三公”经费</w:t>
      </w:r>
      <w:r>
        <w:t>预算数</w:t>
      </w:r>
      <w:r>
        <w:rPr>
          <w:rFonts w:hint="eastAsia"/>
        </w:rPr>
        <w:t>53.94</w:t>
      </w:r>
      <w:r>
        <w:t>万元</w:t>
      </w:r>
      <w:r>
        <w:rPr>
          <w:rFonts w:hint="eastAsia"/>
        </w:rPr>
        <w:t>、实际</w:t>
      </w:r>
      <w:r>
        <w:t>支出决算数</w:t>
      </w:r>
      <w:r>
        <w:rPr>
          <w:rFonts w:hint="eastAsia"/>
        </w:rPr>
        <w:t>52.38</w:t>
      </w:r>
      <w:r>
        <w:t>万元</w:t>
      </w:r>
      <w:r>
        <w:rPr>
          <w:rFonts w:hint="eastAsia"/>
        </w:rPr>
        <w:t>，“三公”经费实际支出数≤预算安排的三公经费数。</w:t>
      </w:r>
    </w:p>
    <w:p>
      <w:pPr>
        <w:pStyle w:val="5"/>
        <w:ind w:firstLine="640"/>
      </w:pPr>
      <w:r>
        <w:rPr>
          <w:rFonts w:hint="eastAsia"/>
        </w:rPr>
        <w:t>（3）完成成本合理性</w:t>
      </w:r>
    </w:p>
    <w:p>
      <w:pPr>
        <w:ind w:firstLine="640"/>
        <w:rPr>
          <w:color w:val="auto"/>
        </w:rPr>
      </w:pPr>
      <w:r>
        <w:rPr>
          <w:rFonts w:hint="eastAsia"/>
          <w:color w:val="auto"/>
        </w:rPr>
        <w:t>指标分值6</w:t>
      </w:r>
      <w:r>
        <w:rPr>
          <w:color w:val="auto"/>
        </w:rPr>
        <w:t>分，</w:t>
      </w:r>
      <w:r>
        <w:rPr>
          <w:rFonts w:hint="eastAsia"/>
          <w:color w:val="auto"/>
        </w:rPr>
        <w:t>评价得分4</w:t>
      </w:r>
      <w:r>
        <w:rPr>
          <w:color w:val="auto"/>
        </w:rPr>
        <w:t>分</w:t>
      </w:r>
      <w:r>
        <w:rPr>
          <w:rFonts w:hint="eastAsia"/>
          <w:color w:val="auto"/>
        </w:rPr>
        <w:t>。市应急局项目实施能落实相关制度履行报批程序，新增项目前期开展了可行性研究或调研。</w:t>
      </w:r>
      <w:r>
        <w:rPr>
          <w:rFonts w:hint="eastAsia"/>
          <w:color w:val="auto"/>
          <w:lang w:eastAsia="zh-CN"/>
        </w:rPr>
        <w:t>据</w:t>
      </w:r>
      <w:r>
        <w:rPr>
          <w:rFonts w:hint="eastAsia"/>
          <w:color w:val="auto"/>
        </w:rPr>
        <w:t>现场核查</w:t>
      </w:r>
      <w:r>
        <w:rPr>
          <w:rFonts w:hint="eastAsia"/>
          <w:color w:val="auto"/>
          <w:lang w:eastAsia="zh-CN"/>
        </w:rPr>
        <w:t>来看</w:t>
      </w:r>
      <w:r>
        <w:rPr>
          <w:rFonts w:hint="eastAsia"/>
          <w:color w:val="auto"/>
        </w:rPr>
        <w:t>，部分项目成本合理性有待提升，一是询价工作科学性不足，</w:t>
      </w:r>
      <w:r>
        <w:rPr>
          <w:color w:val="auto"/>
        </w:rPr>
        <w:t>2021年安全生产宣传（数字化）及责任制考核经费、安全生产和自然灾害应急演练经费询价</w:t>
      </w:r>
      <w:r>
        <w:rPr>
          <w:rFonts w:hint="eastAsia"/>
          <w:color w:val="auto"/>
        </w:rPr>
        <w:t>文件</w:t>
      </w:r>
      <w:r>
        <w:rPr>
          <w:color w:val="auto"/>
        </w:rPr>
        <w:t>中</w:t>
      </w:r>
      <w:r>
        <w:rPr>
          <w:rFonts w:hint="eastAsia"/>
          <w:color w:val="auto"/>
          <w:lang w:eastAsia="zh-CN"/>
        </w:rPr>
        <w:t>，</w:t>
      </w:r>
      <w:r>
        <w:rPr>
          <w:color w:val="auto"/>
        </w:rPr>
        <w:t>仅见1家机构报价；二是前期论证不够充分</w:t>
      </w:r>
      <w:r>
        <w:rPr>
          <w:rFonts w:hint="eastAsia"/>
          <w:color w:val="auto"/>
        </w:rPr>
        <w:t>，</w:t>
      </w:r>
      <w:r>
        <w:rPr>
          <w:rFonts w:hint="eastAsia"/>
          <w:color w:val="auto"/>
          <w:lang w:eastAsia="zh-CN"/>
        </w:rPr>
        <w:t>市应急局</w:t>
      </w:r>
      <w:r>
        <w:rPr>
          <w:rFonts w:hint="eastAsia"/>
          <w:color w:val="auto"/>
        </w:rPr>
        <w:t>机关大楼电力改造及地下车库消防系统修缮工程设计</w:t>
      </w:r>
      <w:r>
        <w:rPr>
          <w:rFonts w:hint="eastAsia"/>
          <w:color w:val="auto"/>
          <w:lang w:eastAsia="zh-CN"/>
        </w:rPr>
        <w:t>图纸不合理，设计方案</w:t>
      </w:r>
      <w:r>
        <w:rPr>
          <w:rFonts w:hint="eastAsia"/>
          <w:color w:val="auto"/>
        </w:rPr>
        <w:t>与现场施工</w:t>
      </w:r>
      <w:r>
        <w:rPr>
          <w:rFonts w:hint="eastAsia"/>
          <w:color w:val="auto"/>
          <w:lang w:eastAsia="zh-CN"/>
        </w:rPr>
        <w:t>情况</w:t>
      </w:r>
      <w:r>
        <w:rPr>
          <w:rFonts w:hint="eastAsia"/>
          <w:color w:val="auto"/>
        </w:rPr>
        <w:t>不相符，</w:t>
      </w:r>
      <w:r>
        <w:rPr>
          <w:rFonts w:hint="eastAsia"/>
          <w:color w:val="auto"/>
          <w:lang w:eastAsia="zh-CN"/>
        </w:rPr>
        <w:t>因此影响了年度</w:t>
      </w:r>
      <w:r>
        <w:rPr>
          <w:rFonts w:hint="eastAsia"/>
          <w:color w:val="auto"/>
        </w:rPr>
        <w:t>工程量</w:t>
      </w:r>
      <w:r>
        <w:rPr>
          <w:color w:val="auto"/>
        </w:rPr>
        <w:t>。</w:t>
      </w:r>
      <w:r>
        <w:rPr>
          <w:rFonts w:hint="eastAsia"/>
          <w:color w:val="auto"/>
        </w:rPr>
        <w:t>因此，扣2分。</w:t>
      </w:r>
    </w:p>
    <w:p>
      <w:pPr>
        <w:pStyle w:val="4"/>
        <w:ind w:firstLine="643"/>
      </w:pPr>
      <w:r>
        <w:rPr>
          <w:rFonts w:hint="eastAsia"/>
        </w:rPr>
        <w:t>2.</w:t>
      </w:r>
      <w:r>
        <w:t>效率</w:t>
      </w:r>
      <w:r>
        <w:rPr>
          <w:rFonts w:hint="eastAsia"/>
        </w:rPr>
        <w:t>性</w:t>
      </w:r>
    </w:p>
    <w:p>
      <w:pPr>
        <w:pStyle w:val="5"/>
        <w:ind w:firstLine="640"/>
      </w:pPr>
      <w:r>
        <w:rPr>
          <w:rFonts w:hint="eastAsia"/>
        </w:rPr>
        <w:t>（1）重点工作完成率</w:t>
      </w:r>
    </w:p>
    <w:p>
      <w:pPr>
        <w:ind w:firstLine="640"/>
      </w:pPr>
      <w:r>
        <w:rPr>
          <w:rFonts w:hint="eastAsia"/>
        </w:rPr>
        <w:t>指标分值3</w:t>
      </w:r>
      <w:r>
        <w:t>分，</w:t>
      </w:r>
      <w:r>
        <w:rPr>
          <w:rFonts w:hint="eastAsia"/>
        </w:rPr>
        <w:t>评价得分3</w:t>
      </w:r>
      <w:r>
        <w:t>分</w:t>
      </w:r>
      <w:r>
        <w:rPr>
          <w:rFonts w:hint="eastAsia"/>
        </w:rPr>
        <w:t>。市应急局</w:t>
      </w:r>
      <w:r>
        <w:rPr>
          <w:rFonts w:hint="eastAsia"/>
          <w:lang w:val="en-US" w:eastAsia="zh-CN"/>
        </w:rPr>
        <w:t>2021年有两项重点工作任务，分别为：</w:t>
      </w:r>
      <w:r>
        <w:rPr>
          <w:rFonts w:hint="eastAsia"/>
        </w:rPr>
        <w:t>重视安全生产工作、开展安全生产专项整治三年行动</w:t>
      </w:r>
      <w:r>
        <w:rPr>
          <w:rFonts w:hint="eastAsia"/>
          <w:lang w:eastAsia="zh-CN"/>
        </w:rPr>
        <w:t>，</w:t>
      </w:r>
      <w:r>
        <w:rPr>
          <w:rFonts w:hint="eastAsia"/>
        </w:rPr>
        <w:t>基本按计划完成</w:t>
      </w:r>
      <w:r>
        <w:rPr>
          <w:rFonts w:hint="eastAsia"/>
          <w:lang w:eastAsia="zh-CN"/>
        </w:rPr>
        <w:t>，重点工作完成率为</w:t>
      </w:r>
      <w:r>
        <w:rPr>
          <w:rFonts w:hint="eastAsia"/>
          <w:lang w:val="en-US" w:eastAsia="zh-CN"/>
        </w:rPr>
        <w:t>100%</w:t>
      </w:r>
      <w:r>
        <w:rPr>
          <w:rFonts w:hint="eastAsia"/>
        </w:rPr>
        <w:t>。</w:t>
      </w:r>
    </w:p>
    <w:p>
      <w:pPr>
        <w:pStyle w:val="5"/>
        <w:ind w:firstLine="640"/>
      </w:pPr>
      <w:r>
        <w:rPr>
          <w:rFonts w:hint="eastAsia"/>
        </w:rPr>
        <w:t>（2）绩效目标完成率</w:t>
      </w:r>
    </w:p>
    <w:p>
      <w:pPr>
        <w:ind w:firstLine="640"/>
      </w:pPr>
      <w:r>
        <w:rPr>
          <w:rFonts w:hint="eastAsia"/>
        </w:rPr>
        <w:t>指标分值3</w:t>
      </w:r>
      <w:r>
        <w:t>分，</w:t>
      </w:r>
      <w:r>
        <w:rPr>
          <w:rFonts w:hint="eastAsia"/>
        </w:rPr>
        <w:t>评价得分3</w:t>
      </w:r>
      <w:r>
        <w:t>分</w:t>
      </w:r>
      <w:r>
        <w:rPr>
          <w:rFonts w:hint="eastAsia"/>
        </w:rPr>
        <w:t>。</w:t>
      </w:r>
      <w:r>
        <w:t>2021年</w:t>
      </w:r>
      <w:r>
        <w:rPr>
          <w:rFonts w:hint="eastAsia"/>
        </w:rPr>
        <w:t>市应急局</w:t>
      </w:r>
      <w:r>
        <w:t>设置的</w:t>
      </w:r>
      <w:r>
        <w:rPr>
          <w:rFonts w:hint="eastAsia"/>
          <w:lang w:eastAsia="zh-CN"/>
        </w:rPr>
        <w:t>“</w:t>
      </w:r>
      <w:r>
        <w:t>应急管理宣传场次</w:t>
      </w:r>
      <w:r>
        <w:rPr>
          <w:rFonts w:hint="eastAsia"/>
          <w:lang w:eastAsia="zh-CN"/>
        </w:rPr>
        <w:t>”</w:t>
      </w:r>
      <w:r>
        <w:t>等</w:t>
      </w:r>
      <w:r>
        <w:rPr>
          <w:rFonts w:hint="eastAsia"/>
        </w:rPr>
        <w:t>7个</w:t>
      </w:r>
      <w:r>
        <w:t>绩效指标</w:t>
      </w:r>
      <w:r>
        <w:rPr>
          <w:rFonts w:hint="eastAsia"/>
          <w:lang w:eastAsia="zh-CN"/>
        </w:rPr>
        <w:t>，</w:t>
      </w:r>
      <w:r>
        <w:t>均</w:t>
      </w:r>
      <w:r>
        <w:rPr>
          <w:rFonts w:hint="eastAsia"/>
        </w:rPr>
        <w:t>已完成预期目标，绩效目标完成率100%</w:t>
      </w:r>
      <w:r>
        <w:t>。</w:t>
      </w:r>
    </w:p>
    <w:p>
      <w:pPr>
        <w:pStyle w:val="5"/>
        <w:ind w:firstLine="640"/>
      </w:pPr>
      <w:r>
        <w:rPr>
          <w:rFonts w:hint="eastAsia"/>
        </w:rPr>
        <w:t>（3）项目完成及时性</w:t>
      </w:r>
    </w:p>
    <w:p>
      <w:pPr>
        <w:ind w:firstLine="640"/>
      </w:pPr>
      <w:r>
        <w:rPr>
          <w:rFonts w:hint="eastAsia"/>
        </w:rPr>
        <w:t>指标分值4</w:t>
      </w:r>
      <w:r>
        <w:t>分，</w:t>
      </w:r>
      <w:r>
        <w:rPr>
          <w:rFonts w:hint="eastAsia"/>
        </w:rPr>
        <w:t>评价得分3.33</w:t>
      </w:r>
      <w:r>
        <w:t>分</w:t>
      </w:r>
      <w:r>
        <w:rPr>
          <w:rFonts w:hint="eastAsia"/>
        </w:rPr>
        <w:t>。2021年市应急局涉及项目36个（含省级拨付资金项目），其中12个项目资金支出率达100%，6个项目预算执行率低于80%，其余18个项目基本按计划完成了项目建设内容，结余小部分资金未支出，项目完成及时性83.33%，扣0.67分。各项目资金支出情况详见下表。</w:t>
      </w:r>
    </w:p>
    <w:p>
      <w:pPr>
        <w:pStyle w:val="8"/>
        <w:keepNext/>
        <w:spacing w:before="0" w:beforeLines="0" w:line="360" w:lineRule="auto"/>
        <w:rPr>
          <w:rFonts w:cs="Times New Roman" w:asciiTheme="minorEastAsia" w:hAnsiTheme="minorEastAsia" w:eastAsiaTheme="minorEastAsia"/>
          <w:b/>
        </w:rPr>
      </w:pPr>
      <w:r>
        <w:rPr>
          <w:rFonts w:hint="eastAsia" w:cs="Times New Roman" w:asciiTheme="minorEastAsia" w:hAnsiTheme="minorEastAsia" w:eastAsiaTheme="minorEastAsia"/>
          <w:b/>
        </w:rPr>
        <w:t>表2-1 市应急局2021年项目资金支出情况表</w:t>
      </w:r>
      <w:r>
        <w:rPr>
          <w:rStyle w:val="18"/>
          <w:rFonts w:cs="Times New Roman" w:asciiTheme="minorEastAsia" w:hAnsiTheme="minorEastAsia" w:eastAsiaTheme="minorEastAsia"/>
          <w:b/>
        </w:rPr>
        <w:footnoteReference w:id="1"/>
      </w:r>
    </w:p>
    <w:p>
      <w:pPr>
        <w:widowControl/>
        <w:spacing w:line="240" w:lineRule="auto"/>
        <w:ind w:firstLine="0" w:firstLineChars="0"/>
        <w:jc w:val="right"/>
        <w:rPr>
          <w:rFonts w:cs="宋体" w:asciiTheme="minorEastAsia" w:hAnsiTheme="minorEastAsia" w:eastAsiaTheme="minorEastAsia"/>
          <w:b w:val="0"/>
          <w:bCs/>
          <w:kern w:val="0"/>
          <w:sz w:val="21"/>
          <w:szCs w:val="21"/>
        </w:rPr>
      </w:pPr>
      <w:r>
        <w:rPr>
          <w:rFonts w:hint="eastAsia" w:cs="宋体" w:asciiTheme="minorEastAsia" w:hAnsiTheme="minorEastAsia" w:eastAsiaTheme="minorEastAsia"/>
          <w:b w:val="0"/>
          <w:bCs/>
          <w:kern w:val="0"/>
          <w:sz w:val="21"/>
          <w:szCs w:val="21"/>
        </w:rPr>
        <w:t>单位：万元</w:t>
      </w:r>
    </w:p>
    <w:tbl>
      <w:tblPr>
        <w:tblStyle w:val="19"/>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543"/>
        <w:gridCol w:w="993"/>
        <w:gridCol w:w="1021"/>
        <w:gridCol w:w="1105"/>
        <w:gridCol w:w="85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trPr>
        <w:tc>
          <w:tcPr>
            <w:tcW w:w="647" w:type="dxa"/>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序号</w:t>
            </w:r>
          </w:p>
        </w:tc>
        <w:tc>
          <w:tcPr>
            <w:tcW w:w="3543" w:type="dxa"/>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二级项目名称</w:t>
            </w:r>
          </w:p>
        </w:tc>
        <w:tc>
          <w:tcPr>
            <w:tcW w:w="993" w:type="dxa"/>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年初</w:t>
            </w:r>
          </w:p>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预算</w:t>
            </w:r>
          </w:p>
        </w:tc>
        <w:tc>
          <w:tcPr>
            <w:tcW w:w="1021" w:type="dxa"/>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年中</w:t>
            </w:r>
          </w:p>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调整</w:t>
            </w:r>
          </w:p>
        </w:tc>
        <w:tc>
          <w:tcPr>
            <w:tcW w:w="1105" w:type="dxa"/>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支出</w:t>
            </w:r>
          </w:p>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金额</w:t>
            </w:r>
          </w:p>
        </w:tc>
        <w:tc>
          <w:tcPr>
            <w:tcW w:w="850" w:type="dxa"/>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年末</w:t>
            </w:r>
          </w:p>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结余</w:t>
            </w:r>
          </w:p>
        </w:tc>
        <w:tc>
          <w:tcPr>
            <w:tcW w:w="1014" w:type="dxa"/>
            <w:shd w:val="clear" w:color="auto" w:fill="auto"/>
            <w:vAlign w:val="center"/>
          </w:tcPr>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预算</w:t>
            </w:r>
          </w:p>
          <w:p>
            <w:pPr>
              <w:widowControl/>
              <w:adjustRightInd w:val="0"/>
              <w:snapToGrid w:val="0"/>
              <w:spacing w:line="240" w:lineRule="auto"/>
              <w:ind w:firstLine="0" w:firstLineChars="0"/>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2021年应急值班值守及防灾减灾辅助工作购买服务人员经费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52.00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52.00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51.97</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0.03</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2021年市应急指挥调度系统日常维护经费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19.85</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19.85</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19.85</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办公大楼电力改造及地下车库消防系统修缮经费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97.05</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42.95</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应急管理装备经费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179.80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151.32</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151.32</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2021年购买各类许可证经费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2021年应急指挥调度系统运营维护与提升改造经费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82.00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77.60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74.22</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3.38</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2021年安全生产和自然灾害应急演练经费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2021年安全生产资格考核经费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113.10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125.10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123.91</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1.19</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2021年安全生产聘请专家经费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55.61</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64.61</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64.59</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2021年安全生产监管监察岗位津贴</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1.01</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0.99</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2021年三防工作经费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66.49</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62.51</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44.27</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18.24</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2021年安全生产宣传（数字化）及责任制考核经费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30.00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13</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2021年应急管理培训经费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73.02</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30.12</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29.26</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0.86</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14</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2021年三合一大队工作经费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312.84</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22.62</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22.62</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15</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粤北（韶关）区域应急救援中心前期工作经费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196.73</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14.73</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11.63</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3.09</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粤财工[2020]217号，韶财工〔2021〕8号，韶关市森林防火及航空消防，基地保障项目</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17</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粤财工[2020]217号，韶财工〔2021〕8号，省第三民兵轻舟队（韶关市）</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199.99</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粤财工[2020]217号，韶财工〔2021〕8号，韶关市安全生产监管，综合救援</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399.61</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0.39</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2021年市直单位党建活动经费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2.99</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下达2020年中央自然灾害救灾资金和省级特大三防应急救灾资金——省级特大三防应急救灾资金</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46.80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广东省第二届森林消防业务技能大比武活动经费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18.43</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1.57</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22</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领导干部带头招商工作经费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23</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三大事故调查费用</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1.06</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1.06</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24</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2021年三合一大队工作经费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312.84</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290.22</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290.07</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0.15</w:t>
            </w:r>
          </w:p>
        </w:tc>
        <w:tc>
          <w:tcPr>
            <w:tcW w:w="1014"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应急救援物资装备购置项目</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19.94</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0.06</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26</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2021年度运行维护养护项目</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93.72</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93.72</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27</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粤财工﹝2020﹞174号，韶财工（2020）112号，下达2020年省级特大三防应急救灾经费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39.96</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0.04</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28</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2021年应急救援与宣传培训专项工作经费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239.01</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239.01</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29</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2020年省级灾害防治及应急管理专项资金（安全生产应急体系建设）</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48.76</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1.24</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下达2020年中央自然灾害救灾资金和省级特大三防应急救灾资金——中央自然灾害救灾资金</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31</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下达2019年中央自然灾害救灾资金（广东省防汛抢险民兵轻舟机动三大队管理经费）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11.22</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11.21</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粤财工[2020]217号，韶财工〔2021〕8号，韶关市森林防火及航空消防项目</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49.98</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市“三合一”专职消防大队整体搬迁项目</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48.53</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47.99</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0.54</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34</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市“三合一”专职消防大队清理蓝藻应急处置费用</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4.96</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4.96</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35</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省级特大三防应急救灾资金广东省防汛抢险民兵轻舟机动三大队补助经费项目</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36</w:t>
            </w:r>
          </w:p>
        </w:tc>
        <w:tc>
          <w:tcPr>
            <w:tcW w:w="3543"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省级特大三防应急救灾资金支援河南省抢险救援补助经费</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5.00</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5.00</w:t>
            </w:r>
          </w:p>
        </w:tc>
        <w:tc>
          <w:tcPr>
            <w:tcW w:w="101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190" w:type="dxa"/>
            <w:gridSpan w:val="2"/>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合计</w:t>
            </w:r>
          </w:p>
        </w:tc>
        <w:tc>
          <w:tcPr>
            <w:tcW w:w="993"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1777.08</w:t>
            </w:r>
          </w:p>
        </w:tc>
        <w:tc>
          <w:tcPr>
            <w:tcW w:w="1021"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2413.98</w:t>
            </w:r>
          </w:p>
        </w:tc>
        <w:tc>
          <w:tcPr>
            <w:tcW w:w="1105"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2285.98</w:t>
            </w:r>
          </w:p>
        </w:tc>
        <w:tc>
          <w:tcPr>
            <w:tcW w:w="850"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128.00</w:t>
            </w:r>
          </w:p>
        </w:tc>
        <w:tc>
          <w:tcPr>
            <w:tcW w:w="1014" w:type="dxa"/>
            <w:shd w:val="clear" w:color="auto" w:fill="auto"/>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94.70%</w:t>
            </w:r>
          </w:p>
        </w:tc>
      </w:tr>
    </w:tbl>
    <w:p>
      <w:pPr>
        <w:pStyle w:val="4"/>
        <w:ind w:firstLine="0" w:firstLineChars="0"/>
      </w:pPr>
      <w:r>
        <w:rPr>
          <w:rFonts w:hint="eastAsia"/>
          <w:lang w:val="en-US" w:eastAsia="zh-CN"/>
        </w:rPr>
        <w:t xml:space="preserve">    </w:t>
      </w:r>
      <w:r>
        <w:rPr>
          <w:rFonts w:hint="eastAsia"/>
        </w:rPr>
        <w:t>3.效果性</w:t>
      </w:r>
    </w:p>
    <w:p>
      <w:pPr>
        <w:pStyle w:val="5"/>
        <w:ind w:firstLine="640"/>
      </w:pPr>
      <w:r>
        <w:rPr>
          <w:rFonts w:hint="eastAsia"/>
        </w:rPr>
        <w:t>（1）社会经济环境效益</w:t>
      </w:r>
    </w:p>
    <w:p>
      <w:pPr>
        <w:ind w:firstLine="640"/>
      </w:pPr>
      <w:r>
        <w:rPr>
          <w:rFonts w:hint="eastAsia"/>
        </w:rPr>
        <w:t>指标分值25</w:t>
      </w:r>
      <w:r>
        <w:t>分，</w:t>
      </w:r>
      <w:r>
        <w:rPr>
          <w:rFonts w:hint="eastAsia"/>
        </w:rPr>
        <w:t>评价得分23.65</w:t>
      </w:r>
      <w:r>
        <w:t>分</w:t>
      </w:r>
      <w:r>
        <w:rPr>
          <w:rFonts w:hint="eastAsia"/>
        </w:rPr>
        <w:t>，完成情况分析如下：</w:t>
      </w:r>
    </w:p>
    <w:p>
      <w:pPr>
        <w:ind w:firstLine="643"/>
      </w:pPr>
      <w:r>
        <w:rPr>
          <w:rFonts w:hint="eastAsia"/>
          <w:b/>
        </w:rPr>
        <w:t>一是</w:t>
      </w:r>
      <w:r>
        <w:rPr>
          <w:rFonts w:hint="eastAsia"/>
        </w:rPr>
        <w:t>风险隐患排查整改率，指标分值4分，评价得分3.65分。</w:t>
      </w:r>
      <w:r>
        <w:t>2021年排查风险隐患数共56959项，已整改51941项，整改率为91.19%。</w:t>
      </w:r>
      <w:r>
        <w:rPr>
          <w:rFonts w:hint="eastAsia"/>
        </w:rPr>
        <w:t>因此，扣0.35分。</w:t>
      </w:r>
    </w:p>
    <w:p>
      <w:pPr>
        <w:ind w:firstLine="643"/>
      </w:pPr>
      <w:r>
        <w:rPr>
          <w:rFonts w:hint="eastAsia"/>
          <w:b/>
        </w:rPr>
        <w:t>二是</w:t>
      </w:r>
      <w:r>
        <w:rPr>
          <w:rFonts w:hint="eastAsia"/>
        </w:rPr>
        <w:t>森林火灾受害率</w:t>
      </w:r>
      <w:r>
        <w:t>(‰)</w:t>
      </w:r>
      <w:r>
        <w:rPr>
          <w:rFonts w:hint="eastAsia"/>
        </w:rPr>
        <w:t>，指标分值3分，评价得分3分。</w:t>
      </w:r>
      <w:r>
        <w:t>2021年韶关市共有林地面积为1447268.7195公倾，森林火灾受害林地面积为42.3公顷，森林火灾受害率为0.029‰。</w:t>
      </w:r>
    </w:p>
    <w:p>
      <w:pPr>
        <w:ind w:firstLine="643"/>
      </w:pPr>
      <w:r>
        <w:rPr>
          <w:rFonts w:hint="eastAsia"/>
          <w:b/>
        </w:rPr>
        <w:t>三是</w:t>
      </w:r>
      <w:r>
        <w:rPr>
          <w:rFonts w:hint="eastAsia"/>
        </w:rPr>
        <w:t>降低危险化学品、非煤矿山领域安全生产事故发生率，指标分值3分，评价得分3分，</w:t>
      </w:r>
      <w:r>
        <w:t>2021年没有发生</w:t>
      </w:r>
      <w:r>
        <w:rPr>
          <w:rFonts w:hint="eastAsia"/>
        </w:rPr>
        <w:t>危险化学品、非煤矿山类</w:t>
      </w:r>
      <w:r>
        <w:t>安全事故</w:t>
      </w:r>
      <w:r>
        <w:rPr>
          <w:rFonts w:hint="eastAsia"/>
        </w:rPr>
        <w:t>。</w:t>
      </w:r>
    </w:p>
    <w:p>
      <w:pPr>
        <w:ind w:firstLine="643"/>
      </w:pPr>
      <w:r>
        <w:rPr>
          <w:rFonts w:hint="eastAsia"/>
          <w:b/>
        </w:rPr>
        <w:t>四是</w:t>
      </w:r>
      <w:r>
        <w:rPr>
          <w:rFonts w:hint="eastAsia"/>
        </w:rPr>
        <w:t>危险化学品、非煤矿山领域较大安全生产责任事故发生次数，指标分值3分，评价得分3分，</w:t>
      </w:r>
      <w:r>
        <w:t>2021年没有发生</w:t>
      </w:r>
      <w:r>
        <w:rPr>
          <w:rFonts w:hint="eastAsia"/>
        </w:rPr>
        <w:t>危险化学品、非煤矿山类</w:t>
      </w:r>
      <w:r>
        <w:t>安全事故</w:t>
      </w:r>
      <w:r>
        <w:rPr>
          <w:rFonts w:hint="eastAsia"/>
        </w:rPr>
        <w:t>。</w:t>
      </w:r>
    </w:p>
    <w:p>
      <w:pPr>
        <w:ind w:firstLine="643"/>
      </w:pPr>
      <w:r>
        <w:rPr>
          <w:rFonts w:hint="eastAsia"/>
          <w:b/>
        </w:rPr>
        <w:t>五是</w:t>
      </w:r>
      <w:r>
        <w:rPr>
          <w:rFonts w:hint="eastAsia"/>
        </w:rPr>
        <w:t>提升防灾减灾救灾能力，指标分值4分，评价得分3分。</w:t>
      </w:r>
      <w:r>
        <w:t>2021年与</w:t>
      </w:r>
      <w:r>
        <w:rPr>
          <w:rFonts w:hint="eastAsia"/>
        </w:rPr>
        <w:t>广东省地质局第三地质大队抗震救灾协同联动工作机制，按计划推进地质灾害应急演练，开展了韶关</w:t>
      </w:r>
      <w:r>
        <w:t>市汛前防汛安全准备工作专项检查；预警信息推送机制建立与落实方面，</w:t>
      </w:r>
      <w:r>
        <w:rPr>
          <w:rFonts w:hint="eastAsia"/>
        </w:rPr>
        <w:t>组织有关成员单位开展三防工作会商研判</w:t>
      </w:r>
      <w:r>
        <w:t>11次，发布预警通告11份。</w:t>
      </w:r>
      <w:r>
        <w:rPr>
          <w:rFonts w:hint="eastAsia"/>
        </w:rPr>
        <w:t>但</w:t>
      </w:r>
      <w:r>
        <w:t>武深高速韶关仁化段较大道路交通事故迟报将近3小时，酌情扣</w:t>
      </w:r>
      <w:r>
        <w:rPr>
          <w:rFonts w:hint="eastAsia"/>
          <w:lang w:val="en-US" w:eastAsia="zh-CN"/>
        </w:rPr>
        <w:t>1</w:t>
      </w:r>
      <w:r>
        <w:t>分。</w:t>
      </w:r>
    </w:p>
    <w:p>
      <w:pPr>
        <w:ind w:firstLine="643"/>
      </w:pPr>
      <w:r>
        <w:rPr>
          <w:rFonts w:hint="eastAsia"/>
          <w:b/>
        </w:rPr>
        <w:t>六是</w:t>
      </w:r>
      <w:r>
        <w:rPr>
          <w:rFonts w:hint="eastAsia"/>
        </w:rPr>
        <w:t>增强群众安全意识，提高群众安全生产意识和应急处置能力，指标分值4分，评价得分4分。2021年推进韶关市“防灾减灾宣传周”活动，委托韶关市智慧文旅信息服务中心新修改《中华人民共和国安全生产法》宣传，宣传普及防灾减灾、《中华人民共和国安全生产法》相关知识，增强居民防灾减灾危机防范意识和技能；组织开展各类应急救援演练，内容覆盖非煤矿山、危险化学品、金属冶炼、森林防火、地质灾害、防汛抢险等方面，有助于提升应急处置能力。</w:t>
      </w:r>
    </w:p>
    <w:p>
      <w:pPr>
        <w:ind w:firstLine="643"/>
      </w:pPr>
      <w:r>
        <w:rPr>
          <w:b/>
        </w:rPr>
        <w:t>七是</w:t>
      </w:r>
      <w:r>
        <w:rPr>
          <w:rFonts w:hint="eastAsia"/>
        </w:rPr>
        <w:t>提升应急救援水平，</w:t>
      </w:r>
      <w:r>
        <w:t>指标分值</w:t>
      </w:r>
      <w:r>
        <w:rPr>
          <w:rFonts w:hint="eastAsia"/>
        </w:rPr>
        <w:t>4分，评价得分4分。2021年森林火情扑灭及时，按要求完成三防工作应急值守与响应，全年未发生危险化学品、非煤矿山领域安全生产事故，通过开展应急演练不断加强救援队伍应急救援能力，协助韶关梅子窝矿业有限责任公司等企业制定安全事故应急预案。</w:t>
      </w:r>
    </w:p>
    <w:p>
      <w:pPr>
        <w:pStyle w:val="4"/>
        <w:ind w:firstLine="643"/>
      </w:pPr>
      <w:r>
        <w:rPr>
          <w:rFonts w:hint="eastAsia"/>
        </w:rPr>
        <w:t>4.</w:t>
      </w:r>
      <w:r>
        <w:t>公平</w:t>
      </w:r>
      <w:r>
        <w:rPr>
          <w:rFonts w:hint="eastAsia"/>
        </w:rPr>
        <w:t>性</w:t>
      </w:r>
    </w:p>
    <w:p>
      <w:pPr>
        <w:pStyle w:val="5"/>
        <w:ind w:firstLine="640"/>
      </w:pPr>
      <w:r>
        <w:rPr>
          <w:rFonts w:hint="eastAsia"/>
        </w:rPr>
        <w:t>（1）群众信访办理情况</w:t>
      </w:r>
    </w:p>
    <w:p>
      <w:pPr>
        <w:ind w:firstLine="640"/>
      </w:pPr>
      <w:r>
        <w:rPr>
          <w:rFonts w:hint="eastAsia"/>
        </w:rPr>
        <w:t>指标分值2</w:t>
      </w:r>
      <w:r>
        <w:t>分，</w:t>
      </w:r>
      <w:r>
        <w:rPr>
          <w:rFonts w:hint="eastAsia"/>
        </w:rPr>
        <w:t>评价得分2</w:t>
      </w:r>
      <w:r>
        <w:t>分</w:t>
      </w:r>
      <w:r>
        <w:rPr>
          <w:rFonts w:hint="eastAsia"/>
        </w:rPr>
        <w:t>。市应急局设有群众信访渠道，制定有《韶关市应急管理局信访接访工作规范》，2021年14宗投诉举报均已在规定时限内完成调查核实。</w:t>
      </w:r>
    </w:p>
    <w:p>
      <w:pPr>
        <w:pStyle w:val="5"/>
        <w:ind w:firstLine="640"/>
      </w:pPr>
      <w:r>
        <w:rPr>
          <w:rFonts w:hint="eastAsia"/>
        </w:rPr>
        <w:t>（2）公众或服务对象满意度</w:t>
      </w:r>
    </w:p>
    <w:p>
      <w:pPr>
        <w:ind w:firstLine="640"/>
      </w:pPr>
      <w:r>
        <w:rPr>
          <w:rFonts w:hint="eastAsia"/>
        </w:rPr>
        <w:t>指标分值3</w:t>
      </w:r>
      <w:r>
        <w:t>分，</w:t>
      </w:r>
      <w:r>
        <w:rPr>
          <w:rFonts w:hint="eastAsia"/>
        </w:rPr>
        <w:t>评价得分3</w:t>
      </w:r>
      <w:r>
        <w:t>分</w:t>
      </w:r>
      <w:r>
        <w:rPr>
          <w:rFonts w:hint="eastAsia"/>
        </w:rPr>
        <w:t>。市应急局</w:t>
      </w:r>
      <w:r>
        <w:t>20</w:t>
      </w:r>
      <w:r>
        <w:rPr>
          <w:rFonts w:hint="eastAsia"/>
        </w:rPr>
        <w:t>21</w:t>
      </w:r>
      <w:r>
        <w:t>年部门整体公众满意度评价分为两方面：一是党风政风建设情况</w:t>
      </w:r>
      <w:r>
        <w:rPr>
          <w:rFonts w:hint="eastAsia"/>
        </w:rPr>
        <w:t>民主评议；</w:t>
      </w:r>
      <w:r>
        <w:t>二是服务对象综合满意度。具体测评情况如下：</w:t>
      </w:r>
    </w:p>
    <w:p>
      <w:pPr>
        <w:ind w:firstLine="640"/>
      </w:pPr>
      <w:r>
        <w:rPr>
          <w:rFonts w:hint="eastAsia"/>
        </w:rPr>
        <w:t>①</w:t>
      </w:r>
      <w:r>
        <w:t>党风政风建设情况</w:t>
      </w:r>
      <w:r>
        <w:rPr>
          <w:rFonts w:hint="eastAsia"/>
        </w:rPr>
        <w:t>民主评议。该指标分值为1.</w:t>
      </w:r>
      <w:r>
        <w:t>5分，评价得分</w:t>
      </w:r>
      <w:r>
        <w:rPr>
          <w:rFonts w:hint="eastAsia"/>
        </w:rPr>
        <w:t>1.5</w:t>
      </w:r>
      <w:r>
        <w:t>分。根据</w:t>
      </w:r>
      <w:r>
        <w:rPr>
          <w:rFonts w:hint="eastAsia"/>
        </w:rPr>
        <w:t>《中共韶关市直属机关工作委员会关于</w:t>
      </w:r>
      <w:r>
        <w:t>2021年度民主评议党风政风情况的通报</w:t>
      </w:r>
      <w:r>
        <w:rPr>
          <w:rFonts w:hint="eastAsia"/>
        </w:rPr>
        <w:t>》</w:t>
      </w:r>
      <w:r>
        <w:t>，市</w:t>
      </w:r>
      <w:r>
        <w:rPr>
          <w:rFonts w:hint="eastAsia"/>
        </w:rPr>
        <w:t>应急</w:t>
      </w:r>
      <w:r>
        <w:t>局2021年度党风政风情况民主评议结果为满意。</w:t>
      </w:r>
    </w:p>
    <w:p>
      <w:pPr>
        <w:ind w:firstLine="640"/>
      </w:pPr>
      <w:r>
        <w:rPr>
          <w:rFonts w:hint="eastAsia"/>
        </w:rPr>
        <w:t>②服务对象综合满意度。该指标分值为1.5</w:t>
      </w:r>
      <w:r>
        <w:t>分，得分1</w:t>
      </w:r>
      <w:r>
        <w:rPr>
          <w:rFonts w:hint="eastAsia"/>
        </w:rPr>
        <w:t>.5</w:t>
      </w:r>
      <w:r>
        <w:t>分。服务对象综合满意度调查对象以</w:t>
      </w:r>
      <w:r>
        <w:rPr>
          <w:rFonts w:hint="eastAsia"/>
        </w:rPr>
        <w:t>韶关市</w:t>
      </w:r>
      <w:r>
        <w:t>市民为主，主要就市</w:t>
      </w:r>
      <w:r>
        <w:rPr>
          <w:rFonts w:hint="eastAsia"/>
        </w:rPr>
        <w:t>应急</w:t>
      </w:r>
      <w:r>
        <w:t>局</w:t>
      </w:r>
      <w:r>
        <w:rPr>
          <w:rFonts w:hint="eastAsia"/>
        </w:rPr>
        <w:t>2021年工作效率、非煤矿山安全生产监管工作、提升危险化学品重大安全风险管控能力、低温冰冻防御、防汛防旱、森林防灭火、提升应急救援处置能力、信息化技术的运用、应急管理宣传教育培训</w:t>
      </w:r>
      <w:r>
        <w:t>等</w:t>
      </w:r>
      <w:r>
        <w:rPr>
          <w:rFonts w:hint="eastAsia"/>
        </w:rPr>
        <w:t>9</w:t>
      </w:r>
      <w:r>
        <w:t>个方面设置了满意度测评，以电子问卷形式开展调查</w:t>
      </w:r>
      <w:r>
        <w:rPr>
          <w:rFonts w:hint="eastAsia"/>
        </w:rPr>
        <w:t>，</w:t>
      </w:r>
      <w:r>
        <w:t>共收回问卷</w:t>
      </w:r>
      <w:r>
        <w:rPr>
          <w:rFonts w:hint="eastAsia"/>
        </w:rPr>
        <w:t>163</w:t>
      </w:r>
      <w:r>
        <w:t>份，有效问卷</w:t>
      </w:r>
      <w:r>
        <w:rPr>
          <w:rFonts w:hint="eastAsia"/>
        </w:rPr>
        <w:t>157</w:t>
      </w:r>
      <w:r>
        <w:t>份，调查结果显示，</w:t>
      </w:r>
      <w:r>
        <w:rPr>
          <w:rFonts w:hint="eastAsia"/>
        </w:rPr>
        <w:t>服务对象</w:t>
      </w:r>
      <w:r>
        <w:t>整体满意度为</w:t>
      </w:r>
      <w:r>
        <w:rPr>
          <w:rFonts w:hint="eastAsia"/>
        </w:rPr>
        <w:t>91.59</w:t>
      </w:r>
      <w:r>
        <w:t>%。</w:t>
      </w:r>
      <w:r>
        <w:rPr>
          <w:rFonts w:hint="eastAsia"/>
        </w:rPr>
        <w:t>根据</w:t>
      </w:r>
      <w:r>
        <w:t>一般满意度调查数据评价标准</w:t>
      </w:r>
      <w:r>
        <w:rPr>
          <w:rFonts w:hint="eastAsia"/>
        </w:rPr>
        <w:t>，预期满意度目标为90%，本指标得分1.5分。</w:t>
      </w:r>
    </w:p>
    <w:p>
      <w:pPr>
        <w:pStyle w:val="4"/>
        <w:ind w:firstLine="643"/>
      </w:pPr>
      <w:r>
        <w:rPr>
          <w:rFonts w:hint="eastAsia"/>
        </w:rPr>
        <w:t>5.</w:t>
      </w:r>
      <w:r>
        <w:t>加减</w:t>
      </w:r>
      <w:r>
        <w:rPr>
          <w:rFonts w:hint="eastAsia"/>
        </w:rPr>
        <w:t>分项</w:t>
      </w:r>
    </w:p>
    <w:p>
      <w:pPr>
        <w:pStyle w:val="5"/>
        <w:ind w:firstLine="640"/>
      </w:pPr>
      <w:r>
        <w:rPr>
          <w:rFonts w:hint="eastAsia"/>
        </w:rPr>
        <w:t>（1）工作表现加减分指标</w:t>
      </w:r>
    </w:p>
    <w:p>
      <w:pPr>
        <w:ind w:firstLine="640"/>
      </w:pPr>
      <w:r>
        <w:rPr>
          <w:rFonts w:hint="eastAsia"/>
        </w:rPr>
        <w:t>市应急局</w:t>
      </w:r>
      <w:r>
        <w:t>2021年在抗旱保供水、防寒防冻两项工作中表现出色，先后</w:t>
      </w:r>
      <w:r>
        <w:rPr>
          <w:rFonts w:hint="eastAsia"/>
        </w:rPr>
        <w:t>3次</w:t>
      </w:r>
      <w:r>
        <w:t>被广东省应急管理厅及广东省防汛防旱防风总指挥部办公室嘉奖和表扬。</w:t>
      </w:r>
      <w:r>
        <w:rPr>
          <w:rFonts w:hint="eastAsia"/>
        </w:rPr>
        <w:t>同一项工作获得多次表彰按一次计算，得分2</w:t>
      </w:r>
      <w:r>
        <w:t>分。</w:t>
      </w:r>
    </w:p>
    <w:p>
      <w:pPr>
        <w:pStyle w:val="2"/>
        <w:ind w:firstLine="640"/>
      </w:pPr>
      <w:bookmarkStart w:id="27" w:name="_Toc120887972"/>
      <w:bookmarkStart w:id="28" w:name="_Toc26126"/>
      <w:bookmarkStart w:id="29" w:name="_Toc27722"/>
      <w:r>
        <w:t>三、评价结论</w:t>
      </w:r>
      <w:bookmarkEnd w:id="27"/>
      <w:bookmarkEnd w:id="28"/>
      <w:bookmarkEnd w:id="29"/>
    </w:p>
    <w:p>
      <w:pPr>
        <w:topLinePunct/>
        <w:ind w:firstLine="640"/>
        <w:rPr>
          <w:rFonts w:cs="仿宋_GB2312"/>
          <w:szCs w:val="32"/>
        </w:rPr>
      </w:pPr>
      <w:r>
        <w:rPr>
          <w:rFonts w:hint="eastAsia" w:cs="仿宋_GB2312"/>
          <w:szCs w:val="32"/>
        </w:rPr>
        <w:t>根据市应急局绩效自评材料审核及现场核查情况，</w:t>
      </w:r>
      <w:r>
        <w:rPr>
          <w:rFonts w:hint="eastAsia"/>
          <w:szCs w:val="32"/>
        </w:rPr>
        <w:t>结合</w:t>
      </w:r>
      <w:r>
        <w:rPr>
          <w:rFonts w:hint="eastAsia"/>
          <w:bCs/>
          <w:szCs w:val="32"/>
        </w:rPr>
        <w:t>预算编制</w:t>
      </w:r>
      <w:r>
        <w:rPr>
          <w:rFonts w:hint="eastAsia"/>
          <w:szCs w:val="32"/>
        </w:rPr>
        <w:t>、执行、使用效益三方面综合对部门整体支出资金绩效进行比较分析，评价工作组认为：总体而言，</w:t>
      </w:r>
      <w:r>
        <w:rPr>
          <w:rFonts w:hint="eastAsia" w:cs="仿宋_GB2312"/>
          <w:szCs w:val="32"/>
        </w:rPr>
        <w:t>2021年市应急局按计划推进各项重点工作任务、实现了一定效益，但也存在预算执行过程中管理有待加强、固定资产管理不够规范等问题。经综合评定：市应急局2021年部门整体支出绩效评价得分为</w:t>
      </w:r>
      <w:r>
        <w:rPr>
          <w:rFonts w:hint="eastAsia" w:cs="仿宋_GB2312"/>
          <w:b/>
          <w:bCs/>
          <w:szCs w:val="32"/>
          <w:lang w:val="en-US" w:eastAsia="zh-CN"/>
        </w:rPr>
        <w:t>79</w:t>
      </w:r>
      <w:r>
        <w:rPr>
          <w:rFonts w:hint="eastAsia" w:cs="仿宋_GB2312"/>
          <w:b/>
          <w:bCs/>
          <w:szCs w:val="32"/>
        </w:rPr>
        <w:t>.</w:t>
      </w:r>
      <w:r>
        <w:rPr>
          <w:rFonts w:hint="eastAsia" w:cs="仿宋_GB2312"/>
          <w:b/>
          <w:bCs/>
          <w:szCs w:val="32"/>
          <w:lang w:val="en-US" w:eastAsia="zh-CN"/>
        </w:rPr>
        <w:t>2</w:t>
      </w:r>
      <w:r>
        <w:rPr>
          <w:rFonts w:hint="eastAsia" w:cs="仿宋_GB2312"/>
          <w:b/>
          <w:bCs/>
          <w:szCs w:val="32"/>
        </w:rPr>
        <w:t>6</w:t>
      </w:r>
      <w:r>
        <w:rPr>
          <w:rFonts w:hint="eastAsia" w:cs="仿宋_GB2312"/>
          <w:szCs w:val="32"/>
        </w:rPr>
        <w:t>分，绩效等级为“</w:t>
      </w:r>
      <w:r>
        <w:rPr>
          <w:rFonts w:hint="eastAsia" w:cs="仿宋_GB2312"/>
          <w:b/>
          <w:bCs/>
          <w:szCs w:val="32"/>
          <w:lang w:eastAsia="zh-CN"/>
        </w:rPr>
        <w:t>中</w:t>
      </w:r>
      <w:r>
        <w:rPr>
          <w:rFonts w:hint="eastAsia" w:cs="仿宋_GB2312"/>
          <w:szCs w:val="32"/>
        </w:rPr>
        <w:t>”。</w:t>
      </w:r>
    </w:p>
    <w:p>
      <w:pPr>
        <w:pStyle w:val="8"/>
        <w:keepNext/>
        <w:spacing w:before="0" w:beforeLines="0" w:line="360" w:lineRule="auto"/>
        <w:rPr>
          <w:rFonts w:cs="Times New Roman" w:asciiTheme="minorEastAsia" w:hAnsiTheme="minorEastAsia" w:eastAsiaTheme="minorEastAsia"/>
          <w:b/>
        </w:rPr>
      </w:pPr>
      <w:r>
        <w:rPr>
          <w:rFonts w:hint="eastAsia" w:cs="Times New Roman" w:asciiTheme="minorEastAsia" w:hAnsiTheme="minorEastAsia" w:eastAsiaTheme="minorEastAsia"/>
          <w:b/>
        </w:rPr>
        <w:t>表3-1 评价情况总表</w:t>
      </w:r>
    </w:p>
    <w:tbl>
      <w:tblPr>
        <w:tblStyle w:val="19"/>
        <w:tblW w:w="9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1837"/>
        <w:gridCol w:w="183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3662" w:type="dxa"/>
            <w:vAlign w:val="center"/>
          </w:tcPr>
          <w:p>
            <w:pPr>
              <w:widowControl/>
              <w:adjustRightInd w:val="0"/>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评价因素</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分值</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评价得分</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62"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评价总得分</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100.00</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79</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6</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79</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62"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一、预算编制情况</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15.00</w:t>
            </w:r>
          </w:p>
        </w:tc>
        <w:tc>
          <w:tcPr>
            <w:tcW w:w="1837" w:type="dxa"/>
            <w:vAlign w:val="center"/>
          </w:tcPr>
          <w:p>
            <w:pPr>
              <w:widowControl/>
              <w:adjustRightInd w:val="0"/>
              <w:snapToGrid w:val="0"/>
              <w:spacing w:line="240" w:lineRule="auto"/>
              <w:ind w:firstLine="0" w:firstLineChars="0"/>
              <w:jc w:val="center"/>
              <w:rPr>
                <w:rFonts w:hint="default"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9</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62"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二、预算执行情况</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35.00</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.28</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63.66</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62"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三、预算使用效益</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50.00</w:t>
            </w:r>
          </w:p>
        </w:tc>
        <w:tc>
          <w:tcPr>
            <w:tcW w:w="1837" w:type="dxa"/>
            <w:vAlign w:val="center"/>
          </w:tcPr>
          <w:p>
            <w:pPr>
              <w:widowControl/>
              <w:adjustRightInd w:val="0"/>
              <w:snapToGrid w:val="0"/>
              <w:spacing w:line="240" w:lineRule="auto"/>
              <w:ind w:firstLine="0" w:firstLineChars="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47.98</w:t>
            </w:r>
          </w:p>
        </w:tc>
        <w:tc>
          <w:tcPr>
            <w:tcW w:w="1837" w:type="dxa"/>
            <w:vAlign w:val="center"/>
          </w:tcPr>
          <w:p>
            <w:pPr>
              <w:widowControl/>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r>
              <w:rPr>
                <w:rFonts w:hint="eastAsia" w:asciiTheme="minorEastAsia" w:hAnsiTheme="minorEastAsia" w:eastAsiaTheme="minorEastAsia"/>
                <w:sz w:val="21"/>
                <w:szCs w:val="21"/>
                <w:lang w:val="en-US" w:eastAsia="zh-CN"/>
              </w:rPr>
              <w:t>5.96</w:t>
            </w:r>
            <w:r>
              <w:rPr>
                <w:rFonts w:hint="eastAsia" w:asciiTheme="minorEastAsia" w:hAnsiTheme="minorEastAsia" w:eastAsiaTheme="minorEastAsia"/>
                <w:sz w:val="21"/>
                <w:szCs w:val="21"/>
              </w:rPr>
              <w:t>%</w:t>
            </w:r>
          </w:p>
        </w:tc>
      </w:tr>
    </w:tbl>
    <w:p>
      <w:pPr>
        <w:pStyle w:val="2"/>
        <w:ind w:firstLine="0" w:firstLineChars="0"/>
        <w:rPr>
          <w:rStyle w:val="21"/>
          <w:bCs w:val="0"/>
        </w:rPr>
      </w:pPr>
      <w:r>
        <w:rPr>
          <w:rFonts w:hint="eastAsia"/>
          <w:lang w:val="en-US" w:eastAsia="zh-CN"/>
        </w:rPr>
        <w:t xml:space="preserve">    </w:t>
      </w:r>
      <w:bookmarkStart w:id="30" w:name="_Toc32642"/>
      <w:bookmarkStart w:id="31" w:name="_Toc120887973"/>
      <w:bookmarkStart w:id="32" w:name="_Toc26961"/>
      <w:r>
        <w:rPr>
          <w:rStyle w:val="21"/>
          <w:bCs w:val="0"/>
        </w:rPr>
        <w:t>四、主要绩效</w:t>
      </w:r>
      <w:bookmarkEnd w:id="30"/>
      <w:bookmarkEnd w:id="31"/>
      <w:bookmarkEnd w:id="32"/>
    </w:p>
    <w:p>
      <w:pPr>
        <w:pStyle w:val="3"/>
        <w:ind w:firstLine="640"/>
      </w:pPr>
      <w:bookmarkStart w:id="33" w:name="_Toc120887974"/>
      <w:bookmarkStart w:id="34" w:name="_Toc4125"/>
      <w:bookmarkStart w:id="35" w:name="_Toc11132"/>
      <w:r>
        <w:rPr>
          <w:rFonts w:hint="eastAsia"/>
        </w:rPr>
        <w:t>（一）排查重点领域隐患，推进安全生产形势稳定。</w:t>
      </w:r>
      <w:bookmarkEnd w:id="33"/>
      <w:bookmarkEnd w:id="34"/>
      <w:bookmarkEnd w:id="35"/>
    </w:p>
    <w:p>
      <w:pPr>
        <w:ind w:firstLine="640"/>
      </w:pPr>
      <w:r>
        <w:t>推进</w:t>
      </w:r>
      <w:r>
        <w:rPr>
          <w:rFonts w:hint="eastAsia"/>
        </w:rPr>
        <w:t>安全生产专项整治三年行动，对</w:t>
      </w:r>
      <w:r>
        <w:t>直接监管的非煤矿山、危险化学品等</w:t>
      </w:r>
      <w:r>
        <w:rPr>
          <w:rFonts w:hint="eastAsia"/>
        </w:rPr>
        <w:t>重点领域开展安全生产专项整治，结合安全生产专项整治三年行动推进了铁路沿线、特种设备、水上运输、渔业船舶、工贸、旅游等重点行业领域安全整治</w:t>
      </w:r>
      <w:r>
        <w:t>。</w:t>
      </w:r>
      <w:r>
        <w:rPr>
          <w:rFonts w:hint="eastAsia"/>
        </w:rPr>
        <w:t>2021年韶关市</w:t>
      </w:r>
      <w:r>
        <w:t>未发生较大安全生产责任事故，安全生产形势持续稳定向好。</w:t>
      </w:r>
    </w:p>
    <w:p>
      <w:pPr>
        <w:ind w:firstLine="643"/>
      </w:pPr>
      <w:r>
        <w:rPr>
          <w:b/>
        </w:rPr>
        <w:t>非煤矿山方面</w:t>
      </w:r>
      <w:r>
        <w:rPr>
          <w:rFonts w:hint="eastAsia"/>
          <w:b/>
        </w:rPr>
        <w:t>，</w:t>
      </w:r>
      <w:r>
        <w:t>2021年对非煤矿山安全生产开展专项整治工作和打非治违专项执法检查工作</w:t>
      </w:r>
      <w:r>
        <w:rPr>
          <w:rFonts w:hint="eastAsia"/>
        </w:rPr>
        <w:t>，</w:t>
      </w:r>
      <w:r>
        <w:t>对存在隐患和问题的企业下达了整改指令并落实了整改</w:t>
      </w:r>
      <w:r>
        <w:rPr>
          <w:rFonts w:hint="eastAsia"/>
        </w:rPr>
        <w:t>；</w:t>
      </w:r>
      <w:r>
        <w:t>打非治违专项执法检查工作对韶关市10家地下矿山进行专家会诊</w:t>
      </w:r>
      <w:r>
        <w:rPr>
          <w:rFonts w:hint="eastAsia"/>
        </w:rPr>
        <w:t>并督促落实</w:t>
      </w:r>
      <w:r>
        <w:t>整改。针对地下矿山外包队伍开展专项整治行动，要求发包单位落实“七个有”职责和承包单位落实“七个必须”职责</w:t>
      </w:r>
      <w:r>
        <w:rPr>
          <w:rFonts w:hint="eastAsia"/>
        </w:rPr>
        <w:t>；同时针对</w:t>
      </w:r>
      <w:r>
        <w:t>尾矿库</w:t>
      </w:r>
      <w:r>
        <w:rPr>
          <w:rFonts w:hint="eastAsia"/>
        </w:rPr>
        <w:t>开展</w:t>
      </w:r>
      <w:r>
        <w:t>重大安全风险治理并推进销库进</w:t>
      </w:r>
      <w:r>
        <w:rPr>
          <w:rFonts w:hint="eastAsia"/>
        </w:rPr>
        <w:t>程，</w:t>
      </w:r>
      <w:r>
        <w:t>加大力度推</w:t>
      </w:r>
      <w:r>
        <w:rPr>
          <w:rFonts w:hint="eastAsia"/>
        </w:rPr>
        <w:t>进</w:t>
      </w:r>
      <w:r>
        <w:t>翁源县</w:t>
      </w:r>
      <w:r>
        <w:rPr>
          <w:rFonts w:hint="eastAsia"/>
        </w:rPr>
        <w:t>、</w:t>
      </w:r>
      <w:r>
        <w:t>始兴县辖区内闭库</w:t>
      </w:r>
      <w:r>
        <w:rPr>
          <w:rFonts w:hint="eastAsia"/>
        </w:rPr>
        <w:t>、</w:t>
      </w:r>
      <w:r>
        <w:t>停用尾矿库销库工作。</w:t>
      </w:r>
    </w:p>
    <w:p>
      <w:pPr>
        <w:ind w:firstLine="643"/>
      </w:pPr>
      <w:r>
        <w:rPr>
          <w:rFonts w:hint="eastAsia"/>
          <w:b/>
        </w:rPr>
        <w:t>危险化学品领域方面，</w:t>
      </w:r>
      <w:r>
        <w:rPr>
          <w:rFonts w:hint="eastAsia"/>
        </w:rPr>
        <w:t>开展</w:t>
      </w:r>
      <w:r>
        <w:t>医药化工企业和危险化学品生产储存企业、危险化学品重大危险源企业、化学品储罐集中区专项排查工作</w:t>
      </w:r>
      <w:r>
        <w:rPr>
          <w:rFonts w:hint="eastAsia"/>
        </w:rPr>
        <w:t>，</w:t>
      </w:r>
      <w:r>
        <w:t>推进危化从业人员教育培训。落实重点企业的风险防范措施，推进化工园区整治提升，培植安全生产标准化示范企业。</w:t>
      </w:r>
    </w:p>
    <w:p>
      <w:pPr>
        <w:pStyle w:val="3"/>
        <w:ind w:firstLine="640"/>
      </w:pPr>
      <w:bookmarkStart w:id="36" w:name="_Toc10431"/>
      <w:bookmarkStart w:id="37" w:name="_Toc3585"/>
      <w:bookmarkStart w:id="38" w:name="_Toc120887975"/>
      <w:r>
        <w:rPr>
          <w:rFonts w:hint="eastAsia"/>
        </w:rPr>
        <w:t>（二）提升防汛抗旱防火能力，防范化解自然灾害。</w:t>
      </w:r>
      <w:bookmarkEnd w:id="36"/>
      <w:bookmarkEnd w:id="37"/>
      <w:bookmarkEnd w:id="38"/>
    </w:p>
    <w:p>
      <w:pPr>
        <w:ind w:firstLine="640"/>
      </w:pPr>
      <w:r>
        <w:rPr>
          <w:rFonts w:hint="eastAsia"/>
        </w:rPr>
        <w:t>2021年</w:t>
      </w:r>
      <w:r>
        <w:t>持续完善三防管理工作机制，探索三防体系建设方面的新思路，统筹加强自然灾害防治能力。</w:t>
      </w:r>
    </w:p>
    <w:p>
      <w:pPr>
        <w:ind w:firstLine="643"/>
      </w:pPr>
      <w:r>
        <w:rPr>
          <w:rFonts w:hint="eastAsia"/>
          <w:b/>
        </w:rPr>
        <w:t>一是</w:t>
      </w:r>
      <w:r>
        <w:t>强降雨期间顺利完成防汛应急响应、防御应对任务</w:t>
      </w:r>
      <w:r>
        <w:rPr>
          <w:rFonts w:hint="eastAsia"/>
        </w:rPr>
        <w:t>，</w:t>
      </w:r>
      <w:r>
        <w:t>督促各地各职能部门加强对市区低洼易涝点（如南郊、鹅坑桥、市二中路段、工业西、五里亭桥底等）排涝工作，</w:t>
      </w:r>
      <w:r>
        <w:rPr>
          <w:rFonts w:hint="eastAsia"/>
        </w:rPr>
        <w:t>2021年</w:t>
      </w:r>
      <w:r>
        <w:t>未发生因城乡内涝发生亡人事件。梳理建立“短临预警和夜间电话提醒”工作机制，提前防御部署</w:t>
      </w:r>
      <w:r>
        <w:rPr>
          <w:rFonts w:hint="eastAsia"/>
        </w:rPr>
        <w:t>，</w:t>
      </w:r>
      <w:r>
        <w:t>及时启动应急响应</w:t>
      </w:r>
      <w:r>
        <w:rPr>
          <w:rFonts w:hint="eastAsia"/>
        </w:rPr>
        <w:t>、</w:t>
      </w:r>
      <w:r>
        <w:t>会商调度会，保障及时报送灾情信息，高效开展抢险救援，有效保障了人民群众生命</w:t>
      </w:r>
      <w:r>
        <w:rPr>
          <w:rFonts w:hint="eastAsia"/>
        </w:rPr>
        <w:t>财产安全。</w:t>
      </w:r>
      <w:r>
        <w:rPr>
          <w:rFonts w:hint="eastAsia"/>
          <w:b/>
        </w:rPr>
        <w:t>二是</w:t>
      </w:r>
      <w:r>
        <w:t>组织防旱抗旱会商</w:t>
      </w:r>
      <w:r>
        <w:rPr>
          <w:rFonts w:hint="eastAsia"/>
        </w:rPr>
        <w:t>与</w:t>
      </w:r>
      <w:r>
        <w:t>实地调研等工作，冬春连旱时期指导各县区通过抽取水库死库容、分时段供水、水车送水、自行挑水、接驳水管、打机井等方式，助力解决饮水问题，</w:t>
      </w:r>
      <w:r>
        <w:rPr>
          <w:rFonts w:hint="eastAsia"/>
        </w:rPr>
        <w:t>2021年</w:t>
      </w:r>
      <w:r>
        <w:t>未发生农村群众用水斗殴事件。</w:t>
      </w:r>
      <w:r>
        <w:rPr>
          <w:rFonts w:hint="eastAsia"/>
          <w:b/>
        </w:rPr>
        <w:t>三是</w:t>
      </w:r>
      <w:r>
        <w:rPr>
          <w:rFonts w:hint="eastAsia"/>
        </w:rPr>
        <w:t>在</w:t>
      </w:r>
      <w:r>
        <w:t>森林防火工作上落实24小时值班和领导带班制度，畅通森林防火信息报送渠道；加强森林火情监控和卫星监测热点核查，实行有火必报、报扑同步制度</w:t>
      </w:r>
      <w:r>
        <w:rPr>
          <w:rFonts w:hint="eastAsia"/>
        </w:rPr>
        <w:t>，</w:t>
      </w:r>
      <w:r>
        <w:t>严控森林火灾受害率。</w:t>
      </w:r>
    </w:p>
    <w:p>
      <w:pPr>
        <w:pStyle w:val="3"/>
        <w:ind w:firstLine="640"/>
      </w:pPr>
      <w:bookmarkStart w:id="39" w:name="_Toc120887976"/>
      <w:bookmarkStart w:id="40" w:name="_Toc11984"/>
      <w:bookmarkStart w:id="41" w:name="_Toc6570"/>
      <w:r>
        <w:rPr>
          <w:rFonts w:hint="eastAsia"/>
        </w:rPr>
        <w:t>（三）做好应急救援准备工作，增强群众安全意识。</w:t>
      </w:r>
      <w:bookmarkEnd w:id="39"/>
      <w:bookmarkEnd w:id="40"/>
      <w:bookmarkEnd w:id="41"/>
    </w:p>
    <w:p>
      <w:pPr>
        <w:ind w:firstLine="643"/>
      </w:pPr>
      <w:r>
        <w:rPr>
          <w:b/>
        </w:rPr>
        <w:t>一是</w:t>
      </w:r>
      <w:r>
        <w:t>组织开展《韶关市处置森林火灾应急预案》《韶关市地震应急预案》《韶关市突发性地质灾害应急救援预案》</w:t>
      </w:r>
      <w:r>
        <w:rPr>
          <w:rFonts w:hint="eastAsia"/>
        </w:rPr>
        <w:t>等</w:t>
      </w:r>
      <w:r>
        <w:t>10个安全生产</w:t>
      </w:r>
      <w:r>
        <w:rPr>
          <w:rFonts w:hint="eastAsia"/>
        </w:rPr>
        <w:t>、</w:t>
      </w:r>
      <w:r>
        <w:t>自然灾害类专项应急救援预案修订工作</w:t>
      </w:r>
      <w:r>
        <w:rPr>
          <w:rFonts w:hint="eastAsia"/>
        </w:rPr>
        <w:t>，</w:t>
      </w:r>
      <w:r>
        <w:t>《韶关市突发事件总体应急预案》已完成初稿</w:t>
      </w:r>
      <w:r>
        <w:rPr>
          <w:rFonts w:hint="eastAsia"/>
        </w:rPr>
        <w:t>，</w:t>
      </w:r>
      <w:r>
        <w:t>为应急救援工作提供指导性文件</w:t>
      </w:r>
      <w:r>
        <w:rPr>
          <w:rFonts w:hint="eastAsia"/>
        </w:rPr>
        <w:t>，有利于提高应急救援风险防范意识和能力</w:t>
      </w:r>
      <w:r>
        <w:t>。</w:t>
      </w:r>
      <w:r>
        <w:rPr>
          <w:rFonts w:hint="eastAsia"/>
          <w:b/>
        </w:rPr>
        <w:t>二是</w:t>
      </w:r>
      <w:r>
        <w:t>组织职能部门</w:t>
      </w:r>
      <w:r>
        <w:rPr>
          <w:rFonts w:hint="eastAsia"/>
        </w:rPr>
        <w:t>与</w:t>
      </w:r>
      <w:r>
        <w:t>生产经营企业开展应急演练，</w:t>
      </w:r>
      <w:r>
        <w:rPr>
          <w:rFonts w:hint="eastAsia"/>
        </w:rPr>
        <w:t>包括</w:t>
      </w:r>
      <w:r>
        <w:t>三防、森林防火、地质灾害、地震、火灾、易燃易爆危险化学品、非煤矿山、工贸行业、疫情防控、气象设备、特种设备、建设工程安全事故等各类应急演练。通过应急演练及时</w:t>
      </w:r>
      <w:r>
        <w:rPr>
          <w:rFonts w:hint="eastAsia"/>
        </w:rPr>
        <w:t>查找</w:t>
      </w:r>
      <w:r>
        <w:t>和解决问题，</w:t>
      </w:r>
      <w:r>
        <w:rPr>
          <w:rFonts w:hint="eastAsia"/>
        </w:rPr>
        <w:t>在演练中验证应急预案可操作性、</w:t>
      </w:r>
      <w:r>
        <w:t>落实应急预案体系建设成效，</w:t>
      </w:r>
      <w:r>
        <w:rPr>
          <w:rFonts w:hint="eastAsia"/>
        </w:rPr>
        <w:t>促进应急预案完善与改进，提高应急预案的实用性和可操作性，增强参与单位和人员应急处置能力</w:t>
      </w:r>
      <w:r>
        <w:t>。</w:t>
      </w:r>
      <w:r>
        <w:rPr>
          <w:rFonts w:hint="eastAsia"/>
          <w:b/>
        </w:rPr>
        <w:t>三是</w:t>
      </w:r>
      <w:r>
        <w:t>举办“5.12”全国防灾减灾日、</w:t>
      </w:r>
      <w:r>
        <w:rPr>
          <w:rFonts w:hint="eastAsia"/>
        </w:rPr>
        <w:t>《中华人民共和国安全生产法》等</w:t>
      </w:r>
      <w:r>
        <w:t>宣传活动，</w:t>
      </w:r>
      <w:r>
        <w:rPr>
          <w:rFonts w:hint="eastAsia"/>
        </w:rPr>
        <w:t>推进</w:t>
      </w:r>
      <w:r>
        <w:t>防灾减灾救灾与安全生产</w:t>
      </w:r>
      <w:r>
        <w:rPr>
          <w:rFonts w:hint="eastAsia"/>
        </w:rPr>
        <w:t>知识</w:t>
      </w:r>
      <w:r>
        <w:t>宣传</w:t>
      </w:r>
      <w:r>
        <w:rPr>
          <w:rFonts w:hint="eastAsia"/>
        </w:rPr>
        <w:t>，</w:t>
      </w:r>
      <w:r>
        <w:t>进而</w:t>
      </w:r>
      <w:r>
        <w:rPr>
          <w:rFonts w:hint="eastAsia"/>
        </w:rPr>
        <w:t>提高公众安全生产意识和应急处置能力</w:t>
      </w:r>
      <w:r>
        <w:t>。</w:t>
      </w:r>
    </w:p>
    <w:p>
      <w:pPr>
        <w:pStyle w:val="2"/>
        <w:ind w:firstLine="640"/>
      </w:pPr>
      <w:bookmarkStart w:id="42" w:name="_Toc4642"/>
      <w:bookmarkStart w:id="43" w:name="_Toc120887977"/>
      <w:bookmarkStart w:id="44" w:name="_Toc24253"/>
      <w:r>
        <w:t>五、存在问题</w:t>
      </w:r>
      <w:bookmarkEnd w:id="42"/>
      <w:bookmarkEnd w:id="43"/>
      <w:bookmarkEnd w:id="44"/>
    </w:p>
    <w:p>
      <w:pPr>
        <w:pStyle w:val="3"/>
        <w:ind w:firstLine="640"/>
      </w:pPr>
      <w:bookmarkStart w:id="45" w:name="_Toc5515"/>
      <w:bookmarkStart w:id="46" w:name="_Toc120887978"/>
      <w:bookmarkStart w:id="47" w:name="_Toc5134"/>
      <w:r>
        <w:rPr>
          <w:rFonts w:hint="eastAsia"/>
        </w:rPr>
        <w:t>（一）预算编制不够合理，绩效管理尚有提升空间。</w:t>
      </w:r>
      <w:bookmarkEnd w:id="45"/>
      <w:bookmarkEnd w:id="46"/>
      <w:bookmarkEnd w:id="47"/>
    </w:p>
    <w:p>
      <w:pPr>
        <w:ind w:firstLine="643"/>
      </w:pPr>
      <w:r>
        <w:rPr>
          <w:rFonts w:hint="eastAsia"/>
          <w:b/>
        </w:rPr>
        <w:t>一是</w:t>
      </w:r>
      <w:r>
        <w:rPr>
          <w:rFonts w:hint="eastAsia"/>
          <w:lang w:eastAsia="zh-CN"/>
        </w:rPr>
        <w:t>项目前期论证不够全面</w:t>
      </w:r>
      <w:r>
        <w:rPr>
          <w:rFonts w:hint="eastAsia"/>
        </w:rPr>
        <w:t>，预算资金在年内调整频繁。市应急局2021年政府采购预算</w:t>
      </w:r>
      <w:r>
        <w:t>242.95万元</w:t>
      </w:r>
      <w:r>
        <w:rPr>
          <w:rFonts w:hint="eastAsia"/>
        </w:rPr>
        <w:t>，</w:t>
      </w:r>
      <w:r>
        <w:t>实际采购金额904.52万元，实际采购金额远大于年初预算采购金额，预算编制准确性应加强。办公大楼电力改造及地下车库消防系统修缮经费项目申报预算时，没有将设计、竣工图纸、造价、验收等预算资金纳入，</w:t>
      </w:r>
      <w:r>
        <w:rPr>
          <w:rFonts w:hint="eastAsia"/>
        </w:rPr>
        <w:t>项目建设过程中上述费用无法支付</w:t>
      </w:r>
      <w:r>
        <w:t>，预算申报考虑不够全面。</w:t>
      </w:r>
      <w:r>
        <w:rPr>
          <w:rFonts w:hint="eastAsia"/>
        </w:rPr>
        <w:t>市应急局</w:t>
      </w:r>
      <w:r>
        <w:rPr>
          <w:rFonts w:hint="eastAsia"/>
          <w:lang w:eastAsia="zh-CN"/>
        </w:rPr>
        <w:t>预算项目调整频繁，</w:t>
      </w:r>
      <w:r>
        <w:t>2021年共有4次预算项目间变更调整的申请</w:t>
      </w:r>
      <w:r>
        <w:rPr>
          <w:rFonts w:hint="eastAsia"/>
        </w:rPr>
        <w:t>，</w:t>
      </w:r>
      <w:r>
        <w:t>每次调整包含多个细项</w:t>
      </w:r>
      <w:r>
        <w:rPr>
          <w:rFonts w:hint="eastAsia"/>
        </w:rPr>
        <w:t>，</w:t>
      </w:r>
      <w:r>
        <w:t>年内涉及调整的项目共有19个。如</w:t>
      </w:r>
      <w:r>
        <w:rPr>
          <w:rFonts w:hint="eastAsia"/>
        </w:rPr>
        <w:t>：</w:t>
      </w:r>
      <w:r>
        <w:rPr>
          <w:rFonts w:hint="default" w:ascii="Calibri" w:hAnsi="Calibri" w:cs="Calibri"/>
          <w:sz w:val="28"/>
          <w:szCs w:val="28"/>
        </w:rPr>
        <w:t>①</w:t>
      </w:r>
      <w:r>
        <w:rPr>
          <w:rFonts w:hint="eastAsia"/>
        </w:rPr>
        <w:t>2021年</w:t>
      </w:r>
      <w:r>
        <w:t>9月申请调增40万元应急管理装备经费</w:t>
      </w:r>
      <w:r>
        <w:rPr>
          <w:rFonts w:hint="eastAsia"/>
          <w:lang w:eastAsia="zh-CN"/>
        </w:rPr>
        <w:t>，</w:t>
      </w:r>
      <w:r>
        <w:t>用于韶关民兵应急分队任务型装备采购和购买公务用车；11月又</w:t>
      </w:r>
      <w:r>
        <w:rPr>
          <w:rFonts w:hint="eastAsia"/>
          <w:lang w:eastAsia="zh-CN"/>
        </w:rPr>
        <w:t>从该项目</w:t>
      </w:r>
      <w:r>
        <w:t>调</w:t>
      </w:r>
      <w:r>
        <w:rPr>
          <w:rFonts w:hint="eastAsia"/>
        </w:rPr>
        <w:t>减</w:t>
      </w:r>
      <w:r>
        <w:t>约33万元</w:t>
      </w:r>
      <w:r>
        <w:rPr>
          <w:rFonts w:hint="eastAsia"/>
          <w:lang w:eastAsia="zh-CN"/>
        </w:rPr>
        <w:t>，分配到</w:t>
      </w:r>
      <w:r>
        <w:t>“全倒户恢复重建救助资金”“2021年事故调查专项经费”“市‘三合一’专职消防大队清理蓝藻应急处置费用”</w:t>
      </w:r>
      <w:r>
        <w:rPr>
          <w:rFonts w:hint="eastAsia"/>
          <w:lang w:eastAsia="zh-CN"/>
        </w:rPr>
        <w:t>等</w:t>
      </w:r>
      <w:r>
        <w:t>项目</w:t>
      </w:r>
      <w:r>
        <w:rPr>
          <w:rFonts w:hint="eastAsia"/>
          <w:lang w:eastAsia="zh-CN"/>
        </w:rPr>
        <w:t>中</w:t>
      </w:r>
      <w:r>
        <w:rPr>
          <w:rFonts w:hint="eastAsia"/>
        </w:rPr>
        <w:t>，</w:t>
      </w:r>
      <w:r>
        <w:rPr>
          <w:rFonts w:hint="eastAsia"/>
          <w:lang w:eastAsia="zh-CN"/>
        </w:rPr>
        <w:t>且</w:t>
      </w:r>
      <w:r>
        <w:t>上述几个项目年初未申报预算</w:t>
      </w:r>
      <w:r>
        <w:rPr>
          <w:rFonts w:hint="eastAsia"/>
        </w:rPr>
        <w:t>，</w:t>
      </w:r>
      <w:r>
        <w:t>属于市应急局根据应急工作情况</w:t>
      </w:r>
      <w:r>
        <w:rPr>
          <w:rFonts w:hint="eastAsia"/>
          <w:lang w:eastAsia="zh-CN"/>
        </w:rPr>
        <w:t>，</w:t>
      </w:r>
      <w:r>
        <w:t>临时新增项目</w:t>
      </w:r>
      <w:r>
        <w:rPr>
          <w:rFonts w:hint="eastAsia"/>
        </w:rPr>
        <w:t>。</w:t>
      </w:r>
      <w:r>
        <w:rPr>
          <w:rFonts w:hint="default" w:ascii="Calibri" w:hAnsi="Calibri" w:cs="Calibri"/>
          <w:sz w:val="28"/>
          <w:szCs w:val="28"/>
        </w:rPr>
        <w:t>②</w:t>
      </w:r>
      <w:r>
        <w:t>按照资金使用计划</w:t>
      </w:r>
      <w:r>
        <w:rPr>
          <w:rFonts w:hint="eastAsia"/>
          <w:lang w:eastAsia="zh-CN"/>
        </w:rPr>
        <w:t>，市应急局于</w:t>
      </w:r>
      <w:r>
        <w:t>7月份</w:t>
      </w:r>
      <w:r>
        <w:rPr>
          <w:rFonts w:hint="eastAsia"/>
          <w:lang w:eastAsia="zh-CN"/>
        </w:rPr>
        <w:t>将“</w:t>
      </w:r>
      <w:r>
        <w:t>2021年安全生产和自然灾害应急演练经费</w:t>
      </w:r>
      <w:r>
        <w:rPr>
          <w:rFonts w:hint="eastAsia"/>
          <w:lang w:eastAsia="zh-CN"/>
        </w:rPr>
        <w:t>”中的</w:t>
      </w:r>
      <w:r>
        <w:rPr>
          <w:rFonts w:hint="eastAsia"/>
          <w:lang w:val="en-US" w:eastAsia="zh-CN"/>
        </w:rPr>
        <w:t>16万元，</w:t>
      </w:r>
      <w:r>
        <w:t>二次分配到乐昌</w:t>
      </w:r>
      <w:r>
        <w:rPr>
          <w:rFonts w:hint="eastAsia"/>
          <w:lang w:eastAsia="zh-CN"/>
        </w:rPr>
        <w:t>和</w:t>
      </w:r>
      <w:r>
        <w:t>曲江，9月又</w:t>
      </w:r>
      <w:r>
        <w:rPr>
          <w:rFonts w:hint="eastAsia"/>
          <w:lang w:eastAsia="zh-CN"/>
        </w:rPr>
        <w:t>在该项目</w:t>
      </w:r>
      <w:r>
        <w:t>调增16万元用于韶关市区四座山（芙蓉山、皇岗山、莲花山、</w:t>
      </w:r>
      <w:r>
        <w:rPr>
          <w:rFonts w:hint="eastAsia"/>
        </w:rPr>
        <w:t>九龄公园）应急预案编制、应急演练。</w:t>
      </w:r>
      <w:r>
        <w:rPr>
          <w:rFonts w:hint="default" w:ascii="Calibri" w:hAnsi="Calibri" w:cs="Calibri"/>
          <w:sz w:val="28"/>
          <w:szCs w:val="28"/>
        </w:rPr>
        <w:t>③</w:t>
      </w:r>
      <w:r>
        <w:t>2021年安全生产资格考核经费</w:t>
      </w:r>
      <w:r>
        <w:rPr>
          <w:rFonts w:hint="eastAsia"/>
          <w:lang w:eastAsia="zh-CN"/>
        </w:rPr>
        <w:t>于</w:t>
      </w:r>
      <w:r>
        <w:t>2021年4月份</w:t>
      </w:r>
      <w:r>
        <w:rPr>
          <w:rFonts w:hint="eastAsia"/>
        </w:rPr>
        <w:t>已全部支出</w:t>
      </w:r>
      <w:r>
        <w:rPr>
          <w:rFonts w:hint="eastAsia"/>
          <w:lang w:eastAsia="zh-CN"/>
        </w:rPr>
        <w:t>，因经费不足</w:t>
      </w:r>
      <w:r>
        <w:rPr>
          <w:rFonts w:hint="eastAsia"/>
        </w:rPr>
        <w:t>，9月</w:t>
      </w:r>
      <w:r>
        <w:rPr>
          <w:rFonts w:hint="eastAsia"/>
          <w:lang w:eastAsia="zh-CN"/>
        </w:rPr>
        <w:t>又</w:t>
      </w:r>
      <w:r>
        <w:rPr>
          <w:rFonts w:hint="eastAsia"/>
        </w:rPr>
        <w:t>申请调增预算</w:t>
      </w:r>
      <w:r>
        <w:t>16万元。</w:t>
      </w:r>
    </w:p>
    <w:p>
      <w:pPr>
        <w:ind w:firstLine="643"/>
      </w:pPr>
      <w:r>
        <w:rPr>
          <w:rFonts w:hint="eastAsia"/>
          <w:b/>
        </w:rPr>
        <w:t>二是</w:t>
      </w:r>
      <w:r>
        <w:rPr>
          <w:rFonts w:hint="eastAsia"/>
        </w:rPr>
        <w:t>预算申报阶段设置的绩效指标明确性不足。一方面，绩效指标不能完全反映市应急局所有职能，如产出指标中没有</w:t>
      </w:r>
      <w:r>
        <w:rPr>
          <w:rFonts w:hint="eastAsia"/>
          <w:lang w:eastAsia="zh-CN"/>
        </w:rPr>
        <w:t>涉及</w:t>
      </w:r>
      <w:r>
        <w:rPr>
          <w:rFonts w:hint="eastAsia"/>
        </w:rPr>
        <w:t>自然灾害防治相关指标；时效性指标只有预决算公开及时性指标，缺少反映应急响应时效的指标；效益指标中经济效益设置为评审人员满意率，没有针对安全事故发生率下降等方面设置相关指标。另一方面，指标设置缺少量化指标，如安全生产培训人次、隐患排查企业数量等</w:t>
      </w:r>
      <w:r>
        <w:rPr>
          <w:rFonts w:hint="eastAsia"/>
          <w:lang w:eastAsia="zh-CN"/>
        </w:rPr>
        <w:t>指标，没有设置具体的指标值</w:t>
      </w:r>
      <w:r>
        <w:rPr>
          <w:rFonts w:hint="eastAsia"/>
        </w:rPr>
        <w:t>。</w:t>
      </w:r>
    </w:p>
    <w:p>
      <w:pPr>
        <w:pStyle w:val="3"/>
        <w:ind w:firstLine="640"/>
      </w:pPr>
      <w:bookmarkStart w:id="48" w:name="_Toc21308"/>
      <w:bookmarkStart w:id="49" w:name="_Toc120887979"/>
      <w:bookmarkStart w:id="50" w:name="_Toc13970"/>
      <w:r>
        <w:rPr>
          <w:rFonts w:hint="eastAsia"/>
        </w:rPr>
        <w:t>（二）项目采购与验收不够规范，内控管理严谨性待提升。</w:t>
      </w:r>
      <w:bookmarkEnd w:id="48"/>
      <w:bookmarkEnd w:id="49"/>
      <w:bookmarkEnd w:id="50"/>
    </w:p>
    <w:p>
      <w:pPr>
        <w:ind w:firstLine="643"/>
      </w:pPr>
      <w:r>
        <w:rPr>
          <w:rFonts w:hint="eastAsia"/>
          <w:b/>
        </w:rPr>
        <w:t>一是</w:t>
      </w:r>
      <w:r>
        <w:rPr>
          <w:rFonts w:hint="eastAsia"/>
        </w:rPr>
        <w:t>询价采购程序不规范。现场抽查</w:t>
      </w:r>
      <w:r>
        <w:t>9个项目中，</w:t>
      </w:r>
      <w:r>
        <w:rPr>
          <w:rFonts w:hint="eastAsia"/>
          <w:lang w:eastAsia="zh-CN"/>
        </w:rPr>
        <w:t>“</w:t>
      </w:r>
      <w:r>
        <w:t>2021年安全生产和自然灾害应急演练经费</w:t>
      </w:r>
      <w:r>
        <w:rPr>
          <w:rFonts w:hint="eastAsia"/>
          <w:lang w:eastAsia="zh-CN"/>
        </w:rPr>
        <w:t>”</w:t>
      </w:r>
      <w:r>
        <w:t>及</w:t>
      </w:r>
      <w:r>
        <w:rPr>
          <w:rFonts w:hint="eastAsia"/>
          <w:lang w:eastAsia="zh-CN"/>
        </w:rPr>
        <w:t>“</w:t>
      </w:r>
      <w:r>
        <w:t>2021年安全生产宣传（数字化）及责任制考核经费</w:t>
      </w:r>
      <w:r>
        <w:rPr>
          <w:rFonts w:hint="eastAsia"/>
          <w:lang w:eastAsia="zh-CN"/>
        </w:rPr>
        <w:t>”</w:t>
      </w:r>
      <w:r>
        <w:t>2个项目中均存在询价</w:t>
      </w:r>
      <w:r>
        <w:rPr>
          <w:rFonts w:hint="eastAsia"/>
        </w:rPr>
        <w:t>过程中</w:t>
      </w:r>
      <w:r>
        <w:t>只有一家报价</w:t>
      </w:r>
      <w:r>
        <w:rPr>
          <w:rFonts w:hint="eastAsia"/>
          <w:lang w:eastAsia="zh-CN"/>
        </w:rPr>
        <w:t>的情况</w:t>
      </w:r>
      <w:r>
        <w:t>。根据《韶关市应急管理局政府采购招标文件会审办法（试行）》规定，会审小组应由5人组成，但现场抽查中发现上述两个项目的询价组成员为4人，需进一步规范政府采购管理。</w:t>
      </w:r>
    </w:p>
    <w:p>
      <w:pPr>
        <w:ind w:firstLine="643"/>
      </w:pPr>
      <w:r>
        <w:rPr>
          <w:rFonts w:hint="eastAsia"/>
          <w:b/>
        </w:rPr>
        <w:t>二是</w:t>
      </w:r>
      <w:r>
        <w:rPr>
          <w:rFonts w:hint="eastAsia"/>
        </w:rPr>
        <w:t>验收管理不规范。</w:t>
      </w:r>
      <w:r>
        <w:rPr>
          <w:rFonts w:hint="eastAsia"/>
          <w:lang w:eastAsia="zh-CN"/>
        </w:rPr>
        <w:t>“</w:t>
      </w:r>
      <w:r>
        <w:rPr>
          <w:rFonts w:hint="eastAsia"/>
        </w:rPr>
        <w:t>安全生产宣传（数字化）及责任制考核经费</w:t>
      </w:r>
      <w:r>
        <w:rPr>
          <w:rFonts w:hint="eastAsia"/>
          <w:lang w:eastAsia="zh-CN"/>
        </w:rPr>
        <w:t>”</w:t>
      </w:r>
      <w:r>
        <w:rPr>
          <w:rFonts w:hint="eastAsia"/>
        </w:rPr>
        <w:t>中，档案整理服务费项目为了赶资金支付，服务期未结束提前完成验收，协议约定20</w:t>
      </w:r>
      <w:r>
        <w:t>21年12月30日完成，实际在12月6日完成验收，未完成的服务要求</w:t>
      </w:r>
      <w:r>
        <w:rPr>
          <w:rFonts w:hint="eastAsia"/>
        </w:rPr>
        <w:t>供应</w:t>
      </w:r>
      <w:r>
        <w:t>商以承诺书的方式承诺年末完成，验收程序不规范</w:t>
      </w:r>
      <w:r>
        <w:rPr>
          <w:rFonts w:hint="eastAsia"/>
        </w:rPr>
        <w:t>。《中华人民共和国安全生产法》</w:t>
      </w:r>
      <w:r>
        <w:t>宣传服务费用合同期从2021年12月13日到2022年1月23日共41天，合同</w:t>
      </w:r>
      <w:r>
        <w:rPr>
          <w:rFonts w:hint="eastAsia"/>
        </w:rPr>
        <w:t>约定</w:t>
      </w:r>
      <w:r>
        <w:t>在高铁站出口（旅游咨询中心）投放广告100天，合同期限未能涵盖</w:t>
      </w:r>
      <w:r>
        <w:rPr>
          <w:rFonts w:hint="eastAsia"/>
        </w:rPr>
        <w:t>广告</w:t>
      </w:r>
      <w:r>
        <w:t>服务期限</w:t>
      </w:r>
      <w:r>
        <w:rPr>
          <w:rFonts w:hint="eastAsia"/>
        </w:rPr>
        <w:t>；</w:t>
      </w:r>
      <w:r>
        <w:t>合同签订8天后</w:t>
      </w:r>
      <w:r>
        <w:rPr>
          <w:rFonts w:hint="eastAsia"/>
        </w:rPr>
        <w:t>完成款项</w:t>
      </w:r>
      <w:r>
        <w:t>支付，急于付款不利于项目</w:t>
      </w:r>
      <w:r>
        <w:rPr>
          <w:rFonts w:hint="eastAsia"/>
        </w:rPr>
        <w:t>后续执行</w:t>
      </w:r>
      <w:r>
        <w:t>管理。</w:t>
      </w:r>
    </w:p>
    <w:p>
      <w:pPr>
        <w:ind w:firstLine="643"/>
      </w:pPr>
      <w:r>
        <w:rPr>
          <w:rFonts w:hint="eastAsia"/>
          <w:b/>
        </w:rPr>
        <w:t>三是</w:t>
      </w:r>
      <w:r>
        <w:rPr>
          <w:rFonts w:hint="eastAsia"/>
        </w:rPr>
        <w:t>资金支出规范性欠完善。办公大楼电力改造及地下车库消防系统修缮经费中，</w:t>
      </w:r>
      <w:r>
        <w:rPr>
          <w:rFonts w:hint="eastAsia"/>
          <w:lang w:eastAsia="zh-CN"/>
        </w:rPr>
        <w:t>工程</w:t>
      </w:r>
      <w:r>
        <w:rPr>
          <w:rFonts w:hint="eastAsia"/>
        </w:rPr>
        <w:t>款未按合同进度支付。</w:t>
      </w:r>
    </w:p>
    <w:p>
      <w:pPr>
        <w:pStyle w:val="3"/>
        <w:ind w:firstLine="640"/>
      </w:pPr>
      <w:bookmarkStart w:id="51" w:name="_Toc29198"/>
      <w:bookmarkStart w:id="52" w:name="_Toc120887980"/>
      <w:bookmarkStart w:id="53" w:name="_Toc30615"/>
      <w:r>
        <w:rPr>
          <w:rFonts w:hint="eastAsia"/>
        </w:rPr>
        <w:t>（三）固定资产管理不严谨，资产盘点与报废工作开展不及时。</w:t>
      </w:r>
      <w:bookmarkEnd w:id="51"/>
      <w:bookmarkEnd w:id="52"/>
      <w:bookmarkEnd w:id="53"/>
    </w:p>
    <w:p>
      <w:pPr>
        <w:ind w:firstLine="640"/>
      </w:pPr>
      <w:r>
        <w:rPr>
          <w:rFonts w:hint="eastAsia"/>
        </w:rPr>
        <w:t>固定资产管理出现重采购、轻管理的情况</w:t>
      </w:r>
      <w:r>
        <w:t>,经现场抽查盘点发现，室内的固定资产除空调外基本无粘贴固定资产卡片，且空调上卡片使用部门均登记为韶关市交通运输局，在部门合并后未能及时盘点</w:t>
      </w:r>
      <w:r>
        <w:rPr>
          <w:rFonts w:hint="eastAsia"/>
          <w:lang w:eastAsia="zh-CN"/>
        </w:rPr>
        <w:t>、</w:t>
      </w:r>
      <w:r>
        <w:t>更新固定资产</w:t>
      </w:r>
      <w:r>
        <w:rPr>
          <w:rFonts w:hint="eastAsia"/>
          <w:lang w:eastAsia="zh-CN"/>
        </w:rPr>
        <w:t>信息</w:t>
      </w:r>
      <w:r>
        <w:t>。户外作业设备除防汛冲锋舟在船身喷上编号外，其余设备均无粘贴卡片。另外，固定资产入账登记不准确，多功能船外机移动车和森林防灭火装备登记数量为1，实际为一批次，多功能船外机移动车具体数量无法确定</w:t>
      </w:r>
      <w:r>
        <w:rPr>
          <w:rFonts w:hint="eastAsia"/>
        </w:rPr>
        <w:t>；</w:t>
      </w:r>
      <w:r>
        <w:t>“其他无线电通信设备”项目资产实际为网费而非固定资产。现场抽查盘点发现</w:t>
      </w:r>
      <w:r>
        <w:rPr>
          <w:rFonts w:hint="eastAsia"/>
          <w:lang w:eastAsia="zh-CN"/>
        </w:rPr>
        <w:t>，</w:t>
      </w:r>
      <w:r>
        <w:t>一批待报废固定资产，截至目前尚未完成处置</w:t>
      </w:r>
      <w:r>
        <w:rPr>
          <w:rFonts w:hint="eastAsia"/>
          <w:lang w:eastAsia="zh-CN"/>
        </w:rPr>
        <w:t>的情况</w:t>
      </w:r>
      <w:r>
        <w:t>。市应急</w:t>
      </w:r>
      <w:r>
        <w:rPr>
          <w:rFonts w:hint="eastAsia"/>
        </w:rPr>
        <w:t>局反馈目前正在开展固定资产重新盘点工作，而户外固定资产则因应急抢险环境特殊，容易丢失或损坏固定资产卡片，因此没有粘贴卡片。</w:t>
      </w:r>
    </w:p>
    <w:p>
      <w:pPr>
        <w:ind w:firstLine="640"/>
      </w:pPr>
      <w:r>
        <w:rPr>
          <w:rFonts w:hint="eastAsia"/>
        </w:rPr>
        <w:t>再有，现场与市应急局沟通发现，下属单位市矿山救护队存在应急车辆</w:t>
      </w:r>
      <w:r>
        <w:rPr>
          <w:rFonts w:hint="eastAsia"/>
          <w:lang w:eastAsia="zh-CN"/>
        </w:rPr>
        <w:t>正在</w:t>
      </w:r>
      <w:r>
        <w:rPr>
          <w:rFonts w:hint="eastAsia"/>
        </w:rPr>
        <w:t>使用却无法上牌照的窘况，应急救援队日常使用无牌车辆出任务，一方面安全性未能得到有效保障，另一方面也不符合资产使用管理规范。</w:t>
      </w:r>
    </w:p>
    <w:p>
      <w:pPr>
        <w:pStyle w:val="3"/>
        <w:ind w:firstLine="640"/>
      </w:pPr>
      <w:bookmarkStart w:id="54" w:name="_Toc10988"/>
      <w:bookmarkStart w:id="55" w:name="_Toc120887981"/>
      <w:bookmarkStart w:id="56" w:name="_Toc16114"/>
      <w:r>
        <w:rPr>
          <w:rFonts w:hint="eastAsia"/>
        </w:rPr>
        <w:t>（四）经常性项目缺乏专项管理制度，不利于资金监管。</w:t>
      </w:r>
      <w:bookmarkEnd w:id="54"/>
      <w:bookmarkEnd w:id="55"/>
      <w:bookmarkEnd w:id="56"/>
    </w:p>
    <w:p>
      <w:pPr>
        <w:ind w:firstLine="640"/>
      </w:pPr>
      <w:r>
        <w:rPr>
          <w:rFonts w:hint="eastAsia"/>
        </w:rPr>
        <w:t>对经常性项目未设置专项管理制度或资金使用指引，不利于日常管理和专项工作的有效推行。如三防工作经费项目中含有大量日常开支，应急救援与宣传培训专项工作经费包含公务接待费、水电费、邮电费等支出。专项资金的开支范围、使用流程等未能予以明确，不利于明确资金合理使用范围与进一步规范项目资金的使用。市应急局虽然制定了《韶关市应急管理局专项资金管理制度》，但对转移支付至县区使用的资金未见相关检查、监控材料。</w:t>
      </w:r>
    </w:p>
    <w:p>
      <w:pPr>
        <w:ind w:firstLine="640"/>
      </w:pPr>
      <w:r>
        <w:rPr>
          <w:rFonts w:hint="eastAsia"/>
        </w:rPr>
        <w:t>此外，专项应急预案需及时修订和完善。</w:t>
      </w:r>
      <w:r>
        <w:t>2021年5月</w:t>
      </w:r>
      <w:r>
        <w:rPr>
          <w:rFonts w:hint="eastAsia"/>
        </w:rPr>
        <w:t>市应急局</w:t>
      </w:r>
      <w:r>
        <w:t>委托第三方机构编制10个应急预案和1个总体预案，根据《韶关市金属冶炼生产安全事故应急预案》《韶关市非煤矿山生产安全事故应急预案》等新修订预案，编订依据《中华人民共和国安全生产法》（2014年修订）</w:t>
      </w:r>
      <w:r>
        <w:rPr>
          <w:rFonts w:hint="eastAsia"/>
        </w:rPr>
        <w:t>，</w:t>
      </w:r>
      <w:r>
        <w:t>但2021年9月1日起</w:t>
      </w:r>
      <w:r>
        <w:rPr>
          <w:rFonts w:hint="eastAsia"/>
          <w:lang w:eastAsia="zh-CN"/>
        </w:rPr>
        <w:t>，</w:t>
      </w:r>
      <w:r>
        <w:t>新的《中华人民共和国安全生产法》正式实施，市应急局的应急预案未能及时</w:t>
      </w:r>
      <w:r>
        <w:rPr>
          <w:rFonts w:hint="eastAsia"/>
          <w:lang w:eastAsia="zh-CN"/>
        </w:rPr>
        <w:t>依据新的法律法规进行</w:t>
      </w:r>
      <w:r>
        <w:t>更新修订，</w:t>
      </w:r>
      <w:r>
        <w:rPr>
          <w:rFonts w:hint="eastAsia"/>
          <w:lang w:eastAsia="zh-CN"/>
        </w:rPr>
        <w:t>存在</w:t>
      </w:r>
      <w:r>
        <w:t>未使用</w:t>
      </w:r>
      <w:r>
        <w:rPr>
          <w:rFonts w:hint="eastAsia"/>
        </w:rPr>
        <w:t>却已经不适用的风险。</w:t>
      </w:r>
    </w:p>
    <w:p>
      <w:pPr>
        <w:pStyle w:val="2"/>
        <w:ind w:firstLine="640"/>
      </w:pPr>
      <w:bookmarkStart w:id="57" w:name="_Toc24810"/>
      <w:bookmarkStart w:id="58" w:name="_Toc17838"/>
      <w:bookmarkStart w:id="59" w:name="_Toc120887982"/>
      <w:r>
        <w:t>六、相关建议</w:t>
      </w:r>
      <w:bookmarkEnd w:id="57"/>
      <w:bookmarkEnd w:id="58"/>
      <w:bookmarkEnd w:id="59"/>
    </w:p>
    <w:p>
      <w:pPr>
        <w:pStyle w:val="3"/>
        <w:ind w:firstLine="640"/>
      </w:pPr>
      <w:bookmarkStart w:id="60" w:name="_Toc4871"/>
      <w:bookmarkStart w:id="61" w:name="_Toc20311"/>
      <w:bookmarkStart w:id="62" w:name="_Toc120887983"/>
      <w:r>
        <w:rPr>
          <w:rFonts w:hint="eastAsia"/>
        </w:rPr>
        <w:t>（一）结合年度工作合理申报预算，完善绩效指标设置。</w:t>
      </w:r>
      <w:bookmarkEnd w:id="60"/>
      <w:bookmarkEnd w:id="61"/>
      <w:bookmarkEnd w:id="62"/>
    </w:p>
    <w:p>
      <w:pPr>
        <w:ind w:firstLine="643"/>
      </w:pPr>
      <w:r>
        <w:rPr>
          <w:rFonts w:hint="eastAsia"/>
          <w:b/>
        </w:rPr>
        <w:t>一是</w:t>
      </w:r>
      <w:r>
        <w:rPr>
          <w:rFonts w:hint="eastAsia"/>
        </w:rPr>
        <w:t>做好预算需求测算工作，减少预算中途调整，增强预算的准确性和严谨性，减少预算与实际执行的误差。编制预算应充分考虑上年实际支出情况，并结合本年工作任务及必要完成事项清单，合理测算资金需求。在制定年初预算前，应开展相应的前期可研、项目市场调研工作，充分考虑项目的可行性和实施周期编制合理预算，实现专项资金使用效率和效益的最大化。</w:t>
      </w:r>
    </w:p>
    <w:p>
      <w:pPr>
        <w:ind w:firstLine="643"/>
      </w:pPr>
      <w:r>
        <w:rPr>
          <w:rFonts w:hint="eastAsia"/>
          <w:b/>
        </w:rPr>
        <w:t>二是</w:t>
      </w:r>
      <w:r>
        <w:rPr>
          <w:rFonts w:hint="eastAsia"/>
        </w:rPr>
        <w:t>根据绩效目标、指标设置原则，完善指标考核体系。市应急局应提升对绩效管理重要性的认识，科学合理设置绩效目标和指标，强化绩效管理的意识和能力，各业务部门应加强与财务部门的协同配合，共同做好绩效管理工作。首先，明确各绩效指标预期目标值，经常性项目结合本年度工作计划并参考近三年该项工作完成情况予以设置；一次性项目结合本年度工作计划予以设置。其次，建议从市应急局三定方案出发，考虑针对不同职能全面设置绩效指标，增加如安全人员培训人数、宣传教育人数、应急检查排查隐患次数、森林救灾出警时间、危险化学品及非煤矿山安全生产监管情况、自然灾害防患情况、提升基层应急管理能力等方面核心指标。再有，对时效指标建议设置具体应达到的时限或效率，考虑工作紧急程度对完成时限预期目标值，如发现森林火灾</w:t>
      </w:r>
      <w:r>
        <w:t>40分钟内完成报送，明确指标值的考核标准或方式。最后，在满意度指标设计上，建议增设安全和民生项目的群众满意度</w:t>
      </w:r>
      <w:r>
        <w:rPr>
          <w:rFonts w:hint="eastAsia"/>
        </w:rPr>
        <w:t>调查</w:t>
      </w:r>
      <w:r>
        <w:t>，收集群众意见建议</w:t>
      </w:r>
      <w:r>
        <w:rPr>
          <w:rFonts w:hint="eastAsia"/>
        </w:rPr>
        <w:t>，</w:t>
      </w:r>
      <w:r>
        <w:t>有助于提升项目执行科学性。</w:t>
      </w:r>
    </w:p>
    <w:p>
      <w:pPr>
        <w:pStyle w:val="3"/>
        <w:ind w:firstLine="640"/>
      </w:pPr>
      <w:bookmarkStart w:id="63" w:name="_Toc24273"/>
      <w:bookmarkStart w:id="64" w:name="_Toc120887984"/>
      <w:bookmarkStart w:id="65" w:name="_Toc31743"/>
      <w:r>
        <w:rPr>
          <w:rFonts w:hint="eastAsia"/>
        </w:rPr>
        <w:t>（二）落实采购与验收有关规定，加强项目执行过程管理。</w:t>
      </w:r>
      <w:bookmarkEnd w:id="63"/>
      <w:bookmarkEnd w:id="64"/>
      <w:bookmarkEnd w:id="65"/>
    </w:p>
    <w:p>
      <w:pPr>
        <w:ind w:firstLine="643"/>
      </w:pPr>
      <w:r>
        <w:rPr>
          <w:rFonts w:hint="eastAsia"/>
          <w:b/>
        </w:rPr>
        <w:t>一是</w:t>
      </w:r>
      <w:r>
        <w:rPr>
          <w:rFonts w:hint="eastAsia"/>
        </w:rPr>
        <w:t>规范采购管理，采购询价应充分考虑价格的公允性和合理性，按照“比质比价，货比三家”的询价原则，落实</w:t>
      </w:r>
      <w:r>
        <w:t>3家以上的询价比价</w:t>
      </w:r>
      <w:r>
        <w:rPr>
          <w:rFonts w:hint="eastAsia"/>
        </w:rPr>
        <w:t>；</w:t>
      </w:r>
      <w:r>
        <w:t>询价小组的人数应严格遵照《韶关市应急管理局政府采购招标文件会审办法（试行）》《韶关市应急管理局政府采购管理办法（试行）》《韶关市应急管理局政府采购内部询价办法（试行）》的要求。</w:t>
      </w:r>
      <w:r>
        <w:rPr>
          <w:rFonts w:hint="eastAsia"/>
          <w:b/>
        </w:rPr>
        <w:t>二是</w:t>
      </w:r>
      <w:r>
        <w:rPr>
          <w:rFonts w:hint="eastAsia"/>
        </w:rPr>
        <w:t>依照项目管理制度规范开展工作，按实际完工情况规范进行验收，避免在年底出现为赶付资金而在项目未完成时提前验收或提前支付。</w:t>
      </w:r>
      <w:r>
        <w:t>采购协议约定时间应充分考虑资金支付和验收时间的关联性，年中开展的项目应充分考虑工程量或实施周期，确定项目</w:t>
      </w:r>
      <w:r>
        <w:rPr>
          <w:rFonts w:hint="eastAsia"/>
        </w:rPr>
        <w:t>是否为跨年项目。当项目截止日期为年底时，更应定期关注项目进度，加强管理监督，确保项目按规定完成。</w:t>
      </w:r>
      <w:r>
        <w:rPr>
          <w:rFonts w:hint="eastAsia"/>
          <w:b/>
        </w:rPr>
        <w:t>三是</w:t>
      </w:r>
      <w:r>
        <w:rPr>
          <w:rFonts w:hint="eastAsia"/>
        </w:rPr>
        <w:t>加强项目监督及管理规范性，对资金支出范围的严谨性与合理性审查，确保合同执行到位。</w:t>
      </w:r>
    </w:p>
    <w:p>
      <w:pPr>
        <w:pStyle w:val="3"/>
        <w:ind w:firstLine="640"/>
      </w:pPr>
      <w:bookmarkStart w:id="66" w:name="_Toc5761"/>
      <w:bookmarkStart w:id="67" w:name="_Toc21198"/>
      <w:bookmarkStart w:id="68" w:name="_Toc120887985"/>
      <w:r>
        <w:rPr>
          <w:rFonts w:hint="eastAsia"/>
        </w:rPr>
        <w:t>（三）落实固定资产管理规定，及时履行盘点与报废手续。</w:t>
      </w:r>
      <w:bookmarkEnd w:id="66"/>
      <w:bookmarkEnd w:id="67"/>
      <w:bookmarkEnd w:id="68"/>
    </w:p>
    <w:p>
      <w:pPr>
        <w:ind w:firstLine="640"/>
      </w:pPr>
      <w:r>
        <w:rPr>
          <w:rFonts w:hint="eastAsia"/>
        </w:rPr>
        <w:t>加快完成固定资产卡片更新，严格按照固定资产管理有关规定，准确登记固定资产名称、型号与数量，及时清查盘点待报废和待处置资产，并按规定程序办理处置手续以及账务处理，做到账账、账实、账卡相符。在政府机构改革完成后，及时对合并的几个部门固定资产进行处理，必要时引入第三方专业资产盘点机构，加快推进资产报废处理工作，加强固定资产实物管理，提高固定资产利用率，提高会计信息的真实性和准确性。</w:t>
      </w:r>
    </w:p>
    <w:p>
      <w:pPr>
        <w:pStyle w:val="3"/>
        <w:ind w:firstLine="640"/>
      </w:pPr>
      <w:bookmarkStart w:id="69" w:name="_Toc6655"/>
      <w:bookmarkStart w:id="70" w:name="_Toc19193"/>
      <w:bookmarkStart w:id="71" w:name="_Toc120887986"/>
      <w:r>
        <w:rPr>
          <w:rFonts w:hint="eastAsia"/>
        </w:rPr>
        <w:t>（四）完善专项资金管理规定，明确项目资金使用范围。</w:t>
      </w:r>
      <w:bookmarkEnd w:id="69"/>
      <w:bookmarkEnd w:id="70"/>
      <w:bookmarkEnd w:id="71"/>
    </w:p>
    <w:p>
      <w:pPr>
        <w:ind w:firstLine="640"/>
      </w:pPr>
      <w:r>
        <w:rPr>
          <w:rFonts w:hint="eastAsia"/>
        </w:rPr>
        <w:t>对于经常性项目，建议制定专项资金管理制度或使用指引，便于进一步规范化管理财政资金的使用。应明确专项资金的开支范围，包括直接费用和间接费用，明确资金的支出必须在项目允许范围内。如制定《韶关市应急管理局三防工作经费管理规定》，明确三防工作经费中值班餐费的定义，是指必须</w:t>
      </w:r>
      <w:r>
        <w:t>24小时驻守执行工作任务的值班人员伙食费，再根据标准明确值班人员餐补标准，限定食品可购买范围，减少非必要的零食支出</w:t>
      </w:r>
      <w:r>
        <w:rPr>
          <w:rFonts w:hint="eastAsia"/>
        </w:rPr>
        <w:t>；</w:t>
      </w:r>
      <w:r>
        <w:t>制定《韶关市应急管理局应急救援与宣</w:t>
      </w:r>
      <w:r>
        <w:rPr>
          <w:rFonts w:hint="eastAsia"/>
        </w:rPr>
        <w:t>传培训专项工作经费管理规定》，明确经费支出类目范围，明确在应急救援与宣传培训专项工作经费中支付水电费、差旅费、邮电费、接待费等是否合理，并明确支出的禁用范围，保障专款专用。同时建议加强对转移支付资金使用的监管，保障资金使用合规性与有效性。</w:t>
      </w:r>
    </w:p>
    <w:p>
      <w:pPr>
        <w:ind w:firstLine="640"/>
      </w:pPr>
      <w:r>
        <w:t>此外</w:t>
      </w:r>
      <w:r>
        <w:rPr>
          <w:rFonts w:hint="eastAsia"/>
        </w:rPr>
        <w:t>，</w:t>
      </w:r>
      <w:r>
        <w:t>建议及时更新应急预案体系依据文件</w:t>
      </w:r>
      <w:r>
        <w:rPr>
          <w:rFonts w:hint="eastAsia"/>
        </w:rPr>
        <w:t>，</w:t>
      </w:r>
      <w:r>
        <w:t>确保应急预案修订有效性与科学性</w:t>
      </w:r>
      <w:r>
        <w:rPr>
          <w:rFonts w:hint="eastAsia"/>
        </w:rPr>
        <w:t>。</w:t>
      </w:r>
      <w:r>
        <w:t>根据《中华人民共和国安全生产法》（2021修订版）及《广东省管理厅2021应急预案体系建设任务分工》</w:t>
      </w:r>
      <w:r>
        <w:rPr>
          <w:rFonts w:hint="eastAsia"/>
        </w:rPr>
        <w:t>等有关文件</w:t>
      </w:r>
      <w:r>
        <w:t>，将涉及安全生产事故的应急预案依照科室职能分工，由相应职能的科室及时进行更新修订。</w:t>
      </w:r>
    </w:p>
    <w:p>
      <w:pPr>
        <w:ind w:firstLine="640"/>
      </w:pPr>
    </w:p>
    <w:p>
      <w:pPr>
        <w:ind w:left="1760" w:leftChars="200" w:hanging="1120" w:hangingChars="350"/>
      </w:pPr>
      <w:r>
        <w:rPr>
          <w:rFonts w:hint="eastAsia"/>
        </w:rPr>
        <w:t>附件：</w:t>
      </w:r>
      <w:r>
        <w:rPr>
          <w:rFonts w:hint="eastAsia"/>
          <w:lang w:val="en-US" w:eastAsia="zh-CN"/>
        </w:rPr>
        <w:t>1</w:t>
      </w:r>
      <w:r>
        <w:rPr>
          <w:rFonts w:hint="eastAsia"/>
        </w:rPr>
        <w:t>.</w:t>
      </w:r>
      <w:r>
        <w:rPr>
          <w:rFonts w:hint="eastAsia" w:ascii="仿宋_GB2312" w:hAnsi="仿宋_GB2312" w:eastAsia="仿宋_GB2312"/>
          <w:b w:val="0"/>
          <w:lang w:eastAsia="zh-CN"/>
        </w:rPr>
        <w:t>韶关</w:t>
      </w:r>
      <w:r>
        <w:rPr>
          <w:rFonts w:hint="eastAsia" w:ascii="仿宋_GB2312" w:hAnsi="仿宋_GB2312" w:eastAsia="仿宋_GB2312"/>
          <w:b w:val="0"/>
        </w:rPr>
        <w:t>市应急</w:t>
      </w:r>
      <w:r>
        <w:rPr>
          <w:rFonts w:hint="eastAsia" w:ascii="仿宋_GB2312" w:hAnsi="仿宋_GB2312" w:eastAsia="仿宋_GB2312"/>
          <w:b w:val="0"/>
          <w:lang w:eastAsia="zh-CN"/>
        </w:rPr>
        <w:t>管理</w:t>
      </w:r>
      <w:r>
        <w:rPr>
          <w:rFonts w:hint="eastAsia" w:ascii="仿宋_GB2312" w:hAnsi="仿宋_GB2312" w:eastAsia="仿宋_GB2312"/>
          <w:b w:val="0"/>
        </w:rPr>
        <w:t>局2021年部门整体支出绩效评价评分表</w:t>
      </w:r>
    </w:p>
    <w:p>
      <w:pPr>
        <w:ind w:left="1760" w:leftChars="200" w:hanging="1120" w:hangingChars="350"/>
        <w:jc w:val="both"/>
        <w:rPr>
          <w:rFonts w:hint="eastAsia"/>
        </w:rPr>
      </w:pPr>
      <w:r>
        <w:rPr>
          <w:rFonts w:hint="eastAsia"/>
          <w:lang w:val="en-US" w:eastAsia="zh-CN"/>
        </w:rPr>
        <w:t xml:space="preserve">     2.</w:t>
      </w:r>
      <w:r>
        <w:rPr>
          <w:rFonts w:hint="eastAsia" w:ascii="仿宋_GB2312" w:eastAsia="仿宋_GB2312"/>
          <w:sz w:val="32"/>
          <w:szCs w:val="24"/>
        </w:rPr>
        <w:t>韶关市应急管理局2021年部门整体支出绩效评价项目组成员名单</w:t>
      </w:r>
    </w:p>
    <w:p>
      <w:pPr>
        <w:ind w:firstLine="640"/>
      </w:pPr>
    </w:p>
    <w:p>
      <w:pPr>
        <w:pStyle w:val="2"/>
        <w:ind w:firstLine="0" w:firstLineChars="0"/>
        <w:sectPr>
          <w:footerReference r:id="rId13" w:type="default"/>
          <w:footerReference r:id="rId14" w:type="even"/>
          <w:pgSz w:w="11906" w:h="16838"/>
          <w:pgMar w:top="1440" w:right="1366" w:bottom="1440" w:left="1366" w:header="851" w:footer="454" w:gutter="0"/>
          <w:pgNumType w:fmt="numberInDash" w:start="1"/>
          <w:cols w:space="0" w:num="1"/>
          <w:rtlGutter w:val="0"/>
          <w:docGrid w:type="linesAndChars" w:linePitch="435" w:charSpace="0"/>
        </w:sectPr>
      </w:pPr>
      <w:bookmarkStart w:id="72" w:name="_Toc120887988"/>
      <w:bookmarkStart w:id="73" w:name="_Toc28510"/>
    </w:p>
    <w:p>
      <w:pPr>
        <w:pStyle w:val="2"/>
        <w:ind w:firstLine="0" w:firstLineChars="0"/>
        <w:rPr>
          <w:rFonts w:hint="eastAsia" w:eastAsia="黑体"/>
          <w:lang w:val="en-US" w:eastAsia="zh-CN"/>
        </w:rPr>
      </w:pPr>
      <w:bookmarkStart w:id="74" w:name="_Toc23752"/>
      <w:r>
        <w:t>附件</w:t>
      </w:r>
      <w:bookmarkEnd w:id="72"/>
      <w:r>
        <w:rPr>
          <w:rFonts w:hint="eastAsia"/>
          <w:lang w:val="en-US" w:eastAsia="zh-CN"/>
        </w:rPr>
        <w:t>1</w:t>
      </w:r>
      <w:bookmarkEnd w:id="73"/>
      <w:bookmarkEnd w:id="74"/>
    </w:p>
    <w:p>
      <w:pPr>
        <w:ind w:firstLine="0" w:firstLineChars="0"/>
        <w:jc w:val="center"/>
        <w:rPr>
          <w:rFonts w:asciiTheme="minorEastAsia" w:hAnsiTheme="minorEastAsia" w:eastAsiaTheme="minorEastAsia"/>
          <w:b/>
        </w:rPr>
      </w:pPr>
      <w:r>
        <w:rPr>
          <w:rFonts w:hint="eastAsia" w:asciiTheme="minorEastAsia" w:hAnsiTheme="minorEastAsia" w:eastAsiaTheme="minorEastAsia"/>
          <w:b/>
          <w:lang w:eastAsia="zh-CN"/>
        </w:rPr>
        <w:t>韶关</w:t>
      </w:r>
      <w:r>
        <w:rPr>
          <w:rFonts w:hint="eastAsia" w:asciiTheme="minorEastAsia" w:hAnsiTheme="minorEastAsia" w:eastAsiaTheme="minorEastAsia"/>
          <w:b/>
        </w:rPr>
        <w:t>市应急</w:t>
      </w:r>
      <w:r>
        <w:rPr>
          <w:rFonts w:hint="eastAsia" w:asciiTheme="minorEastAsia" w:hAnsiTheme="minorEastAsia" w:eastAsiaTheme="minorEastAsia"/>
          <w:b/>
          <w:lang w:eastAsia="zh-CN"/>
        </w:rPr>
        <w:t>管理</w:t>
      </w:r>
      <w:r>
        <w:rPr>
          <w:rFonts w:hint="eastAsia" w:asciiTheme="minorEastAsia" w:hAnsiTheme="minorEastAsia" w:eastAsiaTheme="minorEastAsia"/>
          <w:b/>
        </w:rPr>
        <w:t>局</w:t>
      </w:r>
      <w:r>
        <w:rPr>
          <w:rFonts w:asciiTheme="minorEastAsia" w:hAnsiTheme="minorEastAsia" w:eastAsiaTheme="minorEastAsia"/>
          <w:b/>
        </w:rPr>
        <w:t>2021年部门整体支出绩效评价评分表</w:t>
      </w:r>
    </w:p>
    <w:tbl>
      <w:tblPr>
        <w:tblStyle w:val="19"/>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67"/>
        <w:gridCol w:w="708"/>
        <w:gridCol w:w="567"/>
        <w:gridCol w:w="709"/>
        <w:gridCol w:w="596"/>
        <w:gridCol w:w="1105"/>
        <w:gridCol w:w="567"/>
        <w:gridCol w:w="4194"/>
        <w:gridCol w:w="67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trPr>
        <w:tc>
          <w:tcPr>
            <w:tcW w:w="5466" w:type="dxa"/>
            <w:gridSpan w:val="8"/>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评价指标</w:t>
            </w:r>
          </w:p>
        </w:tc>
        <w:tc>
          <w:tcPr>
            <w:tcW w:w="4194"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评分标准</w:t>
            </w:r>
          </w:p>
        </w:tc>
        <w:tc>
          <w:tcPr>
            <w:tcW w:w="675"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得分</w:t>
            </w:r>
          </w:p>
        </w:tc>
        <w:tc>
          <w:tcPr>
            <w:tcW w:w="3945"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评分理由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trPr>
        <w:tc>
          <w:tcPr>
            <w:tcW w:w="1214" w:type="dxa"/>
            <w:gridSpan w:val="2"/>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一级指标</w:t>
            </w:r>
          </w:p>
        </w:tc>
        <w:tc>
          <w:tcPr>
            <w:tcW w:w="1275" w:type="dxa"/>
            <w:gridSpan w:val="2"/>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二级指标</w:t>
            </w:r>
          </w:p>
        </w:tc>
        <w:tc>
          <w:tcPr>
            <w:tcW w:w="1305" w:type="dxa"/>
            <w:gridSpan w:val="2"/>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三级指标</w:t>
            </w:r>
          </w:p>
        </w:tc>
        <w:tc>
          <w:tcPr>
            <w:tcW w:w="1672" w:type="dxa"/>
            <w:gridSpan w:val="2"/>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四级指标</w:t>
            </w:r>
          </w:p>
        </w:tc>
        <w:tc>
          <w:tcPr>
            <w:tcW w:w="4194"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675"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3945"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trPr>
        <w:tc>
          <w:tcPr>
            <w:tcW w:w="64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名称</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权重</w:t>
            </w:r>
          </w:p>
        </w:tc>
        <w:tc>
          <w:tcPr>
            <w:tcW w:w="708"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名称</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权重</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名称</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权重</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名称</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权重</w:t>
            </w:r>
          </w:p>
        </w:tc>
        <w:tc>
          <w:tcPr>
            <w:tcW w:w="4194"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675"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3945"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restart"/>
            <w:shd w:val="clear" w:color="auto" w:fill="auto"/>
            <w:vAlign w:val="center"/>
          </w:tcPr>
          <w:p>
            <w:pPr>
              <w:widowControl/>
              <w:adjustRightInd w:val="0"/>
              <w:snapToGrid w:val="0"/>
              <w:spacing w:line="240" w:lineRule="auto"/>
              <w:ind w:firstLine="0" w:firstLineChars="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编制</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情况</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15</w:t>
            </w: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预算编制</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预算编制规范性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预算编制规范性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1.部门预算编制、分配符合本部门职责、符合市委市政府方针政策和工作要求的，得0.5分；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2.部门预算资金能根据年度工作重点，在不同项目、不同用途之间分配合理的，得0.5分；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3.专项资金编制细化程度合理，未出现因年中调剂导致部门预决算差异过大的问题，得0.5分；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4.符合市财政当年度有关预算编制的原则和要求，功能分类和经济分类编制正确的，得0.5分；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5.预算编制较为准确，年度中间无大量调剂，项目之间未频繁调剂的，得0.5分；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6.部门预算分配不固化，能根据实际情况合理调整（如不存在项目支出完成不理想但连年持续安排预算的情况等），得0.5分。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1.5</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市应急局预算编制符合当年度预算编制的原则和要求，预算内容贴合本部门职责。但资金在不同项目与用途之间分配合理性不足，2021年市应急局共有19个项目涉及预算调整，其中“防汛抢险轻舟队抢险救援装备及森林防灭火装备经费”、“应急管理装备经费”等项目多次进行调剂；而“省级特大三防应急救灾资金广东省防汛抢险民兵轻舟机动三大队补助经费项目”等</w:t>
            </w:r>
            <w:r>
              <w:rPr>
                <w:rFonts w:hint="eastAsia" w:asciiTheme="minorEastAsia" w:hAnsiTheme="minorEastAsia" w:eastAsiaTheme="minorEastAsia" w:cstheme="minorEastAsia"/>
                <w:kern w:val="0"/>
                <w:sz w:val="18"/>
                <w:szCs w:val="18"/>
                <w:lang w:val="en-US" w:eastAsia="zh-CN"/>
              </w:rPr>
              <w:t>4个</w:t>
            </w:r>
            <w:r>
              <w:rPr>
                <w:rFonts w:hint="eastAsia" w:asciiTheme="minorEastAsia" w:hAnsiTheme="minorEastAsia" w:eastAsiaTheme="minorEastAsia" w:cstheme="minorEastAsia"/>
                <w:kern w:val="0"/>
                <w:sz w:val="18"/>
                <w:szCs w:val="18"/>
              </w:rPr>
              <w:t>项目资金支出率较低，综合考虑“省级特大三防应急救灾资金广东省防汛抢险民兵轻舟机动三大队补助经费项目”资金拨付时间较晚、粤北（韶关）区域应急救援中心项目目前未经省人民政府批复立项等原因，酌情扣1</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预算调整率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预算调整率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预算调整率=（预算调整数/预算数）×100%。</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预算调整率=0，本项指标得满分；每增加5%（含）扣减0.5分，直至扣完为止。</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以上统计范围不包含增资、增人、上级转移支付资金等预算编制支出因素。</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市应急局2021年年初预算3148.50万元，预算调整数4817.48万元，去除增资、增人、上级转移支付资金等预算编制支出因素产生的预算调整金额，纳入预算调整率指标考核的预算调整数为333.67万元，因此预算调整率为10.60%，本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目标设置</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绩效目标覆盖率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绩效目标覆盖率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1.比率=100%的，得2分；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2.100%＞比率≥80%的，得1.5分；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3.80%＞比率≥60%的，得1分；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4.比率＜60%的，得0分。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2021年市应急局本级项目数量16个，下属单位项目6个，均设置了绩效目标，绩效目标覆盖率100%。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绩效目标合理性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绩效目标合理性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1.绩效目标能体现部门（单位）“三定”方案规定的部门职能的和中长期规划和年度工作计划的，得1分；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2.绩效目标能分解成具体工作任务的，得1分；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3.绩效目标与本年度部门预算资金相匹配的，得1分；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4.部门申报的项目有进行可行性研究和充分论证的，得1分；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对上述4项标准，没有完全符合的，可酌情扣分。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设置绩效目标基本能体现部门“三定”方案规定的部门职能，体现了2021年部分重点工作计划，细化到了具体工作任务或项目，对部门履职产生的效益有所体现，但对防汛抗旱应急救援工作以及危险化学品、非煤矿山方面隐患排查等工作的效益未能设置目标予以反映。新增项目有进行可行性论证，但“办公大楼电力改造及地下车库消防系统修缮经费”项目可行性论证不够充分，工程预算设计不合理，设计与现场施工场地不相符，工程量受此影响相应减少，且施工日期受应急管理局履职特殊情况影响，无法在工作日开展工程建设，导致项目无法如期完工，反映项目可行性论证不够充分。本指标酌情扣</w:t>
            </w: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绩效指标明确性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绩效指标明确性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1.绩效指标中包含能够明确体现部门（单位）履职效果的社会经济效益指标的，得1分；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2.绩效指标具有清晰、可衡量的指标值的，无法量化的指标评分标准较为明确的，得1分；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3.绩效目标的目标值测算能提供相关依据或符合客观实际情况的，得1分，指标完成率高于150%的，扣1分；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对上述3项标准，没有完全符合的，可酌情扣分。</w:t>
            </w:r>
          </w:p>
        </w:tc>
        <w:tc>
          <w:tcPr>
            <w:tcW w:w="675" w:type="dxa"/>
            <w:shd w:val="clear" w:color="auto" w:fill="auto"/>
            <w:vAlign w:val="center"/>
          </w:tcPr>
          <w:p>
            <w:pPr>
              <w:widowControl/>
              <w:adjustRightInd w:val="0"/>
              <w:snapToGrid w:val="0"/>
              <w:spacing w:line="240" w:lineRule="auto"/>
              <w:ind w:firstLine="0" w:firstLineChars="0"/>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1.5</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市应急局部门整体绩效指标及指标值基本设置清晰、可衡量，但部门履职效益方面没有具体的指标体现，如防汛防冻、应急演练、隐患排查、提升应急救援能力等方面，未设置有关的指标。因此，扣1</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执行</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情况</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35</w:t>
            </w: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资金</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管理</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17</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部门预算支出率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部门预算支出率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本指标得分=本指标满分分值×全年平均支出进度。2021年度机关绩效考核中支出进度为准。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2.78</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市应急局2021年年初部门预算3148.50万元，调整预算数4817.48万元，实际支出4471.44万元，预算执行率92.82%，因此，扣0.22分。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结转结余率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结转结余率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结余结转率=1-全年支出进度。</w:t>
            </w:r>
            <w:r>
              <w:rPr>
                <w:rFonts w:hint="eastAsia" w:asciiTheme="minorEastAsia" w:hAnsiTheme="minorEastAsia" w:eastAsiaTheme="minorEastAsia" w:cstheme="minorEastAsia"/>
                <w:kern w:val="0"/>
                <w:sz w:val="18"/>
                <w:szCs w:val="18"/>
              </w:rPr>
              <w:br w:type="page"/>
            </w:r>
            <w:r>
              <w:rPr>
                <w:rFonts w:hint="eastAsia" w:asciiTheme="minorEastAsia" w:hAnsiTheme="minorEastAsia" w:eastAsiaTheme="minorEastAsia" w:cstheme="minorEastAsia"/>
                <w:kern w:val="0"/>
                <w:sz w:val="18"/>
                <w:szCs w:val="18"/>
              </w:rPr>
              <w:t>1.结余结转率≤10%的，得3分；</w:t>
            </w:r>
            <w:r>
              <w:rPr>
                <w:rFonts w:hint="eastAsia" w:asciiTheme="minorEastAsia" w:hAnsiTheme="minorEastAsia" w:eastAsiaTheme="minorEastAsia" w:cstheme="minorEastAsia"/>
                <w:kern w:val="0"/>
                <w:sz w:val="18"/>
                <w:szCs w:val="18"/>
              </w:rPr>
              <w:br w:type="page"/>
            </w:r>
            <w:r>
              <w:rPr>
                <w:rFonts w:hint="eastAsia" w:asciiTheme="minorEastAsia" w:hAnsiTheme="minorEastAsia" w:eastAsiaTheme="minorEastAsia" w:cstheme="minorEastAsia"/>
                <w:kern w:val="0"/>
                <w:sz w:val="18"/>
                <w:szCs w:val="18"/>
              </w:rPr>
              <w:t>2.10%＜结余结转率≤20%的，得2分；</w:t>
            </w:r>
            <w:r>
              <w:rPr>
                <w:rFonts w:hint="eastAsia" w:asciiTheme="minorEastAsia" w:hAnsiTheme="minorEastAsia" w:eastAsiaTheme="minorEastAsia" w:cstheme="minorEastAsia"/>
                <w:kern w:val="0"/>
                <w:sz w:val="18"/>
                <w:szCs w:val="18"/>
              </w:rPr>
              <w:br w:type="page"/>
            </w:r>
            <w:r>
              <w:rPr>
                <w:rFonts w:hint="eastAsia" w:asciiTheme="minorEastAsia" w:hAnsiTheme="minorEastAsia" w:eastAsiaTheme="minorEastAsia" w:cstheme="minorEastAsia"/>
                <w:kern w:val="0"/>
                <w:sz w:val="18"/>
                <w:szCs w:val="18"/>
              </w:rPr>
              <w:t>3.20%＜结余结转率≤30%的，得1分；</w:t>
            </w:r>
            <w:r>
              <w:rPr>
                <w:rFonts w:hint="eastAsia" w:asciiTheme="minorEastAsia" w:hAnsiTheme="minorEastAsia" w:eastAsiaTheme="minorEastAsia" w:cstheme="minorEastAsia"/>
                <w:kern w:val="0"/>
                <w:sz w:val="18"/>
                <w:szCs w:val="18"/>
              </w:rPr>
              <w:br w:type="page"/>
            </w:r>
            <w:r>
              <w:rPr>
                <w:rFonts w:hint="eastAsia" w:asciiTheme="minorEastAsia" w:hAnsiTheme="minorEastAsia" w:eastAsiaTheme="minorEastAsia" w:cstheme="minorEastAsia"/>
                <w:kern w:val="0"/>
                <w:sz w:val="18"/>
                <w:szCs w:val="18"/>
              </w:rPr>
              <w:t>4.结余结转率＞30%的，得0分。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市应急局2021年年初部门预算3148.50万元，调整预算数4817.48万元，年初结转结余数93.03万元，支出4471.44万元，年末结转结余资金439.07万元，结转结余率为8.94%。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政府采购合规性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政府采购合规性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1.政府采购执行率小于等于100%的，得2分；实际采购金额大于采购计划金额的，本项不得分。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（1）政府采购执行率=（实际采购金额合计数/采购计划金额合计数）×100%；</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（2）政府采购预算是指采购机关根据事业发展计划和行政任务编制的、并经过规定程序批准的年度政府采购计划。</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2021年政府采购计划金额242.95万元，实际执行政府采购金额904.52万元，超出年初政府采购预算，扣2分。政府采购基本按照规定通过公开招标、电子卖场等方式进行采购，结合现场核查情况，2021年“安全生产宣传（数字化）及责任制考核经费”、“安全生产和自然灾害应急演练经费”等项目，询价报价单位数量、询价组成员数量等不符合规定，采购管理规范性不足，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财务合规性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财务合规性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1.预算执行规范性1分，按规定履行调整报批手续或未发生调整的，且按事项完成进度支付资金的得满分，否则酌情扣分；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3.会计核算规范性1分，规范执行会计核算制度得满分，未按规定设专账核算，或支出凭证不符合规定，或其他核算不规范的，视具体情况扣分；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4.重大项目支出经过评估论证和必要决策程序的得1分，否则酌情扣分；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5.连续两年对因业务主管部门责任引发的同一问题提出意见，或主管部门未落实相关审计和财会监督整改意见的，扣1分。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资金支出较为规范，基本能按规定履行预算调整手续；制定有财务管理、专项资金管理等制度，资金支出基本按照规定执行，但现场核查发现“办公大楼电力改造及地下车库消防系统修缮经费”项目，未按事项完成进度支付资金，预算申报阶段考虑不全面未申请设计费等前期费用，导致2021年实际仅支付部分工程款与监理费用，项目施工合同签订日期为2021年10月12日，但截至现场核查尚未完工及办理验收，合同款未按进度支付。因此，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预决算信息公开</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预决算信息公开</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1.部门预算公开得分：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（1）按规定内容、在规定时限和范围内公开的，得1分。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（2）进行了公开，但未达到时限、内容或范围要求的，得0.5分。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（3）没有进行公开的，得0分。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（4）涉密部门经批准不需要公开相关信息的，计1分。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部门决算公开得分：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（1）按规定内容、在规定时限和范围内公开的，得1分。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（2）进行了公开，但未达到时限、内容或范围要求的，得0.5分。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（3）没有进行公开的，得0分。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（4）涉密部门经批准不需要公开相关信息的，计1分。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本指标得分=部门预算公开得分+部门决算公开得分。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市应急局2021年2月22日于门户网站公开了《2021年韶关市应急管理局部门预算》；2021年8月30日公开了《2020年韶关市应急管理局部门决算》，公开内容、时间均符合有关规定。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管理</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项目实施程序</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项目实施程序</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1.重点或新增项目前期开展了可行性研究或调研，论证较为充分的，项目的设立及调整按规定履行报批程续，得2分；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2.项目招投标、建设、验收等或方案实施严格执行相关制度规定的，得2分；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项目实施落实相关制度履行报批程序，重点或新增项目前期开展了可行性研究或调研，但部分项目前期论证不够充分，机关大楼电力改造及地下车库消防系统修缮工程预算设计不合理，设计与现场施工场地不相符，工程量受此影响相应减少，且施工日期受市应急局履职特殊情况影响，无法在工作日开展工程建设，导致项目无法如期完工。项目招投标、建设、验收等实施规范性需进一步提升，部分子项询价工作开展不够规范，询价报价单位数量、询价组成员数量等不符合规定；档案整理服务项目在未完成约定服务的情况下，提前完成项目验收，验收管理工作规范性不足。因此，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项目监管</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项目监管</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1.部门（单位）或基层资金管理单位建立有效管理机制，且执行情况良好的,得2分；</w:t>
            </w:r>
            <w:r>
              <w:rPr>
                <w:rFonts w:hint="eastAsia" w:asciiTheme="minorEastAsia" w:hAnsiTheme="minorEastAsia" w:eastAsiaTheme="minorEastAsia" w:cstheme="minorEastAsia"/>
                <w:kern w:val="0"/>
                <w:sz w:val="18"/>
                <w:szCs w:val="18"/>
              </w:rPr>
              <w:br w:type="page"/>
            </w:r>
            <w:r>
              <w:rPr>
                <w:rFonts w:hint="eastAsia" w:asciiTheme="minorEastAsia" w:hAnsiTheme="minorEastAsia" w:eastAsiaTheme="minorEastAsia" w:cstheme="minorEastAsia"/>
                <w:kern w:val="0"/>
                <w:sz w:val="18"/>
                <w:szCs w:val="18"/>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Theme="minorEastAsia" w:hAnsiTheme="minorEastAsia" w:eastAsiaTheme="minorEastAsia" w:cstheme="minorEastAsia"/>
                <w:kern w:val="0"/>
                <w:sz w:val="18"/>
                <w:szCs w:val="18"/>
              </w:rPr>
              <w:br w:type="page"/>
            </w:r>
            <w:r>
              <w:rPr>
                <w:rFonts w:hint="eastAsia" w:asciiTheme="minorEastAsia" w:hAnsiTheme="minorEastAsia" w:eastAsiaTheme="minorEastAsia" w:cstheme="minorEastAsia"/>
                <w:kern w:val="0"/>
                <w:sz w:val="18"/>
                <w:szCs w:val="18"/>
              </w:rPr>
              <w:t>评价时发现有项目不符合上述条件的，酌情扣分。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基本能落实《韶关市应急管理局专项资金管理制度》与应急管理业务相关法律法规的规定对项目进行监管，在安全生产等专项检查过程中，发现问题能要求相关单位落实整改；但对于下拨到各县区的转移支付资金未开展资金检查、监控工作。因此，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资产</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管理</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资产管理安全性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资产管理安全性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1.资产保存完整，并定期对固定资产进行清查，未有因管理不当发生严重资产损失和丢失情况的，得1分；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2.资产配置合理、保管完整，账实相符的，得1分；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3.及时处置报废固定资产，资产处置规范，不存在不按要求进行报批或资产不公开处置行为的，得1分；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4.资产有偿使用及处置收入及时足额上缴，得1分。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根据《2021年度行政事业性国有资产报表》，市应急局2021年固定资产期末数为6281.54万元；部门决算报表中2021年固定资产期末数为6320.48万元，两个报表的数据不一致。现场核查固定资产配置基本合理、保存完整，但通过对市应急局固定资产的盘点发现，大部分固定资产未按要求粘贴固定资产卡片；已废旧电脑未及时履行报废手续；多功能船外机移动车和森林防灭火装备固定资产列表登记数量与实有情况不一致，列表记录为1项，实际为一批次，固定资产具体数量不明确。因机构改革，韶关市安全生产监督管理局已调整合并为市应急局，但部门固定资产管理制度未及时更新调整。因此，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固定资产利用率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固定资产利用率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1.比率≥90%的，得2分；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2.90%＞比率≥75%的，得1分；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3.75%＞比率≥60%的，得0.5分；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4.比率＜60%的，得0分。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1.5</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根据《2021年度行政事业性国有资产分析报告》（汇总），市应急管理局分析固定资产利用率为97.941%，闲置固定资产原值129.325万元；结合现场抽查盘点情况，市应急局固定资产利用率较高，但抽查过程中发现一批电脑已达报废年限不再使用，未按规定及时履行报废手续，待报废固定资产总额不明确。因此，酌情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制度管理</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管理制度健全性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管理制度健全性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1.部门制订了财政资金管理、内部财务、内部控制、预算绩效管理制度等制度的，得1分；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2.部门对于重点项目、经常性项目制定了相关管理办法、实施方案等制度的，得1分；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3.上述资金、财务和内控制度、预算绩效管理制度得到有效执行的，得1分；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4.所制定的制度或方案得到切实执行的（需有相应佐证材料，如日常检查、稽核的底稿等），得1分。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有制定财务管理、专项资金管理、固定资产管理等制度，但未制定部门内部控制、预算绩效管理等制度；未针对三防工作经费、应急救援与宣传培训专项工作经费等经常性项目经费制定具体规定或使用范围指引；固定资产管理制度未及时更新调整。业务管理基本参照《中华人民共和国安全生产法》等国家法律法规执行，按要求开展联合执法检查、安全生产专项检查等。因此，扣</w:t>
            </w: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使用</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效益</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50</w:t>
            </w: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性</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公用经费控制率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公用经费控制率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日常公用经费决算数≤日常公用经费调整预算数，得2分，否则不得分。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市应急局日常公用经费年初预算数201.59万元、调整预算数189.29万元、决算数189.29万元，日常公用经费决算数=日常公用经费调整预算数。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“三公”经费控制率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“三公”经费控制率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“三公”经费实际支出数≤预算安排的三公经费数,得2分，否则不得分。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2021年市应急局“三公”经费预算数53.94万元、实际支出决算数52.38万元，“三公”经费实际支出数≤预算安排的三公经费数。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完成成本合理性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完成成本合理性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1.相关工作预算编制依据较为明确的，如经过了三方询价或依据相关行业标准进行编制的，得3分；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2.相关工作成本与市场价格、行业标准、其他地市的同类项目相比较为合理的得3分。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项目实施能落实相关制度履行报批程序，新增项目前期开展了可行性研究或调研。结合现场核查情况，部分项目成本合理性有待提升，一是询价工作科学性不足，2021年安全生产宣传（数字化）及责任制考核经费、安全生产和自然灾害应急演练经费询价文件中仅见1家机构报价；二是前期论证不够充分，机关大楼电力改造及地下车库消防系统修缮工程预算设计不合理，设计与现场施工场地不相符，工程量受此影响相应减少。因此，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效率</w:t>
            </w:r>
            <w:r>
              <w:rPr>
                <w:rFonts w:hint="eastAsia" w:asciiTheme="minorEastAsia" w:hAnsiTheme="minorEastAsia" w:eastAsiaTheme="minorEastAsia" w:cstheme="minorEastAsia"/>
                <w:kern w:val="0"/>
                <w:sz w:val="18"/>
                <w:szCs w:val="18"/>
              </w:rPr>
              <w:br w:type="page"/>
            </w:r>
            <w:r>
              <w:rPr>
                <w:rFonts w:hint="eastAsia" w:asciiTheme="minorEastAsia" w:hAnsiTheme="minorEastAsia" w:eastAsiaTheme="minorEastAsia" w:cstheme="minorEastAsia"/>
                <w:kern w:val="0"/>
                <w:sz w:val="18"/>
                <w:szCs w:val="18"/>
              </w:rPr>
              <w:t>性</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重点工作完成率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重点工作完成率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本项得分由单位自行评估实际得分，按照完成实际效果自评打分。</w:t>
            </w:r>
            <w:r>
              <w:rPr>
                <w:rFonts w:hint="eastAsia" w:asciiTheme="minorEastAsia" w:hAnsiTheme="minorEastAsia" w:eastAsiaTheme="minorEastAsia" w:cstheme="minorEastAsia"/>
                <w:kern w:val="0"/>
                <w:sz w:val="18"/>
                <w:szCs w:val="18"/>
              </w:rPr>
              <w:br w:type="page"/>
            </w:r>
            <w:r>
              <w:rPr>
                <w:rFonts w:hint="eastAsia" w:asciiTheme="minorEastAsia" w:hAnsiTheme="minorEastAsia" w:eastAsiaTheme="minorEastAsia" w:cstheme="minorEastAsia"/>
                <w:kern w:val="0"/>
                <w:sz w:val="18"/>
                <w:szCs w:val="18"/>
              </w:rPr>
              <w:t>重点工作是指党委、政府、人大、中央相关部门交办或下达的工作任务。</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市应急局重视安全生产工作、开展安全生产专项整治三年行动2项重点工作基本按计划完成。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绩效目标完成率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绩效目标完成率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绩效目标完成率=部门整体支出绩效目标申报表中已实现目标数/申报目标数×100%；</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本指标得分=绩效目标完成率×3；</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2021年市应急局设置的应急管理宣传场次等7个绩效指标均已完成预期目标，绩效目标完成率100%。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项目完成及时性</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项目完成及时性</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所有项目均按计划时间完成的，得4分；部分项目未按计划时间完成的，本项得分=已完成项目数/项目数×4。</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项目完成时间将参考年初部门预算项目的支出率进行评价。</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市应急局涉及项目36个（含省级拨付资金项目），其中12个项目资金支出率达100%，6个项目预算执行率低于80%，其余18个项目基本按计划完成了项目建设内容，结余小部分资金未支出，项目完成及时性83.33%，扣0.67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效果性</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w:t>
            </w:r>
          </w:p>
        </w:tc>
        <w:tc>
          <w:tcPr>
            <w:tcW w:w="709"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社会经济环境效益</w:t>
            </w:r>
          </w:p>
        </w:tc>
        <w:tc>
          <w:tcPr>
            <w:tcW w:w="596"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风险隐患排查整改率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反映2021年风险隐患排查与整改工作效益，预期目标为100%，风险隐患排查整改率=实际完成整改风险隐患数量÷总风险隐患数量×100%，实现预期目标得满分，否则得分=实际风险隐患排查整改率/预期目标值×分值。</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3.65</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2021年排查风险隐患数共56959项，已整改51941项，整改率为91.19%。因此，扣0.35分。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96"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森林火灾受害率(‰)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反映2021年森林火灾防火工作实际成效，预期目标为≤0.5‰，森林火灾受害率=受害森林面积÷森林总面积×1000%，实现预期目标得满分，否则不得分。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2021年韶关市森林火灾受害林地面积为42.3公顷，韶关市共有林地面积为1447268.7195公倾，森林火灾受害率为0.029‰。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96"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降低危险化学品、非煤矿山领域安全生产事故发生率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反映2021年危险化学品、非煤矿山领域安全生产监管工作成效，通过对比2021年与2020年危险化学品、非煤矿山领域安全事故发生情况，2021年危险化学品、非煤矿山领域安全事故发生数比2020年危险化学品、非煤矿山领域安全事故发生数少得满分，否则发生率每高1%扣1分，扣完为止。</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2021年没有发生危险化学品、非煤矿山类安全事故。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96"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危险化学品、非煤矿山领域较大安全生产责任事故发生次数</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反映2021年危险化学品、非煤矿山领域安全生产监管工作成效，预期目标为0，2021年未发生危险化学品、非煤矿山领域较大安全生产责任事故得满分，否则不得分。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2021年没有发生危险化学品、非煤矿山类安全事故。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96"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提升防灾减灾救灾能力</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反映部门履职对防灾减灾能力提升方面产生的效益，综合考虑汛前防汛安全检查工作、地质灾害应急管理检查工作、预警信息推送机制建立与落实等情况进行评分。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与广东省地质局第三地质大队抗震救灾协同联动工作机制，按计划推进地质灾害应急演练，开展了韶关市汛前防汛安全准备工作专项检查；预警信息推送机制建立与落实方面，组织有关成员单位开展三防工作会商研判11次，发布预警通告11份。但武深高速韶关仁化段较大道路交通事故因故迟报将近3小时，酌情扣</w:t>
            </w: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96"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增强群众安全意识，提高群众安全生产意识和应急处置能力</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反映2021年安全宣传工作产生效益，通过安全宣传工作区域内容覆盖面、应急救援演练区域与内容覆盖面、防灾减灾宣传等情况综合评分。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推进韶关市“防灾减灾宣传周”活动，委托韶关市智慧文旅信息服务中心新修改《中华人民共和国安全生产法》宣传，宣传普及防灾减灾、《中华人民共和国安全生产法》相关知识，增强居民防灾减灾危机防范意识和技能；组织开展各类应急救援演练，内容覆盖非煤矿山、危险化学品、金属冶炼、森林防火、地质灾害、防汛抢险等方面，有助于提升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96"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提升应急救援水平</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反映部门履职对提升应急救援水平产生的效益，综合考虑应急救援响应时间、火情扑灭平均用时、三防工作响应时效是否按照规定时间完成，以及安全生产与自然灾害事故发生情况、建立统一专业应急救援队伍、协助企业开展应急预案备案等方面进行评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2021年森林火情扑灭及时，按要求完成三防工作应急值守与响应，全年未发生危险化学品、非煤矿山领域安全生产事故，通过开展应急演练不断加强救援队伍应急救援能力，协助韶关梅子窝矿业有限责任公司等企业制定安全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公平</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性</w:t>
            </w:r>
          </w:p>
        </w:tc>
        <w:tc>
          <w:tcPr>
            <w:tcW w:w="567" w:type="dxa"/>
            <w:vMerge w:val="restart"/>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群众信访办理情况</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群众信访办理情况</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1.设置了便利的群众意见反映渠道和群众意见办理回复机制的，得0.5分；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2.当年度所有群众信访意见均有回复，得0.5分，否则按比例扣分。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3.回复意见均在规定时限内的，得1分，否则按比例扣分。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市应急局设有群众信访渠道，制定有《韶关市应急管理局信访接访工作规范》，2021年14宗投诉举报均已在规定时限内完成调查核实。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公众或服务对象满意度</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公众或服务对象满意度</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市应急局2021年度党风政风情况民主评议结果为满意；服务对象满意度调查整体满意度为91.59%。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p>
        </w:tc>
        <w:tc>
          <w:tcPr>
            <w:tcW w:w="567" w:type="dxa"/>
            <w:vMerge w:val="continue"/>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c>
          <w:tcPr>
            <w:tcW w:w="708"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加减</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分项</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工作表现加减分指标</w:t>
            </w:r>
          </w:p>
        </w:tc>
        <w:tc>
          <w:tcPr>
            <w:tcW w:w="596"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工作表现加减分指标</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p>
        </w:tc>
        <w:tc>
          <w:tcPr>
            <w:tcW w:w="4194"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1.加分项：工作获得中央或省委省政府表彰的，表彰一次加1分，同一项工作获得多次表彰的，按一次计算，累计加分最多3分，加分后总分不能超过100分；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2.减分项：在国务院大督察或人大审计、监察等监督检查时发现问题并被问责的，问责一次扣2分，同一个问题被问责多次的，按一次计算，累计减分最多6分，减分后总分不能低于0分。</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市应急局2021年在抗旱保供水、防寒防冻两项工作中表现出色，先后3次被广东省应急管理厅及广东省防汛防旱防风总指挥部办公室嘉奖和表扬。同一项工作获得多次表彰按一次计算，得分2分。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647"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合计</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100</w:t>
            </w:r>
          </w:p>
        </w:tc>
        <w:tc>
          <w:tcPr>
            <w:tcW w:w="708"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w:t>
            </w:r>
          </w:p>
        </w:tc>
        <w:tc>
          <w:tcPr>
            <w:tcW w:w="567"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100</w:t>
            </w:r>
          </w:p>
        </w:tc>
        <w:tc>
          <w:tcPr>
            <w:tcW w:w="709"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w:t>
            </w:r>
          </w:p>
        </w:tc>
        <w:tc>
          <w:tcPr>
            <w:tcW w:w="596" w:type="dxa"/>
            <w:shd w:val="clear" w:color="auto" w:fill="auto"/>
            <w:vAlign w:val="center"/>
          </w:tcPr>
          <w:p>
            <w:pPr>
              <w:widowControl/>
              <w:adjustRightInd w:val="0"/>
              <w:snapToGrid w:val="0"/>
              <w:spacing w:line="240" w:lineRule="auto"/>
              <w:ind w:firstLine="0" w:firstLineChars="0"/>
              <w:jc w:val="center"/>
              <w:rPr>
                <w:rFonts w:hint="default"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lang w:val="en-US" w:eastAsia="zh-CN"/>
              </w:rPr>
              <w:t>100</w:t>
            </w:r>
          </w:p>
        </w:tc>
        <w:tc>
          <w:tcPr>
            <w:tcW w:w="110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p>
        </w:tc>
        <w:tc>
          <w:tcPr>
            <w:tcW w:w="567" w:type="dxa"/>
            <w:shd w:val="clear" w:color="auto" w:fill="auto"/>
            <w:vAlign w:val="center"/>
          </w:tcPr>
          <w:p>
            <w:pPr>
              <w:widowControl/>
              <w:adjustRightInd w:val="0"/>
              <w:snapToGrid w:val="0"/>
              <w:spacing w:line="240" w:lineRule="auto"/>
              <w:ind w:firstLine="0" w:firstLineChars="0"/>
              <w:jc w:val="center"/>
              <w:rPr>
                <w:rFonts w:hint="default"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lang w:val="en-US" w:eastAsia="zh-CN"/>
              </w:rPr>
              <w:t>100</w:t>
            </w:r>
          </w:p>
        </w:tc>
        <w:tc>
          <w:tcPr>
            <w:tcW w:w="4194"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w:t>
            </w:r>
          </w:p>
        </w:tc>
        <w:tc>
          <w:tcPr>
            <w:tcW w:w="675" w:type="dxa"/>
            <w:shd w:val="clear" w:color="auto" w:fill="auto"/>
            <w:vAlign w:val="center"/>
          </w:tcPr>
          <w:p>
            <w:pPr>
              <w:widowControl/>
              <w:adjustRightInd w:val="0"/>
              <w:snapToGrid w:val="0"/>
              <w:spacing w:line="240" w:lineRule="auto"/>
              <w:ind w:firstLine="0" w:firstLineChars="0"/>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lang w:val="en-US" w:eastAsia="zh-CN"/>
              </w:rPr>
              <w:t>79</w:t>
            </w:r>
            <w:r>
              <w:rPr>
                <w:rFonts w:hint="eastAsia" w:asciiTheme="minorEastAsia" w:hAnsiTheme="minorEastAsia" w:eastAsiaTheme="minorEastAsia" w:cstheme="minorEastAsia"/>
                <w:b/>
                <w:bCs/>
                <w:kern w:val="0"/>
                <w:sz w:val="18"/>
                <w:szCs w:val="18"/>
              </w:rPr>
              <w:t>.</w:t>
            </w:r>
            <w:r>
              <w:rPr>
                <w:rFonts w:hint="eastAsia" w:asciiTheme="minorEastAsia" w:hAnsiTheme="minorEastAsia" w:eastAsiaTheme="minorEastAsia" w:cstheme="minorEastAsia"/>
                <w:b/>
                <w:bCs/>
                <w:kern w:val="0"/>
                <w:sz w:val="18"/>
                <w:szCs w:val="18"/>
                <w:lang w:val="en-US" w:eastAsia="zh-CN"/>
              </w:rPr>
              <w:t>2</w:t>
            </w:r>
            <w:r>
              <w:rPr>
                <w:rFonts w:hint="eastAsia" w:asciiTheme="minorEastAsia" w:hAnsiTheme="minorEastAsia" w:eastAsiaTheme="minorEastAsia" w:cstheme="minorEastAsia"/>
                <w:b/>
                <w:bCs/>
                <w:kern w:val="0"/>
                <w:sz w:val="18"/>
                <w:szCs w:val="18"/>
              </w:rPr>
              <w:t>6</w:t>
            </w:r>
          </w:p>
        </w:tc>
        <w:tc>
          <w:tcPr>
            <w:tcW w:w="3945" w:type="dxa"/>
            <w:shd w:val="clear" w:color="auto" w:fill="auto"/>
            <w:vAlign w:val="center"/>
          </w:tcPr>
          <w:p>
            <w:pPr>
              <w:widowControl/>
              <w:adjustRightInd w:val="0"/>
              <w:snapToGrid w:val="0"/>
              <w:spacing w:line="240" w:lineRule="auto"/>
              <w:ind w:firstLine="0" w:firstLineChars="0"/>
              <w:jc w:val="left"/>
              <w:rPr>
                <w:rFonts w:hint="eastAsia" w:asciiTheme="minorEastAsia" w:hAnsiTheme="minorEastAsia" w:eastAsiaTheme="minorEastAsia" w:cstheme="minorEastAsia"/>
                <w:b/>
                <w:bCs/>
                <w:kern w:val="0"/>
                <w:sz w:val="18"/>
                <w:szCs w:val="18"/>
              </w:rPr>
            </w:pPr>
          </w:p>
        </w:tc>
      </w:tr>
    </w:tbl>
    <w:p>
      <w:pPr>
        <w:ind w:firstLine="0" w:firstLineChars="0"/>
        <w:jc w:val="center"/>
        <w:rPr>
          <w:rFonts w:asciiTheme="minorEastAsia" w:hAnsiTheme="minorEastAsia" w:eastAsiaTheme="minorEastAsia"/>
          <w:b/>
        </w:rPr>
      </w:pPr>
    </w:p>
    <w:p>
      <w:pPr>
        <w:ind w:firstLine="0" w:firstLineChars="0"/>
        <w:jc w:val="both"/>
      </w:pPr>
    </w:p>
    <w:p>
      <w:pPr>
        <w:ind w:firstLine="0" w:firstLineChars="0"/>
        <w:jc w:val="both"/>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ind w:firstLine="0" w:firstLineChars="0"/>
        <w:jc w:val="center"/>
        <w:rPr>
          <w:rFonts w:hint="eastAsia"/>
        </w:rPr>
      </w:pPr>
      <w:r>
        <w:rPr>
          <w:rFonts w:hint="eastAsia" w:ascii="方正小标宋简体" w:eastAsia="方正小标宋简体"/>
          <w:sz w:val="32"/>
          <w:szCs w:val="32"/>
        </w:rPr>
        <w:t>韶关市应急管理局2021年部门整体支出绩效评价项目组成员名单</w:t>
      </w:r>
    </w:p>
    <w:tbl>
      <w:tblPr>
        <w:tblStyle w:val="19"/>
        <w:tblW w:w="12789" w:type="dxa"/>
        <w:jc w:val="center"/>
        <w:tblInd w:w="0" w:type="dxa"/>
        <w:tblLayout w:type="fixed"/>
        <w:tblCellMar>
          <w:top w:w="0" w:type="dxa"/>
          <w:left w:w="108" w:type="dxa"/>
          <w:bottom w:w="0" w:type="dxa"/>
          <w:right w:w="108" w:type="dxa"/>
        </w:tblCellMar>
      </w:tblPr>
      <w:tblGrid>
        <w:gridCol w:w="1134"/>
        <w:gridCol w:w="2610"/>
        <w:gridCol w:w="2550"/>
        <w:gridCol w:w="6495"/>
      </w:tblGrid>
      <w:tr>
        <w:tblPrEx>
          <w:tblLayout w:type="fixed"/>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序号</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评审组分工</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姓名</w:t>
            </w:r>
          </w:p>
        </w:tc>
        <w:tc>
          <w:tcPr>
            <w:tcW w:w="64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职称/工作内容</w:t>
            </w:r>
          </w:p>
        </w:tc>
      </w:tr>
      <w:tr>
        <w:tblPrEx>
          <w:tblLayout w:type="fixed"/>
          <w:tblCellMar>
            <w:top w:w="0" w:type="dxa"/>
            <w:left w:w="108" w:type="dxa"/>
            <w:bottom w:w="0" w:type="dxa"/>
            <w:right w:w="108" w:type="dxa"/>
          </w:tblCellMar>
        </w:tblPrEx>
        <w:trPr>
          <w:trHeight w:val="63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行业专家</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吴泽鹏</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林业高级工程师（教授级）</w:t>
            </w:r>
          </w:p>
        </w:tc>
      </w:tr>
      <w:tr>
        <w:tblPrEx>
          <w:tblLayout w:type="fixed"/>
          <w:tblCellMar>
            <w:top w:w="0" w:type="dxa"/>
            <w:left w:w="108" w:type="dxa"/>
            <w:bottom w:w="0" w:type="dxa"/>
            <w:right w:w="108" w:type="dxa"/>
          </w:tblCellMar>
        </w:tblPrEx>
        <w:trPr>
          <w:trHeight w:val="592"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行业专家</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张青</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行政管理学教授</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财务专家</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何江华</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高级会计师</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绩效专家</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谭建军</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经济学副教授</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项目总负责人</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司徒荣轼</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高级经济师、中级工程师（报告审核）</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报告审核</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简健芬</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高级经济师、资产评估师（报告审核、现场核查）</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项目经理</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刘平</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中级经济师、资产评估师（报告审核）</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项目组成员</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温璐</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现场核查、报告撰写、对接项目单位</w:t>
            </w:r>
            <w:r>
              <w:rPr>
                <w:rFonts w:hint="eastAsia" w:ascii="Times New Roman" w:hAnsi="Times New Roman" w:cs="Times New Roman"/>
                <w:color w:val="000000"/>
                <w:kern w:val="0"/>
                <w:sz w:val="24"/>
                <w:szCs w:val="24"/>
                <w:lang w:eastAsia="zh-CN"/>
              </w:rPr>
              <w:t>、</w:t>
            </w:r>
            <w:r>
              <w:rPr>
                <w:rFonts w:ascii="Times New Roman" w:hAnsi="Times New Roman" w:eastAsia="仿宋_GB2312" w:cs="Times New Roman"/>
                <w:color w:val="000000"/>
                <w:kern w:val="0"/>
                <w:sz w:val="24"/>
                <w:szCs w:val="24"/>
              </w:rPr>
              <w:t>沟通有关情况</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项目组成员</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谭丽琳</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现场核查、报告撰写</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资料梳理分析</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26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项目组成员</w:t>
            </w:r>
          </w:p>
        </w:tc>
        <w:tc>
          <w:tcPr>
            <w:tcW w:w="255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朱巧梅</w:t>
            </w:r>
          </w:p>
        </w:tc>
        <w:tc>
          <w:tcPr>
            <w:tcW w:w="64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资料梳理分析汇总</w:t>
            </w:r>
          </w:p>
        </w:tc>
      </w:tr>
    </w:tbl>
    <w:p>
      <w:pPr>
        <w:ind w:firstLine="0" w:firstLineChars="0"/>
        <w:jc w:val="both"/>
      </w:pPr>
    </w:p>
    <w:sectPr>
      <w:pgSz w:w="16838" w:h="11906" w:orient="landscape"/>
      <w:pgMar w:top="1171" w:right="1021" w:bottom="850" w:left="1134" w:header="851" w:footer="454" w:gutter="0"/>
      <w:pgNumType w:fmt="numberInDash"/>
      <w:cols w:space="0" w:num="1"/>
      <w:rtlGutter w:val="0"/>
      <w:docGrid w:type="linesAndChar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0000600000000000000"/>
    <w:charset w:val="86"/>
    <w:family w:val="script"/>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asciiTheme="minorEastAsia" w:hAnsiTheme="minorEastAsia" w:eastAsia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6941547"/>
                          </w:sdtPr>
                          <w:sdtEndPr>
                            <w:rPr>
                              <w:rFonts w:asciiTheme="minorEastAsia" w:hAnsiTheme="minorEastAsia" w:eastAsiaTheme="minorEastAsia"/>
                              <w:sz w:val="28"/>
                              <w:szCs w:val="28"/>
                            </w:rPr>
                          </w:sdtEndPr>
                          <w:sdtContent>
                            <w:p>
                              <w:pPr>
                                <w:pStyle w:val="10"/>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36941547"/>
                    </w:sdtPr>
                    <w:sdtEndPr>
                      <w:rPr>
                        <w:rFonts w:asciiTheme="minorEastAsia" w:hAnsiTheme="minorEastAsia" w:eastAsiaTheme="minorEastAsia"/>
                        <w:sz w:val="28"/>
                        <w:szCs w:val="28"/>
                      </w:rPr>
                    </w:sdtEndPr>
                    <w:sdtContent>
                      <w:p>
                        <w:pPr>
                          <w:pStyle w:val="10"/>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68576670"/>
                          </w:sdtPr>
                          <w:sdtEndPr>
                            <w:rPr>
                              <w:rFonts w:asciiTheme="minorEastAsia" w:hAnsiTheme="minorEastAsia" w:eastAsiaTheme="minorEastAsia"/>
                              <w:sz w:val="28"/>
                              <w:szCs w:val="28"/>
                            </w:rPr>
                          </w:sdtEndPr>
                          <w:sdtContent>
                            <w:p>
                              <w:pPr>
                                <w:pStyle w:val="10"/>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1068576670"/>
                    </w:sdtPr>
                    <w:sdtEndPr>
                      <w:rPr>
                        <w:rFonts w:asciiTheme="minorEastAsia" w:hAnsiTheme="minorEastAsia" w:eastAsiaTheme="minorEastAsia"/>
                        <w:sz w:val="28"/>
                        <w:szCs w:val="28"/>
                      </w:rPr>
                    </w:sdtEndPr>
                    <w:sdtContent>
                      <w:p>
                        <w:pPr>
                          <w:pStyle w:val="10"/>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p>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rPr>
        <w:rFonts w:asciiTheme="minorEastAsia" w:hAnsiTheme="minorEastAsia" w:eastAsiaTheme="minorEastAsia"/>
        <w:sz w:val="28"/>
        <w:szCs w:val="28"/>
      </w:rPr>
    </w:pPr>
  </w:p>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4159007"/>
                          </w:sdtPr>
                          <w:sdtEndPr>
                            <w:rPr>
                              <w:rFonts w:asciiTheme="minorEastAsia" w:hAnsiTheme="minorEastAsia" w:eastAsiaTheme="minorEastAsia"/>
                              <w:sz w:val="28"/>
                              <w:szCs w:val="28"/>
                            </w:rPr>
                          </w:sdtEndPr>
                          <w:sdtContent>
                            <w:p>
                              <w:pPr>
                                <w:pStyle w:val="10"/>
                                <w:ind w:firstLine="0" w:firstLineChars="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484159007"/>
                    </w:sdtPr>
                    <w:sdtEndPr>
                      <w:rPr>
                        <w:rFonts w:asciiTheme="minorEastAsia" w:hAnsiTheme="minorEastAsia" w:eastAsiaTheme="minorEastAsia"/>
                        <w:sz w:val="28"/>
                        <w:szCs w:val="28"/>
                      </w:rPr>
                    </w:sdtEndPr>
                    <w:sdtContent>
                      <w:p>
                        <w:pPr>
                          <w:pStyle w:val="10"/>
                          <w:ind w:firstLine="0" w:firstLineChars="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5439598"/>
                          </w:sdtPr>
                          <w:sdtEndPr>
                            <w:rPr>
                              <w:rFonts w:asciiTheme="minorEastAsia" w:hAnsiTheme="minorEastAsia" w:eastAsiaTheme="minorEastAsia"/>
                              <w:sz w:val="28"/>
                              <w:szCs w:val="28"/>
                            </w:rPr>
                          </w:sdtEndPr>
                          <w:sdtContent>
                            <w:p>
                              <w:pPr>
                                <w:pStyle w:val="10"/>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475439598"/>
                    </w:sdtPr>
                    <w:sdtEndPr>
                      <w:rPr>
                        <w:rFonts w:asciiTheme="minorEastAsia" w:hAnsiTheme="minorEastAsia" w:eastAsiaTheme="minorEastAsia"/>
                        <w:sz w:val="28"/>
                        <w:szCs w:val="28"/>
                      </w:rPr>
                    </w:sdtEndPr>
                    <w:sdtContent>
                      <w:p>
                        <w:pPr>
                          <w:pStyle w:val="10"/>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ind w:firstLine="360"/>
      </w:pPr>
      <w:r>
        <w:rPr>
          <w:rStyle w:val="18"/>
        </w:rPr>
        <w:footnoteRef/>
      </w:r>
      <w:r>
        <w:rPr>
          <w:rFonts w:hint="eastAsia"/>
        </w:rPr>
        <w:t>此处重点项目根据《部门整体预算绩效目标申报表》填列。</w:t>
      </w:r>
    </w:p>
  </w:footnote>
  <w:footnote w:id="1">
    <w:p>
      <w:pPr>
        <w:pStyle w:val="13"/>
        <w:ind w:firstLine="360"/>
      </w:pPr>
      <w:r>
        <w:rPr>
          <w:rStyle w:val="18"/>
        </w:rPr>
        <w:footnoteRef/>
      </w:r>
      <w:r>
        <w:rPr>
          <w:rFonts w:hint="eastAsia"/>
        </w:rPr>
        <w:t>支出数据来源于《单位指标执行情况表》。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420"/>
  <w:evenAndOddHeaders w:val="1"/>
  <w:drawingGridHorizontalSpacing w:val="16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AD"/>
    <w:rsid w:val="000000CD"/>
    <w:rsid w:val="00000A8E"/>
    <w:rsid w:val="000011A2"/>
    <w:rsid w:val="00001A9F"/>
    <w:rsid w:val="00002AFF"/>
    <w:rsid w:val="00004551"/>
    <w:rsid w:val="00005573"/>
    <w:rsid w:val="00005A0F"/>
    <w:rsid w:val="00006BBA"/>
    <w:rsid w:val="00007385"/>
    <w:rsid w:val="00011050"/>
    <w:rsid w:val="00011627"/>
    <w:rsid w:val="0001228B"/>
    <w:rsid w:val="000153F6"/>
    <w:rsid w:val="00017EAB"/>
    <w:rsid w:val="000204EA"/>
    <w:rsid w:val="0002069A"/>
    <w:rsid w:val="00021FEC"/>
    <w:rsid w:val="00023554"/>
    <w:rsid w:val="00024936"/>
    <w:rsid w:val="00026AE3"/>
    <w:rsid w:val="00026E5C"/>
    <w:rsid w:val="00027B7A"/>
    <w:rsid w:val="00030D44"/>
    <w:rsid w:val="0003148F"/>
    <w:rsid w:val="0003209A"/>
    <w:rsid w:val="000330CA"/>
    <w:rsid w:val="000336B5"/>
    <w:rsid w:val="00034DA6"/>
    <w:rsid w:val="0003517E"/>
    <w:rsid w:val="00036797"/>
    <w:rsid w:val="00036E70"/>
    <w:rsid w:val="00037B80"/>
    <w:rsid w:val="000411B4"/>
    <w:rsid w:val="000412CA"/>
    <w:rsid w:val="00041361"/>
    <w:rsid w:val="00041EB3"/>
    <w:rsid w:val="00041F3D"/>
    <w:rsid w:val="00042D45"/>
    <w:rsid w:val="00043D96"/>
    <w:rsid w:val="000441BF"/>
    <w:rsid w:val="00044D34"/>
    <w:rsid w:val="0004547C"/>
    <w:rsid w:val="00045EE4"/>
    <w:rsid w:val="00045F26"/>
    <w:rsid w:val="00046612"/>
    <w:rsid w:val="000478B8"/>
    <w:rsid w:val="0005097C"/>
    <w:rsid w:val="00052282"/>
    <w:rsid w:val="000523D5"/>
    <w:rsid w:val="00052A47"/>
    <w:rsid w:val="00053DE8"/>
    <w:rsid w:val="00053EB1"/>
    <w:rsid w:val="000546FD"/>
    <w:rsid w:val="00054D98"/>
    <w:rsid w:val="00055A77"/>
    <w:rsid w:val="0005736D"/>
    <w:rsid w:val="00057455"/>
    <w:rsid w:val="00057649"/>
    <w:rsid w:val="00057C64"/>
    <w:rsid w:val="00060FD9"/>
    <w:rsid w:val="00061624"/>
    <w:rsid w:val="00063F8E"/>
    <w:rsid w:val="00066EAD"/>
    <w:rsid w:val="00071073"/>
    <w:rsid w:val="000717F7"/>
    <w:rsid w:val="00071ACF"/>
    <w:rsid w:val="00072EA1"/>
    <w:rsid w:val="000743DB"/>
    <w:rsid w:val="00075CA9"/>
    <w:rsid w:val="00077340"/>
    <w:rsid w:val="00077362"/>
    <w:rsid w:val="000774DC"/>
    <w:rsid w:val="00077AF6"/>
    <w:rsid w:val="00080FA6"/>
    <w:rsid w:val="00081351"/>
    <w:rsid w:val="00081814"/>
    <w:rsid w:val="00082064"/>
    <w:rsid w:val="000830D8"/>
    <w:rsid w:val="000848E8"/>
    <w:rsid w:val="00084D4C"/>
    <w:rsid w:val="000850AC"/>
    <w:rsid w:val="00085400"/>
    <w:rsid w:val="000861EB"/>
    <w:rsid w:val="00086701"/>
    <w:rsid w:val="0008672D"/>
    <w:rsid w:val="00092F40"/>
    <w:rsid w:val="00093729"/>
    <w:rsid w:val="00093A0B"/>
    <w:rsid w:val="00093BAB"/>
    <w:rsid w:val="00096503"/>
    <w:rsid w:val="000970AC"/>
    <w:rsid w:val="0009790F"/>
    <w:rsid w:val="000979B4"/>
    <w:rsid w:val="00097BF7"/>
    <w:rsid w:val="00097F5D"/>
    <w:rsid w:val="000A1982"/>
    <w:rsid w:val="000A2F81"/>
    <w:rsid w:val="000A3ADA"/>
    <w:rsid w:val="000A4132"/>
    <w:rsid w:val="000A4EB6"/>
    <w:rsid w:val="000A53DD"/>
    <w:rsid w:val="000A5531"/>
    <w:rsid w:val="000A7762"/>
    <w:rsid w:val="000B1238"/>
    <w:rsid w:val="000B1C4F"/>
    <w:rsid w:val="000B38CA"/>
    <w:rsid w:val="000B41D8"/>
    <w:rsid w:val="000B49DF"/>
    <w:rsid w:val="000B5969"/>
    <w:rsid w:val="000B6C2A"/>
    <w:rsid w:val="000B77FF"/>
    <w:rsid w:val="000C0188"/>
    <w:rsid w:val="000C1010"/>
    <w:rsid w:val="000C1750"/>
    <w:rsid w:val="000C210F"/>
    <w:rsid w:val="000C3317"/>
    <w:rsid w:val="000C3A4F"/>
    <w:rsid w:val="000C50BA"/>
    <w:rsid w:val="000D1426"/>
    <w:rsid w:val="000D20BC"/>
    <w:rsid w:val="000D4947"/>
    <w:rsid w:val="000D5DD8"/>
    <w:rsid w:val="000D61C9"/>
    <w:rsid w:val="000D711D"/>
    <w:rsid w:val="000D78FD"/>
    <w:rsid w:val="000D7FF0"/>
    <w:rsid w:val="000E2237"/>
    <w:rsid w:val="000E340D"/>
    <w:rsid w:val="000E46F7"/>
    <w:rsid w:val="000E64E6"/>
    <w:rsid w:val="000E6A18"/>
    <w:rsid w:val="000E728F"/>
    <w:rsid w:val="000F0D8C"/>
    <w:rsid w:val="000F1314"/>
    <w:rsid w:val="000F1D08"/>
    <w:rsid w:val="000F1EF1"/>
    <w:rsid w:val="000F23D6"/>
    <w:rsid w:val="000F2410"/>
    <w:rsid w:val="000F29E9"/>
    <w:rsid w:val="000F37CA"/>
    <w:rsid w:val="000F3F22"/>
    <w:rsid w:val="000F4355"/>
    <w:rsid w:val="000F4452"/>
    <w:rsid w:val="000F4B7D"/>
    <w:rsid w:val="000F4CF9"/>
    <w:rsid w:val="000F6000"/>
    <w:rsid w:val="000F71D6"/>
    <w:rsid w:val="000F7CA8"/>
    <w:rsid w:val="0010028D"/>
    <w:rsid w:val="001019A4"/>
    <w:rsid w:val="001038EA"/>
    <w:rsid w:val="00104363"/>
    <w:rsid w:val="001056F5"/>
    <w:rsid w:val="00105924"/>
    <w:rsid w:val="00105A4C"/>
    <w:rsid w:val="00105D81"/>
    <w:rsid w:val="001076BF"/>
    <w:rsid w:val="00107D71"/>
    <w:rsid w:val="00111D57"/>
    <w:rsid w:val="00111F1A"/>
    <w:rsid w:val="00112427"/>
    <w:rsid w:val="001129A1"/>
    <w:rsid w:val="00114D8D"/>
    <w:rsid w:val="00116AA1"/>
    <w:rsid w:val="00116C05"/>
    <w:rsid w:val="0012085B"/>
    <w:rsid w:val="00120DA7"/>
    <w:rsid w:val="00121CA0"/>
    <w:rsid w:val="00123B91"/>
    <w:rsid w:val="0012474E"/>
    <w:rsid w:val="00125A22"/>
    <w:rsid w:val="00126478"/>
    <w:rsid w:val="001272BF"/>
    <w:rsid w:val="00127790"/>
    <w:rsid w:val="0013035A"/>
    <w:rsid w:val="00130A47"/>
    <w:rsid w:val="001328E4"/>
    <w:rsid w:val="001330CB"/>
    <w:rsid w:val="00133D4C"/>
    <w:rsid w:val="00134083"/>
    <w:rsid w:val="001340CD"/>
    <w:rsid w:val="00135921"/>
    <w:rsid w:val="001376D1"/>
    <w:rsid w:val="00140ED8"/>
    <w:rsid w:val="001419B4"/>
    <w:rsid w:val="00141E7B"/>
    <w:rsid w:val="00141FD6"/>
    <w:rsid w:val="00142CB4"/>
    <w:rsid w:val="001433C0"/>
    <w:rsid w:val="00143430"/>
    <w:rsid w:val="00143A12"/>
    <w:rsid w:val="00143A16"/>
    <w:rsid w:val="00143D74"/>
    <w:rsid w:val="00143EF3"/>
    <w:rsid w:val="00144083"/>
    <w:rsid w:val="001440B2"/>
    <w:rsid w:val="00144C89"/>
    <w:rsid w:val="00150DCA"/>
    <w:rsid w:val="00151B3D"/>
    <w:rsid w:val="001522E2"/>
    <w:rsid w:val="00154C31"/>
    <w:rsid w:val="00155C95"/>
    <w:rsid w:val="001572A9"/>
    <w:rsid w:val="001574FF"/>
    <w:rsid w:val="00157ADF"/>
    <w:rsid w:val="00160308"/>
    <w:rsid w:val="001638A5"/>
    <w:rsid w:val="001638AD"/>
    <w:rsid w:val="00164731"/>
    <w:rsid w:val="001649F9"/>
    <w:rsid w:val="00164E34"/>
    <w:rsid w:val="001650E5"/>
    <w:rsid w:val="0016558B"/>
    <w:rsid w:val="00170D1A"/>
    <w:rsid w:val="00173B97"/>
    <w:rsid w:val="00173BFA"/>
    <w:rsid w:val="001741F9"/>
    <w:rsid w:val="00174880"/>
    <w:rsid w:val="00174E52"/>
    <w:rsid w:val="00175284"/>
    <w:rsid w:val="00175431"/>
    <w:rsid w:val="00175A86"/>
    <w:rsid w:val="00175E23"/>
    <w:rsid w:val="00177B07"/>
    <w:rsid w:val="00177D2A"/>
    <w:rsid w:val="00177F71"/>
    <w:rsid w:val="00177FAA"/>
    <w:rsid w:val="001807E1"/>
    <w:rsid w:val="00180D17"/>
    <w:rsid w:val="00181599"/>
    <w:rsid w:val="001818C9"/>
    <w:rsid w:val="001842B7"/>
    <w:rsid w:val="00185595"/>
    <w:rsid w:val="00185BED"/>
    <w:rsid w:val="00185EE5"/>
    <w:rsid w:val="001868DC"/>
    <w:rsid w:val="00190CDC"/>
    <w:rsid w:val="001922E5"/>
    <w:rsid w:val="001925DF"/>
    <w:rsid w:val="00193114"/>
    <w:rsid w:val="00194494"/>
    <w:rsid w:val="00194805"/>
    <w:rsid w:val="001948C1"/>
    <w:rsid w:val="001957CD"/>
    <w:rsid w:val="00196A6D"/>
    <w:rsid w:val="001A022C"/>
    <w:rsid w:val="001A04E6"/>
    <w:rsid w:val="001A112B"/>
    <w:rsid w:val="001A1A36"/>
    <w:rsid w:val="001A1ED5"/>
    <w:rsid w:val="001A239E"/>
    <w:rsid w:val="001A2D86"/>
    <w:rsid w:val="001A3141"/>
    <w:rsid w:val="001A3DDD"/>
    <w:rsid w:val="001A446F"/>
    <w:rsid w:val="001A5696"/>
    <w:rsid w:val="001A574D"/>
    <w:rsid w:val="001A6DD8"/>
    <w:rsid w:val="001B1096"/>
    <w:rsid w:val="001B19B6"/>
    <w:rsid w:val="001B404E"/>
    <w:rsid w:val="001B49EF"/>
    <w:rsid w:val="001B4A22"/>
    <w:rsid w:val="001B708D"/>
    <w:rsid w:val="001B70F4"/>
    <w:rsid w:val="001B767E"/>
    <w:rsid w:val="001C05B9"/>
    <w:rsid w:val="001C19EE"/>
    <w:rsid w:val="001C1C95"/>
    <w:rsid w:val="001C284C"/>
    <w:rsid w:val="001C72E9"/>
    <w:rsid w:val="001D2532"/>
    <w:rsid w:val="001D2EA9"/>
    <w:rsid w:val="001D2FFF"/>
    <w:rsid w:val="001D3E7D"/>
    <w:rsid w:val="001D4EB7"/>
    <w:rsid w:val="001D5296"/>
    <w:rsid w:val="001D665C"/>
    <w:rsid w:val="001D7285"/>
    <w:rsid w:val="001E0559"/>
    <w:rsid w:val="001E19CE"/>
    <w:rsid w:val="001E315D"/>
    <w:rsid w:val="001E327D"/>
    <w:rsid w:val="001E3DF6"/>
    <w:rsid w:val="001E54DB"/>
    <w:rsid w:val="001E594B"/>
    <w:rsid w:val="001E5B44"/>
    <w:rsid w:val="001E62DB"/>
    <w:rsid w:val="001E6A3C"/>
    <w:rsid w:val="001E6C80"/>
    <w:rsid w:val="001E6DE7"/>
    <w:rsid w:val="001E704B"/>
    <w:rsid w:val="001E7A6B"/>
    <w:rsid w:val="001E7D93"/>
    <w:rsid w:val="001F2743"/>
    <w:rsid w:val="001F2B42"/>
    <w:rsid w:val="001F5010"/>
    <w:rsid w:val="001F5E70"/>
    <w:rsid w:val="001F7BFA"/>
    <w:rsid w:val="00200842"/>
    <w:rsid w:val="00201FBA"/>
    <w:rsid w:val="00202799"/>
    <w:rsid w:val="00202B28"/>
    <w:rsid w:val="00203296"/>
    <w:rsid w:val="00203452"/>
    <w:rsid w:val="002035B7"/>
    <w:rsid w:val="002036A5"/>
    <w:rsid w:val="00204623"/>
    <w:rsid w:val="00204981"/>
    <w:rsid w:val="00205A3A"/>
    <w:rsid w:val="00206258"/>
    <w:rsid w:val="00206752"/>
    <w:rsid w:val="002105BA"/>
    <w:rsid w:val="00211A7D"/>
    <w:rsid w:val="0021303B"/>
    <w:rsid w:val="00215197"/>
    <w:rsid w:val="00215F73"/>
    <w:rsid w:val="00215FD7"/>
    <w:rsid w:val="00217C56"/>
    <w:rsid w:val="002205C4"/>
    <w:rsid w:val="002234CB"/>
    <w:rsid w:val="00224055"/>
    <w:rsid w:val="002264C6"/>
    <w:rsid w:val="00227B8B"/>
    <w:rsid w:val="002307C0"/>
    <w:rsid w:val="00230F5F"/>
    <w:rsid w:val="00231F92"/>
    <w:rsid w:val="00234439"/>
    <w:rsid w:val="00234483"/>
    <w:rsid w:val="00235CF1"/>
    <w:rsid w:val="00235F55"/>
    <w:rsid w:val="0023652D"/>
    <w:rsid w:val="00236901"/>
    <w:rsid w:val="00236AEA"/>
    <w:rsid w:val="00240022"/>
    <w:rsid w:val="00241483"/>
    <w:rsid w:val="00243E40"/>
    <w:rsid w:val="00244DB5"/>
    <w:rsid w:val="002453E6"/>
    <w:rsid w:val="00245476"/>
    <w:rsid w:val="00245968"/>
    <w:rsid w:val="00245A18"/>
    <w:rsid w:val="00245CF3"/>
    <w:rsid w:val="00246546"/>
    <w:rsid w:val="00250B39"/>
    <w:rsid w:val="0025298A"/>
    <w:rsid w:val="00252D04"/>
    <w:rsid w:val="002534A3"/>
    <w:rsid w:val="00254012"/>
    <w:rsid w:val="00256242"/>
    <w:rsid w:val="00260FB9"/>
    <w:rsid w:val="0026188C"/>
    <w:rsid w:val="00262CDF"/>
    <w:rsid w:val="002632F0"/>
    <w:rsid w:val="00263F3F"/>
    <w:rsid w:val="00264399"/>
    <w:rsid w:val="002657E2"/>
    <w:rsid w:val="002667F1"/>
    <w:rsid w:val="00267822"/>
    <w:rsid w:val="00267837"/>
    <w:rsid w:val="00267C1E"/>
    <w:rsid w:val="00270308"/>
    <w:rsid w:val="00270526"/>
    <w:rsid w:val="002733BC"/>
    <w:rsid w:val="00274521"/>
    <w:rsid w:val="0027465D"/>
    <w:rsid w:val="00274734"/>
    <w:rsid w:val="00275C09"/>
    <w:rsid w:val="002801E2"/>
    <w:rsid w:val="00280416"/>
    <w:rsid w:val="00280691"/>
    <w:rsid w:val="00281C3D"/>
    <w:rsid w:val="00282823"/>
    <w:rsid w:val="002829A8"/>
    <w:rsid w:val="00286D17"/>
    <w:rsid w:val="00287A24"/>
    <w:rsid w:val="00287BFA"/>
    <w:rsid w:val="00295D72"/>
    <w:rsid w:val="0029651F"/>
    <w:rsid w:val="002A08E1"/>
    <w:rsid w:val="002A0C69"/>
    <w:rsid w:val="002A14B8"/>
    <w:rsid w:val="002A202C"/>
    <w:rsid w:val="002A33F1"/>
    <w:rsid w:val="002A44EC"/>
    <w:rsid w:val="002A5145"/>
    <w:rsid w:val="002A5421"/>
    <w:rsid w:val="002A5B5E"/>
    <w:rsid w:val="002A6038"/>
    <w:rsid w:val="002A75F3"/>
    <w:rsid w:val="002A7BB6"/>
    <w:rsid w:val="002B0B32"/>
    <w:rsid w:val="002B0E8B"/>
    <w:rsid w:val="002B19B0"/>
    <w:rsid w:val="002B22CB"/>
    <w:rsid w:val="002B270D"/>
    <w:rsid w:val="002B3907"/>
    <w:rsid w:val="002B4A33"/>
    <w:rsid w:val="002B4AAA"/>
    <w:rsid w:val="002B51B6"/>
    <w:rsid w:val="002B5754"/>
    <w:rsid w:val="002C1056"/>
    <w:rsid w:val="002C3779"/>
    <w:rsid w:val="002C3D7F"/>
    <w:rsid w:val="002C408E"/>
    <w:rsid w:val="002C497E"/>
    <w:rsid w:val="002C4C29"/>
    <w:rsid w:val="002C5072"/>
    <w:rsid w:val="002C644D"/>
    <w:rsid w:val="002C6559"/>
    <w:rsid w:val="002C7AF5"/>
    <w:rsid w:val="002D2922"/>
    <w:rsid w:val="002D3524"/>
    <w:rsid w:val="002D379C"/>
    <w:rsid w:val="002D4563"/>
    <w:rsid w:val="002D5BF2"/>
    <w:rsid w:val="002D64D2"/>
    <w:rsid w:val="002E1932"/>
    <w:rsid w:val="002E28C9"/>
    <w:rsid w:val="002E3714"/>
    <w:rsid w:val="002E4353"/>
    <w:rsid w:val="002E4598"/>
    <w:rsid w:val="002E49DD"/>
    <w:rsid w:val="002E5529"/>
    <w:rsid w:val="002E7AA3"/>
    <w:rsid w:val="002E7B0E"/>
    <w:rsid w:val="002F110E"/>
    <w:rsid w:val="002F17E8"/>
    <w:rsid w:val="002F1D21"/>
    <w:rsid w:val="002F1FE0"/>
    <w:rsid w:val="002F47F0"/>
    <w:rsid w:val="002F48D6"/>
    <w:rsid w:val="002F5219"/>
    <w:rsid w:val="002F522F"/>
    <w:rsid w:val="002F57D0"/>
    <w:rsid w:val="002F5D67"/>
    <w:rsid w:val="002F651F"/>
    <w:rsid w:val="002F67A3"/>
    <w:rsid w:val="002F6ECB"/>
    <w:rsid w:val="002F753F"/>
    <w:rsid w:val="002F779C"/>
    <w:rsid w:val="00300948"/>
    <w:rsid w:val="00300B2E"/>
    <w:rsid w:val="00300E2F"/>
    <w:rsid w:val="00301D2D"/>
    <w:rsid w:val="00302021"/>
    <w:rsid w:val="00303E55"/>
    <w:rsid w:val="00304AB7"/>
    <w:rsid w:val="003064D2"/>
    <w:rsid w:val="00307312"/>
    <w:rsid w:val="00307D5E"/>
    <w:rsid w:val="00311911"/>
    <w:rsid w:val="00311B7E"/>
    <w:rsid w:val="00314CC6"/>
    <w:rsid w:val="00314CF1"/>
    <w:rsid w:val="00315667"/>
    <w:rsid w:val="003158E3"/>
    <w:rsid w:val="003170E2"/>
    <w:rsid w:val="00317672"/>
    <w:rsid w:val="00317A8C"/>
    <w:rsid w:val="00317C8D"/>
    <w:rsid w:val="00322DDE"/>
    <w:rsid w:val="00323FBF"/>
    <w:rsid w:val="00324305"/>
    <w:rsid w:val="00324BD0"/>
    <w:rsid w:val="00325D78"/>
    <w:rsid w:val="00325F67"/>
    <w:rsid w:val="00327BA8"/>
    <w:rsid w:val="00331478"/>
    <w:rsid w:val="00331A55"/>
    <w:rsid w:val="00332116"/>
    <w:rsid w:val="00334228"/>
    <w:rsid w:val="00334316"/>
    <w:rsid w:val="00334AD6"/>
    <w:rsid w:val="003353BB"/>
    <w:rsid w:val="0033756A"/>
    <w:rsid w:val="00340B90"/>
    <w:rsid w:val="0034234C"/>
    <w:rsid w:val="0034289E"/>
    <w:rsid w:val="00342995"/>
    <w:rsid w:val="0034302F"/>
    <w:rsid w:val="0034375C"/>
    <w:rsid w:val="00343841"/>
    <w:rsid w:val="00344442"/>
    <w:rsid w:val="003446E0"/>
    <w:rsid w:val="0034499D"/>
    <w:rsid w:val="003452D9"/>
    <w:rsid w:val="003468CF"/>
    <w:rsid w:val="00346DA7"/>
    <w:rsid w:val="00347309"/>
    <w:rsid w:val="003479E7"/>
    <w:rsid w:val="0035060C"/>
    <w:rsid w:val="003525D8"/>
    <w:rsid w:val="00352704"/>
    <w:rsid w:val="00352EEC"/>
    <w:rsid w:val="003536E0"/>
    <w:rsid w:val="00354F08"/>
    <w:rsid w:val="00355C19"/>
    <w:rsid w:val="003562A2"/>
    <w:rsid w:val="0035643F"/>
    <w:rsid w:val="003569DF"/>
    <w:rsid w:val="0035774B"/>
    <w:rsid w:val="00357C06"/>
    <w:rsid w:val="00357C67"/>
    <w:rsid w:val="0036045D"/>
    <w:rsid w:val="00360620"/>
    <w:rsid w:val="00360C9B"/>
    <w:rsid w:val="00360D32"/>
    <w:rsid w:val="00362A51"/>
    <w:rsid w:val="00370A9B"/>
    <w:rsid w:val="00371CC0"/>
    <w:rsid w:val="00372BA6"/>
    <w:rsid w:val="00373800"/>
    <w:rsid w:val="00374222"/>
    <w:rsid w:val="00374260"/>
    <w:rsid w:val="0037440A"/>
    <w:rsid w:val="00374EB1"/>
    <w:rsid w:val="00375DAF"/>
    <w:rsid w:val="00375E1C"/>
    <w:rsid w:val="00376166"/>
    <w:rsid w:val="00377421"/>
    <w:rsid w:val="00377536"/>
    <w:rsid w:val="00380AB6"/>
    <w:rsid w:val="00385B0C"/>
    <w:rsid w:val="00385F93"/>
    <w:rsid w:val="003866F9"/>
    <w:rsid w:val="00386FE7"/>
    <w:rsid w:val="003873AB"/>
    <w:rsid w:val="0038799F"/>
    <w:rsid w:val="00391ED6"/>
    <w:rsid w:val="0039425D"/>
    <w:rsid w:val="00396CF4"/>
    <w:rsid w:val="003A05C4"/>
    <w:rsid w:val="003A1DE9"/>
    <w:rsid w:val="003A203B"/>
    <w:rsid w:val="003A47C0"/>
    <w:rsid w:val="003A587D"/>
    <w:rsid w:val="003A62A0"/>
    <w:rsid w:val="003A6442"/>
    <w:rsid w:val="003A6DB3"/>
    <w:rsid w:val="003A746C"/>
    <w:rsid w:val="003B05BE"/>
    <w:rsid w:val="003B0CB4"/>
    <w:rsid w:val="003B0DBC"/>
    <w:rsid w:val="003B19B9"/>
    <w:rsid w:val="003B1BD7"/>
    <w:rsid w:val="003B2221"/>
    <w:rsid w:val="003B2797"/>
    <w:rsid w:val="003B43AB"/>
    <w:rsid w:val="003B499A"/>
    <w:rsid w:val="003B56DB"/>
    <w:rsid w:val="003B59A9"/>
    <w:rsid w:val="003B6C23"/>
    <w:rsid w:val="003B70B9"/>
    <w:rsid w:val="003C0B56"/>
    <w:rsid w:val="003C0F6E"/>
    <w:rsid w:val="003C2648"/>
    <w:rsid w:val="003C2A81"/>
    <w:rsid w:val="003C3464"/>
    <w:rsid w:val="003C4E0F"/>
    <w:rsid w:val="003C7319"/>
    <w:rsid w:val="003D0A4C"/>
    <w:rsid w:val="003D19B4"/>
    <w:rsid w:val="003D1E4F"/>
    <w:rsid w:val="003D21DA"/>
    <w:rsid w:val="003D576D"/>
    <w:rsid w:val="003D6E75"/>
    <w:rsid w:val="003D7AF0"/>
    <w:rsid w:val="003D7E6B"/>
    <w:rsid w:val="003E0F82"/>
    <w:rsid w:val="003E13A3"/>
    <w:rsid w:val="003E1811"/>
    <w:rsid w:val="003E1A9A"/>
    <w:rsid w:val="003E20C5"/>
    <w:rsid w:val="003E23F7"/>
    <w:rsid w:val="003E324A"/>
    <w:rsid w:val="003E39C7"/>
    <w:rsid w:val="003E3F64"/>
    <w:rsid w:val="003E6247"/>
    <w:rsid w:val="003E6E4E"/>
    <w:rsid w:val="003F027B"/>
    <w:rsid w:val="003F12E4"/>
    <w:rsid w:val="003F1B91"/>
    <w:rsid w:val="003F1E91"/>
    <w:rsid w:val="003F22DB"/>
    <w:rsid w:val="003F3F0F"/>
    <w:rsid w:val="003F6400"/>
    <w:rsid w:val="003F7ED7"/>
    <w:rsid w:val="004000F9"/>
    <w:rsid w:val="00400572"/>
    <w:rsid w:val="004011AD"/>
    <w:rsid w:val="0040345C"/>
    <w:rsid w:val="00403F89"/>
    <w:rsid w:val="00404ADB"/>
    <w:rsid w:val="00404D9D"/>
    <w:rsid w:val="00405546"/>
    <w:rsid w:val="0040561D"/>
    <w:rsid w:val="004062EB"/>
    <w:rsid w:val="00406405"/>
    <w:rsid w:val="0041091D"/>
    <w:rsid w:val="0041092A"/>
    <w:rsid w:val="00410E37"/>
    <w:rsid w:val="0041136B"/>
    <w:rsid w:val="00413A91"/>
    <w:rsid w:val="00413CB1"/>
    <w:rsid w:val="00414E2B"/>
    <w:rsid w:val="00414F45"/>
    <w:rsid w:val="00415892"/>
    <w:rsid w:val="00416410"/>
    <w:rsid w:val="00416551"/>
    <w:rsid w:val="004201DB"/>
    <w:rsid w:val="0042205E"/>
    <w:rsid w:val="00423526"/>
    <w:rsid w:val="00423E0E"/>
    <w:rsid w:val="0042455C"/>
    <w:rsid w:val="00425711"/>
    <w:rsid w:val="00426377"/>
    <w:rsid w:val="00426B94"/>
    <w:rsid w:val="004275B6"/>
    <w:rsid w:val="00431336"/>
    <w:rsid w:val="0043185B"/>
    <w:rsid w:val="00433E61"/>
    <w:rsid w:val="00436766"/>
    <w:rsid w:val="00437146"/>
    <w:rsid w:val="00440D23"/>
    <w:rsid w:val="00441C47"/>
    <w:rsid w:val="00441FC9"/>
    <w:rsid w:val="00442420"/>
    <w:rsid w:val="0044268A"/>
    <w:rsid w:val="004429F8"/>
    <w:rsid w:val="00444135"/>
    <w:rsid w:val="00444202"/>
    <w:rsid w:val="00445138"/>
    <w:rsid w:val="0044697A"/>
    <w:rsid w:val="00447948"/>
    <w:rsid w:val="00447E5C"/>
    <w:rsid w:val="0045040A"/>
    <w:rsid w:val="00450D6E"/>
    <w:rsid w:val="0045306E"/>
    <w:rsid w:val="00453398"/>
    <w:rsid w:val="004550A5"/>
    <w:rsid w:val="00455876"/>
    <w:rsid w:val="00457502"/>
    <w:rsid w:val="00457CE5"/>
    <w:rsid w:val="00461315"/>
    <w:rsid w:val="00461E37"/>
    <w:rsid w:val="00461FF2"/>
    <w:rsid w:val="00462742"/>
    <w:rsid w:val="004629C4"/>
    <w:rsid w:val="00462D3F"/>
    <w:rsid w:val="00462E25"/>
    <w:rsid w:val="00463133"/>
    <w:rsid w:val="004634A7"/>
    <w:rsid w:val="004639B9"/>
    <w:rsid w:val="00464B0C"/>
    <w:rsid w:val="0046558B"/>
    <w:rsid w:val="00466284"/>
    <w:rsid w:val="0046725C"/>
    <w:rsid w:val="004675B9"/>
    <w:rsid w:val="00467CA2"/>
    <w:rsid w:val="00471121"/>
    <w:rsid w:val="00471184"/>
    <w:rsid w:val="0047213F"/>
    <w:rsid w:val="0047260E"/>
    <w:rsid w:val="004730A3"/>
    <w:rsid w:val="004755E0"/>
    <w:rsid w:val="00475761"/>
    <w:rsid w:val="0047595C"/>
    <w:rsid w:val="004759EE"/>
    <w:rsid w:val="0047625B"/>
    <w:rsid w:val="00477413"/>
    <w:rsid w:val="00477E3F"/>
    <w:rsid w:val="00481296"/>
    <w:rsid w:val="00481BD6"/>
    <w:rsid w:val="0048358F"/>
    <w:rsid w:val="00483643"/>
    <w:rsid w:val="004846D5"/>
    <w:rsid w:val="00485521"/>
    <w:rsid w:val="00485AD3"/>
    <w:rsid w:val="004925FB"/>
    <w:rsid w:val="00493D65"/>
    <w:rsid w:val="0049412A"/>
    <w:rsid w:val="0049446E"/>
    <w:rsid w:val="00494709"/>
    <w:rsid w:val="00494C22"/>
    <w:rsid w:val="004958BC"/>
    <w:rsid w:val="004964EB"/>
    <w:rsid w:val="00496833"/>
    <w:rsid w:val="00496855"/>
    <w:rsid w:val="004975E2"/>
    <w:rsid w:val="00497E7E"/>
    <w:rsid w:val="004A0132"/>
    <w:rsid w:val="004A0DDF"/>
    <w:rsid w:val="004A198A"/>
    <w:rsid w:val="004A1D56"/>
    <w:rsid w:val="004A379C"/>
    <w:rsid w:val="004A3812"/>
    <w:rsid w:val="004A3999"/>
    <w:rsid w:val="004A46D6"/>
    <w:rsid w:val="004A5874"/>
    <w:rsid w:val="004A63E6"/>
    <w:rsid w:val="004A67BD"/>
    <w:rsid w:val="004B0387"/>
    <w:rsid w:val="004B08A5"/>
    <w:rsid w:val="004B0DA2"/>
    <w:rsid w:val="004B3C13"/>
    <w:rsid w:val="004B4854"/>
    <w:rsid w:val="004B5196"/>
    <w:rsid w:val="004B5906"/>
    <w:rsid w:val="004B617E"/>
    <w:rsid w:val="004B6609"/>
    <w:rsid w:val="004B6D31"/>
    <w:rsid w:val="004B74C3"/>
    <w:rsid w:val="004B7D45"/>
    <w:rsid w:val="004C0419"/>
    <w:rsid w:val="004C1402"/>
    <w:rsid w:val="004C1B6A"/>
    <w:rsid w:val="004C1F25"/>
    <w:rsid w:val="004C28DD"/>
    <w:rsid w:val="004C4596"/>
    <w:rsid w:val="004C4754"/>
    <w:rsid w:val="004C6510"/>
    <w:rsid w:val="004C77D4"/>
    <w:rsid w:val="004C78CA"/>
    <w:rsid w:val="004C7C9F"/>
    <w:rsid w:val="004D094A"/>
    <w:rsid w:val="004D1E62"/>
    <w:rsid w:val="004D2694"/>
    <w:rsid w:val="004D2D81"/>
    <w:rsid w:val="004D3024"/>
    <w:rsid w:val="004D32EC"/>
    <w:rsid w:val="004D4619"/>
    <w:rsid w:val="004E0DD6"/>
    <w:rsid w:val="004E136A"/>
    <w:rsid w:val="004E2C92"/>
    <w:rsid w:val="004E2F2B"/>
    <w:rsid w:val="004E32FB"/>
    <w:rsid w:val="004E351A"/>
    <w:rsid w:val="004E3968"/>
    <w:rsid w:val="004E3AC0"/>
    <w:rsid w:val="004E5B18"/>
    <w:rsid w:val="004E5B3A"/>
    <w:rsid w:val="004E5EDE"/>
    <w:rsid w:val="004E6176"/>
    <w:rsid w:val="004E6478"/>
    <w:rsid w:val="004E6571"/>
    <w:rsid w:val="004E6E54"/>
    <w:rsid w:val="004E6EDB"/>
    <w:rsid w:val="004F0561"/>
    <w:rsid w:val="004F0AFE"/>
    <w:rsid w:val="004F21FC"/>
    <w:rsid w:val="004F2B47"/>
    <w:rsid w:val="004F500B"/>
    <w:rsid w:val="004F6527"/>
    <w:rsid w:val="004F78D1"/>
    <w:rsid w:val="00500172"/>
    <w:rsid w:val="005001B8"/>
    <w:rsid w:val="0050045B"/>
    <w:rsid w:val="00500823"/>
    <w:rsid w:val="00501481"/>
    <w:rsid w:val="00501CE3"/>
    <w:rsid w:val="00503FDD"/>
    <w:rsid w:val="00504ABF"/>
    <w:rsid w:val="00504C50"/>
    <w:rsid w:val="00504EE3"/>
    <w:rsid w:val="005062A5"/>
    <w:rsid w:val="00506F2A"/>
    <w:rsid w:val="00510D85"/>
    <w:rsid w:val="00510EBE"/>
    <w:rsid w:val="0051117D"/>
    <w:rsid w:val="00511DEF"/>
    <w:rsid w:val="00512124"/>
    <w:rsid w:val="00513160"/>
    <w:rsid w:val="0051459A"/>
    <w:rsid w:val="00515CBD"/>
    <w:rsid w:val="00520EAE"/>
    <w:rsid w:val="005213CE"/>
    <w:rsid w:val="005213E8"/>
    <w:rsid w:val="005223F4"/>
    <w:rsid w:val="00523567"/>
    <w:rsid w:val="005235A2"/>
    <w:rsid w:val="00523A2B"/>
    <w:rsid w:val="00523ED6"/>
    <w:rsid w:val="00524FFB"/>
    <w:rsid w:val="00531293"/>
    <w:rsid w:val="00531A43"/>
    <w:rsid w:val="0053257D"/>
    <w:rsid w:val="00532D27"/>
    <w:rsid w:val="0053353F"/>
    <w:rsid w:val="0053447F"/>
    <w:rsid w:val="005359CC"/>
    <w:rsid w:val="00536216"/>
    <w:rsid w:val="0053676F"/>
    <w:rsid w:val="00536A83"/>
    <w:rsid w:val="00536ED8"/>
    <w:rsid w:val="00540D94"/>
    <w:rsid w:val="005425F0"/>
    <w:rsid w:val="0054387F"/>
    <w:rsid w:val="00543B7A"/>
    <w:rsid w:val="00544674"/>
    <w:rsid w:val="005456E1"/>
    <w:rsid w:val="00550A3F"/>
    <w:rsid w:val="00550C66"/>
    <w:rsid w:val="00552826"/>
    <w:rsid w:val="005567AD"/>
    <w:rsid w:val="00556A77"/>
    <w:rsid w:val="0056237F"/>
    <w:rsid w:val="0056323C"/>
    <w:rsid w:val="005657A2"/>
    <w:rsid w:val="0056609E"/>
    <w:rsid w:val="0056774D"/>
    <w:rsid w:val="005679D1"/>
    <w:rsid w:val="005679D2"/>
    <w:rsid w:val="00570117"/>
    <w:rsid w:val="0057066E"/>
    <w:rsid w:val="005708B4"/>
    <w:rsid w:val="0057168F"/>
    <w:rsid w:val="00571BA5"/>
    <w:rsid w:val="00571C9D"/>
    <w:rsid w:val="005725A1"/>
    <w:rsid w:val="00572622"/>
    <w:rsid w:val="00572AF2"/>
    <w:rsid w:val="005731DB"/>
    <w:rsid w:val="0057371B"/>
    <w:rsid w:val="00573870"/>
    <w:rsid w:val="005750C7"/>
    <w:rsid w:val="005755B7"/>
    <w:rsid w:val="00576E8C"/>
    <w:rsid w:val="005772CF"/>
    <w:rsid w:val="005801B4"/>
    <w:rsid w:val="0058066A"/>
    <w:rsid w:val="005807B6"/>
    <w:rsid w:val="00581411"/>
    <w:rsid w:val="00583AC6"/>
    <w:rsid w:val="005842CB"/>
    <w:rsid w:val="00586A93"/>
    <w:rsid w:val="00590269"/>
    <w:rsid w:val="00590F6C"/>
    <w:rsid w:val="00591025"/>
    <w:rsid w:val="00595A98"/>
    <w:rsid w:val="00595B8A"/>
    <w:rsid w:val="00595E72"/>
    <w:rsid w:val="00597441"/>
    <w:rsid w:val="00597AE8"/>
    <w:rsid w:val="005A0B94"/>
    <w:rsid w:val="005A0E88"/>
    <w:rsid w:val="005A1258"/>
    <w:rsid w:val="005A13EF"/>
    <w:rsid w:val="005A14BA"/>
    <w:rsid w:val="005A31B0"/>
    <w:rsid w:val="005A609B"/>
    <w:rsid w:val="005A69B8"/>
    <w:rsid w:val="005B1C28"/>
    <w:rsid w:val="005B20D7"/>
    <w:rsid w:val="005B2399"/>
    <w:rsid w:val="005B3460"/>
    <w:rsid w:val="005B5AF2"/>
    <w:rsid w:val="005B61A6"/>
    <w:rsid w:val="005B7AA3"/>
    <w:rsid w:val="005B7B26"/>
    <w:rsid w:val="005C0FA5"/>
    <w:rsid w:val="005C3EC5"/>
    <w:rsid w:val="005C4330"/>
    <w:rsid w:val="005C6B57"/>
    <w:rsid w:val="005C7D28"/>
    <w:rsid w:val="005D01A0"/>
    <w:rsid w:val="005D0B64"/>
    <w:rsid w:val="005D47FE"/>
    <w:rsid w:val="005D5977"/>
    <w:rsid w:val="005D5CA1"/>
    <w:rsid w:val="005D6762"/>
    <w:rsid w:val="005D6A65"/>
    <w:rsid w:val="005D6DDA"/>
    <w:rsid w:val="005D7477"/>
    <w:rsid w:val="005D74DF"/>
    <w:rsid w:val="005D7741"/>
    <w:rsid w:val="005E16CE"/>
    <w:rsid w:val="005E3002"/>
    <w:rsid w:val="005E48A0"/>
    <w:rsid w:val="005E69B2"/>
    <w:rsid w:val="005E6BC6"/>
    <w:rsid w:val="005E6C6B"/>
    <w:rsid w:val="005E772F"/>
    <w:rsid w:val="005F0942"/>
    <w:rsid w:val="005F0CD1"/>
    <w:rsid w:val="005F1655"/>
    <w:rsid w:val="005F1A5D"/>
    <w:rsid w:val="005F1CDB"/>
    <w:rsid w:val="005F2930"/>
    <w:rsid w:val="005F3235"/>
    <w:rsid w:val="005F3D6B"/>
    <w:rsid w:val="005F5062"/>
    <w:rsid w:val="005F5ABE"/>
    <w:rsid w:val="005F619F"/>
    <w:rsid w:val="005F6ED7"/>
    <w:rsid w:val="006002C7"/>
    <w:rsid w:val="006041E3"/>
    <w:rsid w:val="00604FFC"/>
    <w:rsid w:val="00605893"/>
    <w:rsid w:val="00605F55"/>
    <w:rsid w:val="00606563"/>
    <w:rsid w:val="00606E71"/>
    <w:rsid w:val="00610976"/>
    <w:rsid w:val="00612B51"/>
    <w:rsid w:val="00613078"/>
    <w:rsid w:val="0061338A"/>
    <w:rsid w:val="006135D8"/>
    <w:rsid w:val="00613F91"/>
    <w:rsid w:val="00616436"/>
    <w:rsid w:val="00620033"/>
    <w:rsid w:val="00621E04"/>
    <w:rsid w:val="00622368"/>
    <w:rsid w:val="00623885"/>
    <w:rsid w:val="00623DFA"/>
    <w:rsid w:val="00624637"/>
    <w:rsid w:val="00625F8F"/>
    <w:rsid w:val="006260F7"/>
    <w:rsid w:val="00631AC4"/>
    <w:rsid w:val="006329AF"/>
    <w:rsid w:val="00632FCF"/>
    <w:rsid w:val="0063318F"/>
    <w:rsid w:val="006338D7"/>
    <w:rsid w:val="006338E4"/>
    <w:rsid w:val="00634879"/>
    <w:rsid w:val="00634966"/>
    <w:rsid w:val="00634D2C"/>
    <w:rsid w:val="006350AA"/>
    <w:rsid w:val="00635843"/>
    <w:rsid w:val="00635D6F"/>
    <w:rsid w:val="00636680"/>
    <w:rsid w:val="006368EA"/>
    <w:rsid w:val="006370F2"/>
    <w:rsid w:val="00637E84"/>
    <w:rsid w:val="00640929"/>
    <w:rsid w:val="00640D68"/>
    <w:rsid w:val="00641FE7"/>
    <w:rsid w:val="006426C2"/>
    <w:rsid w:val="0064338E"/>
    <w:rsid w:val="00643869"/>
    <w:rsid w:val="00643B3E"/>
    <w:rsid w:val="00644B74"/>
    <w:rsid w:val="006464ED"/>
    <w:rsid w:val="006503FC"/>
    <w:rsid w:val="0065123E"/>
    <w:rsid w:val="006513A9"/>
    <w:rsid w:val="006522EF"/>
    <w:rsid w:val="00653873"/>
    <w:rsid w:val="00653C9F"/>
    <w:rsid w:val="00654B75"/>
    <w:rsid w:val="00655072"/>
    <w:rsid w:val="00655322"/>
    <w:rsid w:val="0065581B"/>
    <w:rsid w:val="006558CF"/>
    <w:rsid w:val="00656D17"/>
    <w:rsid w:val="00657164"/>
    <w:rsid w:val="00657A7A"/>
    <w:rsid w:val="00657FA9"/>
    <w:rsid w:val="0066257F"/>
    <w:rsid w:val="00662EA4"/>
    <w:rsid w:val="00663D03"/>
    <w:rsid w:val="00664A72"/>
    <w:rsid w:val="00664BDD"/>
    <w:rsid w:val="00664E8E"/>
    <w:rsid w:val="00665014"/>
    <w:rsid w:val="006651ED"/>
    <w:rsid w:val="00665839"/>
    <w:rsid w:val="00665DD1"/>
    <w:rsid w:val="00665F60"/>
    <w:rsid w:val="006663EE"/>
    <w:rsid w:val="006666E9"/>
    <w:rsid w:val="00666A9D"/>
    <w:rsid w:val="00666FF7"/>
    <w:rsid w:val="00670DB4"/>
    <w:rsid w:val="00670DD5"/>
    <w:rsid w:val="00670ED7"/>
    <w:rsid w:val="00671464"/>
    <w:rsid w:val="00671FA9"/>
    <w:rsid w:val="00672103"/>
    <w:rsid w:val="00672435"/>
    <w:rsid w:val="006739C4"/>
    <w:rsid w:val="00675554"/>
    <w:rsid w:val="00675D0D"/>
    <w:rsid w:val="00676AFA"/>
    <w:rsid w:val="00677053"/>
    <w:rsid w:val="006770CA"/>
    <w:rsid w:val="00677417"/>
    <w:rsid w:val="00677C3B"/>
    <w:rsid w:val="006811FB"/>
    <w:rsid w:val="00681AE1"/>
    <w:rsid w:val="00682191"/>
    <w:rsid w:val="006821CA"/>
    <w:rsid w:val="00682A45"/>
    <w:rsid w:val="00682B50"/>
    <w:rsid w:val="00683D66"/>
    <w:rsid w:val="00684D15"/>
    <w:rsid w:val="00685B33"/>
    <w:rsid w:val="006865D6"/>
    <w:rsid w:val="006866AD"/>
    <w:rsid w:val="00686F4D"/>
    <w:rsid w:val="00687301"/>
    <w:rsid w:val="00687F30"/>
    <w:rsid w:val="00693F50"/>
    <w:rsid w:val="00694663"/>
    <w:rsid w:val="00696304"/>
    <w:rsid w:val="006967ED"/>
    <w:rsid w:val="006A23F7"/>
    <w:rsid w:val="006A2AA8"/>
    <w:rsid w:val="006A3C8E"/>
    <w:rsid w:val="006A5502"/>
    <w:rsid w:val="006A7308"/>
    <w:rsid w:val="006A730E"/>
    <w:rsid w:val="006B1653"/>
    <w:rsid w:val="006B21E8"/>
    <w:rsid w:val="006B225B"/>
    <w:rsid w:val="006B28BA"/>
    <w:rsid w:val="006B44D2"/>
    <w:rsid w:val="006B5BDA"/>
    <w:rsid w:val="006C0A5D"/>
    <w:rsid w:val="006C20E1"/>
    <w:rsid w:val="006C4B56"/>
    <w:rsid w:val="006C6A5E"/>
    <w:rsid w:val="006C7FCD"/>
    <w:rsid w:val="006D06D7"/>
    <w:rsid w:val="006D1A08"/>
    <w:rsid w:val="006D2172"/>
    <w:rsid w:val="006D22CA"/>
    <w:rsid w:val="006D70B5"/>
    <w:rsid w:val="006E265E"/>
    <w:rsid w:val="006E2AE4"/>
    <w:rsid w:val="006E2DD3"/>
    <w:rsid w:val="006E47BC"/>
    <w:rsid w:val="006E516B"/>
    <w:rsid w:val="006E6E59"/>
    <w:rsid w:val="006E7D63"/>
    <w:rsid w:val="006F009D"/>
    <w:rsid w:val="006F0E51"/>
    <w:rsid w:val="006F0EC8"/>
    <w:rsid w:val="006F1D0D"/>
    <w:rsid w:val="006F1EE0"/>
    <w:rsid w:val="006F2730"/>
    <w:rsid w:val="006F3108"/>
    <w:rsid w:val="006F35FF"/>
    <w:rsid w:val="006F4456"/>
    <w:rsid w:val="006F4E43"/>
    <w:rsid w:val="006F5ABA"/>
    <w:rsid w:val="006F5F76"/>
    <w:rsid w:val="006F7ED8"/>
    <w:rsid w:val="007017B9"/>
    <w:rsid w:val="007027E9"/>
    <w:rsid w:val="007043E1"/>
    <w:rsid w:val="0070548A"/>
    <w:rsid w:val="007059D1"/>
    <w:rsid w:val="00705A8F"/>
    <w:rsid w:val="00705D9E"/>
    <w:rsid w:val="0070613B"/>
    <w:rsid w:val="007061D9"/>
    <w:rsid w:val="00706340"/>
    <w:rsid w:val="00710113"/>
    <w:rsid w:val="00710B9C"/>
    <w:rsid w:val="007116FE"/>
    <w:rsid w:val="00711771"/>
    <w:rsid w:val="007119FE"/>
    <w:rsid w:val="00712810"/>
    <w:rsid w:val="007156BF"/>
    <w:rsid w:val="007164C9"/>
    <w:rsid w:val="00717824"/>
    <w:rsid w:val="007208AF"/>
    <w:rsid w:val="00721D8B"/>
    <w:rsid w:val="007240E6"/>
    <w:rsid w:val="0072624D"/>
    <w:rsid w:val="0072629C"/>
    <w:rsid w:val="007262B5"/>
    <w:rsid w:val="007266AB"/>
    <w:rsid w:val="00730580"/>
    <w:rsid w:val="007319C5"/>
    <w:rsid w:val="0073273F"/>
    <w:rsid w:val="00732822"/>
    <w:rsid w:val="00732B1F"/>
    <w:rsid w:val="00732B99"/>
    <w:rsid w:val="00732D00"/>
    <w:rsid w:val="007340EB"/>
    <w:rsid w:val="00734405"/>
    <w:rsid w:val="00734974"/>
    <w:rsid w:val="00737486"/>
    <w:rsid w:val="007413FD"/>
    <w:rsid w:val="00741D1C"/>
    <w:rsid w:val="007444DA"/>
    <w:rsid w:val="007455C0"/>
    <w:rsid w:val="00746A7B"/>
    <w:rsid w:val="00747EEF"/>
    <w:rsid w:val="00750564"/>
    <w:rsid w:val="0075278C"/>
    <w:rsid w:val="00755696"/>
    <w:rsid w:val="00755944"/>
    <w:rsid w:val="00760EB3"/>
    <w:rsid w:val="007614D0"/>
    <w:rsid w:val="00761914"/>
    <w:rsid w:val="00761F7A"/>
    <w:rsid w:val="007627E2"/>
    <w:rsid w:val="00763FCB"/>
    <w:rsid w:val="00764B65"/>
    <w:rsid w:val="00765101"/>
    <w:rsid w:val="00765CA0"/>
    <w:rsid w:val="00770E74"/>
    <w:rsid w:val="0077131F"/>
    <w:rsid w:val="007717C2"/>
    <w:rsid w:val="007721A6"/>
    <w:rsid w:val="00772D18"/>
    <w:rsid w:val="00774EA0"/>
    <w:rsid w:val="007760AD"/>
    <w:rsid w:val="00776CAC"/>
    <w:rsid w:val="007772DD"/>
    <w:rsid w:val="007777A5"/>
    <w:rsid w:val="0078123D"/>
    <w:rsid w:val="0078387E"/>
    <w:rsid w:val="00783D9C"/>
    <w:rsid w:val="00783F6A"/>
    <w:rsid w:val="0078427B"/>
    <w:rsid w:val="007847D1"/>
    <w:rsid w:val="007872F5"/>
    <w:rsid w:val="00787AC4"/>
    <w:rsid w:val="00790C44"/>
    <w:rsid w:val="00790CEE"/>
    <w:rsid w:val="00791408"/>
    <w:rsid w:val="00791D67"/>
    <w:rsid w:val="007928EA"/>
    <w:rsid w:val="007948E2"/>
    <w:rsid w:val="00796053"/>
    <w:rsid w:val="007978B1"/>
    <w:rsid w:val="00797DF5"/>
    <w:rsid w:val="007A043A"/>
    <w:rsid w:val="007A0558"/>
    <w:rsid w:val="007A10AE"/>
    <w:rsid w:val="007A1BD1"/>
    <w:rsid w:val="007A307D"/>
    <w:rsid w:val="007A3403"/>
    <w:rsid w:val="007A37B4"/>
    <w:rsid w:val="007A3879"/>
    <w:rsid w:val="007A38F4"/>
    <w:rsid w:val="007A3A0C"/>
    <w:rsid w:val="007A3E1F"/>
    <w:rsid w:val="007A6771"/>
    <w:rsid w:val="007A6D66"/>
    <w:rsid w:val="007B04AB"/>
    <w:rsid w:val="007B15C2"/>
    <w:rsid w:val="007B1A84"/>
    <w:rsid w:val="007B2B78"/>
    <w:rsid w:val="007B4140"/>
    <w:rsid w:val="007B4B15"/>
    <w:rsid w:val="007B5690"/>
    <w:rsid w:val="007C033D"/>
    <w:rsid w:val="007C227B"/>
    <w:rsid w:val="007C27B2"/>
    <w:rsid w:val="007C2DC3"/>
    <w:rsid w:val="007C3E44"/>
    <w:rsid w:val="007C43DF"/>
    <w:rsid w:val="007C48A2"/>
    <w:rsid w:val="007C5622"/>
    <w:rsid w:val="007C5953"/>
    <w:rsid w:val="007C65EA"/>
    <w:rsid w:val="007C716D"/>
    <w:rsid w:val="007C7682"/>
    <w:rsid w:val="007D2672"/>
    <w:rsid w:val="007D45EB"/>
    <w:rsid w:val="007D49DC"/>
    <w:rsid w:val="007D4DAD"/>
    <w:rsid w:val="007D4E94"/>
    <w:rsid w:val="007D6282"/>
    <w:rsid w:val="007D71B0"/>
    <w:rsid w:val="007D727E"/>
    <w:rsid w:val="007E0031"/>
    <w:rsid w:val="007E1434"/>
    <w:rsid w:val="007E2EE5"/>
    <w:rsid w:val="007E31FC"/>
    <w:rsid w:val="007E321B"/>
    <w:rsid w:val="007E48A0"/>
    <w:rsid w:val="007E5A72"/>
    <w:rsid w:val="007E6560"/>
    <w:rsid w:val="007E6ABA"/>
    <w:rsid w:val="007E7667"/>
    <w:rsid w:val="007F165F"/>
    <w:rsid w:val="007F1846"/>
    <w:rsid w:val="007F3707"/>
    <w:rsid w:val="007F3A19"/>
    <w:rsid w:val="007F46E4"/>
    <w:rsid w:val="007F4BE8"/>
    <w:rsid w:val="007F5755"/>
    <w:rsid w:val="007F69F0"/>
    <w:rsid w:val="007F6AA9"/>
    <w:rsid w:val="007F70C2"/>
    <w:rsid w:val="007F72F5"/>
    <w:rsid w:val="00800F2B"/>
    <w:rsid w:val="0080182F"/>
    <w:rsid w:val="0080272D"/>
    <w:rsid w:val="008036F4"/>
    <w:rsid w:val="00803B93"/>
    <w:rsid w:val="008041C7"/>
    <w:rsid w:val="00804C99"/>
    <w:rsid w:val="00806B35"/>
    <w:rsid w:val="008073E9"/>
    <w:rsid w:val="0081033E"/>
    <w:rsid w:val="00811E90"/>
    <w:rsid w:val="00812F69"/>
    <w:rsid w:val="00814845"/>
    <w:rsid w:val="00815B18"/>
    <w:rsid w:val="00816A9E"/>
    <w:rsid w:val="00816CCA"/>
    <w:rsid w:val="008207BC"/>
    <w:rsid w:val="0082106F"/>
    <w:rsid w:val="008219C5"/>
    <w:rsid w:val="00822F59"/>
    <w:rsid w:val="00824174"/>
    <w:rsid w:val="0082475B"/>
    <w:rsid w:val="008268E2"/>
    <w:rsid w:val="00826B26"/>
    <w:rsid w:val="0082790B"/>
    <w:rsid w:val="00827C31"/>
    <w:rsid w:val="008310A8"/>
    <w:rsid w:val="008328C6"/>
    <w:rsid w:val="00835E84"/>
    <w:rsid w:val="0084071B"/>
    <w:rsid w:val="008408D0"/>
    <w:rsid w:val="00840C5E"/>
    <w:rsid w:val="00842BCF"/>
    <w:rsid w:val="00844051"/>
    <w:rsid w:val="00844BE6"/>
    <w:rsid w:val="00845237"/>
    <w:rsid w:val="00846445"/>
    <w:rsid w:val="00846B2D"/>
    <w:rsid w:val="00846BEA"/>
    <w:rsid w:val="00846FDD"/>
    <w:rsid w:val="00850812"/>
    <w:rsid w:val="00851434"/>
    <w:rsid w:val="0085227F"/>
    <w:rsid w:val="00852784"/>
    <w:rsid w:val="00852F48"/>
    <w:rsid w:val="0085304D"/>
    <w:rsid w:val="00853B97"/>
    <w:rsid w:val="00853FEB"/>
    <w:rsid w:val="0085522B"/>
    <w:rsid w:val="0085538F"/>
    <w:rsid w:val="00855AC4"/>
    <w:rsid w:val="00855F09"/>
    <w:rsid w:val="00856BD4"/>
    <w:rsid w:val="00856C2B"/>
    <w:rsid w:val="00857BB4"/>
    <w:rsid w:val="00860DD8"/>
    <w:rsid w:val="00862D34"/>
    <w:rsid w:val="00863660"/>
    <w:rsid w:val="00865F8F"/>
    <w:rsid w:val="00866951"/>
    <w:rsid w:val="00870333"/>
    <w:rsid w:val="00870B35"/>
    <w:rsid w:val="008710F8"/>
    <w:rsid w:val="00871B45"/>
    <w:rsid w:val="0087266F"/>
    <w:rsid w:val="008745EB"/>
    <w:rsid w:val="00875FB2"/>
    <w:rsid w:val="008765AB"/>
    <w:rsid w:val="00876913"/>
    <w:rsid w:val="00880695"/>
    <w:rsid w:val="008807E4"/>
    <w:rsid w:val="00880AE5"/>
    <w:rsid w:val="008811A5"/>
    <w:rsid w:val="00882686"/>
    <w:rsid w:val="00882CFF"/>
    <w:rsid w:val="00883F96"/>
    <w:rsid w:val="00884678"/>
    <w:rsid w:val="008846AE"/>
    <w:rsid w:val="0088615A"/>
    <w:rsid w:val="0088633F"/>
    <w:rsid w:val="00890A56"/>
    <w:rsid w:val="0089147A"/>
    <w:rsid w:val="008916D1"/>
    <w:rsid w:val="008922C3"/>
    <w:rsid w:val="00893977"/>
    <w:rsid w:val="00894A4E"/>
    <w:rsid w:val="0089658D"/>
    <w:rsid w:val="00896C6F"/>
    <w:rsid w:val="00897B95"/>
    <w:rsid w:val="008A0709"/>
    <w:rsid w:val="008A2983"/>
    <w:rsid w:val="008A2AD7"/>
    <w:rsid w:val="008A31B0"/>
    <w:rsid w:val="008A3A13"/>
    <w:rsid w:val="008A4E9A"/>
    <w:rsid w:val="008A521D"/>
    <w:rsid w:val="008A581B"/>
    <w:rsid w:val="008A59DC"/>
    <w:rsid w:val="008A732F"/>
    <w:rsid w:val="008A7686"/>
    <w:rsid w:val="008B2040"/>
    <w:rsid w:val="008B257D"/>
    <w:rsid w:val="008B2CCC"/>
    <w:rsid w:val="008B2F42"/>
    <w:rsid w:val="008B4217"/>
    <w:rsid w:val="008B4831"/>
    <w:rsid w:val="008B4E76"/>
    <w:rsid w:val="008B64F4"/>
    <w:rsid w:val="008B7DE4"/>
    <w:rsid w:val="008B7E10"/>
    <w:rsid w:val="008B7EFD"/>
    <w:rsid w:val="008C0B80"/>
    <w:rsid w:val="008C1601"/>
    <w:rsid w:val="008C2131"/>
    <w:rsid w:val="008C328A"/>
    <w:rsid w:val="008C554B"/>
    <w:rsid w:val="008C6681"/>
    <w:rsid w:val="008C7E63"/>
    <w:rsid w:val="008D06CF"/>
    <w:rsid w:val="008D1846"/>
    <w:rsid w:val="008D19B1"/>
    <w:rsid w:val="008D2FDB"/>
    <w:rsid w:val="008D341C"/>
    <w:rsid w:val="008D37A9"/>
    <w:rsid w:val="008D40F4"/>
    <w:rsid w:val="008D426E"/>
    <w:rsid w:val="008D4346"/>
    <w:rsid w:val="008D5086"/>
    <w:rsid w:val="008D6183"/>
    <w:rsid w:val="008D6777"/>
    <w:rsid w:val="008D7653"/>
    <w:rsid w:val="008D766D"/>
    <w:rsid w:val="008E1679"/>
    <w:rsid w:val="008E1E9A"/>
    <w:rsid w:val="008E6CBC"/>
    <w:rsid w:val="008E756C"/>
    <w:rsid w:val="008E781A"/>
    <w:rsid w:val="008F0612"/>
    <w:rsid w:val="008F087D"/>
    <w:rsid w:val="008F09F1"/>
    <w:rsid w:val="008F0ED6"/>
    <w:rsid w:val="008F4A1F"/>
    <w:rsid w:val="008F4FE8"/>
    <w:rsid w:val="008F5A42"/>
    <w:rsid w:val="008F6479"/>
    <w:rsid w:val="008F679E"/>
    <w:rsid w:val="008F6DED"/>
    <w:rsid w:val="008F6F1C"/>
    <w:rsid w:val="008F6FAD"/>
    <w:rsid w:val="008F7332"/>
    <w:rsid w:val="008F7791"/>
    <w:rsid w:val="009004C5"/>
    <w:rsid w:val="00900C35"/>
    <w:rsid w:val="00900DAD"/>
    <w:rsid w:val="00901745"/>
    <w:rsid w:val="0090193F"/>
    <w:rsid w:val="00902658"/>
    <w:rsid w:val="00902825"/>
    <w:rsid w:val="00902F60"/>
    <w:rsid w:val="00903AAA"/>
    <w:rsid w:val="00904279"/>
    <w:rsid w:val="00904626"/>
    <w:rsid w:val="00904F14"/>
    <w:rsid w:val="00906C04"/>
    <w:rsid w:val="009076A1"/>
    <w:rsid w:val="009101D0"/>
    <w:rsid w:val="009106EB"/>
    <w:rsid w:val="00911050"/>
    <w:rsid w:val="00911BB1"/>
    <w:rsid w:val="00911D61"/>
    <w:rsid w:val="0091200A"/>
    <w:rsid w:val="0091256E"/>
    <w:rsid w:val="00913CFA"/>
    <w:rsid w:val="0091409E"/>
    <w:rsid w:val="00914576"/>
    <w:rsid w:val="00915AE4"/>
    <w:rsid w:val="00915C74"/>
    <w:rsid w:val="009164BA"/>
    <w:rsid w:val="00916C95"/>
    <w:rsid w:val="0091783B"/>
    <w:rsid w:val="009205FA"/>
    <w:rsid w:val="00921A0D"/>
    <w:rsid w:val="00921A4D"/>
    <w:rsid w:val="0092472B"/>
    <w:rsid w:val="009306D1"/>
    <w:rsid w:val="0093079D"/>
    <w:rsid w:val="00930DF8"/>
    <w:rsid w:val="009314D0"/>
    <w:rsid w:val="00932315"/>
    <w:rsid w:val="00932678"/>
    <w:rsid w:val="00932B55"/>
    <w:rsid w:val="009330F2"/>
    <w:rsid w:val="00933C02"/>
    <w:rsid w:val="00936167"/>
    <w:rsid w:val="00936F5A"/>
    <w:rsid w:val="0093710C"/>
    <w:rsid w:val="00937C3A"/>
    <w:rsid w:val="00941798"/>
    <w:rsid w:val="009418A8"/>
    <w:rsid w:val="0094368C"/>
    <w:rsid w:val="00943BB4"/>
    <w:rsid w:val="00944454"/>
    <w:rsid w:val="00946568"/>
    <w:rsid w:val="00947644"/>
    <w:rsid w:val="00947CA0"/>
    <w:rsid w:val="0095028F"/>
    <w:rsid w:val="0095071E"/>
    <w:rsid w:val="00950884"/>
    <w:rsid w:val="00951DAF"/>
    <w:rsid w:val="00952911"/>
    <w:rsid w:val="00960106"/>
    <w:rsid w:val="0096101C"/>
    <w:rsid w:val="009610ED"/>
    <w:rsid w:val="009617E4"/>
    <w:rsid w:val="0096197E"/>
    <w:rsid w:val="009622DF"/>
    <w:rsid w:val="00962ADC"/>
    <w:rsid w:val="00962D33"/>
    <w:rsid w:val="00962DC0"/>
    <w:rsid w:val="009634AA"/>
    <w:rsid w:val="00963DAB"/>
    <w:rsid w:val="00964166"/>
    <w:rsid w:val="00964CEB"/>
    <w:rsid w:val="00965555"/>
    <w:rsid w:val="00970485"/>
    <w:rsid w:val="00970841"/>
    <w:rsid w:val="00970A7A"/>
    <w:rsid w:val="00971DC5"/>
    <w:rsid w:val="00971E46"/>
    <w:rsid w:val="009735E1"/>
    <w:rsid w:val="00975061"/>
    <w:rsid w:val="0097556A"/>
    <w:rsid w:val="00975E0C"/>
    <w:rsid w:val="0097668B"/>
    <w:rsid w:val="00981619"/>
    <w:rsid w:val="00981E9A"/>
    <w:rsid w:val="00981F4B"/>
    <w:rsid w:val="0098270A"/>
    <w:rsid w:val="00984018"/>
    <w:rsid w:val="00985E7C"/>
    <w:rsid w:val="009861DC"/>
    <w:rsid w:val="009867D0"/>
    <w:rsid w:val="00986E72"/>
    <w:rsid w:val="00987618"/>
    <w:rsid w:val="00990604"/>
    <w:rsid w:val="00990EF2"/>
    <w:rsid w:val="00991019"/>
    <w:rsid w:val="00991AA5"/>
    <w:rsid w:val="0099243E"/>
    <w:rsid w:val="009950AD"/>
    <w:rsid w:val="0099532A"/>
    <w:rsid w:val="009955D6"/>
    <w:rsid w:val="0099584F"/>
    <w:rsid w:val="009958EF"/>
    <w:rsid w:val="00995AB7"/>
    <w:rsid w:val="009A124C"/>
    <w:rsid w:val="009A1DAF"/>
    <w:rsid w:val="009A2B44"/>
    <w:rsid w:val="009A3305"/>
    <w:rsid w:val="009A360B"/>
    <w:rsid w:val="009A3EBA"/>
    <w:rsid w:val="009A4257"/>
    <w:rsid w:val="009A5174"/>
    <w:rsid w:val="009A5769"/>
    <w:rsid w:val="009A61E2"/>
    <w:rsid w:val="009A6911"/>
    <w:rsid w:val="009A78BF"/>
    <w:rsid w:val="009B0422"/>
    <w:rsid w:val="009B3E61"/>
    <w:rsid w:val="009B5650"/>
    <w:rsid w:val="009B58F0"/>
    <w:rsid w:val="009B6292"/>
    <w:rsid w:val="009C1BEE"/>
    <w:rsid w:val="009C3196"/>
    <w:rsid w:val="009C499F"/>
    <w:rsid w:val="009C4C8A"/>
    <w:rsid w:val="009C5217"/>
    <w:rsid w:val="009C5793"/>
    <w:rsid w:val="009C59B8"/>
    <w:rsid w:val="009C67E3"/>
    <w:rsid w:val="009C6FAE"/>
    <w:rsid w:val="009C71F9"/>
    <w:rsid w:val="009C74B8"/>
    <w:rsid w:val="009C778A"/>
    <w:rsid w:val="009D10FB"/>
    <w:rsid w:val="009D1EAA"/>
    <w:rsid w:val="009D2E50"/>
    <w:rsid w:val="009D2F3F"/>
    <w:rsid w:val="009D3158"/>
    <w:rsid w:val="009D3908"/>
    <w:rsid w:val="009D4721"/>
    <w:rsid w:val="009D4EAA"/>
    <w:rsid w:val="009D557A"/>
    <w:rsid w:val="009D55A3"/>
    <w:rsid w:val="009D60C7"/>
    <w:rsid w:val="009D6E4A"/>
    <w:rsid w:val="009D6FC0"/>
    <w:rsid w:val="009D78D9"/>
    <w:rsid w:val="009E021D"/>
    <w:rsid w:val="009E1790"/>
    <w:rsid w:val="009E1FD3"/>
    <w:rsid w:val="009E24F2"/>
    <w:rsid w:val="009E28A4"/>
    <w:rsid w:val="009E2AD6"/>
    <w:rsid w:val="009E5414"/>
    <w:rsid w:val="009E5452"/>
    <w:rsid w:val="009E59EE"/>
    <w:rsid w:val="009E6DD3"/>
    <w:rsid w:val="009E7DC0"/>
    <w:rsid w:val="009E7FCE"/>
    <w:rsid w:val="009F1309"/>
    <w:rsid w:val="009F1AAD"/>
    <w:rsid w:val="009F303F"/>
    <w:rsid w:val="009F3B4C"/>
    <w:rsid w:val="009F3DE8"/>
    <w:rsid w:val="009F3EF4"/>
    <w:rsid w:val="009F597D"/>
    <w:rsid w:val="009F5A75"/>
    <w:rsid w:val="009F7071"/>
    <w:rsid w:val="00A007A2"/>
    <w:rsid w:val="00A00F21"/>
    <w:rsid w:val="00A01584"/>
    <w:rsid w:val="00A01C45"/>
    <w:rsid w:val="00A01DD3"/>
    <w:rsid w:val="00A01E97"/>
    <w:rsid w:val="00A0238A"/>
    <w:rsid w:val="00A02509"/>
    <w:rsid w:val="00A03026"/>
    <w:rsid w:val="00A044F0"/>
    <w:rsid w:val="00A0482A"/>
    <w:rsid w:val="00A04B76"/>
    <w:rsid w:val="00A05003"/>
    <w:rsid w:val="00A0520F"/>
    <w:rsid w:val="00A0573A"/>
    <w:rsid w:val="00A05D2C"/>
    <w:rsid w:val="00A0682D"/>
    <w:rsid w:val="00A06E6F"/>
    <w:rsid w:val="00A074E9"/>
    <w:rsid w:val="00A07B61"/>
    <w:rsid w:val="00A10279"/>
    <w:rsid w:val="00A106BF"/>
    <w:rsid w:val="00A11B15"/>
    <w:rsid w:val="00A12045"/>
    <w:rsid w:val="00A13F5A"/>
    <w:rsid w:val="00A14575"/>
    <w:rsid w:val="00A14B93"/>
    <w:rsid w:val="00A1515D"/>
    <w:rsid w:val="00A154A8"/>
    <w:rsid w:val="00A16706"/>
    <w:rsid w:val="00A16848"/>
    <w:rsid w:val="00A17445"/>
    <w:rsid w:val="00A20452"/>
    <w:rsid w:val="00A22B8C"/>
    <w:rsid w:val="00A235BB"/>
    <w:rsid w:val="00A238E8"/>
    <w:rsid w:val="00A2722D"/>
    <w:rsid w:val="00A27CA9"/>
    <w:rsid w:val="00A307C6"/>
    <w:rsid w:val="00A309AE"/>
    <w:rsid w:val="00A30A99"/>
    <w:rsid w:val="00A325A2"/>
    <w:rsid w:val="00A346C9"/>
    <w:rsid w:val="00A34995"/>
    <w:rsid w:val="00A3556C"/>
    <w:rsid w:val="00A36125"/>
    <w:rsid w:val="00A36BD5"/>
    <w:rsid w:val="00A377EF"/>
    <w:rsid w:val="00A4002E"/>
    <w:rsid w:val="00A42AC5"/>
    <w:rsid w:val="00A42E7D"/>
    <w:rsid w:val="00A43F16"/>
    <w:rsid w:val="00A43FC8"/>
    <w:rsid w:val="00A44C28"/>
    <w:rsid w:val="00A46D32"/>
    <w:rsid w:val="00A47543"/>
    <w:rsid w:val="00A50012"/>
    <w:rsid w:val="00A50A0D"/>
    <w:rsid w:val="00A51CFD"/>
    <w:rsid w:val="00A52F83"/>
    <w:rsid w:val="00A55B97"/>
    <w:rsid w:val="00A605C7"/>
    <w:rsid w:val="00A61BCE"/>
    <w:rsid w:val="00A61FD2"/>
    <w:rsid w:val="00A642E2"/>
    <w:rsid w:val="00A6434F"/>
    <w:rsid w:val="00A66AB9"/>
    <w:rsid w:val="00A67D0C"/>
    <w:rsid w:val="00A71716"/>
    <w:rsid w:val="00A71F02"/>
    <w:rsid w:val="00A724F1"/>
    <w:rsid w:val="00A750C9"/>
    <w:rsid w:val="00A75FE3"/>
    <w:rsid w:val="00A773DF"/>
    <w:rsid w:val="00A77AE9"/>
    <w:rsid w:val="00A80D54"/>
    <w:rsid w:val="00A817B4"/>
    <w:rsid w:val="00A81F3B"/>
    <w:rsid w:val="00A82E45"/>
    <w:rsid w:val="00A839F4"/>
    <w:rsid w:val="00A85FCC"/>
    <w:rsid w:val="00A8652C"/>
    <w:rsid w:val="00A86845"/>
    <w:rsid w:val="00A90339"/>
    <w:rsid w:val="00A90AE2"/>
    <w:rsid w:val="00A914EB"/>
    <w:rsid w:val="00A92E25"/>
    <w:rsid w:val="00A941CD"/>
    <w:rsid w:val="00A94C30"/>
    <w:rsid w:val="00A954E0"/>
    <w:rsid w:val="00A95600"/>
    <w:rsid w:val="00A95AC4"/>
    <w:rsid w:val="00A9772C"/>
    <w:rsid w:val="00AA1133"/>
    <w:rsid w:val="00AA1AEF"/>
    <w:rsid w:val="00AA2F09"/>
    <w:rsid w:val="00AA3E07"/>
    <w:rsid w:val="00AA5F4F"/>
    <w:rsid w:val="00AB0BE8"/>
    <w:rsid w:val="00AB0E2E"/>
    <w:rsid w:val="00AB129D"/>
    <w:rsid w:val="00AB14C4"/>
    <w:rsid w:val="00AB1D38"/>
    <w:rsid w:val="00AB5A6F"/>
    <w:rsid w:val="00AB68CA"/>
    <w:rsid w:val="00AB6DA3"/>
    <w:rsid w:val="00AB6EAB"/>
    <w:rsid w:val="00AB7676"/>
    <w:rsid w:val="00AC04FD"/>
    <w:rsid w:val="00AC17B6"/>
    <w:rsid w:val="00AC1BCB"/>
    <w:rsid w:val="00AC48F6"/>
    <w:rsid w:val="00AC4A43"/>
    <w:rsid w:val="00AC4F3B"/>
    <w:rsid w:val="00AC5A9A"/>
    <w:rsid w:val="00AC62D3"/>
    <w:rsid w:val="00AC7628"/>
    <w:rsid w:val="00AD0158"/>
    <w:rsid w:val="00AD0E63"/>
    <w:rsid w:val="00AD12EF"/>
    <w:rsid w:val="00AD1C8C"/>
    <w:rsid w:val="00AD2671"/>
    <w:rsid w:val="00AD5082"/>
    <w:rsid w:val="00AD659C"/>
    <w:rsid w:val="00AD69D1"/>
    <w:rsid w:val="00AD6EDB"/>
    <w:rsid w:val="00AD7396"/>
    <w:rsid w:val="00AD7AE2"/>
    <w:rsid w:val="00AE0184"/>
    <w:rsid w:val="00AE087C"/>
    <w:rsid w:val="00AE22DC"/>
    <w:rsid w:val="00AE30B3"/>
    <w:rsid w:val="00AE34FA"/>
    <w:rsid w:val="00AE3733"/>
    <w:rsid w:val="00AE45F8"/>
    <w:rsid w:val="00AE4BF0"/>
    <w:rsid w:val="00AE53FA"/>
    <w:rsid w:val="00AE6757"/>
    <w:rsid w:val="00AE6915"/>
    <w:rsid w:val="00AE6B50"/>
    <w:rsid w:val="00AE7150"/>
    <w:rsid w:val="00AE7905"/>
    <w:rsid w:val="00AF06D0"/>
    <w:rsid w:val="00AF1E96"/>
    <w:rsid w:val="00AF2C3D"/>
    <w:rsid w:val="00AF35E4"/>
    <w:rsid w:val="00AF391C"/>
    <w:rsid w:val="00AF3B6C"/>
    <w:rsid w:val="00AF4101"/>
    <w:rsid w:val="00AF5E7C"/>
    <w:rsid w:val="00AF75E4"/>
    <w:rsid w:val="00AF7710"/>
    <w:rsid w:val="00B0004A"/>
    <w:rsid w:val="00B042FF"/>
    <w:rsid w:val="00B04824"/>
    <w:rsid w:val="00B0499F"/>
    <w:rsid w:val="00B05234"/>
    <w:rsid w:val="00B053F1"/>
    <w:rsid w:val="00B05531"/>
    <w:rsid w:val="00B072BD"/>
    <w:rsid w:val="00B07EC3"/>
    <w:rsid w:val="00B11ACB"/>
    <w:rsid w:val="00B12B08"/>
    <w:rsid w:val="00B13027"/>
    <w:rsid w:val="00B136CA"/>
    <w:rsid w:val="00B13BA0"/>
    <w:rsid w:val="00B1498F"/>
    <w:rsid w:val="00B14C00"/>
    <w:rsid w:val="00B154DE"/>
    <w:rsid w:val="00B1654E"/>
    <w:rsid w:val="00B21E34"/>
    <w:rsid w:val="00B22449"/>
    <w:rsid w:val="00B2260A"/>
    <w:rsid w:val="00B2577D"/>
    <w:rsid w:val="00B27312"/>
    <w:rsid w:val="00B27D00"/>
    <w:rsid w:val="00B3006C"/>
    <w:rsid w:val="00B321C1"/>
    <w:rsid w:val="00B32255"/>
    <w:rsid w:val="00B33010"/>
    <w:rsid w:val="00B34607"/>
    <w:rsid w:val="00B34756"/>
    <w:rsid w:val="00B36032"/>
    <w:rsid w:val="00B36F0F"/>
    <w:rsid w:val="00B375B3"/>
    <w:rsid w:val="00B3761D"/>
    <w:rsid w:val="00B43FCB"/>
    <w:rsid w:val="00B44153"/>
    <w:rsid w:val="00B465F5"/>
    <w:rsid w:val="00B470B3"/>
    <w:rsid w:val="00B477A9"/>
    <w:rsid w:val="00B52A49"/>
    <w:rsid w:val="00B53E4E"/>
    <w:rsid w:val="00B5453E"/>
    <w:rsid w:val="00B54AB3"/>
    <w:rsid w:val="00B54AFD"/>
    <w:rsid w:val="00B56111"/>
    <w:rsid w:val="00B63125"/>
    <w:rsid w:val="00B646E7"/>
    <w:rsid w:val="00B651AA"/>
    <w:rsid w:val="00B65619"/>
    <w:rsid w:val="00B6661A"/>
    <w:rsid w:val="00B66E41"/>
    <w:rsid w:val="00B671E2"/>
    <w:rsid w:val="00B676D8"/>
    <w:rsid w:val="00B70036"/>
    <w:rsid w:val="00B70106"/>
    <w:rsid w:val="00B707F5"/>
    <w:rsid w:val="00B71272"/>
    <w:rsid w:val="00B71356"/>
    <w:rsid w:val="00B71A9F"/>
    <w:rsid w:val="00B729AF"/>
    <w:rsid w:val="00B75581"/>
    <w:rsid w:val="00B757D0"/>
    <w:rsid w:val="00B75ED7"/>
    <w:rsid w:val="00B76009"/>
    <w:rsid w:val="00B77A3A"/>
    <w:rsid w:val="00B80764"/>
    <w:rsid w:val="00B81E68"/>
    <w:rsid w:val="00B81F8B"/>
    <w:rsid w:val="00B82501"/>
    <w:rsid w:val="00B83CA9"/>
    <w:rsid w:val="00B83EF6"/>
    <w:rsid w:val="00B8450B"/>
    <w:rsid w:val="00B85488"/>
    <w:rsid w:val="00B85C79"/>
    <w:rsid w:val="00B85DDD"/>
    <w:rsid w:val="00B86B28"/>
    <w:rsid w:val="00B90C4C"/>
    <w:rsid w:val="00B915B6"/>
    <w:rsid w:val="00B91B5A"/>
    <w:rsid w:val="00B91ED0"/>
    <w:rsid w:val="00B92BDA"/>
    <w:rsid w:val="00B94B89"/>
    <w:rsid w:val="00B95433"/>
    <w:rsid w:val="00B95B16"/>
    <w:rsid w:val="00B961AA"/>
    <w:rsid w:val="00B961AE"/>
    <w:rsid w:val="00B96F86"/>
    <w:rsid w:val="00BA0EF9"/>
    <w:rsid w:val="00BA15DF"/>
    <w:rsid w:val="00BA1E7A"/>
    <w:rsid w:val="00BA27A8"/>
    <w:rsid w:val="00BA36D3"/>
    <w:rsid w:val="00BA371A"/>
    <w:rsid w:val="00BA5036"/>
    <w:rsid w:val="00BA56CD"/>
    <w:rsid w:val="00BA68FF"/>
    <w:rsid w:val="00BA709E"/>
    <w:rsid w:val="00BB097B"/>
    <w:rsid w:val="00BB2A19"/>
    <w:rsid w:val="00BB2A57"/>
    <w:rsid w:val="00BB36AC"/>
    <w:rsid w:val="00BB3D8D"/>
    <w:rsid w:val="00BB3E2C"/>
    <w:rsid w:val="00BB6233"/>
    <w:rsid w:val="00BB634C"/>
    <w:rsid w:val="00BB7CA1"/>
    <w:rsid w:val="00BB7DA3"/>
    <w:rsid w:val="00BC0C94"/>
    <w:rsid w:val="00BC19D3"/>
    <w:rsid w:val="00BC1AFD"/>
    <w:rsid w:val="00BC2137"/>
    <w:rsid w:val="00BC22B2"/>
    <w:rsid w:val="00BC2306"/>
    <w:rsid w:val="00BC3BC7"/>
    <w:rsid w:val="00BC4674"/>
    <w:rsid w:val="00BC4BA1"/>
    <w:rsid w:val="00BC4C5F"/>
    <w:rsid w:val="00BC7CC6"/>
    <w:rsid w:val="00BC7CF0"/>
    <w:rsid w:val="00BD0951"/>
    <w:rsid w:val="00BD1147"/>
    <w:rsid w:val="00BD1A72"/>
    <w:rsid w:val="00BD2C7B"/>
    <w:rsid w:val="00BD4345"/>
    <w:rsid w:val="00BD49D9"/>
    <w:rsid w:val="00BD4FD2"/>
    <w:rsid w:val="00BD515A"/>
    <w:rsid w:val="00BD5956"/>
    <w:rsid w:val="00BE11ED"/>
    <w:rsid w:val="00BE23C1"/>
    <w:rsid w:val="00BE2936"/>
    <w:rsid w:val="00BE2ACC"/>
    <w:rsid w:val="00BE2FD7"/>
    <w:rsid w:val="00BE3601"/>
    <w:rsid w:val="00BE4341"/>
    <w:rsid w:val="00BE6835"/>
    <w:rsid w:val="00BE7647"/>
    <w:rsid w:val="00BF1982"/>
    <w:rsid w:val="00BF1B43"/>
    <w:rsid w:val="00BF2D02"/>
    <w:rsid w:val="00BF53AF"/>
    <w:rsid w:val="00BF5943"/>
    <w:rsid w:val="00BF6357"/>
    <w:rsid w:val="00BF65B6"/>
    <w:rsid w:val="00BF6680"/>
    <w:rsid w:val="00BF7719"/>
    <w:rsid w:val="00C000DA"/>
    <w:rsid w:val="00C00CC7"/>
    <w:rsid w:val="00C01256"/>
    <w:rsid w:val="00C0277B"/>
    <w:rsid w:val="00C02EC7"/>
    <w:rsid w:val="00C02F38"/>
    <w:rsid w:val="00C031EE"/>
    <w:rsid w:val="00C032C8"/>
    <w:rsid w:val="00C03CD7"/>
    <w:rsid w:val="00C05784"/>
    <w:rsid w:val="00C0635F"/>
    <w:rsid w:val="00C064B8"/>
    <w:rsid w:val="00C070FF"/>
    <w:rsid w:val="00C109F4"/>
    <w:rsid w:val="00C10C8F"/>
    <w:rsid w:val="00C111F0"/>
    <w:rsid w:val="00C123DB"/>
    <w:rsid w:val="00C126E4"/>
    <w:rsid w:val="00C14D9D"/>
    <w:rsid w:val="00C157B8"/>
    <w:rsid w:val="00C17E02"/>
    <w:rsid w:val="00C17E48"/>
    <w:rsid w:val="00C21311"/>
    <w:rsid w:val="00C21434"/>
    <w:rsid w:val="00C21E3B"/>
    <w:rsid w:val="00C21E74"/>
    <w:rsid w:val="00C22928"/>
    <w:rsid w:val="00C22E4D"/>
    <w:rsid w:val="00C254C6"/>
    <w:rsid w:val="00C256E7"/>
    <w:rsid w:val="00C25DD5"/>
    <w:rsid w:val="00C271CF"/>
    <w:rsid w:val="00C27B17"/>
    <w:rsid w:val="00C30FDE"/>
    <w:rsid w:val="00C318A5"/>
    <w:rsid w:val="00C31FEA"/>
    <w:rsid w:val="00C33273"/>
    <w:rsid w:val="00C3393B"/>
    <w:rsid w:val="00C33A5C"/>
    <w:rsid w:val="00C34C47"/>
    <w:rsid w:val="00C35EB1"/>
    <w:rsid w:val="00C361C1"/>
    <w:rsid w:val="00C3683E"/>
    <w:rsid w:val="00C36893"/>
    <w:rsid w:val="00C36F33"/>
    <w:rsid w:val="00C36FBE"/>
    <w:rsid w:val="00C37863"/>
    <w:rsid w:val="00C40268"/>
    <w:rsid w:val="00C40B6E"/>
    <w:rsid w:val="00C42F80"/>
    <w:rsid w:val="00C435B6"/>
    <w:rsid w:val="00C43D6F"/>
    <w:rsid w:val="00C44209"/>
    <w:rsid w:val="00C44E43"/>
    <w:rsid w:val="00C4600B"/>
    <w:rsid w:val="00C4622F"/>
    <w:rsid w:val="00C467ED"/>
    <w:rsid w:val="00C47569"/>
    <w:rsid w:val="00C47856"/>
    <w:rsid w:val="00C479F4"/>
    <w:rsid w:val="00C47B3B"/>
    <w:rsid w:val="00C50071"/>
    <w:rsid w:val="00C503FE"/>
    <w:rsid w:val="00C504A0"/>
    <w:rsid w:val="00C505AD"/>
    <w:rsid w:val="00C50CB5"/>
    <w:rsid w:val="00C5154F"/>
    <w:rsid w:val="00C515E2"/>
    <w:rsid w:val="00C52EF8"/>
    <w:rsid w:val="00C534E9"/>
    <w:rsid w:val="00C536CC"/>
    <w:rsid w:val="00C53904"/>
    <w:rsid w:val="00C539F3"/>
    <w:rsid w:val="00C55647"/>
    <w:rsid w:val="00C57532"/>
    <w:rsid w:val="00C57A42"/>
    <w:rsid w:val="00C57F4F"/>
    <w:rsid w:val="00C601C5"/>
    <w:rsid w:val="00C6057A"/>
    <w:rsid w:val="00C60DD4"/>
    <w:rsid w:val="00C61C9E"/>
    <w:rsid w:val="00C62389"/>
    <w:rsid w:val="00C623E9"/>
    <w:rsid w:val="00C623F9"/>
    <w:rsid w:val="00C627A9"/>
    <w:rsid w:val="00C62B81"/>
    <w:rsid w:val="00C62CFB"/>
    <w:rsid w:val="00C63797"/>
    <w:rsid w:val="00C63CAF"/>
    <w:rsid w:val="00C64092"/>
    <w:rsid w:val="00C6444B"/>
    <w:rsid w:val="00C6456C"/>
    <w:rsid w:val="00C653A7"/>
    <w:rsid w:val="00C65989"/>
    <w:rsid w:val="00C65CF2"/>
    <w:rsid w:val="00C66159"/>
    <w:rsid w:val="00C66324"/>
    <w:rsid w:val="00C67823"/>
    <w:rsid w:val="00C70AF8"/>
    <w:rsid w:val="00C70B10"/>
    <w:rsid w:val="00C70DC7"/>
    <w:rsid w:val="00C71032"/>
    <w:rsid w:val="00C71591"/>
    <w:rsid w:val="00C7240D"/>
    <w:rsid w:val="00C72461"/>
    <w:rsid w:val="00C73663"/>
    <w:rsid w:val="00C74378"/>
    <w:rsid w:val="00C75920"/>
    <w:rsid w:val="00C76509"/>
    <w:rsid w:val="00C76D37"/>
    <w:rsid w:val="00C77B23"/>
    <w:rsid w:val="00C77EAD"/>
    <w:rsid w:val="00C77F3B"/>
    <w:rsid w:val="00C80647"/>
    <w:rsid w:val="00C80A53"/>
    <w:rsid w:val="00C8175D"/>
    <w:rsid w:val="00C8239F"/>
    <w:rsid w:val="00C823C6"/>
    <w:rsid w:val="00C82F04"/>
    <w:rsid w:val="00C83E22"/>
    <w:rsid w:val="00C8476F"/>
    <w:rsid w:val="00C849DA"/>
    <w:rsid w:val="00C84B01"/>
    <w:rsid w:val="00C858C0"/>
    <w:rsid w:val="00C86538"/>
    <w:rsid w:val="00C86598"/>
    <w:rsid w:val="00C87E2D"/>
    <w:rsid w:val="00C91FB1"/>
    <w:rsid w:val="00C9206C"/>
    <w:rsid w:val="00C92395"/>
    <w:rsid w:val="00C92D48"/>
    <w:rsid w:val="00C94408"/>
    <w:rsid w:val="00C94C63"/>
    <w:rsid w:val="00C94F1A"/>
    <w:rsid w:val="00C95A90"/>
    <w:rsid w:val="00C96307"/>
    <w:rsid w:val="00C978ED"/>
    <w:rsid w:val="00CA1F66"/>
    <w:rsid w:val="00CA20C1"/>
    <w:rsid w:val="00CA3AD9"/>
    <w:rsid w:val="00CA3C2F"/>
    <w:rsid w:val="00CA3EAB"/>
    <w:rsid w:val="00CA436D"/>
    <w:rsid w:val="00CA4B2E"/>
    <w:rsid w:val="00CA539A"/>
    <w:rsid w:val="00CA5954"/>
    <w:rsid w:val="00CA688D"/>
    <w:rsid w:val="00CB0D7D"/>
    <w:rsid w:val="00CB1FA7"/>
    <w:rsid w:val="00CB23BA"/>
    <w:rsid w:val="00CB28FC"/>
    <w:rsid w:val="00CB4060"/>
    <w:rsid w:val="00CB416C"/>
    <w:rsid w:val="00CB5B77"/>
    <w:rsid w:val="00CB5E06"/>
    <w:rsid w:val="00CB6C74"/>
    <w:rsid w:val="00CB766B"/>
    <w:rsid w:val="00CC09ED"/>
    <w:rsid w:val="00CC241C"/>
    <w:rsid w:val="00CC5635"/>
    <w:rsid w:val="00CC591E"/>
    <w:rsid w:val="00CC62C0"/>
    <w:rsid w:val="00CC69FE"/>
    <w:rsid w:val="00CC73D9"/>
    <w:rsid w:val="00CC7FF4"/>
    <w:rsid w:val="00CD09E9"/>
    <w:rsid w:val="00CD0FC3"/>
    <w:rsid w:val="00CD14EE"/>
    <w:rsid w:val="00CD1AAC"/>
    <w:rsid w:val="00CD299E"/>
    <w:rsid w:val="00CD2D43"/>
    <w:rsid w:val="00CD437A"/>
    <w:rsid w:val="00CD48A6"/>
    <w:rsid w:val="00CD4BFE"/>
    <w:rsid w:val="00CD5358"/>
    <w:rsid w:val="00CD5420"/>
    <w:rsid w:val="00CD5523"/>
    <w:rsid w:val="00CD751D"/>
    <w:rsid w:val="00CE0443"/>
    <w:rsid w:val="00CE0995"/>
    <w:rsid w:val="00CE0FB1"/>
    <w:rsid w:val="00CE16EC"/>
    <w:rsid w:val="00CE2137"/>
    <w:rsid w:val="00CE2B39"/>
    <w:rsid w:val="00CE32DF"/>
    <w:rsid w:val="00CE3358"/>
    <w:rsid w:val="00CE3D35"/>
    <w:rsid w:val="00CE4D05"/>
    <w:rsid w:val="00CE5425"/>
    <w:rsid w:val="00CE683D"/>
    <w:rsid w:val="00CE6B64"/>
    <w:rsid w:val="00CE7152"/>
    <w:rsid w:val="00CE77B6"/>
    <w:rsid w:val="00CE7C17"/>
    <w:rsid w:val="00CF06D9"/>
    <w:rsid w:val="00CF2445"/>
    <w:rsid w:val="00CF25C3"/>
    <w:rsid w:val="00CF26AD"/>
    <w:rsid w:val="00CF2B1D"/>
    <w:rsid w:val="00CF3468"/>
    <w:rsid w:val="00CF3519"/>
    <w:rsid w:val="00CF368B"/>
    <w:rsid w:val="00CF3D52"/>
    <w:rsid w:val="00CF3D7B"/>
    <w:rsid w:val="00CF5876"/>
    <w:rsid w:val="00CF7C08"/>
    <w:rsid w:val="00D0009B"/>
    <w:rsid w:val="00D000CF"/>
    <w:rsid w:val="00D00B94"/>
    <w:rsid w:val="00D01D48"/>
    <w:rsid w:val="00D027A1"/>
    <w:rsid w:val="00D02AAC"/>
    <w:rsid w:val="00D032B4"/>
    <w:rsid w:val="00D04042"/>
    <w:rsid w:val="00D04079"/>
    <w:rsid w:val="00D04D68"/>
    <w:rsid w:val="00D05BF9"/>
    <w:rsid w:val="00D065A3"/>
    <w:rsid w:val="00D069A2"/>
    <w:rsid w:val="00D07275"/>
    <w:rsid w:val="00D07C74"/>
    <w:rsid w:val="00D07DF0"/>
    <w:rsid w:val="00D12B32"/>
    <w:rsid w:val="00D139BD"/>
    <w:rsid w:val="00D144A4"/>
    <w:rsid w:val="00D14DDD"/>
    <w:rsid w:val="00D153EA"/>
    <w:rsid w:val="00D15B56"/>
    <w:rsid w:val="00D160D9"/>
    <w:rsid w:val="00D17220"/>
    <w:rsid w:val="00D179B8"/>
    <w:rsid w:val="00D23298"/>
    <w:rsid w:val="00D23F0F"/>
    <w:rsid w:val="00D247EA"/>
    <w:rsid w:val="00D26094"/>
    <w:rsid w:val="00D264FA"/>
    <w:rsid w:val="00D2704F"/>
    <w:rsid w:val="00D27AED"/>
    <w:rsid w:val="00D30117"/>
    <w:rsid w:val="00D32503"/>
    <w:rsid w:val="00D33DAB"/>
    <w:rsid w:val="00D34BCF"/>
    <w:rsid w:val="00D34C3F"/>
    <w:rsid w:val="00D356F8"/>
    <w:rsid w:val="00D36EE5"/>
    <w:rsid w:val="00D401FF"/>
    <w:rsid w:val="00D41070"/>
    <w:rsid w:val="00D4137C"/>
    <w:rsid w:val="00D41574"/>
    <w:rsid w:val="00D423DB"/>
    <w:rsid w:val="00D42580"/>
    <w:rsid w:val="00D4479E"/>
    <w:rsid w:val="00D44CB8"/>
    <w:rsid w:val="00D451A4"/>
    <w:rsid w:val="00D47145"/>
    <w:rsid w:val="00D501F5"/>
    <w:rsid w:val="00D52134"/>
    <w:rsid w:val="00D52D92"/>
    <w:rsid w:val="00D53191"/>
    <w:rsid w:val="00D5391A"/>
    <w:rsid w:val="00D5417A"/>
    <w:rsid w:val="00D5526C"/>
    <w:rsid w:val="00D555BD"/>
    <w:rsid w:val="00D56795"/>
    <w:rsid w:val="00D57E09"/>
    <w:rsid w:val="00D6022D"/>
    <w:rsid w:val="00D6041D"/>
    <w:rsid w:val="00D63F2B"/>
    <w:rsid w:val="00D6495D"/>
    <w:rsid w:val="00D65BC9"/>
    <w:rsid w:val="00D660F9"/>
    <w:rsid w:val="00D662FF"/>
    <w:rsid w:val="00D66A78"/>
    <w:rsid w:val="00D66C3C"/>
    <w:rsid w:val="00D66D0C"/>
    <w:rsid w:val="00D6758A"/>
    <w:rsid w:val="00D67905"/>
    <w:rsid w:val="00D67CC0"/>
    <w:rsid w:val="00D7030F"/>
    <w:rsid w:val="00D71F91"/>
    <w:rsid w:val="00D721E3"/>
    <w:rsid w:val="00D731D8"/>
    <w:rsid w:val="00D73953"/>
    <w:rsid w:val="00D751B0"/>
    <w:rsid w:val="00D751E3"/>
    <w:rsid w:val="00D76E99"/>
    <w:rsid w:val="00D8125E"/>
    <w:rsid w:val="00D81FFB"/>
    <w:rsid w:val="00D841F4"/>
    <w:rsid w:val="00D84481"/>
    <w:rsid w:val="00D8547A"/>
    <w:rsid w:val="00D85773"/>
    <w:rsid w:val="00D86CF0"/>
    <w:rsid w:val="00D9003A"/>
    <w:rsid w:val="00D90863"/>
    <w:rsid w:val="00D9166C"/>
    <w:rsid w:val="00D920AC"/>
    <w:rsid w:val="00D93B4A"/>
    <w:rsid w:val="00D93F4A"/>
    <w:rsid w:val="00D942DE"/>
    <w:rsid w:val="00D9670B"/>
    <w:rsid w:val="00D96EBA"/>
    <w:rsid w:val="00DA0916"/>
    <w:rsid w:val="00DA25FD"/>
    <w:rsid w:val="00DA2741"/>
    <w:rsid w:val="00DA31A2"/>
    <w:rsid w:val="00DA3C8F"/>
    <w:rsid w:val="00DA4A26"/>
    <w:rsid w:val="00DA510B"/>
    <w:rsid w:val="00DA580C"/>
    <w:rsid w:val="00DA6BD9"/>
    <w:rsid w:val="00DB03E8"/>
    <w:rsid w:val="00DB0E5D"/>
    <w:rsid w:val="00DB1628"/>
    <w:rsid w:val="00DB1AAD"/>
    <w:rsid w:val="00DB1D25"/>
    <w:rsid w:val="00DB2B7E"/>
    <w:rsid w:val="00DB33F5"/>
    <w:rsid w:val="00DB4AA3"/>
    <w:rsid w:val="00DB5259"/>
    <w:rsid w:val="00DB6107"/>
    <w:rsid w:val="00DB627F"/>
    <w:rsid w:val="00DB6517"/>
    <w:rsid w:val="00DB6570"/>
    <w:rsid w:val="00DC0875"/>
    <w:rsid w:val="00DC20DE"/>
    <w:rsid w:val="00DC34F6"/>
    <w:rsid w:val="00DC3B4C"/>
    <w:rsid w:val="00DC43FC"/>
    <w:rsid w:val="00DC44B0"/>
    <w:rsid w:val="00DC4FF3"/>
    <w:rsid w:val="00DC7493"/>
    <w:rsid w:val="00DD0232"/>
    <w:rsid w:val="00DD032B"/>
    <w:rsid w:val="00DD0454"/>
    <w:rsid w:val="00DD1D2A"/>
    <w:rsid w:val="00DD377E"/>
    <w:rsid w:val="00DD3F12"/>
    <w:rsid w:val="00DD43F3"/>
    <w:rsid w:val="00DD7D6D"/>
    <w:rsid w:val="00DE01E7"/>
    <w:rsid w:val="00DE0A35"/>
    <w:rsid w:val="00DE2DC8"/>
    <w:rsid w:val="00DE2F51"/>
    <w:rsid w:val="00DE3694"/>
    <w:rsid w:val="00DE39F4"/>
    <w:rsid w:val="00DE6D54"/>
    <w:rsid w:val="00DF04BB"/>
    <w:rsid w:val="00DF11D7"/>
    <w:rsid w:val="00DF1FE4"/>
    <w:rsid w:val="00DF2403"/>
    <w:rsid w:val="00DF3D34"/>
    <w:rsid w:val="00DF4464"/>
    <w:rsid w:val="00DF45D1"/>
    <w:rsid w:val="00DF513E"/>
    <w:rsid w:val="00E0047A"/>
    <w:rsid w:val="00E00E19"/>
    <w:rsid w:val="00E0192F"/>
    <w:rsid w:val="00E020E0"/>
    <w:rsid w:val="00E0249A"/>
    <w:rsid w:val="00E02C64"/>
    <w:rsid w:val="00E02E78"/>
    <w:rsid w:val="00E03175"/>
    <w:rsid w:val="00E03FD0"/>
    <w:rsid w:val="00E045FE"/>
    <w:rsid w:val="00E05288"/>
    <w:rsid w:val="00E06755"/>
    <w:rsid w:val="00E07F87"/>
    <w:rsid w:val="00E11022"/>
    <w:rsid w:val="00E118C5"/>
    <w:rsid w:val="00E12FD3"/>
    <w:rsid w:val="00E13B72"/>
    <w:rsid w:val="00E142B0"/>
    <w:rsid w:val="00E16291"/>
    <w:rsid w:val="00E17AFA"/>
    <w:rsid w:val="00E228F5"/>
    <w:rsid w:val="00E22A2D"/>
    <w:rsid w:val="00E23302"/>
    <w:rsid w:val="00E2330A"/>
    <w:rsid w:val="00E23F86"/>
    <w:rsid w:val="00E2400E"/>
    <w:rsid w:val="00E24483"/>
    <w:rsid w:val="00E24A2E"/>
    <w:rsid w:val="00E24B88"/>
    <w:rsid w:val="00E25046"/>
    <w:rsid w:val="00E255DB"/>
    <w:rsid w:val="00E2633D"/>
    <w:rsid w:val="00E30EA6"/>
    <w:rsid w:val="00E34A28"/>
    <w:rsid w:val="00E3643C"/>
    <w:rsid w:val="00E377AE"/>
    <w:rsid w:val="00E37DC0"/>
    <w:rsid w:val="00E4117F"/>
    <w:rsid w:val="00E425DD"/>
    <w:rsid w:val="00E43399"/>
    <w:rsid w:val="00E44EE0"/>
    <w:rsid w:val="00E45783"/>
    <w:rsid w:val="00E457FB"/>
    <w:rsid w:val="00E45F46"/>
    <w:rsid w:val="00E46320"/>
    <w:rsid w:val="00E47970"/>
    <w:rsid w:val="00E513F7"/>
    <w:rsid w:val="00E52B81"/>
    <w:rsid w:val="00E53E23"/>
    <w:rsid w:val="00E53F12"/>
    <w:rsid w:val="00E5425B"/>
    <w:rsid w:val="00E54458"/>
    <w:rsid w:val="00E5458F"/>
    <w:rsid w:val="00E5532E"/>
    <w:rsid w:val="00E560D0"/>
    <w:rsid w:val="00E56BDF"/>
    <w:rsid w:val="00E57341"/>
    <w:rsid w:val="00E617F6"/>
    <w:rsid w:val="00E61916"/>
    <w:rsid w:val="00E62907"/>
    <w:rsid w:val="00E6292E"/>
    <w:rsid w:val="00E63997"/>
    <w:rsid w:val="00E63E92"/>
    <w:rsid w:val="00E6511F"/>
    <w:rsid w:val="00E65D17"/>
    <w:rsid w:val="00E65EEE"/>
    <w:rsid w:val="00E66791"/>
    <w:rsid w:val="00E673CE"/>
    <w:rsid w:val="00E7029A"/>
    <w:rsid w:val="00E708AD"/>
    <w:rsid w:val="00E70AC4"/>
    <w:rsid w:val="00E70CEA"/>
    <w:rsid w:val="00E71589"/>
    <w:rsid w:val="00E71ED0"/>
    <w:rsid w:val="00E72738"/>
    <w:rsid w:val="00E72957"/>
    <w:rsid w:val="00E72D6D"/>
    <w:rsid w:val="00E74AC2"/>
    <w:rsid w:val="00E750B0"/>
    <w:rsid w:val="00E75EF7"/>
    <w:rsid w:val="00E7688B"/>
    <w:rsid w:val="00E779A9"/>
    <w:rsid w:val="00E77BDB"/>
    <w:rsid w:val="00E80032"/>
    <w:rsid w:val="00E82946"/>
    <w:rsid w:val="00E82BBF"/>
    <w:rsid w:val="00E83439"/>
    <w:rsid w:val="00E83731"/>
    <w:rsid w:val="00E83C17"/>
    <w:rsid w:val="00E843B8"/>
    <w:rsid w:val="00E85833"/>
    <w:rsid w:val="00E85F4E"/>
    <w:rsid w:val="00E870E2"/>
    <w:rsid w:val="00E9103F"/>
    <w:rsid w:val="00E9382A"/>
    <w:rsid w:val="00E94132"/>
    <w:rsid w:val="00E95A65"/>
    <w:rsid w:val="00E963F5"/>
    <w:rsid w:val="00E96ED9"/>
    <w:rsid w:val="00E9720E"/>
    <w:rsid w:val="00E9760A"/>
    <w:rsid w:val="00EA06F9"/>
    <w:rsid w:val="00EA0FA3"/>
    <w:rsid w:val="00EA23D5"/>
    <w:rsid w:val="00EA247A"/>
    <w:rsid w:val="00EA2912"/>
    <w:rsid w:val="00EA46C1"/>
    <w:rsid w:val="00EA5436"/>
    <w:rsid w:val="00EA5612"/>
    <w:rsid w:val="00EA69B9"/>
    <w:rsid w:val="00EA69D9"/>
    <w:rsid w:val="00EA751A"/>
    <w:rsid w:val="00EA7681"/>
    <w:rsid w:val="00EB0B26"/>
    <w:rsid w:val="00EB0E15"/>
    <w:rsid w:val="00EB1C96"/>
    <w:rsid w:val="00EB2851"/>
    <w:rsid w:val="00EB34F5"/>
    <w:rsid w:val="00EB4276"/>
    <w:rsid w:val="00EB441C"/>
    <w:rsid w:val="00EB453F"/>
    <w:rsid w:val="00EB4E69"/>
    <w:rsid w:val="00EB54C0"/>
    <w:rsid w:val="00EB5A56"/>
    <w:rsid w:val="00EB5E2E"/>
    <w:rsid w:val="00EB64FB"/>
    <w:rsid w:val="00EB6BBE"/>
    <w:rsid w:val="00EB710E"/>
    <w:rsid w:val="00EC0059"/>
    <w:rsid w:val="00EC18B3"/>
    <w:rsid w:val="00EC1C00"/>
    <w:rsid w:val="00EC234D"/>
    <w:rsid w:val="00EC2918"/>
    <w:rsid w:val="00EC2E6D"/>
    <w:rsid w:val="00EC32CC"/>
    <w:rsid w:val="00EC3B49"/>
    <w:rsid w:val="00EC3BC6"/>
    <w:rsid w:val="00EC41DE"/>
    <w:rsid w:val="00EC4827"/>
    <w:rsid w:val="00EC4C8E"/>
    <w:rsid w:val="00EC63E2"/>
    <w:rsid w:val="00EC66B8"/>
    <w:rsid w:val="00EC74F7"/>
    <w:rsid w:val="00ED098C"/>
    <w:rsid w:val="00ED0B60"/>
    <w:rsid w:val="00ED299B"/>
    <w:rsid w:val="00ED429C"/>
    <w:rsid w:val="00ED5910"/>
    <w:rsid w:val="00ED5D48"/>
    <w:rsid w:val="00ED601C"/>
    <w:rsid w:val="00ED6060"/>
    <w:rsid w:val="00ED62FC"/>
    <w:rsid w:val="00ED709C"/>
    <w:rsid w:val="00EE05AC"/>
    <w:rsid w:val="00EE0646"/>
    <w:rsid w:val="00EE3775"/>
    <w:rsid w:val="00EE4985"/>
    <w:rsid w:val="00EE5310"/>
    <w:rsid w:val="00EE5B5A"/>
    <w:rsid w:val="00EE6278"/>
    <w:rsid w:val="00EE6D5C"/>
    <w:rsid w:val="00EE7061"/>
    <w:rsid w:val="00EE7378"/>
    <w:rsid w:val="00EE7496"/>
    <w:rsid w:val="00EE7E05"/>
    <w:rsid w:val="00EE7FA9"/>
    <w:rsid w:val="00EF0446"/>
    <w:rsid w:val="00EF1719"/>
    <w:rsid w:val="00EF238D"/>
    <w:rsid w:val="00EF264A"/>
    <w:rsid w:val="00EF5531"/>
    <w:rsid w:val="00EF5683"/>
    <w:rsid w:val="00EF6684"/>
    <w:rsid w:val="00F0092F"/>
    <w:rsid w:val="00F00C3F"/>
    <w:rsid w:val="00F01586"/>
    <w:rsid w:val="00F01894"/>
    <w:rsid w:val="00F03D9A"/>
    <w:rsid w:val="00F05AEF"/>
    <w:rsid w:val="00F05FBE"/>
    <w:rsid w:val="00F0601A"/>
    <w:rsid w:val="00F0707B"/>
    <w:rsid w:val="00F10C0B"/>
    <w:rsid w:val="00F10C42"/>
    <w:rsid w:val="00F10F27"/>
    <w:rsid w:val="00F10F49"/>
    <w:rsid w:val="00F10FE8"/>
    <w:rsid w:val="00F119C3"/>
    <w:rsid w:val="00F124B9"/>
    <w:rsid w:val="00F13124"/>
    <w:rsid w:val="00F13E1C"/>
    <w:rsid w:val="00F14368"/>
    <w:rsid w:val="00F14A3A"/>
    <w:rsid w:val="00F15A7B"/>
    <w:rsid w:val="00F171FF"/>
    <w:rsid w:val="00F172B9"/>
    <w:rsid w:val="00F2172B"/>
    <w:rsid w:val="00F2215E"/>
    <w:rsid w:val="00F23697"/>
    <w:rsid w:val="00F240D8"/>
    <w:rsid w:val="00F249ED"/>
    <w:rsid w:val="00F274AD"/>
    <w:rsid w:val="00F2759D"/>
    <w:rsid w:val="00F27F85"/>
    <w:rsid w:val="00F30156"/>
    <w:rsid w:val="00F302F5"/>
    <w:rsid w:val="00F32157"/>
    <w:rsid w:val="00F3267C"/>
    <w:rsid w:val="00F33D83"/>
    <w:rsid w:val="00F3619A"/>
    <w:rsid w:val="00F4108D"/>
    <w:rsid w:val="00F412AF"/>
    <w:rsid w:val="00F442F4"/>
    <w:rsid w:val="00F44B25"/>
    <w:rsid w:val="00F457AA"/>
    <w:rsid w:val="00F46087"/>
    <w:rsid w:val="00F47740"/>
    <w:rsid w:val="00F50167"/>
    <w:rsid w:val="00F50E9D"/>
    <w:rsid w:val="00F517A2"/>
    <w:rsid w:val="00F51A7C"/>
    <w:rsid w:val="00F520EF"/>
    <w:rsid w:val="00F52335"/>
    <w:rsid w:val="00F52553"/>
    <w:rsid w:val="00F53B40"/>
    <w:rsid w:val="00F53D04"/>
    <w:rsid w:val="00F54252"/>
    <w:rsid w:val="00F564B6"/>
    <w:rsid w:val="00F56C27"/>
    <w:rsid w:val="00F5728B"/>
    <w:rsid w:val="00F57D94"/>
    <w:rsid w:val="00F602EB"/>
    <w:rsid w:val="00F60BD7"/>
    <w:rsid w:val="00F61D73"/>
    <w:rsid w:val="00F63451"/>
    <w:rsid w:val="00F644EE"/>
    <w:rsid w:val="00F67328"/>
    <w:rsid w:val="00F67EB5"/>
    <w:rsid w:val="00F70DFF"/>
    <w:rsid w:val="00F71A18"/>
    <w:rsid w:val="00F72677"/>
    <w:rsid w:val="00F72952"/>
    <w:rsid w:val="00F73815"/>
    <w:rsid w:val="00F755E9"/>
    <w:rsid w:val="00F75798"/>
    <w:rsid w:val="00F7607B"/>
    <w:rsid w:val="00F76E91"/>
    <w:rsid w:val="00F774AD"/>
    <w:rsid w:val="00F81AF4"/>
    <w:rsid w:val="00F81B56"/>
    <w:rsid w:val="00F82B72"/>
    <w:rsid w:val="00F83320"/>
    <w:rsid w:val="00F83AF6"/>
    <w:rsid w:val="00F853EF"/>
    <w:rsid w:val="00F8573D"/>
    <w:rsid w:val="00F85C74"/>
    <w:rsid w:val="00F85CA4"/>
    <w:rsid w:val="00F86065"/>
    <w:rsid w:val="00F878B7"/>
    <w:rsid w:val="00F908D3"/>
    <w:rsid w:val="00F91A0F"/>
    <w:rsid w:val="00F91A9B"/>
    <w:rsid w:val="00F92BFD"/>
    <w:rsid w:val="00F92EA4"/>
    <w:rsid w:val="00F9324A"/>
    <w:rsid w:val="00F936F7"/>
    <w:rsid w:val="00F9375E"/>
    <w:rsid w:val="00F95D20"/>
    <w:rsid w:val="00F970B0"/>
    <w:rsid w:val="00FA0C69"/>
    <w:rsid w:val="00FA226D"/>
    <w:rsid w:val="00FA2EEE"/>
    <w:rsid w:val="00FA349A"/>
    <w:rsid w:val="00FA3581"/>
    <w:rsid w:val="00FA3840"/>
    <w:rsid w:val="00FA5CFE"/>
    <w:rsid w:val="00FB032B"/>
    <w:rsid w:val="00FB19D9"/>
    <w:rsid w:val="00FB2525"/>
    <w:rsid w:val="00FB38E8"/>
    <w:rsid w:val="00FB3933"/>
    <w:rsid w:val="00FB5B69"/>
    <w:rsid w:val="00FB6FC2"/>
    <w:rsid w:val="00FC14FD"/>
    <w:rsid w:val="00FC2852"/>
    <w:rsid w:val="00FC43F0"/>
    <w:rsid w:val="00FC45C2"/>
    <w:rsid w:val="00FC4A37"/>
    <w:rsid w:val="00FC4EDB"/>
    <w:rsid w:val="00FC5FE0"/>
    <w:rsid w:val="00FC74E9"/>
    <w:rsid w:val="00FC7757"/>
    <w:rsid w:val="00FD1770"/>
    <w:rsid w:val="00FD2321"/>
    <w:rsid w:val="00FD2FF9"/>
    <w:rsid w:val="00FD3981"/>
    <w:rsid w:val="00FD6F75"/>
    <w:rsid w:val="00FE1E16"/>
    <w:rsid w:val="00FE1F39"/>
    <w:rsid w:val="00FE56BB"/>
    <w:rsid w:val="00FE5775"/>
    <w:rsid w:val="00FE60D8"/>
    <w:rsid w:val="00FE6B38"/>
    <w:rsid w:val="00FE7D24"/>
    <w:rsid w:val="00FF1D54"/>
    <w:rsid w:val="00FF23DA"/>
    <w:rsid w:val="00FF51CF"/>
    <w:rsid w:val="00FF7000"/>
    <w:rsid w:val="00FF7250"/>
    <w:rsid w:val="00FF77BD"/>
    <w:rsid w:val="00FF784E"/>
    <w:rsid w:val="00FF7D6B"/>
    <w:rsid w:val="0CC45EF1"/>
    <w:rsid w:val="11A71F0C"/>
    <w:rsid w:val="20B04FF1"/>
    <w:rsid w:val="20B135F2"/>
    <w:rsid w:val="27324B28"/>
    <w:rsid w:val="2E5434FC"/>
    <w:rsid w:val="37E80F53"/>
    <w:rsid w:val="42625274"/>
    <w:rsid w:val="495C67F7"/>
    <w:rsid w:val="4F344B2F"/>
    <w:rsid w:val="54FE7D62"/>
    <w:rsid w:val="550F7EE5"/>
    <w:rsid w:val="5768201A"/>
    <w:rsid w:val="5FBD6216"/>
    <w:rsid w:val="6E0C6335"/>
    <w:rsid w:val="6F986CAB"/>
    <w:rsid w:val="78DB072E"/>
    <w:rsid w:val="7AA176EE"/>
    <w:rsid w:val="7F07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21"/>
    <w:qFormat/>
    <w:uiPriority w:val="9"/>
    <w:pPr>
      <w:keepNext/>
      <w:keepLines/>
      <w:outlineLvl w:val="0"/>
    </w:pPr>
    <w:rPr>
      <w:rFonts w:ascii="黑体" w:hAnsi="黑体" w:eastAsia="黑体"/>
      <w:bCs/>
      <w:kern w:val="44"/>
      <w:szCs w:val="44"/>
    </w:rPr>
  </w:style>
  <w:style w:type="paragraph" w:styleId="3">
    <w:name w:val="heading 2"/>
    <w:basedOn w:val="1"/>
    <w:next w:val="1"/>
    <w:link w:val="22"/>
    <w:unhideWhenUsed/>
    <w:qFormat/>
    <w:uiPriority w:val="9"/>
    <w:pPr>
      <w:keepNext/>
      <w:keepLines/>
      <w:outlineLvl w:val="1"/>
    </w:pPr>
    <w:rPr>
      <w:rFonts w:ascii="楷体_GB2312" w:hAnsi="楷体_GB2312" w:eastAsia="楷体_GB2312" w:cstheme="majorBidi"/>
      <w:bCs/>
      <w:szCs w:val="32"/>
    </w:rPr>
  </w:style>
  <w:style w:type="paragraph" w:styleId="4">
    <w:name w:val="heading 3"/>
    <w:basedOn w:val="1"/>
    <w:next w:val="1"/>
    <w:link w:val="25"/>
    <w:unhideWhenUsed/>
    <w:qFormat/>
    <w:uiPriority w:val="9"/>
    <w:pPr>
      <w:keepNext/>
      <w:keepLines/>
      <w:outlineLvl w:val="2"/>
    </w:pPr>
    <w:rPr>
      <w:b/>
      <w:bCs/>
      <w:szCs w:val="32"/>
    </w:rPr>
  </w:style>
  <w:style w:type="paragraph" w:styleId="5">
    <w:name w:val="heading 4"/>
    <w:basedOn w:val="1"/>
    <w:next w:val="1"/>
    <w:link w:val="27"/>
    <w:unhideWhenUsed/>
    <w:qFormat/>
    <w:uiPriority w:val="9"/>
    <w:pPr>
      <w:keepNext/>
      <w:keepLines/>
      <w:outlineLvl w:val="3"/>
    </w:pPr>
    <w:rPr>
      <w:rFonts w:cstheme="majorBidi"/>
      <w:bCs/>
      <w:szCs w:val="28"/>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0"/>
    <w:semiHidden/>
    <w:unhideWhenUsed/>
    <w:qFormat/>
    <w:uiPriority w:val="99"/>
    <w:rPr>
      <w:b/>
      <w:bCs/>
    </w:rPr>
  </w:style>
  <w:style w:type="paragraph" w:styleId="7">
    <w:name w:val="annotation text"/>
    <w:basedOn w:val="1"/>
    <w:link w:val="29"/>
    <w:semiHidden/>
    <w:unhideWhenUsed/>
    <w:qFormat/>
    <w:uiPriority w:val="99"/>
    <w:pPr>
      <w:jc w:val="left"/>
    </w:pPr>
  </w:style>
  <w:style w:type="paragraph" w:styleId="8">
    <w:name w:val="caption"/>
    <w:basedOn w:val="1"/>
    <w:next w:val="1"/>
    <w:unhideWhenUsed/>
    <w:qFormat/>
    <w:uiPriority w:val="35"/>
    <w:pPr>
      <w:spacing w:line="240" w:lineRule="auto"/>
      <w:ind w:firstLine="0" w:firstLineChars="0"/>
      <w:jc w:val="center"/>
    </w:pPr>
    <w:rPr>
      <w:rFonts w:eastAsia="黑体" w:asciiTheme="majorHAnsi" w:hAnsiTheme="majorHAnsi" w:cstheme="majorBidi"/>
      <w:sz w:val="28"/>
      <w:szCs w:val="20"/>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tabs>
        <w:tab w:val="right" w:leader="dot" w:pos="8947"/>
      </w:tabs>
      <w:ind w:firstLine="0" w:firstLineChars="0"/>
      <w:jc w:val="center"/>
    </w:pPr>
    <w:rPr>
      <w:rFonts w:asciiTheme="minorEastAsia" w:hAnsiTheme="minorEastAsia" w:eastAsiaTheme="minorEastAsia"/>
      <w:b/>
      <w:sz w:val="28"/>
    </w:rPr>
  </w:style>
  <w:style w:type="paragraph" w:styleId="13">
    <w:name w:val="footnote text"/>
    <w:basedOn w:val="1"/>
    <w:link w:val="28"/>
    <w:semiHidden/>
    <w:unhideWhenUsed/>
    <w:qFormat/>
    <w:uiPriority w:val="99"/>
    <w:pPr>
      <w:snapToGrid w:val="0"/>
      <w:jc w:val="left"/>
    </w:pPr>
    <w:rPr>
      <w:sz w:val="18"/>
      <w:szCs w:val="18"/>
    </w:rPr>
  </w:style>
  <w:style w:type="paragraph" w:styleId="14">
    <w:name w:val="toc 2"/>
    <w:basedOn w:val="1"/>
    <w:next w:val="1"/>
    <w:unhideWhenUsed/>
    <w:qFormat/>
    <w:uiPriority w:val="39"/>
    <w:pPr>
      <w:ind w:left="200" w:leftChars="200" w:firstLine="0" w:firstLineChars="0"/>
    </w:pPr>
    <w:rPr>
      <w:rFonts w:asciiTheme="minorEastAsia" w:hAnsiTheme="minorEastAsia" w:eastAsiaTheme="minorEastAsia"/>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styleId="18">
    <w:name w:val="footnote reference"/>
    <w:basedOn w:val="15"/>
    <w:semiHidden/>
    <w:unhideWhenUsed/>
    <w:qFormat/>
    <w:uiPriority w:val="99"/>
    <w:rPr>
      <w:vertAlign w:val="superscript"/>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标题 1 Char"/>
    <w:basedOn w:val="15"/>
    <w:link w:val="2"/>
    <w:qFormat/>
    <w:uiPriority w:val="9"/>
    <w:rPr>
      <w:rFonts w:ascii="黑体" w:hAnsi="黑体" w:eastAsia="黑体" w:cs="Times New Roman"/>
      <w:bCs/>
      <w:kern w:val="44"/>
      <w:sz w:val="32"/>
      <w:szCs w:val="44"/>
    </w:rPr>
  </w:style>
  <w:style w:type="character" w:customStyle="1" w:styleId="22">
    <w:name w:val="标题 2 Char"/>
    <w:basedOn w:val="15"/>
    <w:link w:val="3"/>
    <w:qFormat/>
    <w:uiPriority w:val="9"/>
    <w:rPr>
      <w:rFonts w:ascii="楷体_GB2312" w:hAnsi="楷体_GB2312" w:eastAsia="楷体_GB2312" w:cstheme="majorBidi"/>
      <w:bCs/>
      <w:sz w:val="32"/>
      <w:szCs w:val="32"/>
    </w:rPr>
  </w:style>
  <w:style w:type="character" w:customStyle="1" w:styleId="23">
    <w:name w:val="页眉 Char"/>
    <w:basedOn w:val="15"/>
    <w:link w:val="11"/>
    <w:qFormat/>
    <w:uiPriority w:val="99"/>
    <w:rPr>
      <w:rFonts w:ascii="仿宋_GB2312" w:hAnsi="仿宋_GB2312" w:eastAsia="仿宋_GB2312" w:cs="Times New Roman"/>
      <w:sz w:val="18"/>
      <w:szCs w:val="18"/>
    </w:rPr>
  </w:style>
  <w:style w:type="character" w:customStyle="1" w:styleId="24">
    <w:name w:val="页脚 Char"/>
    <w:basedOn w:val="15"/>
    <w:link w:val="10"/>
    <w:qFormat/>
    <w:uiPriority w:val="99"/>
    <w:rPr>
      <w:rFonts w:ascii="仿宋_GB2312" w:hAnsi="仿宋_GB2312" w:eastAsia="仿宋_GB2312" w:cs="Times New Roman"/>
      <w:sz w:val="18"/>
      <w:szCs w:val="18"/>
    </w:rPr>
  </w:style>
  <w:style w:type="character" w:customStyle="1" w:styleId="25">
    <w:name w:val="标题 3 Char"/>
    <w:basedOn w:val="15"/>
    <w:link w:val="4"/>
    <w:qFormat/>
    <w:uiPriority w:val="9"/>
    <w:rPr>
      <w:rFonts w:ascii="仿宋_GB2312" w:hAnsi="仿宋_GB2312" w:eastAsia="仿宋_GB2312" w:cs="Times New Roman"/>
      <w:b/>
      <w:bCs/>
      <w:sz w:val="32"/>
      <w:szCs w:val="32"/>
    </w:rPr>
  </w:style>
  <w:style w:type="character" w:customStyle="1" w:styleId="26">
    <w:name w:val="批注框文本 Char"/>
    <w:basedOn w:val="15"/>
    <w:link w:val="9"/>
    <w:semiHidden/>
    <w:qFormat/>
    <w:uiPriority w:val="99"/>
    <w:rPr>
      <w:rFonts w:ascii="仿宋_GB2312" w:hAnsi="仿宋_GB2312" w:eastAsia="仿宋_GB2312" w:cs="Times New Roman"/>
      <w:sz w:val="18"/>
      <w:szCs w:val="18"/>
    </w:rPr>
  </w:style>
  <w:style w:type="character" w:customStyle="1" w:styleId="27">
    <w:name w:val="标题 4 Char"/>
    <w:basedOn w:val="15"/>
    <w:link w:val="5"/>
    <w:qFormat/>
    <w:uiPriority w:val="9"/>
    <w:rPr>
      <w:rFonts w:ascii="仿宋_GB2312" w:hAnsi="仿宋_GB2312" w:eastAsia="仿宋_GB2312" w:cstheme="majorBidi"/>
      <w:bCs/>
      <w:sz w:val="32"/>
      <w:szCs w:val="28"/>
    </w:rPr>
  </w:style>
  <w:style w:type="character" w:customStyle="1" w:styleId="28">
    <w:name w:val="脚注文本 Char"/>
    <w:basedOn w:val="15"/>
    <w:link w:val="13"/>
    <w:semiHidden/>
    <w:qFormat/>
    <w:uiPriority w:val="99"/>
    <w:rPr>
      <w:rFonts w:ascii="仿宋_GB2312" w:hAnsi="仿宋_GB2312" w:eastAsia="仿宋_GB2312" w:cs="Times New Roman"/>
      <w:sz w:val="18"/>
      <w:szCs w:val="18"/>
    </w:rPr>
  </w:style>
  <w:style w:type="character" w:customStyle="1" w:styleId="29">
    <w:name w:val="批注文字 Char"/>
    <w:basedOn w:val="15"/>
    <w:link w:val="7"/>
    <w:semiHidden/>
    <w:qFormat/>
    <w:uiPriority w:val="99"/>
    <w:rPr>
      <w:rFonts w:ascii="仿宋_GB2312" w:hAnsi="仿宋_GB2312" w:eastAsia="仿宋_GB2312" w:cs="Times New Roman"/>
      <w:sz w:val="32"/>
      <w:szCs w:val="24"/>
    </w:rPr>
  </w:style>
  <w:style w:type="character" w:customStyle="1" w:styleId="30">
    <w:name w:val="批注主题 Char"/>
    <w:basedOn w:val="29"/>
    <w:link w:val="6"/>
    <w:semiHidden/>
    <w:qFormat/>
    <w:uiPriority w:val="99"/>
    <w:rPr>
      <w:rFonts w:ascii="仿宋_GB2312" w:hAnsi="仿宋_GB2312" w:eastAsia="仿宋_GB2312" w:cs="Times New Roman"/>
      <w:b/>
      <w:bCs/>
      <w:sz w:val="32"/>
      <w:szCs w:val="24"/>
    </w:rPr>
  </w:style>
  <w:style w:type="character" w:customStyle="1" w:styleId="31">
    <w:name w:val="font61"/>
    <w:basedOn w:val="15"/>
    <w:qFormat/>
    <w:uiPriority w:val="0"/>
    <w:rPr>
      <w:rFonts w:ascii="Arial" w:hAnsi="Arial" w:cs="Arial"/>
      <w:color w:val="000000"/>
      <w:sz w:val="18"/>
      <w:szCs w:val="18"/>
      <w:u w:val="none"/>
    </w:rPr>
  </w:style>
  <w:style w:type="character" w:customStyle="1" w:styleId="32">
    <w:name w:val="font21"/>
    <w:basedOn w:val="15"/>
    <w:qFormat/>
    <w:uiPriority w:val="0"/>
    <w:rPr>
      <w:rFonts w:hint="eastAsia" w:ascii="宋体" w:hAnsi="宋体" w:eastAsia="宋体" w:cs="宋体"/>
      <w:color w:val="000000"/>
      <w:sz w:val="18"/>
      <w:szCs w:val="18"/>
      <w:u w:val="none"/>
    </w:rPr>
  </w:style>
  <w:style w:type="character" w:customStyle="1" w:styleId="33">
    <w:name w:val="_Style 0"/>
    <w:qFormat/>
    <w:uiPriority w:val="31"/>
    <w:rPr>
      <w:smallCaps/>
      <w:color w:val="5A5A5A"/>
    </w:rPr>
  </w:style>
  <w:style w:type="paragraph" w:customStyle="1" w:styleId="34">
    <w:name w:val="修订1"/>
    <w:hidden/>
    <w:semiHidden/>
    <w:qFormat/>
    <w:uiPriority w:val="99"/>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韶关市政府投资建设项目代建管理局2021年部门整体支出经济分类</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工资福利</c:v>
                </c:pt>
                <c:pt idx="1">
                  <c:v>商品和服务支出</c:v>
                </c:pt>
                <c:pt idx="2">
                  <c:v>对个人和家庭的补助</c:v>
                </c:pt>
                <c:pt idx="3">
                  <c:v>资本性支出</c:v>
                </c:pt>
              </c:strCache>
            </c:strRef>
          </c:cat>
          <c:val>
            <c:numRef>
              <c:f>Sheet1!$B$2:$B$5</c:f>
              <c:numCache>
                <c:formatCode>0.00%</c:formatCode>
                <c:ptCount val="4"/>
                <c:pt idx="0">
                  <c:v>0.4652</c:v>
                </c:pt>
                <c:pt idx="1">
                  <c:v>0.283</c:v>
                </c:pt>
                <c:pt idx="2">
                  <c:v>0.0051</c:v>
                </c:pt>
                <c:pt idx="3">
                  <c:v>0.24671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A148E-5DEB-4500-AA33-3CCB0CBCCD3A}">
  <ds:schemaRefs/>
</ds:datastoreItem>
</file>

<file path=docProps/app.xml><?xml version="1.0" encoding="utf-8"?>
<Properties xmlns="http://schemas.openxmlformats.org/officeDocument/2006/extended-properties" xmlns:vt="http://schemas.openxmlformats.org/officeDocument/2006/docPropsVTypes">
  <Template>Normal</Template>
  <Pages>56</Pages>
  <Words>6485</Words>
  <Characters>36968</Characters>
  <Lines>308</Lines>
  <Paragraphs>86</Paragraphs>
  <TotalTime>12</TotalTime>
  <ScaleCrop>false</ScaleCrop>
  <LinksUpToDate>false</LinksUpToDate>
  <CharactersWithSpaces>43367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2022-12-12T09:15:00Z</dcterms:created>
  <dc:creator>Wenlu</dc:creator>
  <cp:lastModifiedBy>何艳</cp:lastModifiedBy>
  <cp:lastPrinted>2023-01-18T09:14:25Z</cp:lastPrinted>
  <dcterms:modified xsi:type="dcterms:W3CDTF">2023-01-18T09:17:35Z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