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韶关市乳源瑶族自治县南水水库供水工程项目第三方绩效评价报告</w:t>
      </w:r>
    </w:p>
    <w:p>
      <w:pPr>
        <w:jc w:val="center"/>
        <w:rPr>
          <w:rFonts w:hint="eastAsia" w:asciiTheme="minorEastAsia" w:hAnsiTheme="minorEastAsia" w:eastAsiaTheme="minorEastAsia" w:cstheme="minorEastAsia"/>
          <w:b w:val="0"/>
          <w:bCs w:val="0"/>
          <w:sz w:val="32"/>
          <w:szCs w:val="32"/>
        </w:rPr>
      </w:pPr>
    </w:p>
    <w:p>
      <w:pPr>
        <w:jc w:val="center"/>
        <w:rPr>
          <w:rFonts w:hint="eastAsia" w:asciiTheme="minorEastAsia" w:hAnsiTheme="minorEastAsia" w:eastAsiaTheme="minorEastAsia" w:cstheme="minorEastAsia"/>
          <w:b w:val="0"/>
          <w:bCs w:val="0"/>
          <w:sz w:val="32"/>
          <w:szCs w:val="32"/>
        </w:rPr>
      </w:pPr>
    </w:p>
    <w:p>
      <w:pPr>
        <w:ind w:firstLine="1680" w:firstLineChars="525"/>
        <w:jc w:val="left"/>
        <w:rPr>
          <w:rFonts w:ascii="宋体" w:hAnsi="宋体" w:eastAsia="宋体" w:cs="宋体"/>
          <w:sz w:val="32"/>
          <w:szCs w:val="32"/>
        </w:rPr>
      </w:pPr>
    </w:p>
    <w:p>
      <w:pPr>
        <w:ind w:firstLine="1680" w:firstLineChars="525"/>
        <w:jc w:val="left"/>
        <w:rPr>
          <w:rFonts w:ascii="宋体" w:hAnsi="宋体" w:eastAsia="宋体" w:cs="宋体"/>
          <w:sz w:val="32"/>
          <w:szCs w:val="32"/>
        </w:rPr>
      </w:pPr>
      <w:bookmarkStart w:id="65" w:name="_GoBack"/>
      <w:bookmarkEnd w:id="65"/>
    </w:p>
    <w:p>
      <w:pPr>
        <w:ind w:firstLine="1680" w:firstLineChars="525"/>
        <w:jc w:val="left"/>
        <w:rPr>
          <w:rFonts w:ascii="宋体" w:hAnsi="宋体" w:eastAsia="宋体" w:cs="宋体"/>
          <w:sz w:val="32"/>
          <w:szCs w:val="32"/>
        </w:rPr>
      </w:pPr>
    </w:p>
    <w:p>
      <w:pPr>
        <w:ind w:firstLine="1680" w:firstLineChars="525"/>
        <w:jc w:val="left"/>
        <w:rPr>
          <w:rFonts w:ascii="宋体" w:hAnsi="宋体" w:eastAsia="宋体" w:cs="宋体"/>
          <w:sz w:val="32"/>
          <w:szCs w:val="32"/>
        </w:rPr>
      </w:pPr>
    </w:p>
    <w:p>
      <w:pPr>
        <w:ind w:firstLine="1680" w:firstLineChars="525"/>
        <w:jc w:val="left"/>
        <w:rPr>
          <w:rFonts w:ascii="宋体" w:hAnsi="宋体" w:eastAsia="宋体" w:cs="宋体"/>
          <w:sz w:val="32"/>
          <w:szCs w:val="32"/>
        </w:rPr>
      </w:pPr>
    </w:p>
    <w:p>
      <w:pPr>
        <w:ind w:firstLine="1680" w:firstLineChars="525"/>
        <w:jc w:val="left"/>
        <w:rPr>
          <w:rFonts w:ascii="宋体" w:hAnsi="宋体" w:eastAsia="宋体" w:cs="宋体"/>
          <w:sz w:val="32"/>
          <w:szCs w:val="32"/>
        </w:rPr>
      </w:pPr>
    </w:p>
    <w:p>
      <w:pPr>
        <w:ind w:firstLine="1680" w:firstLineChars="525"/>
        <w:jc w:val="left"/>
        <w:rPr>
          <w:rFonts w:ascii="宋体" w:hAnsi="宋体" w:eastAsia="宋体" w:cs="宋体"/>
          <w:sz w:val="32"/>
          <w:szCs w:val="32"/>
        </w:rPr>
      </w:pPr>
    </w:p>
    <w:p>
      <w:pPr>
        <w:ind w:firstLine="1680" w:firstLineChars="525"/>
        <w:jc w:val="left"/>
        <w:rPr>
          <w:rFonts w:ascii="宋体" w:hAnsi="宋体" w:eastAsia="宋体" w:cs="宋体"/>
          <w:sz w:val="32"/>
          <w:szCs w:val="32"/>
        </w:rPr>
      </w:pPr>
    </w:p>
    <w:p>
      <w:pPr>
        <w:ind w:firstLine="1680" w:firstLineChars="525"/>
        <w:jc w:val="left"/>
        <w:rPr>
          <w:rFonts w:ascii="宋体" w:hAnsi="宋体" w:eastAsia="宋体" w:cs="宋体"/>
          <w:sz w:val="32"/>
          <w:szCs w:val="32"/>
        </w:rPr>
      </w:pPr>
    </w:p>
    <w:p>
      <w:pPr>
        <w:jc w:val="left"/>
        <w:rPr>
          <w:rFonts w:ascii="宋体" w:hAnsi="宋体" w:eastAsia="宋体" w:cs="宋体"/>
          <w:sz w:val="32"/>
          <w:szCs w:val="32"/>
        </w:rPr>
      </w:pPr>
    </w:p>
    <w:p>
      <w:pPr>
        <w:ind w:firstLine="1680" w:firstLineChars="525"/>
        <w:jc w:val="left"/>
        <w:rPr>
          <w:rFonts w:ascii="宋体" w:hAnsi="宋体" w:eastAsia="宋体" w:cs="宋体"/>
          <w:sz w:val="32"/>
          <w:szCs w:val="32"/>
        </w:rPr>
      </w:pPr>
    </w:p>
    <w:p>
      <w:pPr>
        <w:ind w:firstLine="1680" w:firstLineChars="525"/>
        <w:jc w:val="left"/>
        <w:rPr>
          <w:rFonts w:ascii="宋体" w:hAnsi="宋体" w:eastAsia="宋体" w:cs="宋体"/>
          <w:sz w:val="32"/>
          <w:szCs w:val="32"/>
        </w:rPr>
      </w:pPr>
      <w:r>
        <w:rPr>
          <w:rFonts w:hint="eastAsia" w:ascii="宋体" w:hAnsi="宋体" w:eastAsia="宋体" w:cs="宋体"/>
          <w:sz w:val="32"/>
          <w:szCs w:val="32"/>
        </w:rPr>
        <w:t>评价机构：广东宏正工程咨询有限公司</w:t>
      </w:r>
    </w:p>
    <w:p>
      <w:pPr>
        <w:ind w:firstLine="1680" w:firstLineChars="525"/>
        <w:jc w:val="left"/>
        <w:rPr>
          <w:rFonts w:ascii="宋体" w:hAnsi="宋体" w:eastAsia="宋体" w:cs="宋体"/>
          <w:sz w:val="32"/>
          <w:szCs w:val="32"/>
        </w:rPr>
      </w:pPr>
      <w:r>
        <w:rPr>
          <w:rFonts w:hint="eastAsia" w:ascii="宋体" w:hAnsi="宋体" w:cs="宋体"/>
          <w:sz w:val="32"/>
          <w:szCs w:val="32"/>
        </w:rPr>
        <w:t>机构负责人：易中华</w:t>
      </w:r>
    </w:p>
    <w:p>
      <w:pPr>
        <w:ind w:firstLine="1680" w:firstLineChars="525"/>
        <w:jc w:val="left"/>
        <w:rPr>
          <w:rFonts w:ascii="宋体" w:hAnsi="宋体" w:eastAsia="宋体" w:cs="宋体"/>
          <w:sz w:val="32"/>
          <w:szCs w:val="32"/>
        </w:rPr>
      </w:pPr>
      <w:r>
        <w:rPr>
          <w:rFonts w:hint="eastAsia" w:ascii="宋体" w:hAnsi="宋体" w:cs="宋体"/>
          <w:sz w:val="32"/>
          <w:szCs w:val="32"/>
        </w:rPr>
        <w:t>项目负责人：王德华</w:t>
      </w:r>
    </w:p>
    <w:p>
      <w:pPr>
        <w:ind w:firstLine="1680" w:firstLineChars="525"/>
        <w:jc w:val="left"/>
      </w:pPr>
      <w:r>
        <w:rPr>
          <w:rFonts w:hint="eastAsia" w:ascii="宋体" w:hAnsi="宋体" w:eastAsia="宋体" w:cs="宋体"/>
          <w:sz w:val="32"/>
          <w:szCs w:val="32"/>
        </w:rPr>
        <w:t>日期：2022年</w:t>
      </w:r>
      <w:r>
        <w:rPr>
          <w:rFonts w:hint="eastAsia" w:ascii="宋体" w:hAnsi="宋体" w:eastAsia="宋体" w:cs="宋体"/>
          <w:sz w:val="32"/>
          <w:szCs w:val="32"/>
          <w:lang w:val="en-US" w:eastAsia="zh-CN"/>
        </w:rPr>
        <w:t>12</w:t>
      </w:r>
      <w:r>
        <w:rPr>
          <w:rFonts w:hint="eastAsia" w:ascii="宋体" w:hAnsi="宋体" w:eastAsia="宋体" w:cs="宋体"/>
          <w:sz w:val="32"/>
          <w:szCs w:val="32"/>
        </w:rPr>
        <w:t>月</w:t>
      </w:r>
    </w:p>
    <w:p>
      <w:pPr>
        <w:spacing w:line="360" w:lineRule="auto"/>
        <w:jc w:val="center"/>
      </w:pPr>
      <w:r>
        <w:rPr>
          <w:rFonts w:hint="eastAsia" w:ascii="黑体" w:hAnsi="黑体" w:eastAsia="黑体" w:cs="黑体"/>
          <w:sz w:val="32"/>
          <w:szCs w:val="32"/>
        </w:rPr>
        <w:t>摘  要</w:t>
      </w:r>
    </w:p>
    <w:p>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为全面检验项目支出财政资金使用绩效，考核预期绩效目标的实现程度和综合效果，进一步提高财政支出的管理水平，韶关市财政局（以下简称“市财政局”）委托广东宏正工程咨询有限公司（以下简称“第三方”）对2021年韶关市乳源瑶族自治县南水水库供水工程</w:t>
      </w:r>
      <w:r>
        <w:rPr>
          <w:rFonts w:hint="eastAsia" w:ascii="Times New Roman" w:hAnsi="Times New Roman" w:eastAsia="仿宋_GB2312" w:cs="Times New Roman"/>
          <w:sz w:val="32"/>
          <w:szCs w:val="32"/>
          <w:lang w:eastAsia="zh-CN"/>
        </w:rPr>
        <w:t>（以下简称“南水工程”）</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亿</w:t>
      </w:r>
      <w:r>
        <w:rPr>
          <w:rFonts w:hint="eastAsia" w:ascii="Times New Roman" w:hAnsi="Times New Roman" w:eastAsia="仿宋_GB2312" w:cs="Times New Roman"/>
          <w:sz w:val="32"/>
          <w:szCs w:val="32"/>
        </w:rPr>
        <w:t>元的使用情况实施绩效评价</w:t>
      </w:r>
      <w:r>
        <w:rPr>
          <w:rFonts w:hint="eastAsia" w:ascii="Times New Roman" w:hAnsi="Times New Roman" w:eastAsia="仿宋_GB2312" w:cs="Times New Roman"/>
          <w:sz w:val="32"/>
          <w:szCs w:val="32"/>
          <w:lang w:eastAsia="zh-CN"/>
        </w:rPr>
        <w:t>。</w:t>
      </w:r>
    </w:p>
    <w:p>
      <w:pPr>
        <w:pStyle w:val="9"/>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为保证韶关市区的用水安全、提高乳源县城及部分城镇的供水保证率，韶关市</w:t>
      </w:r>
      <w:r>
        <w:rPr>
          <w:rFonts w:hint="eastAsia" w:ascii="Times New Roman" w:hAnsi="Times New Roman" w:eastAsia="仿宋_GB2312" w:cs="Times New Roman"/>
          <w:sz w:val="32"/>
          <w:szCs w:val="32"/>
          <w:lang w:eastAsia="zh-CN"/>
        </w:rPr>
        <w:t>市委、市政府</w:t>
      </w:r>
      <w:r>
        <w:rPr>
          <w:rFonts w:hint="eastAsia" w:ascii="Times New Roman" w:hAnsi="Times New Roman" w:eastAsia="仿宋_GB2312" w:cs="Times New Roman"/>
          <w:sz w:val="32"/>
          <w:szCs w:val="32"/>
        </w:rPr>
        <w:t>提出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建设</w:t>
      </w:r>
      <w:r>
        <w:rPr>
          <w:rFonts w:hint="eastAsia" w:ascii="Times New Roman" w:hAnsi="Times New Roman" w:eastAsia="仿宋_GB2312" w:cs="Times New Roman"/>
          <w:sz w:val="32"/>
          <w:szCs w:val="32"/>
          <w:lang w:eastAsia="zh-CN"/>
        </w:rPr>
        <w:t>南水工程。该工程</w:t>
      </w:r>
      <w:r>
        <w:rPr>
          <w:rFonts w:hint="eastAsia" w:ascii="Times New Roman" w:hAnsi="Times New Roman" w:eastAsia="仿宋_GB2312" w:cs="Times New Roman"/>
          <w:sz w:val="32"/>
          <w:szCs w:val="32"/>
        </w:rPr>
        <w:t>于2017年11月11日开工建设，</w:t>
      </w:r>
      <w:r>
        <w:rPr>
          <w:rFonts w:hint="eastAsia" w:ascii="Times New Roman" w:hAnsi="Times New Roman" w:eastAsia="仿宋_GB2312" w:cs="Times New Roman"/>
          <w:sz w:val="32"/>
          <w:szCs w:val="32"/>
          <w:lang w:val="en-US" w:eastAsia="zh-CN"/>
        </w:rPr>
        <w:t>期间因建设单位股权变更</w:t>
      </w:r>
      <w:r>
        <w:rPr>
          <w:rFonts w:hint="eastAsia" w:ascii="Times New Roman" w:hAnsi="Times New Roman" w:eastAsia="仿宋_GB2312" w:cs="Times New Roman"/>
          <w:sz w:val="32"/>
          <w:szCs w:val="32"/>
        </w:rPr>
        <w:t>于2019年12月11日暂停施工，于2020年10月10日全面复工，主体工程</w:t>
      </w:r>
      <w:r>
        <w:rPr>
          <w:rFonts w:hint="eastAsia" w:ascii="Times New Roman" w:hAnsi="Times New Roman" w:eastAsia="仿宋_GB2312" w:cs="Times New Roman"/>
          <w:sz w:val="32"/>
          <w:szCs w:val="32"/>
          <w:lang w:eastAsia="zh-CN"/>
        </w:rPr>
        <w:t>于</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年6月完成建设</w:t>
      </w:r>
      <w:r>
        <w:rPr>
          <w:rFonts w:hint="eastAsia" w:ascii="Times New Roman" w:hAnsi="Times New Roman" w:eastAsia="仿宋_GB2312" w:cs="Times New Roman"/>
          <w:sz w:val="32"/>
          <w:szCs w:val="32"/>
          <w:lang w:eastAsia="zh-CN"/>
        </w:rPr>
        <w:t>，并于</w:t>
      </w:r>
      <w:r>
        <w:rPr>
          <w:rFonts w:hint="eastAsia" w:ascii="Times New Roman" w:hAnsi="Times New Roman" w:eastAsia="仿宋_GB2312" w:cs="Times New Roman"/>
          <w:sz w:val="32"/>
          <w:szCs w:val="32"/>
        </w:rPr>
        <w:t>6月18日正式通水运行</w:t>
      </w:r>
      <w:r>
        <w:rPr>
          <w:rFonts w:hint="eastAsia" w:ascii="Times New Roman" w:hAnsi="Times New Roman" w:eastAsia="仿宋_GB2312" w:cs="Times New Roman"/>
          <w:sz w:val="32"/>
          <w:szCs w:val="32"/>
          <w:lang w:eastAsia="zh-CN"/>
        </w:rPr>
        <w:t>。但</w:t>
      </w:r>
      <w:r>
        <w:rPr>
          <w:rFonts w:hint="eastAsia" w:ascii="Times New Roman" w:hAnsi="Times New Roman" w:eastAsia="仿宋_GB2312" w:cs="Times New Roman"/>
          <w:sz w:val="32"/>
          <w:szCs w:val="32"/>
        </w:rPr>
        <w:t>截至2022年6月，该项目尚未完成工程结算。</w:t>
      </w:r>
    </w:p>
    <w:p>
      <w:pPr>
        <w:pStyle w:val="9"/>
        <w:ind w:firstLine="640"/>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项目</w:t>
      </w:r>
      <w:r>
        <w:rPr>
          <w:rFonts w:hint="eastAsia" w:ascii="Times New Roman" w:hAnsi="Times New Roman" w:eastAsia="仿宋_GB2312" w:cs="Times New Roman"/>
          <w:sz w:val="32"/>
          <w:szCs w:val="32"/>
          <w:lang w:eastAsia="zh-CN"/>
        </w:rPr>
        <w:t>整体</w:t>
      </w:r>
      <w:r>
        <w:rPr>
          <w:rFonts w:hint="eastAsia" w:ascii="Times New Roman" w:hAnsi="Times New Roman" w:eastAsia="仿宋_GB2312" w:cs="Times New Roman"/>
          <w:sz w:val="32"/>
          <w:szCs w:val="32"/>
        </w:rPr>
        <w:t>概算</w:t>
      </w:r>
      <w:r>
        <w:rPr>
          <w:rFonts w:hint="eastAsia" w:ascii="Times New Roman" w:hAnsi="Times New Roman" w:eastAsia="仿宋_GB2312" w:cs="Times New Roman"/>
          <w:sz w:val="32"/>
          <w:szCs w:val="32"/>
          <w:lang w:eastAsia="zh-CN"/>
        </w:rPr>
        <w:t>为</w:t>
      </w:r>
      <w:r>
        <w:rPr>
          <w:rFonts w:hint="eastAsia" w:ascii="Times New Roman" w:hAnsi="Times New Roman" w:eastAsia="仿宋_GB2312" w:cs="Times New Roman"/>
          <w:sz w:val="32"/>
          <w:szCs w:val="32"/>
        </w:rPr>
        <w:t>17.10亿元，其中，</w:t>
      </w:r>
      <w:r>
        <w:rPr>
          <w:rFonts w:hint="eastAsia" w:ascii="Times New Roman" w:hAnsi="Times New Roman" w:eastAsia="仿宋_GB2312" w:cs="Times New Roman"/>
          <w:sz w:val="32"/>
          <w:szCs w:val="32"/>
          <w:lang w:eastAsia="zh-CN" w:bidi="ar"/>
        </w:rPr>
        <w:t>南水工程</w:t>
      </w:r>
      <w:r>
        <w:rPr>
          <w:rFonts w:hint="eastAsia" w:ascii="Times New Roman" w:hAnsi="Times New Roman" w:eastAsia="仿宋_GB2312" w:cs="Times New Roman"/>
          <w:sz w:val="32"/>
          <w:szCs w:val="32"/>
          <w:lang w:bidi="ar"/>
        </w:rPr>
        <w:t>项目（原水管部分）概算为13.79亿元，</w:t>
      </w:r>
      <w:r>
        <w:rPr>
          <w:rFonts w:hint="eastAsia" w:ascii="Times New Roman" w:hAnsi="Times New Roman" w:eastAsia="仿宋_GB2312" w:cs="Times New Roman"/>
          <w:sz w:val="32"/>
          <w:szCs w:val="32"/>
          <w:lang w:eastAsia="zh-CN" w:bidi="ar"/>
        </w:rPr>
        <w:t>南水工程</w:t>
      </w:r>
      <w:r>
        <w:rPr>
          <w:rFonts w:hint="eastAsia" w:ascii="Times New Roman" w:hAnsi="Times New Roman" w:eastAsia="仿宋_GB2312" w:cs="Times New Roman"/>
          <w:sz w:val="32"/>
          <w:szCs w:val="32"/>
          <w:lang w:bidi="ar"/>
        </w:rPr>
        <w:t>（扩建西河二水厂部分工程）概算为3.31亿元。</w:t>
      </w:r>
    </w:p>
    <w:p>
      <w:pPr>
        <w:pStyle w:val="9"/>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bidi="ar"/>
        </w:rPr>
        <w:t>截至2022年9月，</w:t>
      </w: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项目下达资金合共14.12亿元，实际支出11.68亿元，支出率为82.72%，其中，</w:t>
      </w:r>
      <w:r>
        <w:rPr>
          <w:rFonts w:hint="eastAsia" w:ascii="Times New Roman" w:hAnsi="Times New Roman" w:eastAsia="仿宋_GB2312" w:cs="Times New Roman"/>
          <w:sz w:val="32"/>
          <w:szCs w:val="32"/>
          <w:lang w:eastAsia="zh-CN" w:bidi="ar"/>
        </w:rPr>
        <w:t>南水工程</w:t>
      </w:r>
      <w:r>
        <w:rPr>
          <w:rFonts w:hint="eastAsia" w:ascii="Times New Roman" w:hAnsi="Times New Roman" w:eastAsia="仿宋_GB2312" w:cs="Times New Roman"/>
          <w:sz w:val="32"/>
          <w:szCs w:val="32"/>
          <w:lang w:bidi="ar"/>
        </w:rPr>
        <w:t>项目（原水管部分）实际到位资金为11.69亿元，实际支出9.50亿元，支出率为81.27%；</w:t>
      </w:r>
      <w:r>
        <w:rPr>
          <w:rFonts w:hint="eastAsia" w:ascii="Times New Roman" w:hAnsi="Times New Roman" w:eastAsia="仿宋_GB2312" w:cs="Times New Roman"/>
          <w:sz w:val="32"/>
          <w:szCs w:val="32"/>
          <w:lang w:eastAsia="zh-CN" w:bidi="ar"/>
        </w:rPr>
        <w:t>南水工程</w:t>
      </w:r>
      <w:r>
        <w:rPr>
          <w:rFonts w:hint="eastAsia" w:ascii="Times New Roman" w:hAnsi="Times New Roman" w:eastAsia="仿宋_GB2312" w:cs="Times New Roman"/>
          <w:sz w:val="32"/>
          <w:szCs w:val="32"/>
          <w:lang w:bidi="ar"/>
        </w:rPr>
        <w:t>（扩建西河二水厂部分工程）实际到位资金为2.43亿元，实际支出0.88亿元，支出率为89.71%。</w:t>
      </w:r>
    </w:p>
    <w:p>
      <w:pPr>
        <w:pStyle w:val="9"/>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2021年度，</w:t>
      </w: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项目共下达市本级新增债券转贷资金13,000万元，截至评价基准日（2021年12月31日），实际支出为12,303.86万元，支出率为94.65%。</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建设有长约38.1公里的原水管道及新建水厂，保障了韶关人民的饮水安全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在建设过程中，工程实施单位攻坚克难，进行了许多技术创新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通过多次调概、技术创新与成本控制，实施单位节约了实际支出，减轻了财政负担。</w:t>
      </w:r>
    </w:p>
    <w:p>
      <w:pPr>
        <w:pStyle w:val="9"/>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结合被评价单位提供的佐证材料和现场评价，该项目论证充分，分配合理，能够基本完成项目实施内容与绩效目标。经综合评定，</w:t>
      </w: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项目绩效评价得分为</w:t>
      </w:r>
      <w:r>
        <w:rPr>
          <w:rFonts w:hint="eastAsia" w:ascii="Times New Roman" w:hAnsi="Times New Roman" w:eastAsia="仿宋_GB2312" w:cs="Times New Roman"/>
          <w:b/>
          <w:bCs/>
          <w:sz w:val="32"/>
          <w:szCs w:val="32"/>
        </w:rPr>
        <w:t>7</w:t>
      </w:r>
      <w:r>
        <w:rPr>
          <w:rFonts w:hint="eastAsia" w:ascii="Times New Roman" w:hAnsi="Times New Roman" w:eastAsia="仿宋_GB2312" w:cs="Times New Roman"/>
          <w:b/>
          <w:bCs/>
          <w:sz w:val="32"/>
          <w:szCs w:val="32"/>
          <w:lang w:val="en-US" w:eastAsia="zh-CN"/>
        </w:rPr>
        <w:t>8</w:t>
      </w:r>
      <w:r>
        <w:rPr>
          <w:rFonts w:hint="eastAsia" w:ascii="Times New Roman" w:hAnsi="Times New Roman" w:eastAsia="仿宋_GB2312" w:cs="Times New Roman"/>
          <w:b/>
          <w:bCs/>
          <w:sz w:val="32"/>
          <w:szCs w:val="32"/>
        </w:rPr>
        <w:t>.47</w:t>
      </w:r>
      <w:r>
        <w:rPr>
          <w:rFonts w:hint="eastAsia" w:ascii="Times New Roman" w:hAnsi="Times New Roman" w:eastAsia="仿宋_GB2312" w:cs="Times New Roman"/>
          <w:sz w:val="32"/>
          <w:szCs w:val="32"/>
        </w:rPr>
        <w:t>分，得分率为</w:t>
      </w:r>
      <w:r>
        <w:rPr>
          <w:rFonts w:hint="eastAsia" w:ascii="Times New Roman" w:hAnsi="Times New Roman" w:eastAsia="仿宋_GB2312" w:cs="Times New Roman"/>
          <w:b/>
          <w:bCs/>
          <w:sz w:val="32"/>
          <w:szCs w:val="32"/>
        </w:rPr>
        <w:t>7</w:t>
      </w:r>
      <w:r>
        <w:rPr>
          <w:rFonts w:hint="eastAsia" w:ascii="Times New Roman" w:hAnsi="Times New Roman" w:eastAsia="仿宋_GB2312" w:cs="Times New Roman"/>
          <w:b/>
          <w:bCs/>
          <w:sz w:val="32"/>
          <w:szCs w:val="32"/>
          <w:lang w:val="en-US" w:eastAsia="zh-CN"/>
        </w:rPr>
        <w:t>8</w:t>
      </w:r>
      <w:r>
        <w:rPr>
          <w:rFonts w:hint="eastAsia" w:ascii="Times New Roman" w:hAnsi="Times New Roman" w:eastAsia="仿宋_GB2312" w:cs="Times New Roman"/>
          <w:b/>
          <w:bCs/>
          <w:sz w:val="32"/>
          <w:szCs w:val="32"/>
        </w:rPr>
        <w:t>.47%</w:t>
      </w:r>
      <w:r>
        <w:rPr>
          <w:rFonts w:hint="eastAsia" w:ascii="Times New Roman" w:hAnsi="Times New Roman" w:eastAsia="仿宋_GB2312" w:cs="Times New Roman"/>
          <w:sz w:val="32"/>
          <w:szCs w:val="32"/>
        </w:rPr>
        <w:t>，评价等级为“</w:t>
      </w:r>
      <w:r>
        <w:rPr>
          <w:rFonts w:hint="eastAsia" w:ascii="Times New Roman" w:hAnsi="Times New Roman" w:eastAsia="仿宋_GB2312" w:cs="Times New Roman"/>
          <w:b/>
          <w:bCs/>
          <w:sz w:val="32"/>
          <w:szCs w:val="32"/>
        </w:rPr>
        <w:t>中</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但该项目还存在以下问题：</w:t>
      </w:r>
      <w:r>
        <w:rPr>
          <w:rFonts w:hint="eastAsia" w:ascii="Times New Roman" w:hAnsi="Times New Roman" w:eastAsia="仿宋_GB2312" w:cs="Times New Roman"/>
          <w:b/>
          <w:bCs/>
          <w:sz w:val="32"/>
          <w:szCs w:val="32"/>
        </w:rPr>
        <w:t>一是</w:t>
      </w:r>
      <w:r>
        <w:rPr>
          <w:rFonts w:hint="eastAsia" w:ascii="Times New Roman" w:hAnsi="Times New Roman" w:eastAsia="仿宋_GB2312" w:cs="Times New Roman"/>
          <w:sz w:val="32"/>
          <w:szCs w:val="32"/>
        </w:rPr>
        <w:t>整体设计深度不足，后期项目频繁变更；</w:t>
      </w:r>
      <w:r>
        <w:rPr>
          <w:rFonts w:hint="eastAsia" w:ascii="Times New Roman" w:hAnsi="Times New Roman" w:eastAsia="仿宋_GB2312" w:cs="Times New Roman"/>
          <w:b/>
          <w:bCs/>
          <w:sz w:val="32"/>
          <w:szCs w:val="32"/>
        </w:rPr>
        <w:t>二是</w:t>
      </w:r>
      <w:r>
        <w:rPr>
          <w:rFonts w:hint="eastAsia" w:ascii="Times New Roman" w:hAnsi="Times New Roman" w:eastAsia="仿宋_GB2312" w:cs="Times New Roman"/>
          <w:sz w:val="32"/>
          <w:szCs w:val="32"/>
        </w:rPr>
        <w:t>项目建设时间不足，工期安排不合理；</w:t>
      </w:r>
      <w:r>
        <w:rPr>
          <w:rFonts w:hint="eastAsia" w:ascii="Times New Roman" w:hAnsi="Times New Roman" w:eastAsia="仿宋_GB2312" w:cs="Times New Roman"/>
          <w:b/>
          <w:bCs/>
          <w:sz w:val="32"/>
          <w:szCs w:val="32"/>
        </w:rPr>
        <w:t>三是</w:t>
      </w:r>
      <w:r>
        <w:rPr>
          <w:rFonts w:hint="eastAsia" w:ascii="Times New Roman" w:hAnsi="Times New Roman" w:eastAsia="仿宋_GB2312" w:cs="Times New Roman"/>
          <w:sz w:val="32"/>
          <w:szCs w:val="32"/>
        </w:rPr>
        <w:t>对污染废弃物的处理不足，环境效益不足。</w:t>
      </w:r>
    </w:p>
    <w:p>
      <w:pPr>
        <w:ind w:firstLine="640" w:firstLineChars="200"/>
      </w:pPr>
      <w:r>
        <w:rPr>
          <w:rFonts w:hint="eastAsia" w:ascii="Times New Roman" w:hAnsi="Times New Roman" w:eastAsia="仿宋_GB2312" w:cs="Times New Roman"/>
          <w:sz w:val="32"/>
          <w:szCs w:val="32"/>
        </w:rPr>
        <w:t>针对以上问题，以下提出三个建议：</w:t>
      </w:r>
      <w:r>
        <w:rPr>
          <w:rFonts w:hint="eastAsia" w:ascii="Times New Roman" w:hAnsi="Times New Roman" w:eastAsia="仿宋_GB2312" w:cs="Times New Roman"/>
          <w:b/>
          <w:bCs/>
          <w:sz w:val="32"/>
          <w:szCs w:val="32"/>
        </w:rPr>
        <w:t>一是</w:t>
      </w:r>
      <w:r>
        <w:rPr>
          <w:rFonts w:hint="eastAsia" w:ascii="Times New Roman" w:hAnsi="Times New Roman" w:eastAsia="仿宋_GB2312" w:cs="Times New Roman"/>
          <w:sz w:val="32"/>
          <w:szCs w:val="32"/>
        </w:rPr>
        <w:t>深化项目设计，增强项目过程管理，提高项目管理的有效性；</w:t>
      </w:r>
      <w:r>
        <w:rPr>
          <w:rFonts w:hint="eastAsia" w:ascii="Times New Roman" w:hAnsi="Times New Roman" w:eastAsia="仿宋_GB2312" w:cs="Times New Roman"/>
          <w:b/>
          <w:bCs/>
          <w:sz w:val="32"/>
          <w:szCs w:val="32"/>
        </w:rPr>
        <w:t>二是</w:t>
      </w:r>
      <w:r>
        <w:rPr>
          <w:rFonts w:hint="eastAsia" w:ascii="Times New Roman" w:hAnsi="Times New Roman" w:eastAsia="仿宋_GB2312" w:cs="Times New Roman"/>
          <w:sz w:val="32"/>
          <w:szCs w:val="32"/>
        </w:rPr>
        <w:t>增加应急预案，科学合理安排进度；</w:t>
      </w:r>
      <w:r>
        <w:rPr>
          <w:rFonts w:hint="eastAsia" w:ascii="Times New Roman" w:hAnsi="Times New Roman" w:eastAsia="仿宋_GB2312" w:cs="Times New Roman"/>
          <w:b/>
          <w:bCs/>
          <w:sz w:val="32"/>
          <w:szCs w:val="32"/>
        </w:rPr>
        <w:t>三是</w:t>
      </w:r>
      <w:r>
        <w:rPr>
          <w:rFonts w:hint="eastAsia" w:ascii="Times New Roman" w:hAnsi="Times New Roman" w:eastAsia="仿宋_GB2312" w:cs="Times New Roman"/>
          <w:sz w:val="32"/>
          <w:szCs w:val="32"/>
        </w:rPr>
        <w:t>提高污染防治意识，加强建设过程的工地废弃物监管工作，及时进行土壤回填、绿地复垦、建筑垃圾分类回收利用等工作，提高项目的环境效益。</w:t>
      </w:r>
    </w:p>
    <w:sdt>
      <w:sdtPr>
        <w:rPr>
          <w:rFonts w:ascii="宋体" w:hAnsi="宋体" w:eastAsia="宋体"/>
        </w:rPr>
        <w:id w:val="147468361"/>
        <w15:color w:val="DBDBDB"/>
        <w:docPartObj>
          <w:docPartGallery w:val="Table of Contents"/>
          <w:docPartUnique/>
        </w:docPartObj>
      </w:sdtPr>
      <w:sdtEndPr>
        <w:rPr>
          <w:rFonts w:asciiTheme="minorHAnsi" w:hAnsiTheme="minorHAnsi" w:eastAsiaTheme="minorEastAsia"/>
          <w:b/>
        </w:rPr>
      </w:sdtEndPr>
      <w:sdtContent>
        <w:p>
          <w:pPr>
            <w:ind w:firstLine="420" w:firstLineChars="200"/>
            <w:jc w:val="center"/>
            <w:rPr>
              <w:rFonts w:ascii="宋体" w:hAnsi="宋体" w:eastAsia="宋体"/>
            </w:rPr>
          </w:pPr>
        </w:p>
        <w:p>
          <w:pPr>
            <w:ind w:firstLine="420" w:firstLineChars="200"/>
            <w:jc w:val="center"/>
            <w:rPr>
              <w:rFonts w:ascii="宋体" w:hAnsi="宋体" w:eastAsia="宋体"/>
            </w:rPr>
          </w:pPr>
        </w:p>
        <w:p>
          <w:pPr>
            <w:ind w:firstLine="420" w:firstLineChars="200"/>
            <w:jc w:val="center"/>
            <w:rPr>
              <w:rFonts w:ascii="宋体" w:hAnsi="宋体" w:eastAsia="宋体"/>
            </w:rPr>
          </w:pPr>
        </w:p>
        <w:p>
          <w:pPr>
            <w:ind w:firstLine="420" w:firstLineChars="200"/>
            <w:jc w:val="center"/>
            <w:rPr>
              <w:rFonts w:ascii="宋体" w:hAnsi="宋体" w:eastAsia="宋体"/>
            </w:rPr>
          </w:pPr>
        </w:p>
        <w:p>
          <w:pPr>
            <w:ind w:firstLine="420" w:firstLineChars="200"/>
            <w:jc w:val="center"/>
            <w:rPr>
              <w:rFonts w:ascii="宋体" w:hAnsi="宋体" w:eastAsia="宋体"/>
            </w:rPr>
          </w:pPr>
        </w:p>
        <w:p>
          <w:pPr>
            <w:ind w:firstLine="420" w:firstLineChars="200"/>
            <w:jc w:val="center"/>
            <w:rPr>
              <w:rFonts w:ascii="宋体" w:hAnsi="宋体" w:eastAsia="宋体"/>
            </w:rPr>
          </w:pPr>
        </w:p>
        <w:p>
          <w:pPr>
            <w:ind w:firstLine="420" w:firstLineChars="200"/>
            <w:jc w:val="center"/>
            <w:rPr>
              <w:rFonts w:ascii="宋体" w:hAnsi="宋体" w:eastAsia="宋体"/>
            </w:rPr>
          </w:pPr>
        </w:p>
        <w:p>
          <w:pPr>
            <w:ind w:firstLine="420" w:firstLineChars="200"/>
            <w:jc w:val="center"/>
            <w:rPr>
              <w:rFonts w:ascii="宋体" w:hAnsi="宋体" w:eastAsia="宋体"/>
            </w:rPr>
          </w:pPr>
        </w:p>
        <w:p>
          <w:pPr>
            <w:jc w:val="center"/>
            <w:rPr>
              <w:rFonts w:ascii="宋体" w:hAnsi="宋体" w:eastAsia="宋体"/>
              <w:b/>
              <w:bCs/>
              <w:sz w:val="32"/>
              <w:szCs w:val="32"/>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11"/>
            <w:keepNext w:val="0"/>
            <w:keepLines w:val="0"/>
            <w:pageBreakBefore w:val="0"/>
            <w:tabs>
              <w:tab w:val="right" w:leader="dot" w:pos="8958"/>
            </w:tabs>
            <w:kinsoku/>
            <w:wordWrap/>
            <w:overflowPunct/>
            <w:topLinePunct w:val="0"/>
            <w:autoSpaceDE/>
            <w:autoSpaceDN/>
            <w:bidi w:val="0"/>
            <w:adjustRightInd/>
            <w:snapToGrid/>
            <w:spacing w:line="560" w:lineRule="exact"/>
            <w:textAlignment w:val="auto"/>
            <w:outlineLvl w:val="9"/>
          </w:pPr>
          <w:r>
            <w:fldChar w:fldCharType="begin"/>
          </w:r>
          <w:r>
            <w:instrText xml:space="preserve">TOC \o "1-2" \h \u </w:instrText>
          </w:r>
          <w:r>
            <w:fldChar w:fldCharType="separate"/>
          </w:r>
          <w:r>
            <w:fldChar w:fldCharType="begin"/>
          </w:r>
          <w:r>
            <w:instrText xml:space="preserve"> HYPERLINK \l "_Toc12790" </w:instrText>
          </w:r>
          <w:r>
            <w:fldChar w:fldCharType="separate"/>
          </w:r>
          <w:r>
            <w:rPr>
              <w:rFonts w:hint="eastAsia" w:ascii="宋体" w:hAnsi="宋体" w:eastAsia="宋体" w:cs="宋体"/>
              <w:b/>
              <w:sz w:val="28"/>
              <w:szCs w:val="28"/>
            </w:rPr>
            <w:t>一、项目基本情况</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_Toc12790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1</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pStyle w:val="36"/>
            <w:keepNext w:val="0"/>
            <w:keepLines w:val="0"/>
            <w:pageBreakBefore w:val="0"/>
            <w:tabs>
              <w:tab w:val="right" w:leader="dot" w:pos="8958"/>
            </w:tabs>
            <w:kinsoku/>
            <w:wordWrap/>
            <w:overflowPunct/>
            <w:topLinePunct w:val="0"/>
            <w:autoSpaceDE/>
            <w:autoSpaceDN/>
            <w:bidi w:val="0"/>
            <w:adjustRightInd/>
            <w:snapToGrid/>
            <w:spacing w:line="560" w:lineRule="exact"/>
            <w:ind w:left="420"/>
            <w:textAlignment w:val="auto"/>
            <w:outlineLvl w:val="9"/>
            <w:rPr>
              <w:rFonts w:ascii="宋体" w:hAnsi="宋体" w:cs="宋体"/>
              <w:sz w:val="28"/>
              <w:szCs w:val="28"/>
            </w:rPr>
          </w:pPr>
          <w:r>
            <w:fldChar w:fldCharType="begin"/>
          </w:r>
          <w:r>
            <w:instrText xml:space="preserve"> HYPERLINK \l "_Toc19468" </w:instrText>
          </w:r>
          <w:r>
            <w:fldChar w:fldCharType="separate"/>
          </w:r>
          <w:r>
            <w:rPr>
              <w:rFonts w:hint="eastAsia" w:ascii="宋体" w:hAnsi="宋体" w:cs="宋体"/>
              <w:sz w:val="28"/>
              <w:szCs w:val="28"/>
            </w:rPr>
            <w:t>（一）设立背景、目的及时间。</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_Toc19468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36"/>
            <w:keepNext w:val="0"/>
            <w:keepLines w:val="0"/>
            <w:pageBreakBefore w:val="0"/>
            <w:tabs>
              <w:tab w:val="right" w:leader="dot" w:pos="8958"/>
            </w:tabs>
            <w:kinsoku/>
            <w:wordWrap/>
            <w:overflowPunct/>
            <w:topLinePunct w:val="0"/>
            <w:autoSpaceDE/>
            <w:autoSpaceDN/>
            <w:bidi w:val="0"/>
            <w:adjustRightInd/>
            <w:snapToGrid/>
            <w:spacing w:line="560" w:lineRule="exact"/>
            <w:ind w:left="420"/>
            <w:textAlignment w:val="auto"/>
            <w:outlineLvl w:val="9"/>
            <w:rPr>
              <w:rFonts w:ascii="宋体" w:hAnsi="宋体" w:cs="宋体"/>
              <w:sz w:val="28"/>
              <w:szCs w:val="28"/>
            </w:rPr>
          </w:pPr>
          <w:r>
            <w:fldChar w:fldCharType="begin"/>
          </w:r>
          <w:r>
            <w:instrText xml:space="preserve"> HYPERLINK \l "_Toc23012" </w:instrText>
          </w:r>
          <w:r>
            <w:fldChar w:fldCharType="separate"/>
          </w:r>
          <w:r>
            <w:rPr>
              <w:rFonts w:hint="eastAsia" w:ascii="宋体" w:hAnsi="宋体" w:cs="宋体"/>
              <w:sz w:val="28"/>
              <w:szCs w:val="28"/>
            </w:rPr>
            <w:t>（二）资金用途及收支情况。</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_Toc23012 \h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fldChar w:fldCharType="end"/>
          </w:r>
        </w:p>
        <w:p>
          <w:pPr>
            <w:pStyle w:val="36"/>
            <w:keepNext w:val="0"/>
            <w:keepLines w:val="0"/>
            <w:pageBreakBefore w:val="0"/>
            <w:tabs>
              <w:tab w:val="right" w:leader="dot" w:pos="8958"/>
            </w:tabs>
            <w:kinsoku/>
            <w:wordWrap/>
            <w:overflowPunct/>
            <w:topLinePunct w:val="0"/>
            <w:autoSpaceDE/>
            <w:autoSpaceDN/>
            <w:bidi w:val="0"/>
            <w:adjustRightInd/>
            <w:snapToGrid/>
            <w:spacing w:line="560" w:lineRule="exact"/>
            <w:ind w:left="420"/>
            <w:textAlignment w:val="auto"/>
            <w:outlineLvl w:val="9"/>
            <w:rPr>
              <w:rFonts w:ascii="宋体" w:hAnsi="宋体" w:cs="宋体"/>
              <w:sz w:val="28"/>
              <w:szCs w:val="28"/>
            </w:rPr>
          </w:pPr>
          <w:r>
            <w:fldChar w:fldCharType="begin"/>
          </w:r>
          <w:r>
            <w:instrText xml:space="preserve"> HYPERLINK \l "_Toc13058" </w:instrText>
          </w:r>
          <w:r>
            <w:fldChar w:fldCharType="separate"/>
          </w:r>
          <w:r>
            <w:rPr>
              <w:rFonts w:hint="eastAsia" w:ascii="宋体" w:hAnsi="宋体" w:cs="宋体"/>
              <w:sz w:val="28"/>
              <w:szCs w:val="28"/>
            </w:rPr>
            <w:t>（三）绩效目标。</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_Toc13058 \h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fldChar w:fldCharType="end"/>
          </w:r>
        </w:p>
        <w:p>
          <w:pPr>
            <w:pStyle w:val="11"/>
            <w:keepNext w:val="0"/>
            <w:keepLines w:val="0"/>
            <w:pageBreakBefore w:val="0"/>
            <w:tabs>
              <w:tab w:val="right" w:leader="dot" w:pos="8958"/>
            </w:tabs>
            <w:kinsoku/>
            <w:wordWrap/>
            <w:overflowPunct/>
            <w:topLinePunct w:val="0"/>
            <w:autoSpaceDE/>
            <w:autoSpaceDN/>
            <w:bidi w:val="0"/>
            <w:adjustRightInd/>
            <w:snapToGrid/>
            <w:spacing w:line="560" w:lineRule="exact"/>
            <w:textAlignment w:val="auto"/>
            <w:outlineLvl w:val="9"/>
            <w:rPr>
              <w:rFonts w:ascii="宋体" w:hAnsi="宋体" w:eastAsia="宋体" w:cs="宋体"/>
              <w:b/>
              <w:sz w:val="28"/>
              <w:szCs w:val="28"/>
            </w:rPr>
          </w:pPr>
          <w:r>
            <w:fldChar w:fldCharType="begin"/>
          </w:r>
          <w:r>
            <w:instrText xml:space="preserve"> HYPERLINK \l "_Toc6887" </w:instrText>
          </w:r>
          <w:r>
            <w:fldChar w:fldCharType="separate"/>
          </w:r>
          <w:r>
            <w:rPr>
              <w:rFonts w:hint="eastAsia" w:ascii="宋体" w:hAnsi="宋体" w:eastAsia="宋体" w:cs="宋体"/>
              <w:b/>
              <w:sz w:val="28"/>
              <w:szCs w:val="28"/>
            </w:rPr>
            <w:t>二、绩效分析</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_Toc6887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1</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pStyle w:val="36"/>
            <w:keepNext w:val="0"/>
            <w:keepLines w:val="0"/>
            <w:pageBreakBefore w:val="0"/>
            <w:tabs>
              <w:tab w:val="right" w:leader="dot" w:pos="8958"/>
            </w:tabs>
            <w:kinsoku/>
            <w:wordWrap/>
            <w:overflowPunct/>
            <w:topLinePunct w:val="0"/>
            <w:autoSpaceDE/>
            <w:autoSpaceDN/>
            <w:bidi w:val="0"/>
            <w:adjustRightInd/>
            <w:snapToGrid/>
            <w:spacing w:line="560" w:lineRule="exact"/>
            <w:ind w:left="420"/>
            <w:textAlignment w:val="auto"/>
            <w:outlineLvl w:val="9"/>
            <w:rPr>
              <w:rFonts w:ascii="宋体" w:hAnsi="宋体" w:cs="宋体"/>
              <w:sz w:val="28"/>
              <w:szCs w:val="28"/>
            </w:rPr>
          </w:pPr>
          <w:r>
            <w:fldChar w:fldCharType="begin"/>
          </w:r>
          <w:r>
            <w:instrText xml:space="preserve"> HYPERLINK \l "_Toc22503" </w:instrText>
          </w:r>
          <w:r>
            <w:fldChar w:fldCharType="separate"/>
          </w:r>
          <w:r>
            <w:rPr>
              <w:rFonts w:hint="eastAsia" w:ascii="宋体" w:hAnsi="宋体" w:cs="宋体"/>
              <w:sz w:val="28"/>
              <w:szCs w:val="28"/>
            </w:rPr>
            <w:t>（一）绩效目标完成情况。</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_Toc22503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36"/>
            <w:keepNext w:val="0"/>
            <w:keepLines w:val="0"/>
            <w:pageBreakBefore w:val="0"/>
            <w:tabs>
              <w:tab w:val="right" w:leader="dot" w:pos="8958"/>
            </w:tabs>
            <w:kinsoku/>
            <w:wordWrap/>
            <w:overflowPunct/>
            <w:topLinePunct w:val="0"/>
            <w:autoSpaceDE/>
            <w:autoSpaceDN/>
            <w:bidi w:val="0"/>
            <w:adjustRightInd/>
            <w:snapToGrid/>
            <w:spacing w:line="560" w:lineRule="exact"/>
            <w:ind w:left="420"/>
            <w:textAlignment w:val="auto"/>
            <w:outlineLvl w:val="9"/>
            <w:rPr>
              <w:rFonts w:ascii="宋体" w:hAnsi="宋体" w:cs="宋体"/>
              <w:sz w:val="28"/>
              <w:szCs w:val="28"/>
            </w:rPr>
          </w:pPr>
          <w:r>
            <w:fldChar w:fldCharType="begin"/>
          </w:r>
          <w:r>
            <w:instrText xml:space="preserve"> HYPERLINK \l "_Toc6031" </w:instrText>
          </w:r>
          <w:r>
            <w:fldChar w:fldCharType="separate"/>
          </w:r>
          <w:r>
            <w:rPr>
              <w:rFonts w:hint="eastAsia" w:ascii="宋体" w:hAnsi="宋体" w:cs="宋体"/>
              <w:sz w:val="28"/>
              <w:szCs w:val="28"/>
            </w:rPr>
            <w:t>（二）绩效评价指标分析情况。</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_Toc6031 \h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fldChar w:fldCharType="end"/>
          </w:r>
        </w:p>
        <w:p>
          <w:pPr>
            <w:pStyle w:val="11"/>
            <w:keepNext w:val="0"/>
            <w:keepLines w:val="0"/>
            <w:pageBreakBefore w:val="0"/>
            <w:tabs>
              <w:tab w:val="right" w:leader="dot" w:pos="8958"/>
            </w:tabs>
            <w:kinsoku/>
            <w:wordWrap/>
            <w:overflowPunct/>
            <w:topLinePunct w:val="0"/>
            <w:autoSpaceDE/>
            <w:autoSpaceDN/>
            <w:bidi w:val="0"/>
            <w:adjustRightInd/>
            <w:snapToGrid/>
            <w:spacing w:line="560" w:lineRule="exact"/>
            <w:textAlignment w:val="auto"/>
            <w:outlineLvl w:val="9"/>
            <w:rPr>
              <w:rFonts w:ascii="宋体" w:hAnsi="宋体" w:eastAsia="宋体" w:cs="宋体"/>
              <w:b/>
              <w:sz w:val="28"/>
              <w:szCs w:val="28"/>
            </w:rPr>
          </w:pPr>
          <w:r>
            <w:fldChar w:fldCharType="begin"/>
          </w:r>
          <w:r>
            <w:instrText xml:space="preserve"> HYPERLINK \l "_Toc13966" </w:instrText>
          </w:r>
          <w:r>
            <w:fldChar w:fldCharType="separate"/>
          </w:r>
          <w:r>
            <w:rPr>
              <w:rFonts w:hint="eastAsia" w:ascii="宋体" w:hAnsi="宋体" w:eastAsia="宋体" w:cs="宋体"/>
              <w:b/>
              <w:sz w:val="28"/>
              <w:szCs w:val="28"/>
            </w:rPr>
            <w:t>三、评价结论</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_Toc13966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14</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pStyle w:val="11"/>
            <w:keepNext w:val="0"/>
            <w:keepLines w:val="0"/>
            <w:pageBreakBefore w:val="0"/>
            <w:tabs>
              <w:tab w:val="right" w:leader="dot" w:pos="8958"/>
            </w:tabs>
            <w:kinsoku/>
            <w:wordWrap/>
            <w:overflowPunct/>
            <w:topLinePunct w:val="0"/>
            <w:autoSpaceDE/>
            <w:autoSpaceDN/>
            <w:bidi w:val="0"/>
            <w:adjustRightInd/>
            <w:snapToGrid/>
            <w:spacing w:line="560" w:lineRule="exact"/>
            <w:textAlignment w:val="auto"/>
            <w:outlineLvl w:val="9"/>
            <w:rPr>
              <w:rFonts w:ascii="宋体" w:hAnsi="宋体" w:eastAsia="宋体" w:cs="宋体"/>
              <w:b/>
              <w:sz w:val="28"/>
              <w:szCs w:val="28"/>
            </w:rPr>
          </w:pPr>
          <w:r>
            <w:fldChar w:fldCharType="begin"/>
          </w:r>
          <w:r>
            <w:instrText xml:space="preserve"> HYPERLINK \l "_Toc14808" </w:instrText>
          </w:r>
          <w:r>
            <w:fldChar w:fldCharType="separate"/>
          </w:r>
          <w:r>
            <w:rPr>
              <w:rFonts w:hint="eastAsia" w:ascii="宋体" w:hAnsi="宋体" w:eastAsia="宋体" w:cs="宋体"/>
              <w:b/>
              <w:sz w:val="28"/>
              <w:szCs w:val="28"/>
            </w:rPr>
            <w:t>四、主要绩效</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_Toc14808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15</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pStyle w:val="36"/>
            <w:keepNext w:val="0"/>
            <w:keepLines w:val="0"/>
            <w:pageBreakBefore w:val="0"/>
            <w:tabs>
              <w:tab w:val="right" w:leader="dot" w:pos="8958"/>
            </w:tabs>
            <w:kinsoku/>
            <w:wordWrap/>
            <w:overflowPunct/>
            <w:topLinePunct w:val="0"/>
            <w:autoSpaceDE/>
            <w:autoSpaceDN/>
            <w:bidi w:val="0"/>
            <w:adjustRightInd/>
            <w:snapToGrid/>
            <w:spacing w:line="560" w:lineRule="exact"/>
            <w:ind w:left="420"/>
            <w:textAlignment w:val="auto"/>
            <w:outlineLvl w:val="9"/>
            <w:rPr>
              <w:rFonts w:ascii="宋体" w:hAnsi="宋体" w:cs="宋体"/>
              <w:sz w:val="28"/>
              <w:szCs w:val="28"/>
            </w:rPr>
          </w:pPr>
          <w:r>
            <w:fldChar w:fldCharType="begin"/>
          </w:r>
          <w:r>
            <w:instrText xml:space="preserve"> HYPERLINK \l "_Toc24731" </w:instrText>
          </w:r>
          <w:r>
            <w:fldChar w:fldCharType="separate"/>
          </w:r>
          <w:r>
            <w:rPr>
              <w:rFonts w:hint="eastAsia" w:ascii="宋体" w:hAnsi="宋体" w:cs="宋体"/>
              <w:sz w:val="28"/>
              <w:szCs w:val="28"/>
            </w:rPr>
            <w:t>（一）保障饮水安全，惠及韶关人民。</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_Toc24731 \h </w:instrText>
          </w:r>
          <w:r>
            <w:rPr>
              <w:rFonts w:hint="eastAsia" w:ascii="宋体" w:hAnsi="宋体" w:cs="宋体"/>
              <w:sz w:val="28"/>
              <w:szCs w:val="28"/>
            </w:rPr>
            <w:fldChar w:fldCharType="separate"/>
          </w:r>
          <w:r>
            <w:rPr>
              <w:rFonts w:hint="eastAsia"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fldChar w:fldCharType="end"/>
          </w:r>
        </w:p>
        <w:p>
          <w:pPr>
            <w:pStyle w:val="36"/>
            <w:keepNext w:val="0"/>
            <w:keepLines w:val="0"/>
            <w:pageBreakBefore w:val="0"/>
            <w:tabs>
              <w:tab w:val="right" w:leader="dot" w:pos="8958"/>
            </w:tabs>
            <w:kinsoku/>
            <w:wordWrap/>
            <w:overflowPunct/>
            <w:topLinePunct w:val="0"/>
            <w:autoSpaceDE/>
            <w:autoSpaceDN/>
            <w:bidi w:val="0"/>
            <w:adjustRightInd/>
            <w:snapToGrid/>
            <w:spacing w:line="560" w:lineRule="exact"/>
            <w:ind w:left="420"/>
            <w:textAlignment w:val="auto"/>
            <w:outlineLvl w:val="9"/>
            <w:rPr>
              <w:rFonts w:ascii="宋体" w:hAnsi="宋体" w:cs="宋体"/>
              <w:sz w:val="28"/>
              <w:szCs w:val="28"/>
            </w:rPr>
          </w:pPr>
          <w:r>
            <w:fldChar w:fldCharType="begin"/>
          </w:r>
          <w:r>
            <w:instrText xml:space="preserve"> HYPERLINK \l "_Toc9764" </w:instrText>
          </w:r>
          <w:r>
            <w:fldChar w:fldCharType="separate"/>
          </w:r>
          <w:r>
            <w:rPr>
              <w:rFonts w:hint="eastAsia" w:ascii="宋体" w:hAnsi="宋体" w:cs="宋体"/>
              <w:sz w:val="28"/>
              <w:szCs w:val="28"/>
            </w:rPr>
            <w:t>（二）坚持攻坚克难，进行技术创新。</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_Toc9764 \h </w:instrText>
          </w:r>
          <w:r>
            <w:rPr>
              <w:rFonts w:hint="eastAsia" w:ascii="宋体" w:hAnsi="宋体" w:cs="宋体"/>
              <w:sz w:val="28"/>
              <w:szCs w:val="28"/>
            </w:rPr>
            <w:fldChar w:fldCharType="separate"/>
          </w:r>
          <w:r>
            <w:rPr>
              <w:rFonts w:hint="eastAsia"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fldChar w:fldCharType="end"/>
          </w:r>
        </w:p>
        <w:p>
          <w:pPr>
            <w:pStyle w:val="36"/>
            <w:keepNext w:val="0"/>
            <w:keepLines w:val="0"/>
            <w:pageBreakBefore w:val="0"/>
            <w:tabs>
              <w:tab w:val="right" w:leader="dot" w:pos="8958"/>
            </w:tabs>
            <w:kinsoku/>
            <w:wordWrap/>
            <w:overflowPunct/>
            <w:topLinePunct w:val="0"/>
            <w:autoSpaceDE/>
            <w:autoSpaceDN/>
            <w:bidi w:val="0"/>
            <w:adjustRightInd/>
            <w:snapToGrid/>
            <w:spacing w:line="560" w:lineRule="exact"/>
            <w:ind w:left="420"/>
            <w:textAlignment w:val="auto"/>
            <w:outlineLvl w:val="9"/>
            <w:rPr>
              <w:rFonts w:ascii="宋体" w:hAnsi="宋体" w:cs="宋体"/>
              <w:sz w:val="28"/>
              <w:szCs w:val="28"/>
            </w:rPr>
          </w:pPr>
          <w:r>
            <w:fldChar w:fldCharType="begin"/>
          </w:r>
          <w:r>
            <w:instrText xml:space="preserve"> HYPERLINK \l "_Toc1280" </w:instrText>
          </w:r>
          <w:r>
            <w:fldChar w:fldCharType="separate"/>
          </w:r>
          <w:r>
            <w:rPr>
              <w:rFonts w:hint="eastAsia" w:ascii="宋体" w:hAnsi="宋体" w:cs="宋体"/>
              <w:sz w:val="28"/>
              <w:szCs w:val="28"/>
            </w:rPr>
            <w:t>（三）节约项目成本，减轻财政负担。</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_Toc1280 \h </w:instrText>
          </w:r>
          <w:r>
            <w:rPr>
              <w:rFonts w:hint="eastAsia" w:ascii="宋体" w:hAnsi="宋体" w:cs="宋体"/>
              <w:sz w:val="28"/>
              <w:szCs w:val="28"/>
            </w:rPr>
            <w:fldChar w:fldCharType="separate"/>
          </w:r>
          <w:r>
            <w:rPr>
              <w:rFonts w:hint="eastAsia"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fldChar w:fldCharType="end"/>
          </w:r>
        </w:p>
        <w:p>
          <w:pPr>
            <w:pStyle w:val="11"/>
            <w:keepNext w:val="0"/>
            <w:keepLines w:val="0"/>
            <w:pageBreakBefore w:val="0"/>
            <w:tabs>
              <w:tab w:val="right" w:leader="dot" w:pos="8958"/>
            </w:tabs>
            <w:kinsoku/>
            <w:wordWrap/>
            <w:overflowPunct/>
            <w:topLinePunct w:val="0"/>
            <w:autoSpaceDE/>
            <w:autoSpaceDN/>
            <w:bidi w:val="0"/>
            <w:adjustRightInd/>
            <w:snapToGrid/>
            <w:spacing w:line="560" w:lineRule="exact"/>
            <w:textAlignment w:val="auto"/>
            <w:outlineLvl w:val="9"/>
            <w:rPr>
              <w:rFonts w:ascii="宋体" w:hAnsi="宋体" w:eastAsia="宋体" w:cs="宋体"/>
              <w:b/>
              <w:sz w:val="28"/>
              <w:szCs w:val="28"/>
            </w:rPr>
          </w:pPr>
          <w:r>
            <w:fldChar w:fldCharType="begin"/>
          </w:r>
          <w:r>
            <w:instrText xml:space="preserve"> HYPERLINK \l "_Toc819" </w:instrText>
          </w:r>
          <w:r>
            <w:fldChar w:fldCharType="separate"/>
          </w:r>
          <w:r>
            <w:rPr>
              <w:rFonts w:hint="eastAsia" w:ascii="宋体" w:hAnsi="宋体" w:eastAsia="宋体" w:cs="宋体"/>
              <w:b/>
              <w:sz w:val="28"/>
              <w:szCs w:val="28"/>
            </w:rPr>
            <w:t>五、存在问题</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_Toc819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16</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pStyle w:val="36"/>
            <w:keepNext w:val="0"/>
            <w:keepLines w:val="0"/>
            <w:pageBreakBefore w:val="0"/>
            <w:tabs>
              <w:tab w:val="right" w:leader="dot" w:pos="8958"/>
            </w:tabs>
            <w:kinsoku/>
            <w:wordWrap/>
            <w:overflowPunct/>
            <w:topLinePunct w:val="0"/>
            <w:autoSpaceDE/>
            <w:autoSpaceDN/>
            <w:bidi w:val="0"/>
            <w:adjustRightInd/>
            <w:snapToGrid/>
            <w:spacing w:line="560" w:lineRule="exact"/>
            <w:ind w:left="420"/>
            <w:textAlignment w:val="auto"/>
            <w:outlineLvl w:val="9"/>
            <w:rPr>
              <w:rFonts w:ascii="宋体" w:hAnsi="宋体" w:cs="宋体"/>
              <w:sz w:val="28"/>
              <w:szCs w:val="28"/>
            </w:rPr>
          </w:pPr>
          <w:r>
            <w:fldChar w:fldCharType="begin"/>
          </w:r>
          <w:r>
            <w:instrText xml:space="preserve"> HYPERLINK \l "_Toc31928" </w:instrText>
          </w:r>
          <w:r>
            <w:fldChar w:fldCharType="separate"/>
          </w:r>
          <w:r>
            <w:rPr>
              <w:rFonts w:hint="eastAsia" w:ascii="宋体" w:hAnsi="宋体" w:cs="宋体"/>
              <w:sz w:val="28"/>
              <w:szCs w:val="28"/>
            </w:rPr>
            <w:t>（一）设计深度不足，工程变更频繁。</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_Toc31928 \h </w:instrText>
          </w:r>
          <w:r>
            <w:rPr>
              <w:rFonts w:hint="eastAsia" w:ascii="宋体" w:hAnsi="宋体" w:cs="宋体"/>
              <w:sz w:val="28"/>
              <w:szCs w:val="28"/>
            </w:rPr>
            <w:fldChar w:fldCharType="separate"/>
          </w:r>
          <w:r>
            <w:rPr>
              <w:rFonts w:hint="eastAsia"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fldChar w:fldCharType="end"/>
          </w:r>
        </w:p>
        <w:p>
          <w:pPr>
            <w:pStyle w:val="36"/>
            <w:keepNext w:val="0"/>
            <w:keepLines w:val="0"/>
            <w:pageBreakBefore w:val="0"/>
            <w:tabs>
              <w:tab w:val="right" w:leader="dot" w:pos="8958"/>
            </w:tabs>
            <w:kinsoku/>
            <w:wordWrap/>
            <w:overflowPunct/>
            <w:topLinePunct w:val="0"/>
            <w:autoSpaceDE/>
            <w:autoSpaceDN/>
            <w:bidi w:val="0"/>
            <w:adjustRightInd/>
            <w:snapToGrid/>
            <w:spacing w:line="560" w:lineRule="exact"/>
            <w:ind w:left="420"/>
            <w:textAlignment w:val="auto"/>
            <w:outlineLvl w:val="9"/>
            <w:rPr>
              <w:rFonts w:ascii="宋体" w:hAnsi="宋体" w:cs="宋体"/>
              <w:sz w:val="28"/>
              <w:szCs w:val="28"/>
            </w:rPr>
          </w:pPr>
          <w:r>
            <w:fldChar w:fldCharType="begin"/>
          </w:r>
          <w:r>
            <w:instrText xml:space="preserve"> HYPERLINK \l "_Toc9858" </w:instrText>
          </w:r>
          <w:r>
            <w:fldChar w:fldCharType="separate"/>
          </w:r>
          <w:r>
            <w:rPr>
              <w:rFonts w:hint="eastAsia" w:ascii="宋体" w:hAnsi="宋体" w:cs="宋体"/>
              <w:sz w:val="28"/>
              <w:szCs w:val="28"/>
            </w:rPr>
            <w:t>（二）项目进度缓慢，时间安排不足。</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_Toc9858 \h </w:instrText>
          </w:r>
          <w:r>
            <w:rPr>
              <w:rFonts w:hint="eastAsia" w:ascii="宋体" w:hAnsi="宋体" w:cs="宋体"/>
              <w:sz w:val="28"/>
              <w:szCs w:val="28"/>
            </w:rPr>
            <w:fldChar w:fldCharType="separate"/>
          </w:r>
          <w:r>
            <w:rPr>
              <w:rFonts w:hint="eastAsia" w:ascii="宋体" w:hAnsi="宋体" w:cs="宋体"/>
              <w:sz w:val="28"/>
              <w:szCs w:val="28"/>
            </w:rPr>
            <w:t>17</w:t>
          </w:r>
          <w:r>
            <w:rPr>
              <w:rFonts w:hint="eastAsia" w:ascii="宋体" w:hAnsi="宋体" w:cs="宋体"/>
              <w:sz w:val="28"/>
              <w:szCs w:val="28"/>
            </w:rPr>
            <w:fldChar w:fldCharType="end"/>
          </w:r>
          <w:r>
            <w:rPr>
              <w:rFonts w:hint="eastAsia" w:ascii="宋体" w:hAnsi="宋体" w:cs="宋体"/>
              <w:sz w:val="28"/>
              <w:szCs w:val="28"/>
            </w:rPr>
            <w:fldChar w:fldCharType="end"/>
          </w:r>
        </w:p>
        <w:p>
          <w:pPr>
            <w:pStyle w:val="36"/>
            <w:keepNext w:val="0"/>
            <w:keepLines w:val="0"/>
            <w:pageBreakBefore w:val="0"/>
            <w:tabs>
              <w:tab w:val="right" w:leader="dot" w:pos="8958"/>
            </w:tabs>
            <w:kinsoku/>
            <w:wordWrap/>
            <w:overflowPunct/>
            <w:topLinePunct w:val="0"/>
            <w:autoSpaceDE/>
            <w:autoSpaceDN/>
            <w:bidi w:val="0"/>
            <w:adjustRightInd/>
            <w:snapToGrid/>
            <w:spacing w:line="560" w:lineRule="exact"/>
            <w:ind w:left="420"/>
            <w:textAlignment w:val="auto"/>
            <w:outlineLvl w:val="9"/>
            <w:rPr>
              <w:rFonts w:ascii="宋体" w:hAnsi="宋体" w:cs="宋体"/>
              <w:sz w:val="28"/>
              <w:szCs w:val="28"/>
            </w:rPr>
          </w:pPr>
          <w:r>
            <w:fldChar w:fldCharType="begin"/>
          </w:r>
          <w:r>
            <w:instrText xml:space="preserve"> HYPERLINK \l "_Toc19975" </w:instrText>
          </w:r>
          <w:r>
            <w:fldChar w:fldCharType="separate"/>
          </w:r>
          <w:r>
            <w:rPr>
              <w:rFonts w:hint="eastAsia" w:ascii="宋体" w:hAnsi="宋体" w:cs="宋体"/>
              <w:sz w:val="28"/>
              <w:szCs w:val="28"/>
            </w:rPr>
            <w:t>（三）污染处理欠缺，环境效益不足。</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_Toc19975 \h </w:instrText>
          </w:r>
          <w:r>
            <w:rPr>
              <w:rFonts w:hint="eastAsia" w:ascii="宋体" w:hAnsi="宋体" w:cs="宋体"/>
              <w:sz w:val="28"/>
              <w:szCs w:val="28"/>
            </w:rPr>
            <w:fldChar w:fldCharType="separate"/>
          </w:r>
          <w:r>
            <w:rPr>
              <w:rFonts w:hint="eastAsia" w:ascii="宋体" w:hAnsi="宋体" w:cs="宋体"/>
              <w:sz w:val="28"/>
              <w:szCs w:val="28"/>
            </w:rPr>
            <w:t>18</w:t>
          </w:r>
          <w:r>
            <w:rPr>
              <w:rFonts w:hint="eastAsia" w:ascii="宋体" w:hAnsi="宋体" w:cs="宋体"/>
              <w:sz w:val="28"/>
              <w:szCs w:val="28"/>
            </w:rPr>
            <w:fldChar w:fldCharType="end"/>
          </w:r>
          <w:r>
            <w:rPr>
              <w:rFonts w:hint="eastAsia" w:ascii="宋体" w:hAnsi="宋体" w:cs="宋体"/>
              <w:sz w:val="28"/>
              <w:szCs w:val="28"/>
            </w:rPr>
            <w:fldChar w:fldCharType="end"/>
          </w:r>
        </w:p>
        <w:p>
          <w:pPr>
            <w:pStyle w:val="11"/>
            <w:keepNext w:val="0"/>
            <w:keepLines w:val="0"/>
            <w:pageBreakBefore w:val="0"/>
            <w:tabs>
              <w:tab w:val="right" w:leader="dot" w:pos="8958"/>
            </w:tabs>
            <w:kinsoku/>
            <w:wordWrap/>
            <w:overflowPunct/>
            <w:topLinePunct w:val="0"/>
            <w:autoSpaceDE/>
            <w:autoSpaceDN/>
            <w:bidi w:val="0"/>
            <w:adjustRightInd/>
            <w:snapToGrid/>
            <w:spacing w:line="560" w:lineRule="exact"/>
            <w:textAlignment w:val="auto"/>
            <w:outlineLvl w:val="9"/>
            <w:rPr>
              <w:rFonts w:ascii="宋体" w:hAnsi="宋体" w:eastAsia="宋体" w:cs="宋体"/>
              <w:b/>
              <w:sz w:val="28"/>
              <w:szCs w:val="28"/>
            </w:rPr>
          </w:pPr>
          <w:r>
            <w:fldChar w:fldCharType="begin"/>
          </w:r>
          <w:r>
            <w:instrText xml:space="preserve"> HYPERLINK \l "_Toc28923" </w:instrText>
          </w:r>
          <w:r>
            <w:fldChar w:fldCharType="separate"/>
          </w:r>
          <w:r>
            <w:rPr>
              <w:rFonts w:hint="eastAsia" w:ascii="宋体" w:hAnsi="宋体" w:eastAsia="宋体" w:cs="宋体"/>
              <w:b/>
              <w:sz w:val="28"/>
              <w:szCs w:val="28"/>
            </w:rPr>
            <w:t>六、对策或建议</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_Toc28923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18</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pStyle w:val="36"/>
            <w:keepNext w:val="0"/>
            <w:keepLines w:val="0"/>
            <w:pageBreakBefore w:val="0"/>
            <w:tabs>
              <w:tab w:val="right" w:leader="dot" w:pos="8958"/>
            </w:tabs>
            <w:kinsoku/>
            <w:wordWrap/>
            <w:overflowPunct/>
            <w:topLinePunct w:val="0"/>
            <w:autoSpaceDE/>
            <w:autoSpaceDN/>
            <w:bidi w:val="0"/>
            <w:adjustRightInd/>
            <w:snapToGrid/>
            <w:spacing w:line="560" w:lineRule="exact"/>
            <w:ind w:left="420"/>
            <w:textAlignment w:val="auto"/>
            <w:outlineLvl w:val="9"/>
            <w:rPr>
              <w:rFonts w:ascii="宋体" w:hAnsi="宋体" w:cs="宋体"/>
              <w:sz w:val="28"/>
              <w:szCs w:val="28"/>
            </w:rPr>
          </w:pPr>
          <w:r>
            <w:fldChar w:fldCharType="begin"/>
          </w:r>
          <w:r>
            <w:instrText xml:space="preserve"> HYPERLINK \l "_Toc25349" </w:instrText>
          </w:r>
          <w:r>
            <w:fldChar w:fldCharType="separate"/>
          </w:r>
          <w:r>
            <w:rPr>
              <w:rFonts w:hint="eastAsia" w:ascii="宋体" w:hAnsi="宋体" w:cs="宋体"/>
              <w:sz w:val="28"/>
              <w:szCs w:val="28"/>
            </w:rPr>
            <w:t>（一）加强项目设计，增强过程管理。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_Toc25349 \h </w:instrText>
          </w:r>
          <w:r>
            <w:rPr>
              <w:rFonts w:hint="eastAsia" w:ascii="宋体" w:hAnsi="宋体" w:cs="宋体"/>
              <w:sz w:val="28"/>
              <w:szCs w:val="28"/>
            </w:rPr>
            <w:fldChar w:fldCharType="separate"/>
          </w:r>
          <w:r>
            <w:rPr>
              <w:rFonts w:hint="eastAsia" w:ascii="宋体" w:hAnsi="宋体" w:cs="宋体"/>
              <w:sz w:val="28"/>
              <w:szCs w:val="28"/>
            </w:rPr>
            <w:t>18</w:t>
          </w:r>
          <w:r>
            <w:rPr>
              <w:rFonts w:hint="eastAsia" w:ascii="宋体" w:hAnsi="宋体" w:cs="宋体"/>
              <w:sz w:val="28"/>
              <w:szCs w:val="28"/>
            </w:rPr>
            <w:fldChar w:fldCharType="end"/>
          </w:r>
          <w:r>
            <w:rPr>
              <w:rFonts w:hint="eastAsia" w:ascii="宋体" w:hAnsi="宋体" w:cs="宋体"/>
              <w:sz w:val="28"/>
              <w:szCs w:val="28"/>
            </w:rPr>
            <w:fldChar w:fldCharType="end"/>
          </w:r>
        </w:p>
        <w:p>
          <w:pPr>
            <w:pStyle w:val="36"/>
            <w:keepNext w:val="0"/>
            <w:keepLines w:val="0"/>
            <w:pageBreakBefore w:val="0"/>
            <w:tabs>
              <w:tab w:val="right" w:leader="dot" w:pos="8958"/>
            </w:tabs>
            <w:kinsoku/>
            <w:wordWrap/>
            <w:overflowPunct/>
            <w:topLinePunct w:val="0"/>
            <w:autoSpaceDE/>
            <w:autoSpaceDN/>
            <w:bidi w:val="0"/>
            <w:adjustRightInd/>
            <w:snapToGrid/>
            <w:spacing w:line="560" w:lineRule="exact"/>
            <w:ind w:left="420"/>
            <w:textAlignment w:val="auto"/>
            <w:outlineLvl w:val="9"/>
            <w:rPr>
              <w:rFonts w:ascii="宋体" w:hAnsi="宋体" w:cs="宋体"/>
              <w:sz w:val="28"/>
              <w:szCs w:val="28"/>
            </w:rPr>
          </w:pPr>
          <w:r>
            <w:fldChar w:fldCharType="begin"/>
          </w:r>
          <w:r>
            <w:instrText xml:space="preserve"> HYPERLINK \l "_Toc17892" </w:instrText>
          </w:r>
          <w:r>
            <w:fldChar w:fldCharType="separate"/>
          </w:r>
          <w:r>
            <w:rPr>
              <w:rFonts w:hint="eastAsia" w:ascii="宋体" w:hAnsi="宋体" w:cs="宋体"/>
              <w:sz w:val="28"/>
              <w:szCs w:val="28"/>
            </w:rPr>
            <w:t>（二）科学安排进度，合理安排工期。</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_Toc17892 \h </w:instrText>
          </w:r>
          <w:r>
            <w:rPr>
              <w:rFonts w:hint="eastAsia" w:ascii="宋体" w:hAnsi="宋体" w:cs="宋体"/>
              <w:sz w:val="28"/>
              <w:szCs w:val="28"/>
            </w:rPr>
            <w:fldChar w:fldCharType="separate"/>
          </w:r>
          <w:r>
            <w:rPr>
              <w:rFonts w:hint="eastAsia"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fldChar w:fldCharType="end"/>
          </w:r>
        </w:p>
        <w:p>
          <w:pPr>
            <w:pStyle w:val="36"/>
            <w:keepNext w:val="0"/>
            <w:keepLines w:val="0"/>
            <w:pageBreakBefore w:val="0"/>
            <w:tabs>
              <w:tab w:val="right" w:leader="dot" w:pos="8958"/>
            </w:tabs>
            <w:kinsoku/>
            <w:wordWrap/>
            <w:overflowPunct/>
            <w:topLinePunct w:val="0"/>
            <w:autoSpaceDE/>
            <w:autoSpaceDN/>
            <w:bidi w:val="0"/>
            <w:adjustRightInd/>
            <w:snapToGrid/>
            <w:spacing w:line="560" w:lineRule="exact"/>
            <w:ind w:left="420"/>
            <w:textAlignment w:val="auto"/>
            <w:outlineLvl w:val="9"/>
            <w:rPr>
              <w:rFonts w:ascii="宋体" w:hAnsi="宋体" w:cs="宋体"/>
              <w:sz w:val="28"/>
              <w:szCs w:val="28"/>
            </w:rPr>
          </w:pPr>
          <w:r>
            <w:fldChar w:fldCharType="begin"/>
          </w:r>
          <w:r>
            <w:instrText xml:space="preserve"> HYPERLINK \l "_Toc21827" </w:instrText>
          </w:r>
          <w:r>
            <w:fldChar w:fldCharType="separate"/>
          </w:r>
          <w:r>
            <w:rPr>
              <w:rFonts w:hint="eastAsia" w:ascii="宋体" w:hAnsi="宋体" w:cs="宋体"/>
              <w:sz w:val="28"/>
              <w:szCs w:val="28"/>
            </w:rPr>
            <w:t>（三）加强污染防治，注重环境效益。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_Toc21827 \h </w:instrText>
          </w:r>
          <w:r>
            <w:rPr>
              <w:rFonts w:hint="eastAsia" w:ascii="宋体" w:hAnsi="宋体" w:cs="宋体"/>
              <w:sz w:val="28"/>
              <w:szCs w:val="28"/>
            </w:rPr>
            <w:fldChar w:fldCharType="separate"/>
          </w:r>
          <w:r>
            <w:rPr>
              <w:rFonts w:hint="eastAsia"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fldChar w:fldCharType="end"/>
          </w:r>
        </w:p>
        <w:p>
          <w:pPr>
            <w:pStyle w:val="11"/>
            <w:keepNext w:val="0"/>
            <w:keepLines w:val="0"/>
            <w:pageBreakBefore w:val="0"/>
            <w:tabs>
              <w:tab w:val="right" w:leader="dot" w:pos="8958"/>
            </w:tabs>
            <w:kinsoku/>
            <w:wordWrap/>
            <w:overflowPunct/>
            <w:topLinePunct w:val="0"/>
            <w:autoSpaceDE/>
            <w:autoSpaceDN/>
            <w:bidi w:val="0"/>
            <w:adjustRightInd/>
            <w:snapToGrid/>
            <w:spacing w:line="560" w:lineRule="exact"/>
            <w:textAlignment w:val="auto"/>
            <w:outlineLvl w:val="9"/>
            <w:rPr>
              <w:rFonts w:ascii="宋体" w:hAnsi="宋体" w:eastAsia="宋体" w:cs="宋体"/>
              <w:b/>
              <w:sz w:val="28"/>
              <w:szCs w:val="28"/>
            </w:rPr>
          </w:pPr>
          <w:r>
            <w:fldChar w:fldCharType="begin"/>
          </w:r>
          <w:r>
            <w:instrText xml:space="preserve"> HYPERLINK \l "_Toc5729" </w:instrText>
          </w:r>
          <w:r>
            <w:fldChar w:fldCharType="separate"/>
          </w:r>
          <w:r>
            <w:rPr>
              <w:rFonts w:hint="eastAsia" w:ascii="宋体" w:hAnsi="宋体" w:eastAsia="宋体" w:cs="宋体"/>
              <w:b/>
              <w:sz w:val="28"/>
              <w:szCs w:val="28"/>
            </w:rPr>
            <w:t>附件1</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_Toc5729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21</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pStyle w:val="11"/>
            <w:keepNext w:val="0"/>
            <w:keepLines w:val="0"/>
            <w:pageBreakBefore w:val="0"/>
            <w:tabs>
              <w:tab w:val="right" w:leader="dot" w:pos="8958"/>
            </w:tabs>
            <w:kinsoku/>
            <w:wordWrap/>
            <w:overflowPunct/>
            <w:topLinePunct w:val="0"/>
            <w:autoSpaceDE/>
            <w:autoSpaceDN/>
            <w:bidi w:val="0"/>
            <w:adjustRightInd/>
            <w:snapToGrid/>
            <w:spacing w:line="560" w:lineRule="exact"/>
            <w:textAlignment w:val="auto"/>
            <w:outlineLvl w:val="9"/>
            <w:rPr>
              <w:rFonts w:ascii="宋体" w:hAnsi="宋体" w:eastAsia="宋体" w:cs="宋体"/>
              <w:b/>
              <w:sz w:val="28"/>
              <w:szCs w:val="28"/>
            </w:rPr>
          </w:pPr>
          <w:r>
            <w:fldChar w:fldCharType="begin"/>
          </w:r>
          <w:r>
            <w:instrText xml:space="preserve"> HYPERLINK \l "_Toc32709" </w:instrText>
          </w:r>
          <w:r>
            <w:fldChar w:fldCharType="separate"/>
          </w:r>
          <w:r>
            <w:rPr>
              <w:rFonts w:hint="eastAsia" w:ascii="宋体" w:hAnsi="宋体" w:eastAsia="宋体" w:cs="宋体"/>
              <w:b/>
              <w:sz w:val="28"/>
              <w:szCs w:val="28"/>
            </w:rPr>
            <w:t>附件2</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_Toc32709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28</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r>
            <w:fldChar w:fldCharType="end"/>
          </w:r>
        </w:p>
      </w:sdtContent>
    </w:sdt>
    <w:p>
      <w:pPr>
        <w:ind w:firstLine="640" w:firstLineChars="200"/>
        <w:rPr>
          <w:rFonts w:hint="eastAsia" w:ascii="Times New Roman" w:hAnsi="Times New Roman" w:eastAsia="仿宋_GB2312" w:cs="Times New Roman"/>
          <w:sz w:val="32"/>
          <w:szCs w:val="32"/>
        </w:rPr>
        <w:sectPr>
          <w:footerReference r:id="rId3" w:type="default"/>
          <w:pgSz w:w="11906" w:h="16838"/>
          <w:pgMar w:top="1440" w:right="1417" w:bottom="1440" w:left="1531" w:header="851" w:footer="992" w:gutter="0"/>
          <w:pgNumType w:start="1"/>
          <w:cols w:space="0" w:num="1"/>
          <w:docGrid w:type="lines" w:linePitch="312" w:charSpace="0"/>
        </w:sect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全面检验项目支出财政资金使用绩效，考核预期绩效目标的实现程度和综合效果，进一步提高财政支出的管理水平，根据《广东省财政厅关于印发〈广东省省级绩效评价指南〉的通知》（粤财绩〔2021〕1号）和《韶关市市级全面实施预算绩效管理工作方案（2019-2022年）》（韶府办发函〔2019〕36号）等有关规定，韶关市财政局（以下简称“市财政局”）委托广东宏正工程咨询有限公司（以下简称“第三方”）组成评价工作组，对2021年</w:t>
      </w: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亿</w:t>
      </w:r>
      <w:r>
        <w:rPr>
          <w:rFonts w:hint="eastAsia" w:ascii="Times New Roman" w:hAnsi="Times New Roman" w:eastAsia="仿宋_GB2312" w:cs="Times New Roman"/>
          <w:sz w:val="32"/>
          <w:szCs w:val="32"/>
        </w:rPr>
        <w:t>元的使用情况实施绩效评价，形成本绩效评价报告。</w:t>
      </w:r>
    </w:p>
    <w:p>
      <w:pPr>
        <w:spacing w:line="360" w:lineRule="auto"/>
        <w:ind w:firstLine="640" w:firstLineChars="200"/>
        <w:outlineLvl w:val="0"/>
        <w:rPr>
          <w:rFonts w:ascii="黑体" w:hAnsi="黑体" w:eastAsia="黑体" w:cs="黑体"/>
          <w:sz w:val="32"/>
          <w:szCs w:val="32"/>
        </w:rPr>
      </w:pPr>
      <w:bookmarkStart w:id="0" w:name="_Toc17274"/>
      <w:bookmarkStart w:id="1" w:name="_Toc5543"/>
      <w:bookmarkStart w:id="2" w:name="_Toc12790"/>
      <w:bookmarkStart w:id="3" w:name="_Toc570"/>
      <w:bookmarkStart w:id="4" w:name="_Toc4511"/>
      <w:bookmarkStart w:id="5" w:name="_Toc20176"/>
      <w:r>
        <w:rPr>
          <w:rFonts w:hint="eastAsia" w:ascii="黑体" w:hAnsi="黑体" w:eastAsia="黑体" w:cs="黑体"/>
          <w:sz w:val="32"/>
          <w:szCs w:val="32"/>
        </w:rPr>
        <w:t>一、项目基本情况</w:t>
      </w:r>
      <w:bookmarkEnd w:id="0"/>
      <w:bookmarkEnd w:id="1"/>
      <w:bookmarkEnd w:id="2"/>
      <w:bookmarkEnd w:id="3"/>
      <w:bookmarkEnd w:id="4"/>
      <w:bookmarkEnd w:id="5"/>
    </w:p>
    <w:p>
      <w:pPr>
        <w:ind w:firstLine="640" w:firstLineChars="200"/>
        <w:outlineLvl w:val="1"/>
        <w:rPr>
          <w:rFonts w:ascii="楷体_GB2312" w:hAnsi="楷体_GB2312" w:eastAsia="楷体_GB2312" w:cs="楷体_GB2312"/>
          <w:sz w:val="32"/>
          <w:szCs w:val="20"/>
        </w:rPr>
      </w:pPr>
      <w:bookmarkStart w:id="6" w:name="_Toc3089"/>
      <w:bookmarkStart w:id="7" w:name="_Toc19468"/>
      <w:r>
        <w:rPr>
          <w:rFonts w:hint="eastAsia" w:ascii="楷体_GB2312" w:hAnsi="楷体_GB2312" w:eastAsia="楷体_GB2312" w:cs="楷体_GB2312"/>
          <w:sz w:val="32"/>
          <w:szCs w:val="20"/>
        </w:rPr>
        <w:t>（一）设立背景、目的及时间。</w:t>
      </w:r>
      <w:bookmarkEnd w:id="6"/>
      <w:bookmarkEnd w:id="7"/>
    </w:p>
    <w:p>
      <w:pPr>
        <w:pStyle w:val="9"/>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随着韶关市区社会经济的发展，城市发展加速，人民的生活水平逐步提高，对水资源的需求越来越大。为保证韶关市区的用水安全、提高乳源县城及部分城镇的供水保证率，韶关市提出建设</w:t>
      </w: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项目。</w:t>
      </w:r>
    </w:p>
    <w:p>
      <w:pPr>
        <w:pStyle w:val="9"/>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该项目于2013年提交可研性研究报告，经初步设计、概算及批复后，于2017年11月11日开工建设，</w:t>
      </w:r>
      <w:r>
        <w:rPr>
          <w:rFonts w:hint="eastAsia" w:ascii="Times New Roman" w:hAnsi="Times New Roman" w:eastAsia="仿宋_GB2312" w:cs="Times New Roman"/>
          <w:sz w:val="32"/>
          <w:szCs w:val="32"/>
          <w:lang w:val="en-US" w:eastAsia="zh-CN"/>
        </w:rPr>
        <w:t>期间因建设单位股权变更</w:t>
      </w:r>
      <w:r>
        <w:rPr>
          <w:rFonts w:hint="eastAsia" w:ascii="Times New Roman" w:hAnsi="Times New Roman" w:eastAsia="仿宋_GB2312" w:cs="Times New Roman"/>
          <w:sz w:val="32"/>
          <w:szCs w:val="32"/>
        </w:rPr>
        <w:t>于2019年12月11日暂停施工，后进行工程施工单位的移交，于2020年10月10日全面复工，</w:t>
      </w:r>
      <w:r>
        <w:rPr>
          <w:rFonts w:hint="eastAsia" w:ascii="Times New Roman" w:hAnsi="Times New Roman" w:eastAsia="仿宋_GB2312" w:cs="Times New Roman"/>
          <w:sz w:val="32"/>
          <w:szCs w:val="32"/>
          <w:lang w:val="en-US" w:eastAsia="zh-CN"/>
        </w:rPr>
        <w:t>该项目</w:t>
      </w:r>
      <w:r>
        <w:rPr>
          <w:rFonts w:hint="eastAsia" w:ascii="Times New Roman" w:hAnsi="Times New Roman" w:eastAsia="仿宋_GB2312" w:cs="Times New Roman"/>
          <w:sz w:val="32"/>
          <w:szCs w:val="32"/>
        </w:rPr>
        <w:t>主体工程于202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年6月完成建设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于202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年6月18日通水运行，</w:t>
      </w:r>
      <w:r>
        <w:rPr>
          <w:rFonts w:hint="eastAsia" w:ascii="Times New Roman" w:hAnsi="Times New Roman" w:eastAsia="仿宋_GB2312" w:cs="Times New Roman"/>
          <w:sz w:val="32"/>
          <w:szCs w:val="32"/>
          <w:lang w:val="en-US" w:eastAsia="zh-CN"/>
        </w:rPr>
        <w:t>但仍有部分工程收尾工作及审批流程工作未完成，</w:t>
      </w:r>
      <w:r>
        <w:rPr>
          <w:rFonts w:hint="eastAsia" w:ascii="Times New Roman" w:hAnsi="Times New Roman" w:eastAsia="仿宋_GB2312" w:cs="Times New Roman"/>
          <w:sz w:val="32"/>
          <w:szCs w:val="32"/>
        </w:rPr>
        <w:t>截至2022年9月，项目实施单位尚未收到工程调概批复，尚未进行工程结算等工作。</w:t>
      </w:r>
    </w:p>
    <w:p>
      <w:pPr>
        <w:ind w:firstLine="640" w:firstLineChars="200"/>
        <w:outlineLvl w:val="1"/>
        <w:rPr>
          <w:rFonts w:ascii="楷体_GB2312" w:hAnsi="楷体_GB2312" w:eastAsia="楷体_GB2312" w:cs="楷体_GB2312"/>
          <w:sz w:val="32"/>
          <w:szCs w:val="20"/>
        </w:rPr>
      </w:pPr>
      <w:bookmarkStart w:id="8" w:name="_Toc13058"/>
      <w:bookmarkStart w:id="9" w:name="_Toc21966"/>
      <w:bookmarkStart w:id="10" w:name="_Toc23012"/>
      <w:bookmarkStart w:id="11" w:name="_Toc14413"/>
      <w:r>
        <w:rPr>
          <w:rFonts w:hint="eastAsia" w:ascii="楷体_GB2312" w:hAnsi="楷体_GB2312" w:eastAsia="楷体_GB2312" w:cs="楷体_GB2312"/>
          <w:sz w:val="32"/>
          <w:szCs w:val="20"/>
        </w:rPr>
        <w:t>（</w:t>
      </w:r>
      <w:r>
        <w:rPr>
          <w:rFonts w:hint="eastAsia" w:ascii="楷体_GB2312" w:hAnsi="楷体_GB2312" w:eastAsia="楷体_GB2312" w:cs="楷体_GB2312"/>
          <w:sz w:val="32"/>
          <w:szCs w:val="20"/>
          <w:lang w:val="en-US" w:eastAsia="zh-CN"/>
        </w:rPr>
        <w:t>二</w:t>
      </w:r>
      <w:r>
        <w:rPr>
          <w:rFonts w:hint="eastAsia" w:ascii="楷体_GB2312" w:hAnsi="楷体_GB2312" w:eastAsia="楷体_GB2312" w:cs="楷体_GB2312"/>
          <w:sz w:val="32"/>
          <w:szCs w:val="20"/>
        </w:rPr>
        <w:t>）</w:t>
      </w:r>
      <w:r>
        <w:rPr>
          <w:rFonts w:hint="eastAsia" w:ascii="楷体_GB2312" w:hAnsi="楷体_GB2312" w:eastAsia="楷体_GB2312" w:cs="楷体_GB2312"/>
          <w:sz w:val="32"/>
          <w:szCs w:val="20"/>
          <w:lang w:val="en-US" w:eastAsia="zh-CN"/>
        </w:rPr>
        <w:t>项目概况与</w:t>
      </w:r>
      <w:r>
        <w:rPr>
          <w:rFonts w:hint="eastAsia" w:ascii="楷体_GB2312" w:hAnsi="楷体_GB2312" w:eastAsia="楷体_GB2312" w:cs="楷体_GB2312"/>
          <w:sz w:val="32"/>
          <w:szCs w:val="20"/>
        </w:rPr>
        <w:t>绩效目标。</w:t>
      </w:r>
      <w:bookmarkEnd w:id="8"/>
      <w:bookmarkEnd w:id="9"/>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项目为跨年度项目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自2013年撰写南水工程可研性报告始，至2021年6月主体工程基本完成，共跨越8年。</w:t>
      </w:r>
      <w:r>
        <w:rPr>
          <w:rFonts w:hint="eastAsia" w:ascii="Times New Roman" w:hAnsi="Times New Roman" w:eastAsia="仿宋_GB2312" w:cs="Times New Roman"/>
          <w:sz w:val="32"/>
          <w:szCs w:val="32"/>
          <w:lang w:eastAsia="zh-CN"/>
        </w:rPr>
        <w:t>其中包括两个子项目</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项目（原水管部分）、</w:t>
      </w: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（扩建西河二水厂部分工程）。</w:t>
      </w: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项目的绩效目标见表</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w:t>
      </w:r>
    </w:p>
    <w:p>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表</w:t>
      </w:r>
      <w:r>
        <w:rPr>
          <w:rFonts w:hint="eastAsia" w:ascii="宋体" w:hAnsi="宋体" w:eastAsia="宋体" w:cs="宋体"/>
          <w:b/>
          <w:color w:val="000000"/>
          <w:sz w:val="28"/>
          <w:szCs w:val="28"/>
          <w:lang w:val="en-US" w:eastAsia="zh-CN"/>
        </w:rPr>
        <w:t>1</w:t>
      </w:r>
      <w:r>
        <w:rPr>
          <w:rFonts w:hint="eastAsia" w:ascii="宋体" w:hAnsi="宋体" w:eastAsia="宋体" w:cs="宋体"/>
          <w:b/>
          <w:color w:val="000000"/>
          <w:sz w:val="28"/>
          <w:szCs w:val="28"/>
        </w:rPr>
        <w:t xml:space="preserve"> 韶关市乳源瑶族自治县南水水库供水工程项目绩效目标表</w:t>
      </w:r>
    </w:p>
    <w:tbl>
      <w:tblPr>
        <w:tblStyle w:val="19"/>
        <w:tblW w:w="9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575"/>
        <w:gridCol w:w="4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28"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项目名称</w:t>
            </w:r>
          </w:p>
        </w:tc>
        <w:tc>
          <w:tcPr>
            <w:tcW w:w="357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南水水库供水工程项目</w:t>
            </w: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（原水管部分）</w:t>
            </w:r>
          </w:p>
        </w:tc>
        <w:tc>
          <w:tcPr>
            <w:tcW w:w="4367"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南水水库供水工程</w:t>
            </w: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（扩建西河二水厂部分工程）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28"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000000"/>
                <w:kern w:val="0"/>
                <w:szCs w:val="21"/>
                <w:lang w:bidi="ar"/>
              </w:rPr>
            </w:pPr>
            <w:r>
              <w:rPr>
                <w:rFonts w:hint="eastAsia" w:ascii="宋体" w:hAnsi="宋体" w:eastAsia="宋体" w:cs="宋体"/>
                <w:b w:val="0"/>
                <w:bCs w:val="0"/>
                <w:color w:val="000000"/>
                <w:kern w:val="0"/>
                <w:szCs w:val="21"/>
                <w:lang w:bidi="ar"/>
              </w:rPr>
              <w:t>总体绩效目标</w:t>
            </w:r>
          </w:p>
        </w:tc>
        <w:tc>
          <w:tcPr>
            <w:tcW w:w="357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000000"/>
                <w:kern w:val="0"/>
                <w:szCs w:val="21"/>
                <w:lang w:bidi="ar"/>
              </w:rPr>
            </w:pPr>
            <w:r>
              <w:rPr>
                <w:rFonts w:hint="eastAsia" w:ascii="宋体" w:hAnsi="宋体" w:eastAsia="宋体" w:cs="宋体"/>
                <w:b w:val="0"/>
                <w:bCs w:val="0"/>
                <w:color w:val="000000"/>
                <w:kern w:val="0"/>
                <w:szCs w:val="21"/>
                <w:lang w:bidi="ar"/>
              </w:rPr>
              <w:t>建设全长约38.1公里的输水管道，运送南水水库的水至韶关市区</w:t>
            </w:r>
          </w:p>
        </w:tc>
        <w:tc>
          <w:tcPr>
            <w:tcW w:w="4367"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000000"/>
                <w:kern w:val="0"/>
                <w:szCs w:val="21"/>
                <w:lang w:bidi="ar"/>
              </w:rPr>
            </w:pPr>
            <w:r>
              <w:rPr>
                <w:rFonts w:hint="eastAsia" w:ascii="宋体" w:hAnsi="宋体" w:eastAsia="宋体" w:cs="宋体"/>
                <w:b w:val="0"/>
                <w:bCs w:val="0"/>
                <w:color w:val="000000"/>
                <w:kern w:val="0"/>
                <w:szCs w:val="21"/>
                <w:lang w:bidi="ar"/>
              </w:rPr>
              <w:t>建设一座日处理能力25吨/天的水厂，使用南水水库作为主要供水水源，提升水质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28"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000000"/>
                <w:kern w:val="0"/>
                <w:szCs w:val="21"/>
                <w:lang w:bidi="ar"/>
              </w:rPr>
            </w:pPr>
            <w:r>
              <w:rPr>
                <w:rFonts w:hint="eastAsia" w:ascii="宋体" w:hAnsi="宋体" w:eastAsia="宋体" w:cs="宋体"/>
                <w:b w:val="0"/>
                <w:bCs w:val="0"/>
                <w:color w:val="000000"/>
                <w:kern w:val="0"/>
                <w:szCs w:val="21"/>
                <w:lang w:bidi="ar"/>
              </w:rPr>
              <w:t>2021年度绩效目标</w:t>
            </w:r>
          </w:p>
        </w:tc>
        <w:tc>
          <w:tcPr>
            <w:tcW w:w="357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000000"/>
                <w:kern w:val="0"/>
                <w:szCs w:val="21"/>
                <w:lang w:bidi="ar"/>
              </w:rPr>
            </w:pPr>
            <w:r>
              <w:rPr>
                <w:rFonts w:hint="eastAsia" w:ascii="宋体" w:hAnsi="宋体" w:eastAsia="宋体" w:cs="宋体"/>
                <w:b w:val="0"/>
                <w:bCs w:val="0"/>
                <w:color w:val="000000"/>
                <w:kern w:val="0"/>
                <w:szCs w:val="21"/>
                <w:lang w:bidi="ar"/>
              </w:rPr>
              <w:t>完成输水管道建设</w:t>
            </w:r>
          </w:p>
        </w:tc>
        <w:tc>
          <w:tcPr>
            <w:tcW w:w="4367"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000000"/>
                <w:kern w:val="0"/>
                <w:szCs w:val="21"/>
                <w:lang w:bidi="ar"/>
              </w:rPr>
            </w:pPr>
            <w:r>
              <w:rPr>
                <w:rFonts w:hint="eastAsia" w:ascii="宋体" w:hAnsi="宋体" w:eastAsia="宋体" w:cs="宋体"/>
                <w:b w:val="0"/>
                <w:bCs w:val="0"/>
                <w:color w:val="000000"/>
                <w:kern w:val="0"/>
                <w:szCs w:val="21"/>
                <w:lang w:bidi="ar"/>
              </w:rPr>
              <w:t>建设一座日处理能力25吨/天的水厂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2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000000"/>
                <w:kern w:val="0"/>
                <w:szCs w:val="21"/>
                <w:lang w:bidi="ar"/>
              </w:rPr>
            </w:pPr>
          </w:p>
        </w:tc>
        <w:tc>
          <w:tcPr>
            <w:tcW w:w="357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000000"/>
                <w:kern w:val="0"/>
                <w:szCs w:val="21"/>
                <w:lang w:bidi="ar"/>
              </w:rPr>
            </w:pPr>
            <w:r>
              <w:rPr>
                <w:rFonts w:hint="eastAsia" w:ascii="宋体" w:hAnsi="宋体" w:eastAsia="宋体" w:cs="宋体"/>
                <w:b w:val="0"/>
                <w:bCs w:val="0"/>
                <w:color w:val="000000"/>
                <w:kern w:val="0"/>
                <w:szCs w:val="21"/>
                <w:lang w:bidi="ar"/>
              </w:rPr>
              <w:t>保障韶关市区生活及生产用水需求</w:t>
            </w:r>
          </w:p>
        </w:tc>
        <w:tc>
          <w:tcPr>
            <w:tcW w:w="4367"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000000"/>
                <w:kern w:val="0"/>
                <w:szCs w:val="21"/>
                <w:lang w:bidi="ar"/>
              </w:rPr>
            </w:pPr>
            <w:r>
              <w:rPr>
                <w:rFonts w:hint="eastAsia" w:ascii="宋体" w:hAnsi="宋体" w:eastAsia="宋体" w:cs="宋体"/>
                <w:b w:val="0"/>
                <w:bCs w:val="0"/>
                <w:color w:val="000000"/>
                <w:kern w:val="0"/>
                <w:szCs w:val="21"/>
                <w:lang w:bidi="ar"/>
              </w:rPr>
              <w:t>使用南水水库作为主要供水水源</w:t>
            </w:r>
          </w:p>
        </w:tc>
      </w:tr>
    </w:tbl>
    <w:p>
      <w:pPr>
        <w:widowControl/>
        <w:jc w:val="left"/>
        <w:rPr>
          <w:rFonts w:hint="eastAsia" w:ascii="楷体_GB2312" w:hAnsi="楷体_GB2312" w:eastAsia="楷体_GB2312" w:cs="楷体_GB2312"/>
          <w:sz w:val="32"/>
          <w:szCs w:val="20"/>
        </w:rPr>
      </w:pPr>
      <w:r>
        <w:rPr>
          <w:rFonts w:hint="eastAsia" w:ascii="宋体" w:hAnsi="宋体" w:eastAsia="宋体" w:cs="宋体"/>
          <w:b w:val="0"/>
          <w:bCs w:val="0"/>
          <w:szCs w:val="21"/>
          <w:lang w:bidi="ar"/>
        </w:rPr>
        <w:t>注：表格内容来源于《市级财政支出项目绩效自评基础信息表》</w:t>
      </w:r>
    </w:p>
    <w:p>
      <w:pPr>
        <w:ind w:firstLine="640" w:firstLineChars="200"/>
        <w:outlineLvl w:val="1"/>
        <w:rPr>
          <w:rFonts w:ascii="楷体_GB2312" w:hAnsi="楷体_GB2312" w:eastAsia="楷体_GB2312" w:cs="楷体_GB2312"/>
          <w:sz w:val="32"/>
          <w:szCs w:val="20"/>
        </w:rPr>
      </w:pPr>
      <w:r>
        <w:rPr>
          <w:rFonts w:hint="eastAsia" w:ascii="楷体_GB2312" w:hAnsi="楷体_GB2312" w:eastAsia="楷体_GB2312" w:cs="楷体_GB2312"/>
          <w:sz w:val="32"/>
          <w:szCs w:val="20"/>
        </w:rPr>
        <w:t>（</w:t>
      </w:r>
      <w:r>
        <w:rPr>
          <w:rFonts w:hint="eastAsia" w:ascii="楷体_GB2312" w:hAnsi="楷体_GB2312" w:eastAsia="楷体_GB2312" w:cs="楷体_GB2312"/>
          <w:sz w:val="32"/>
          <w:szCs w:val="20"/>
          <w:lang w:val="en-US" w:eastAsia="zh-CN"/>
        </w:rPr>
        <w:t>三</w:t>
      </w:r>
      <w:r>
        <w:rPr>
          <w:rFonts w:hint="eastAsia" w:ascii="楷体_GB2312" w:hAnsi="楷体_GB2312" w:eastAsia="楷体_GB2312" w:cs="楷体_GB2312"/>
          <w:sz w:val="32"/>
          <w:szCs w:val="20"/>
        </w:rPr>
        <w:t>）资金用途及收支情况。</w:t>
      </w:r>
      <w:bookmarkEnd w:id="10"/>
      <w:bookmarkEnd w:id="11"/>
    </w:p>
    <w:p>
      <w:pPr>
        <w:pStyle w:val="9"/>
        <w:ind w:firstLine="640"/>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rPr>
        <w:t>根据《关于下达市本级2021年4月地方政府新增债券转贷资金的通知》（韶财债〔2021〕27号）、《关于下达市本级2021年6月地方政府新增债券转贷资金的通知》（韶财债〔2021〕34号）等文件，</w:t>
      </w: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项目</w:t>
      </w:r>
      <w:r>
        <w:rPr>
          <w:rFonts w:hint="eastAsia" w:ascii="Times New Roman" w:hAnsi="Times New Roman" w:eastAsia="仿宋_GB2312" w:cs="Times New Roman"/>
          <w:sz w:val="32"/>
          <w:szCs w:val="32"/>
          <w:lang w:eastAsia="zh-CN"/>
        </w:rPr>
        <w:t>整体</w:t>
      </w:r>
      <w:r>
        <w:rPr>
          <w:rFonts w:hint="eastAsia" w:ascii="Times New Roman" w:hAnsi="Times New Roman" w:eastAsia="仿宋_GB2312" w:cs="Times New Roman"/>
          <w:sz w:val="32"/>
          <w:szCs w:val="32"/>
        </w:rPr>
        <w:t>概算</w:t>
      </w:r>
      <w:r>
        <w:rPr>
          <w:rFonts w:hint="eastAsia" w:ascii="Times New Roman" w:hAnsi="Times New Roman" w:eastAsia="仿宋_GB2312" w:cs="Times New Roman"/>
          <w:sz w:val="32"/>
          <w:szCs w:val="32"/>
          <w:lang w:eastAsia="zh-CN"/>
        </w:rPr>
        <w:t>为</w:t>
      </w:r>
      <w:r>
        <w:rPr>
          <w:rFonts w:hint="eastAsia" w:ascii="Times New Roman" w:hAnsi="Times New Roman" w:eastAsia="仿宋_GB2312" w:cs="Times New Roman"/>
          <w:sz w:val="32"/>
          <w:szCs w:val="32"/>
        </w:rPr>
        <w:t>17.10亿元，其中，</w:t>
      </w:r>
      <w:r>
        <w:rPr>
          <w:rFonts w:hint="eastAsia" w:ascii="Times New Roman" w:hAnsi="Times New Roman" w:eastAsia="仿宋_GB2312" w:cs="Times New Roman"/>
          <w:sz w:val="32"/>
          <w:szCs w:val="32"/>
          <w:lang w:eastAsia="zh-CN" w:bidi="ar"/>
        </w:rPr>
        <w:t>南水工程</w:t>
      </w:r>
      <w:r>
        <w:rPr>
          <w:rFonts w:hint="eastAsia" w:ascii="Times New Roman" w:hAnsi="Times New Roman" w:eastAsia="仿宋_GB2312" w:cs="Times New Roman"/>
          <w:sz w:val="32"/>
          <w:szCs w:val="32"/>
          <w:lang w:bidi="ar"/>
        </w:rPr>
        <w:t>项目（原水管部分）概算为13.79亿元，</w:t>
      </w:r>
      <w:r>
        <w:rPr>
          <w:rFonts w:hint="eastAsia" w:ascii="Times New Roman" w:hAnsi="Times New Roman" w:eastAsia="仿宋_GB2312" w:cs="Times New Roman"/>
          <w:sz w:val="32"/>
          <w:szCs w:val="32"/>
          <w:lang w:eastAsia="zh-CN" w:bidi="ar"/>
        </w:rPr>
        <w:t>南水工程</w:t>
      </w:r>
      <w:r>
        <w:rPr>
          <w:rFonts w:hint="eastAsia" w:ascii="Times New Roman" w:hAnsi="Times New Roman" w:eastAsia="仿宋_GB2312" w:cs="Times New Roman"/>
          <w:sz w:val="32"/>
          <w:szCs w:val="32"/>
          <w:lang w:bidi="ar"/>
        </w:rPr>
        <w:t>（扩建西河二水厂部分工程）概算为3.31亿元。</w:t>
      </w:r>
    </w:p>
    <w:p>
      <w:pPr>
        <w:pStyle w:val="9"/>
        <w:ind w:firstLine="640"/>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截至2022年9月，</w:t>
      </w: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项目下达资金</w:t>
      </w:r>
      <w:r>
        <w:rPr>
          <w:rFonts w:hint="eastAsia" w:ascii="Times New Roman" w:hAnsi="Times New Roman" w:eastAsia="仿宋_GB2312" w:cs="Times New Roman"/>
          <w:sz w:val="32"/>
          <w:szCs w:val="32"/>
          <w:lang w:eastAsia="zh-CN"/>
        </w:rPr>
        <w:t>为</w:t>
      </w:r>
      <w:r>
        <w:rPr>
          <w:rFonts w:hint="eastAsia" w:ascii="Times New Roman" w:hAnsi="Times New Roman" w:eastAsia="仿宋_GB2312" w:cs="Times New Roman"/>
          <w:sz w:val="32"/>
          <w:szCs w:val="32"/>
        </w:rPr>
        <w:t>14.12亿元，实际支出11.68亿元，支出率为82.72%，其中，</w:t>
      </w:r>
      <w:r>
        <w:rPr>
          <w:rFonts w:hint="eastAsia" w:ascii="Times New Roman" w:hAnsi="Times New Roman" w:eastAsia="仿宋_GB2312" w:cs="Times New Roman"/>
          <w:sz w:val="32"/>
          <w:szCs w:val="32"/>
          <w:lang w:eastAsia="zh-CN" w:bidi="ar"/>
        </w:rPr>
        <w:t>南水工程</w:t>
      </w:r>
      <w:r>
        <w:rPr>
          <w:rFonts w:hint="eastAsia" w:ascii="Times New Roman" w:hAnsi="Times New Roman" w:eastAsia="仿宋_GB2312" w:cs="Times New Roman"/>
          <w:sz w:val="32"/>
          <w:szCs w:val="32"/>
          <w:lang w:bidi="ar"/>
        </w:rPr>
        <w:t>项目（原水管部分）实际到位资金为11.69亿元，实际支出9.50亿元，支出率为81.27%；</w:t>
      </w:r>
      <w:r>
        <w:rPr>
          <w:rFonts w:hint="eastAsia" w:ascii="Times New Roman" w:hAnsi="Times New Roman" w:eastAsia="仿宋_GB2312" w:cs="Times New Roman"/>
          <w:sz w:val="32"/>
          <w:szCs w:val="32"/>
          <w:lang w:eastAsia="zh-CN" w:bidi="ar"/>
        </w:rPr>
        <w:t>南水工程</w:t>
      </w:r>
      <w:r>
        <w:rPr>
          <w:rFonts w:hint="eastAsia" w:ascii="Times New Roman" w:hAnsi="Times New Roman" w:eastAsia="仿宋_GB2312" w:cs="Times New Roman"/>
          <w:sz w:val="32"/>
          <w:szCs w:val="32"/>
          <w:lang w:bidi="ar"/>
        </w:rPr>
        <w:t>（扩建西河二水厂部分工程）实际到位资金为2.43亿元，实际支出0.88亿元，支出率为89.71%。</w:t>
      </w:r>
    </w:p>
    <w:p>
      <w:pPr>
        <w:pStyle w:val="9"/>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bidi="ar"/>
        </w:rPr>
        <w:t>2015年至2021年</w:t>
      </w:r>
      <w:r>
        <w:rPr>
          <w:rFonts w:hint="eastAsia" w:ascii="Times New Roman" w:hAnsi="Times New Roman" w:eastAsia="仿宋_GB2312" w:cs="Times New Roman"/>
          <w:sz w:val="32"/>
          <w:szCs w:val="32"/>
          <w:lang w:eastAsia="zh-CN" w:bidi="ar"/>
        </w:rPr>
        <w:t>该项目大部分专项</w:t>
      </w:r>
      <w:r>
        <w:rPr>
          <w:rFonts w:hint="eastAsia" w:ascii="Times New Roman" w:hAnsi="Times New Roman" w:eastAsia="仿宋_GB2312" w:cs="Times New Roman"/>
          <w:sz w:val="32"/>
          <w:szCs w:val="32"/>
          <w:lang w:bidi="ar"/>
        </w:rPr>
        <w:t>资金</w:t>
      </w:r>
      <w:r>
        <w:rPr>
          <w:rFonts w:hint="eastAsia" w:ascii="Times New Roman" w:hAnsi="Times New Roman" w:eastAsia="仿宋_GB2312" w:cs="Times New Roman"/>
          <w:sz w:val="32"/>
          <w:szCs w:val="32"/>
          <w:lang w:eastAsia="zh-CN" w:bidi="ar"/>
        </w:rPr>
        <w:t>已完成支付，资金</w:t>
      </w:r>
      <w:r>
        <w:rPr>
          <w:rFonts w:hint="eastAsia" w:ascii="Times New Roman" w:hAnsi="Times New Roman" w:eastAsia="仿宋_GB2312" w:cs="Times New Roman"/>
          <w:sz w:val="32"/>
          <w:szCs w:val="32"/>
          <w:lang w:bidi="ar"/>
        </w:rPr>
        <w:t>支出率</w:t>
      </w:r>
      <w:r>
        <w:rPr>
          <w:rFonts w:hint="eastAsia" w:ascii="Times New Roman" w:hAnsi="Times New Roman" w:eastAsia="仿宋_GB2312" w:cs="Times New Roman"/>
          <w:sz w:val="32"/>
          <w:szCs w:val="32"/>
          <w:lang w:eastAsia="zh-CN" w:bidi="ar"/>
        </w:rPr>
        <w:t>较高，但</w:t>
      </w:r>
      <w:r>
        <w:rPr>
          <w:rFonts w:hint="eastAsia" w:ascii="Times New Roman" w:hAnsi="Times New Roman" w:eastAsia="仿宋_GB2312" w:cs="Times New Roman"/>
          <w:sz w:val="32"/>
          <w:szCs w:val="32"/>
          <w:lang w:bidi="ar"/>
        </w:rPr>
        <w:t>其中，2016年用于西河二水厂前期建设</w:t>
      </w:r>
      <w:r>
        <w:rPr>
          <w:rFonts w:hint="eastAsia" w:ascii="Times New Roman" w:hAnsi="Times New Roman" w:eastAsia="仿宋_GB2312" w:cs="Times New Roman"/>
          <w:sz w:val="32"/>
          <w:szCs w:val="32"/>
          <w:lang w:eastAsia="zh-CN" w:bidi="ar"/>
        </w:rPr>
        <w:t>的</w:t>
      </w:r>
      <w:r>
        <w:rPr>
          <w:rFonts w:hint="eastAsia" w:ascii="Times New Roman" w:hAnsi="Times New Roman" w:eastAsia="仿宋_GB2312" w:cs="Times New Roman"/>
          <w:sz w:val="32"/>
          <w:szCs w:val="32"/>
          <w:lang w:bidi="ar"/>
        </w:rPr>
        <w:t>0.36亿元，实际支出0.11亿元，支出率为30.23%，剩余的0.25亿元已通过财政回收至国库；2017年</w:t>
      </w:r>
      <w:r>
        <w:rPr>
          <w:rFonts w:hint="eastAsia" w:ascii="Times New Roman" w:hAnsi="Times New Roman" w:eastAsia="仿宋_GB2312" w:cs="Times New Roman"/>
          <w:sz w:val="32"/>
          <w:szCs w:val="32"/>
          <w:lang w:eastAsia="zh-CN" w:bidi="ar"/>
        </w:rPr>
        <w:t>用于原水管道建设</w:t>
      </w:r>
      <w:r>
        <w:rPr>
          <w:rFonts w:hint="eastAsia" w:ascii="Times New Roman" w:hAnsi="Times New Roman" w:eastAsia="仿宋_GB2312" w:cs="Times New Roman"/>
          <w:sz w:val="32"/>
          <w:szCs w:val="32"/>
          <w:lang w:bidi="ar"/>
        </w:rPr>
        <w:t>的3.62亿元，实际支出3.43亿元，支出率为94.67%，因工程尚未完成结算，故剩余部分资金仍留待后续支出。</w:t>
      </w:r>
      <w:r>
        <w:rPr>
          <w:rFonts w:hint="eastAsia" w:ascii="Times New Roman" w:hAnsi="Times New Roman" w:eastAsia="仿宋_GB2312" w:cs="Times New Roman"/>
          <w:sz w:val="32"/>
          <w:szCs w:val="32"/>
        </w:rPr>
        <w:t>具体情况见表</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w:t>
      </w:r>
    </w:p>
    <w:p>
      <w:pPr>
        <w:spacing w:line="360" w:lineRule="auto"/>
        <w:rPr>
          <w:rFonts w:ascii="宋体" w:hAnsi="宋体" w:eastAsia="宋体" w:cs="宋体"/>
          <w:b/>
          <w:color w:val="000000"/>
          <w:sz w:val="28"/>
          <w:szCs w:val="28"/>
        </w:rPr>
        <w:sectPr>
          <w:footerReference r:id="rId4" w:type="default"/>
          <w:pgSz w:w="11906" w:h="16838"/>
          <w:pgMar w:top="1440" w:right="1417" w:bottom="1440" w:left="1531" w:header="851" w:footer="992" w:gutter="0"/>
          <w:pgNumType w:start="1"/>
          <w:cols w:space="0" w:num="1"/>
          <w:docGrid w:type="lines" w:linePitch="312" w:charSpace="0"/>
        </w:sectPr>
      </w:pPr>
    </w:p>
    <w:p>
      <w:pPr>
        <w:spacing w:line="360" w:lineRule="auto"/>
        <w:jc w:val="center"/>
        <w:rPr>
          <w:rFonts w:ascii="宋体" w:hAnsi="宋体" w:eastAsia="宋体" w:cs="宋体"/>
          <w:b/>
          <w:color w:val="000000"/>
          <w:sz w:val="28"/>
          <w:szCs w:val="28"/>
        </w:rPr>
      </w:pPr>
      <w:r>
        <w:rPr>
          <w:rFonts w:hint="eastAsia" w:ascii="宋体" w:hAnsi="宋体" w:eastAsia="宋体" w:cs="宋体"/>
          <w:b/>
          <w:color w:val="000000"/>
          <w:sz w:val="28"/>
          <w:szCs w:val="28"/>
        </w:rPr>
        <w:t>表</w:t>
      </w:r>
      <w:r>
        <w:rPr>
          <w:rFonts w:hint="eastAsia" w:ascii="宋体" w:hAnsi="宋体" w:eastAsia="宋体" w:cs="宋体"/>
          <w:b/>
          <w:color w:val="000000"/>
          <w:sz w:val="28"/>
          <w:szCs w:val="28"/>
          <w:lang w:val="en-US" w:eastAsia="zh-CN"/>
        </w:rPr>
        <w:t>2</w:t>
      </w:r>
      <w:r>
        <w:rPr>
          <w:rFonts w:hint="eastAsia" w:ascii="宋体" w:hAnsi="宋体" w:eastAsia="宋体" w:cs="宋体"/>
          <w:b/>
          <w:color w:val="000000"/>
          <w:sz w:val="28"/>
          <w:szCs w:val="28"/>
        </w:rPr>
        <w:t xml:space="preserve"> 韶关市乳源瑶族自治县南水水库供水工程项目总体资金明细表</w:t>
      </w:r>
    </w:p>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单位：亿元</w:t>
      </w:r>
    </w:p>
    <w:tbl>
      <w:tblPr>
        <w:tblStyle w:val="18"/>
        <w:tblW w:w="14250" w:type="dxa"/>
        <w:tblInd w:w="91" w:type="dxa"/>
        <w:tblLayout w:type="fixed"/>
        <w:tblCellMar>
          <w:top w:w="0" w:type="dxa"/>
          <w:left w:w="108" w:type="dxa"/>
          <w:bottom w:w="0" w:type="dxa"/>
          <w:right w:w="108" w:type="dxa"/>
        </w:tblCellMar>
      </w:tblPr>
      <w:tblGrid>
        <w:gridCol w:w="1515"/>
        <w:gridCol w:w="1766"/>
        <w:gridCol w:w="1350"/>
        <w:gridCol w:w="1404"/>
        <w:gridCol w:w="1555"/>
        <w:gridCol w:w="1855"/>
        <w:gridCol w:w="1840"/>
        <w:gridCol w:w="1610"/>
        <w:gridCol w:w="1355"/>
      </w:tblGrid>
      <w:tr>
        <w:tblPrEx>
          <w:tblLayout w:type="fixed"/>
          <w:tblCellMar>
            <w:top w:w="0" w:type="dxa"/>
            <w:left w:w="108" w:type="dxa"/>
            <w:bottom w:w="0" w:type="dxa"/>
            <w:right w:w="108" w:type="dxa"/>
          </w:tblCellMar>
        </w:tblPrEx>
        <w:trPr>
          <w:trHeight w:val="96"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60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原水管部分</w:t>
            </w:r>
          </w:p>
        </w:tc>
        <w:tc>
          <w:tcPr>
            <w:tcW w:w="6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西河二水厂部分</w:t>
            </w:r>
          </w:p>
        </w:tc>
      </w:tr>
      <w:tr>
        <w:tblPrEx>
          <w:tblLayout w:type="fixed"/>
          <w:tblCellMar>
            <w:top w:w="0" w:type="dxa"/>
            <w:left w:w="108" w:type="dxa"/>
            <w:bottom w:w="0" w:type="dxa"/>
            <w:right w:w="108" w:type="dxa"/>
          </w:tblCellMar>
        </w:tblPrEx>
        <w:trPr>
          <w:trHeight w:val="283"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各项目概算</w:t>
            </w:r>
          </w:p>
        </w:tc>
        <w:tc>
          <w:tcPr>
            <w:tcW w:w="60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13.79 </w:t>
            </w:r>
          </w:p>
        </w:tc>
        <w:tc>
          <w:tcPr>
            <w:tcW w:w="6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3.31 </w:t>
            </w:r>
          </w:p>
        </w:tc>
      </w:tr>
      <w:tr>
        <w:tblPrEx>
          <w:tblLayout w:type="fixed"/>
          <w:tblCellMar>
            <w:top w:w="0" w:type="dxa"/>
            <w:left w:w="108" w:type="dxa"/>
            <w:bottom w:w="0" w:type="dxa"/>
            <w:right w:w="108" w:type="dxa"/>
          </w:tblCellMar>
        </w:tblPrEx>
        <w:trPr>
          <w:trHeight w:val="283"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实际下达</w:t>
            </w:r>
          </w:p>
        </w:tc>
        <w:tc>
          <w:tcPr>
            <w:tcW w:w="60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11.69 </w:t>
            </w:r>
          </w:p>
        </w:tc>
        <w:tc>
          <w:tcPr>
            <w:tcW w:w="6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2.43 </w:t>
            </w:r>
          </w:p>
        </w:tc>
      </w:tr>
      <w:tr>
        <w:tblPrEx>
          <w:tblLayout w:type="fixed"/>
          <w:tblCellMar>
            <w:top w:w="0" w:type="dxa"/>
            <w:left w:w="108" w:type="dxa"/>
            <w:bottom w:w="0" w:type="dxa"/>
            <w:right w:w="108" w:type="dxa"/>
          </w:tblCellMar>
        </w:tblPrEx>
        <w:trPr>
          <w:trHeight w:val="283"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资金缺口</w:t>
            </w:r>
          </w:p>
        </w:tc>
        <w:tc>
          <w:tcPr>
            <w:tcW w:w="60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2.10 </w:t>
            </w:r>
          </w:p>
        </w:tc>
        <w:tc>
          <w:tcPr>
            <w:tcW w:w="6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0.88 </w:t>
            </w:r>
          </w:p>
        </w:tc>
      </w:tr>
      <w:tr>
        <w:tblPrEx>
          <w:tblLayout w:type="fixed"/>
          <w:tblCellMar>
            <w:top w:w="0" w:type="dxa"/>
            <w:left w:w="108" w:type="dxa"/>
            <w:bottom w:w="0" w:type="dxa"/>
            <w:right w:w="108" w:type="dxa"/>
          </w:tblCellMar>
        </w:tblPrEx>
        <w:trPr>
          <w:trHeight w:val="283"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年份</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资金类别</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实际下达</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实际支出</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支出率</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资金类别</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实际下达</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实际支出</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支出率</w:t>
            </w:r>
          </w:p>
        </w:tc>
      </w:tr>
      <w:tr>
        <w:tblPrEx>
          <w:tblLayout w:type="fixed"/>
          <w:tblCellMar>
            <w:top w:w="0" w:type="dxa"/>
            <w:left w:w="108" w:type="dxa"/>
            <w:bottom w:w="0" w:type="dxa"/>
            <w:right w:w="108" w:type="dxa"/>
          </w:tblCellMar>
        </w:tblPrEx>
        <w:trPr>
          <w:trHeight w:val="283"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2015</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省级政府补贴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1.34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1.34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100.00%</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市级资金</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0.15 </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0.15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100.00%</w:t>
            </w:r>
          </w:p>
        </w:tc>
      </w:tr>
      <w:tr>
        <w:tblPrEx>
          <w:tblLayout w:type="fixed"/>
          <w:tblCellMar>
            <w:top w:w="0" w:type="dxa"/>
            <w:left w:w="108" w:type="dxa"/>
            <w:bottom w:w="0" w:type="dxa"/>
            <w:right w:w="108" w:type="dxa"/>
          </w:tblCellMar>
        </w:tblPrEx>
        <w:trPr>
          <w:trHeight w:val="283"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2016</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市级资金</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0.36 </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0.11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30.23%</w:t>
            </w:r>
          </w:p>
        </w:tc>
      </w:tr>
      <w:tr>
        <w:tblPrEx>
          <w:tblLayout w:type="fixed"/>
          <w:tblCellMar>
            <w:top w:w="0" w:type="dxa"/>
            <w:left w:w="108" w:type="dxa"/>
            <w:bottom w:w="0" w:type="dxa"/>
            <w:right w:w="108" w:type="dxa"/>
          </w:tblCellMar>
        </w:tblPrEx>
        <w:trPr>
          <w:trHeight w:val="283" w:hRule="atLeast"/>
        </w:trPr>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2017</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资本金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3.62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3.43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94.67%</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Layout w:type="fixed"/>
          <w:tblCellMar>
            <w:top w:w="0" w:type="dxa"/>
            <w:left w:w="108" w:type="dxa"/>
            <w:bottom w:w="0" w:type="dxa"/>
            <w:right w:w="108" w:type="dxa"/>
          </w:tblCellMar>
        </w:tblPrEx>
        <w:trPr>
          <w:trHeight w:val="283"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Cs w:val="21"/>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一般债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0.80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0.80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100.00%</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Layout w:type="fixed"/>
          <w:tblCellMar>
            <w:top w:w="0" w:type="dxa"/>
            <w:left w:w="108" w:type="dxa"/>
            <w:bottom w:w="0" w:type="dxa"/>
            <w:right w:w="108" w:type="dxa"/>
          </w:tblCellMar>
        </w:tblPrEx>
        <w:trPr>
          <w:trHeight w:val="283"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2018</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市级资金</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0.50 </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0.50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100.00%</w:t>
            </w:r>
          </w:p>
        </w:tc>
      </w:tr>
      <w:tr>
        <w:tblPrEx>
          <w:tblLayout w:type="fixed"/>
          <w:tblCellMar>
            <w:top w:w="0" w:type="dxa"/>
            <w:left w:w="108" w:type="dxa"/>
            <w:bottom w:w="0" w:type="dxa"/>
            <w:right w:w="108" w:type="dxa"/>
          </w:tblCellMar>
        </w:tblPrEx>
        <w:trPr>
          <w:trHeight w:val="283"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2019</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市级资金</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0.50 </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0.50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100.00%</w:t>
            </w:r>
          </w:p>
        </w:tc>
      </w:tr>
      <w:tr>
        <w:tblPrEx>
          <w:tblLayout w:type="fixed"/>
          <w:tblCellMar>
            <w:top w:w="0" w:type="dxa"/>
            <w:left w:w="108" w:type="dxa"/>
            <w:bottom w:w="0" w:type="dxa"/>
            <w:right w:w="108" w:type="dxa"/>
          </w:tblCellMar>
        </w:tblPrEx>
        <w:trPr>
          <w:trHeight w:val="283"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2020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专项债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2.88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2.88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100.00%</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市级资金</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0.67 </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0.67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100.00%</w:t>
            </w:r>
          </w:p>
        </w:tc>
      </w:tr>
      <w:tr>
        <w:tblPrEx>
          <w:tblLayout w:type="fixed"/>
          <w:tblCellMar>
            <w:top w:w="0" w:type="dxa"/>
            <w:left w:w="108" w:type="dxa"/>
            <w:bottom w:w="0" w:type="dxa"/>
            <w:right w:w="108" w:type="dxa"/>
          </w:tblCellMar>
        </w:tblPrEx>
        <w:trPr>
          <w:trHeight w:val="283"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2021</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专项债券</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1.05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1.05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100.00%</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市级资金</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0.25 </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0.25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100.00%</w:t>
            </w:r>
          </w:p>
        </w:tc>
      </w:tr>
      <w:tr>
        <w:tblPrEx>
          <w:tblLayout w:type="fixed"/>
          <w:tblCellMar>
            <w:top w:w="0" w:type="dxa"/>
            <w:left w:w="108" w:type="dxa"/>
            <w:bottom w:w="0" w:type="dxa"/>
            <w:right w:w="108" w:type="dxa"/>
          </w:tblCellMar>
        </w:tblPrEx>
        <w:trPr>
          <w:trHeight w:val="283"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2022</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一般债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2.00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0.30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15.00%</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Layout w:type="fixed"/>
          <w:tblCellMar>
            <w:top w:w="0" w:type="dxa"/>
            <w:left w:w="108" w:type="dxa"/>
            <w:bottom w:w="0" w:type="dxa"/>
            <w:right w:w="108" w:type="dxa"/>
          </w:tblCellMar>
        </w:tblPrEx>
        <w:trPr>
          <w:trHeight w:val="283"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各项目小计</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11.69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9.50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81.27%</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2.43 </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2.18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89.71%</w:t>
            </w:r>
          </w:p>
        </w:tc>
      </w:tr>
      <w:tr>
        <w:tblPrEx>
          <w:tblLayout w:type="fixed"/>
          <w:tblCellMar>
            <w:top w:w="0" w:type="dxa"/>
            <w:left w:w="108" w:type="dxa"/>
            <w:bottom w:w="0" w:type="dxa"/>
            <w:right w:w="108" w:type="dxa"/>
          </w:tblCellMar>
        </w:tblPrEx>
        <w:trPr>
          <w:trHeight w:val="283"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合计</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项目总概算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17.10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实际下达</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14.12 </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实际支出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11.68 </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支出率</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82.72%</w:t>
            </w:r>
          </w:p>
        </w:tc>
      </w:tr>
    </w:tbl>
    <w:p>
      <w:pPr>
        <w:pStyle w:val="9"/>
        <w:ind w:firstLine="0" w:firstLineChars="0"/>
        <w:rPr>
          <w:rFonts w:ascii="楷体_GB2312" w:hAnsi="楷体_GB2312" w:eastAsia="楷体_GB2312" w:cs="楷体_GB2312"/>
          <w:sz w:val="32"/>
          <w:szCs w:val="20"/>
        </w:rPr>
      </w:pPr>
      <w:r>
        <w:rPr>
          <w:rFonts w:hint="eastAsia" w:ascii="宋体" w:hAnsi="宋体" w:eastAsia="宋体" w:cs="宋体"/>
          <w:szCs w:val="21"/>
          <w:lang w:bidi="ar"/>
        </w:rPr>
        <w:t>注：表格数据为原始数据四舍五入后计算所得。</w:t>
      </w:r>
    </w:p>
    <w:p>
      <w:pPr>
        <w:spacing w:line="360" w:lineRule="auto"/>
        <w:rPr>
          <w:rFonts w:ascii="宋体" w:hAnsi="宋体" w:eastAsia="宋体" w:cs="宋体"/>
          <w:b/>
          <w:color w:val="000000"/>
          <w:sz w:val="28"/>
          <w:szCs w:val="28"/>
        </w:rPr>
        <w:sectPr>
          <w:pgSz w:w="16838" w:h="11906" w:orient="landscape"/>
          <w:pgMar w:top="1531" w:right="1440" w:bottom="1417" w:left="1440" w:header="851" w:footer="992" w:gutter="0"/>
          <w:pgNumType w:start="1"/>
          <w:cols w:space="0" w:num="1"/>
          <w:docGrid w:type="lines" w:linePitch="319" w:charSpace="0"/>
        </w:sectPr>
      </w:pPr>
    </w:p>
    <w:p>
      <w:pPr>
        <w:pStyle w:val="9"/>
        <w:ind w:firstLine="640"/>
        <w:rPr>
          <w:rFonts w:ascii="宋体" w:hAnsi="宋体" w:eastAsia="宋体" w:cs="宋体"/>
          <w:b/>
          <w:color w:val="000000"/>
          <w:sz w:val="28"/>
          <w:szCs w:val="28"/>
        </w:rPr>
      </w:pPr>
      <w:r>
        <w:rPr>
          <w:rFonts w:hint="eastAsia" w:ascii="Times New Roman" w:hAnsi="Times New Roman" w:eastAsia="仿宋_GB2312" w:cs="Times New Roman"/>
          <w:sz w:val="32"/>
          <w:szCs w:val="32"/>
        </w:rPr>
        <w:t>根据评价要求，以下对2021年度的资金进行详细分析。截止2021年12月31日，2021年</w:t>
      </w: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项目共下达市本级新增债券转贷资金13,000万元，实际支出12,303.86万元，支出率为94.65%。其中，</w:t>
      </w: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项目（原水管部分）共下达市本级新增债券转贷资金10,500万元，实际支出10,500万元，支出率为100%；</w:t>
      </w: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（扩建西河二水厂部分工程）共下达市本级新增债券转贷资金2,500万元，实际支出1,803.86万元，支出率为72.15%。具体情况见表</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w:t>
      </w:r>
    </w:p>
    <w:p>
      <w:pPr>
        <w:spacing w:line="360" w:lineRule="auto"/>
        <w:jc w:val="center"/>
        <w:rPr>
          <w:rFonts w:ascii="宋体" w:hAnsi="宋体" w:eastAsia="宋体" w:cs="宋体"/>
          <w:b/>
          <w:color w:val="000000"/>
          <w:sz w:val="28"/>
          <w:szCs w:val="28"/>
        </w:rPr>
      </w:pPr>
      <w:r>
        <w:rPr>
          <w:rFonts w:hint="eastAsia" w:ascii="宋体" w:hAnsi="宋体" w:eastAsia="宋体" w:cs="宋体"/>
          <w:b/>
          <w:color w:val="000000"/>
          <w:sz w:val="28"/>
          <w:szCs w:val="28"/>
        </w:rPr>
        <w:t>表</w:t>
      </w:r>
      <w:r>
        <w:rPr>
          <w:rFonts w:hint="eastAsia" w:ascii="宋体" w:hAnsi="宋体" w:eastAsia="宋体" w:cs="宋体"/>
          <w:b/>
          <w:color w:val="000000"/>
          <w:sz w:val="28"/>
          <w:szCs w:val="28"/>
          <w:lang w:val="en-US" w:eastAsia="zh-CN"/>
        </w:rPr>
        <w:t>3</w:t>
      </w:r>
      <w:r>
        <w:rPr>
          <w:rFonts w:hint="eastAsia" w:ascii="宋体" w:hAnsi="宋体" w:eastAsia="宋体" w:cs="宋体"/>
          <w:b/>
          <w:color w:val="000000"/>
          <w:sz w:val="28"/>
          <w:szCs w:val="28"/>
        </w:rPr>
        <w:t xml:space="preserve"> 项目2021年度资金明细表</w:t>
      </w:r>
    </w:p>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单位：万元</w:t>
      </w:r>
    </w:p>
    <w:tbl>
      <w:tblPr>
        <w:tblStyle w:val="18"/>
        <w:tblW w:w="9170" w:type="dxa"/>
        <w:tblInd w:w="0" w:type="dxa"/>
        <w:tblLayout w:type="fixed"/>
        <w:tblCellMar>
          <w:top w:w="0" w:type="dxa"/>
          <w:left w:w="108" w:type="dxa"/>
          <w:bottom w:w="0" w:type="dxa"/>
          <w:right w:w="108" w:type="dxa"/>
        </w:tblCellMar>
      </w:tblPr>
      <w:tblGrid>
        <w:gridCol w:w="2122"/>
        <w:gridCol w:w="3485"/>
        <w:gridCol w:w="3563"/>
      </w:tblGrid>
      <w:tr>
        <w:tblPrEx>
          <w:tblLayout w:type="fixed"/>
          <w:tblCellMar>
            <w:top w:w="0" w:type="dxa"/>
            <w:left w:w="108" w:type="dxa"/>
            <w:bottom w:w="0" w:type="dxa"/>
            <w:right w:w="108" w:type="dxa"/>
          </w:tblCellMar>
        </w:tblPrEx>
        <w:trPr>
          <w:trHeight w:val="283" w:hRule="atLeast"/>
        </w:trPr>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内容</w:t>
            </w:r>
          </w:p>
        </w:tc>
        <w:tc>
          <w:tcPr>
            <w:tcW w:w="3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韶关市乳源瑶族自治县南水水库供水工程项目（原水管部分）</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韶关市乳源瑶族自治县南水水库供水工程（扩建西河二水厂部分工程）</w:t>
            </w:r>
          </w:p>
        </w:tc>
      </w:tr>
      <w:tr>
        <w:tblPrEx>
          <w:tblLayout w:type="fixed"/>
          <w:tblCellMar>
            <w:top w:w="0" w:type="dxa"/>
            <w:left w:w="108" w:type="dxa"/>
            <w:bottom w:w="0" w:type="dxa"/>
            <w:right w:w="108" w:type="dxa"/>
          </w:tblCellMar>
        </w:tblPrEx>
        <w:trPr>
          <w:trHeight w:val="90" w:hRule="atLeast"/>
        </w:trPr>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预算金额</w:t>
            </w:r>
          </w:p>
        </w:tc>
        <w:tc>
          <w:tcPr>
            <w:tcW w:w="3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10,500.00 </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2,500.00</w:t>
            </w:r>
          </w:p>
        </w:tc>
      </w:tr>
      <w:tr>
        <w:tblPrEx>
          <w:tblLayout w:type="fixed"/>
          <w:tblCellMar>
            <w:top w:w="0" w:type="dxa"/>
            <w:left w:w="108" w:type="dxa"/>
            <w:bottom w:w="0" w:type="dxa"/>
            <w:right w:w="108" w:type="dxa"/>
          </w:tblCellMar>
        </w:tblPrEx>
        <w:trPr>
          <w:trHeight w:val="283" w:hRule="atLeast"/>
        </w:trPr>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实际支出</w:t>
            </w:r>
          </w:p>
        </w:tc>
        <w:tc>
          <w:tcPr>
            <w:tcW w:w="3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10,500.00</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1,803.86</w:t>
            </w:r>
          </w:p>
        </w:tc>
      </w:tr>
      <w:tr>
        <w:tblPrEx>
          <w:tblLayout w:type="fixed"/>
          <w:tblCellMar>
            <w:top w:w="0" w:type="dxa"/>
            <w:left w:w="108" w:type="dxa"/>
            <w:bottom w:w="0" w:type="dxa"/>
            <w:right w:w="108" w:type="dxa"/>
          </w:tblCellMar>
        </w:tblPrEx>
        <w:trPr>
          <w:trHeight w:val="283" w:hRule="atLeast"/>
        </w:trPr>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支出率</w:t>
            </w:r>
          </w:p>
        </w:tc>
        <w:tc>
          <w:tcPr>
            <w:tcW w:w="3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100.00%</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72.15%</w:t>
            </w:r>
          </w:p>
        </w:tc>
      </w:tr>
      <w:tr>
        <w:tblPrEx>
          <w:tblLayout w:type="fixed"/>
          <w:tblCellMar>
            <w:top w:w="0" w:type="dxa"/>
            <w:left w:w="108" w:type="dxa"/>
            <w:bottom w:w="0" w:type="dxa"/>
            <w:right w:w="108" w:type="dxa"/>
          </w:tblCellMar>
        </w:tblPrEx>
        <w:trPr>
          <w:trHeight w:val="283" w:hRule="atLeast"/>
        </w:trPr>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指标金额合计</w:t>
            </w:r>
          </w:p>
        </w:tc>
        <w:tc>
          <w:tcPr>
            <w:tcW w:w="7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13,000.00</w:t>
            </w:r>
          </w:p>
        </w:tc>
      </w:tr>
      <w:tr>
        <w:tblPrEx>
          <w:tblLayout w:type="fixed"/>
          <w:tblCellMar>
            <w:top w:w="0" w:type="dxa"/>
            <w:left w:w="108" w:type="dxa"/>
            <w:bottom w:w="0" w:type="dxa"/>
            <w:right w:w="108" w:type="dxa"/>
          </w:tblCellMar>
        </w:tblPrEx>
        <w:trPr>
          <w:trHeight w:val="283" w:hRule="atLeast"/>
        </w:trPr>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实际支出合计</w:t>
            </w:r>
          </w:p>
        </w:tc>
        <w:tc>
          <w:tcPr>
            <w:tcW w:w="7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12,303.86</w:t>
            </w:r>
          </w:p>
        </w:tc>
      </w:tr>
      <w:tr>
        <w:tblPrEx>
          <w:tblLayout w:type="fixed"/>
          <w:tblCellMar>
            <w:top w:w="0" w:type="dxa"/>
            <w:left w:w="108" w:type="dxa"/>
            <w:bottom w:w="0" w:type="dxa"/>
            <w:right w:w="108" w:type="dxa"/>
          </w:tblCellMar>
        </w:tblPrEx>
        <w:trPr>
          <w:trHeight w:val="283" w:hRule="atLeast"/>
        </w:trPr>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指标金额支出率</w:t>
            </w:r>
          </w:p>
        </w:tc>
        <w:tc>
          <w:tcPr>
            <w:tcW w:w="7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94.65%</w:t>
            </w:r>
          </w:p>
        </w:tc>
      </w:tr>
    </w:tbl>
    <w:p>
      <w:pPr>
        <w:widowControl/>
        <w:jc w:val="left"/>
        <w:rPr>
          <w:rFonts w:ascii="宋体" w:hAnsi="宋体" w:eastAsia="宋体" w:cs="宋体"/>
          <w:szCs w:val="21"/>
          <w:lang w:bidi="ar"/>
        </w:rPr>
      </w:pPr>
    </w:p>
    <w:p>
      <w:pPr>
        <w:spacing w:line="360" w:lineRule="auto"/>
        <w:ind w:firstLine="640" w:firstLineChars="200"/>
        <w:outlineLvl w:val="0"/>
        <w:rPr>
          <w:rFonts w:ascii="黑体" w:hAnsi="黑体" w:eastAsia="黑体" w:cs="黑体"/>
          <w:sz w:val="32"/>
          <w:szCs w:val="32"/>
        </w:rPr>
      </w:pPr>
      <w:bookmarkStart w:id="12" w:name="_Toc27476"/>
      <w:bookmarkStart w:id="13" w:name="_Toc3530"/>
      <w:bookmarkStart w:id="14" w:name="_Toc7094"/>
      <w:bookmarkStart w:id="15" w:name="_Toc10081"/>
      <w:bookmarkStart w:id="16" w:name="_Toc6887"/>
      <w:bookmarkStart w:id="17" w:name="_Toc27672"/>
      <w:r>
        <w:rPr>
          <w:rFonts w:hint="eastAsia" w:ascii="黑体" w:hAnsi="黑体" w:eastAsia="黑体" w:cs="黑体"/>
          <w:sz w:val="32"/>
          <w:szCs w:val="32"/>
        </w:rPr>
        <w:t>二、绩效分析</w:t>
      </w:r>
      <w:bookmarkEnd w:id="12"/>
      <w:bookmarkEnd w:id="13"/>
      <w:bookmarkEnd w:id="14"/>
      <w:bookmarkEnd w:id="15"/>
      <w:bookmarkEnd w:id="16"/>
      <w:bookmarkEnd w:id="17"/>
    </w:p>
    <w:p>
      <w:pPr>
        <w:ind w:firstLine="640" w:firstLineChars="200"/>
        <w:outlineLvl w:val="1"/>
        <w:rPr>
          <w:rFonts w:ascii="楷体_GB2312" w:hAnsi="楷体_GB2312" w:eastAsia="楷体_GB2312" w:cs="楷体_GB2312"/>
          <w:sz w:val="32"/>
          <w:szCs w:val="20"/>
        </w:rPr>
      </w:pPr>
      <w:bookmarkStart w:id="18" w:name="_Toc29899"/>
      <w:bookmarkStart w:id="19" w:name="_Toc22503"/>
      <w:bookmarkStart w:id="20" w:name="_Toc7304"/>
      <w:bookmarkStart w:id="21" w:name="_Toc7308"/>
      <w:bookmarkStart w:id="22" w:name="_Toc30164"/>
      <w:bookmarkStart w:id="23" w:name="_Toc14448"/>
      <w:r>
        <w:rPr>
          <w:rFonts w:hint="eastAsia" w:ascii="楷体_GB2312" w:hAnsi="楷体_GB2312" w:eastAsia="楷体_GB2312" w:cs="楷体_GB2312"/>
          <w:sz w:val="32"/>
          <w:szCs w:val="20"/>
        </w:rPr>
        <w:t>（一）绩效目标完成情况。</w:t>
      </w:r>
      <w:bookmarkEnd w:id="18"/>
      <w:bookmarkEnd w:id="19"/>
      <w:bookmarkEnd w:id="20"/>
      <w:bookmarkEnd w:id="21"/>
      <w:bookmarkEnd w:id="22"/>
      <w:bookmarkEnd w:id="23"/>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1.项目实施概况</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项目的总体绩效目标是敷设长达38.1公里的输水管道并完成西河二水厂的</w:t>
      </w:r>
      <w:r>
        <w:rPr>
          <w:rFonts w:hint="eastAsia" w:ascii="Times New Roman" w:hAnsi="Times New Roman" w:eastAsia="仿宋_GB2312" w:cs="Times New Roman"/>
          <w:sz w:val="32"/>
          <w:szCs w:val="32"/>
          <w:lang w:val="en-US" w:eastAsia="zh-CN"/>
        </w:rPr>
        <w:t>扩建</w:t>
      </w:r>
      <w:r>
        <w:rPr>
          <w:rFonts w:hint="eastAsia" w:ascii="Times New Roman" w:hAnsi="Times New Roman" w:eastAsia="仿宋_GB2312" w:cs="Times New Roman"/>
          <w:sz w:val="32"/>
          <w:szCs w:val="32"/>
        </w:rPr>
        <w:t>，保障韶关市区的生活及生产用水。截至202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月，该项目已完成主体工程部分建设，建成38.1公里的输水管道和一座新的水厂</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在原有水厂的基础上扩建成新水厂</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，并正式通水运行，但尚未完成</w:t>
      </w:r>
      <w:r>
        <w:rPr>
          <w:rFonts w:hint="eastAsia" w:ascii="Times New Roman" w:hAnsi="Times New Roman" w:eastAsia="仿宋_GB2312" w:cs="Times New Roman"/>
          <w:sz w:val="32"/>
          <w:szCs w:val="32"/>
          <w:lang w:val="en-US" w:eastAsia="zh-CN"/>
        </w:rPr>
        <w:t>部分工程收尾、</w:t>
      </w:r>
      <w:r>
        <w:rPr>
          <w:rFonts w:hint="eastAsia" w:ascii="Times New Roman" w:hAnsi="Times New Roman" w:eastAsia="仿宋_GB2312" w:cs="Times New Roman"/>
          <w:sz w:val="32"/>
          <w:szCs w:val="32"/>
        </w:rPr>
        <w:t>结算等工作。</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2021年度的绩效目标为完成输水管道建设，并建成一座日处理能力25吨/天的水厂。截至2021年</w:t>
      </w:r>
      <w:r>
        <w:rPr>
          <w:rFonts w:hint="eastAsia" w:ascii="Times New Roman" w:hAnsi="Times New Roman" w:eastAsia="仿宋_GB2312" w:cs="Times New Roman"/>
          <w:sz w:val="32"/>
          <w:szCs w:val="32"/>
          <w:lang w:val="en-US" w:eastAsia="zh-CN"/>
        </w:rPr>
        <w:t>中</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项目已完成38.1公里的输水管道和新水厂的主体工程建设，并于2021年5月30日全线通水试运行、</w:t>
      </w:r>
      <w:r>
        <w:rPr>
          <w:rFonts w:hint="eastAsia" w:ascii="Times New Roman" w:hAnsi="Times New Roman" w:eastAsia="仿宋_GB2312" w:cs="Times New Roman"/>
          <w:sz w:val="32"/>
          <w:szCs w:val="32"/>
          <w:lang w:val="en-US" w:eastAsia="zh-CN"/>
        </w:rPr>
        <w:t>2022年6月完成主体工程建设、</w:t>
      </w:r>
      <w:r>
        <w:rPr>
          <w:rFonts w:hint="eastAsia" w:ascii="Times New Roman" w:hAnsi="Times New Roman" w:eastAsia="仿宋_GB2312" w:cs="Times New Roman"/>
          <w:sz w:val="32"/>
          <w:szCs w:val="32"/>
        </w:rPr>
        <w:t>2021年6月18日正式通水运行。项目实施概况见表4。</w:t>
      </w: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 xml:space="preserve">表4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项目实施概况表</w:t>
      </w:r>
    </w:p>
    <w:tbl>
      <w:tblPr>
        <w:tblStyle w:val="19"/>
        <w:tblW w:w="9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1271"/>
        <w:gridCol w:w="974"/>
        <w:gridCol w:w="1359"/>
        <w:gridCol w:w="1172"/>
        <w:gridCol w:w="974"/>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592" w:type="dxa"/>
            <w:vMerge w:val="restart"/>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项目名称</w:t>
            </w:r>
          </w:p>
        </w:tc>
        <w:tc>
          <w:tcPr>
            <w:tcW w:w="3604" w:type="dxa"/>
            <w:gridSpan w:val="3"/>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绩效目标</w:t>
            </w:r>
          </w:p>
        </w:tc>
        <w:tc>
          <w:tcPr>
            <w:tcW w:w="3974" w:type="dxa"/>
            <w:gridSpan w:val="3"/>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592" w:type="dxa"/>
            <w:vMerge w:val="continue"/>
            <w:vAlign w:val="center"/>
          </w:tcPr>
          <w:p>
            <w:pPr>
              <w:spacing w:line="360" w:lineRule="auto"/>
              <w:jc w:val="center"/>
              <w:rPr>
                <w:rFonts w:ascii="宋体" w:hAnsi="宋体" w:eastAsia="宋体" w:cs="宋体"/>
                <w:b/>
                <w:bCs/>
                <w:szCs w:val="21"/>
              </w:rPr>
            </w:pPr>
          </w:p>
        </w:tc>
        <w:tc>
          <w:tcPr>
            <w:tcW w:w="1271"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内容</w:t>
            </w:r>
          </w:p>
        </w:tc>
        <w:tc>
          <w:tcPr>
            <w:tcW w:w="974"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目标</w:t>
            </w:r>
          </w:p>
        </w:tc>
        <w:tc>
          <w:tcPr>
            <w:tcW w:w="1359"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时间</w:t>
            </w:r>
          </w:p>
        </w:tc>
        <w:tc>
          <w:tcPr>
            <w:tcW w:w="1172"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内容</w:t>
            </w:r>
          </w:p>
        </w:tc>
        <w:tc>
          <w:tcPr>
            <w:tcW w:w="974"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数量</w:t>
            </w:r>
          </w:p>
        </w:tc>
        <w:tc>
          <w:tcPr>
            <w:tcW w:w="1828"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韶关市乳源瑶族自治县南水水库供水工程项目（原水管部分）</w:t>
            </w:r>
          </w:p>
        </w:tc>
        <w:tc>
          <w:tcPr>
            <w:tcW w:w="12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铺设输水管道</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约38.1公里</w:t>
            </w:r>
          </w:p>
        </w:tc>
        <w:tc>
          <w:tcPr>
            <w:tcW w:w="13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2021年3月31日前完工基本完成管线主体工程</w:t>
            </w:r>
          </w:p>
        </w:tc>
        <w:tc>
          <w:tcPr>
            <w:tcW w:w="117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铺设输水管道</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约38.1公里</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2021年5月30全线通水并进入试运营；2021年6月18日正式商业运行。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59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韶关市乳源瑶族自治县南水水库供水工程（扩建西河二水厂部分工程）</w:t>
            </w:r>
          </w:p>
        </w:tc>
        <w:tc>
          <w:tcPr>
            <w:tcW w:w="12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建设新水厂座数</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1座</w:t>
            </w:r>
          </w:p>
        </w:tc>
        <w:tc>
          <w:tcPr>
            <w:tcW w:w="13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2021年5月31日全面完工、6月28日顺利通水</w:t>
            </w:r>
          </w:p>
        </w:tc>
        <w:tc>
          <w:tcPr>
            <w:tcW w:w="117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建设新水厂座数</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1座</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2021年6月建成且通水运行。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59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Theme="minorEastAsia" w:hAnsiTheme="minorEastAsia" w:eastAsiaTheme="minorEastAsia" w:cstheme="minorEastAsia"/>
                <w:b w:val="0"/>
                <w:bCs w:val="0"/>
                <w:sz w:val="21"/>
                <w:szCs w:val="21"/>
              </w:rPr>
            </w:pPr>
          </w:p>
        </w:tc>
        <w:tc>
          <w:tcPr>
            <w:tcW w:w="12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新水厂日供水能力</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25吨/天</w:t>
            </w:r>
          </w:p>
        </w:tc>
        <w:tc>
          <w:tcPr>
            <w:tcW w:w="13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p>
        </w:tc>
        <w:tc>
          <w:tcPr>
            <w:tcW w:w="117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新水厂日供水能力</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25吨/天</w:t>
            </w:r>
          </w:p>
        </w:tc>
        <w:tc>
          <w:tcPr>
            <w:tcW w:w="18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p>
        </w:tc>
      </w:tr>
    </w:tbl>
    <w:p>
      <w:pPr>
        <w:widowControl/>
        <w:jc w:val="left"/>
        <w:rPr>
          <w:rFonts w:ascii="宋体" w:hAnsi="宋体" w:eastAsia="宋体" w:cs="宋体"/>
          <w:szCs w:val="21"/>
        </w:rPr>
      </w:pPr>
      <w:r>
        <w:rPr>
          <w:rFonts w:hint="eastAsia"/>
          <w:szCs w:val="21"/>
        </w:rPr>
        <w:t>资料来源：《韶关市南水引水工程建设工</w:t>
      </w:r>
      <w:r>
        <w:rPr>
          <w:rFonts w:hint="eastAsia" w:ascii="宋体" w:hAnsi="宋体" w:eastAsia="宋体" w:cs="宋体"/>
          <w:szCs w:val="21"/>
        </w:rPr>
        <w:t>作领导小组会议纪要》（韶关南水办〔2021〕1号）</w:t>
      </w:r>
    </w:p>
    <w:p>
      <w:pPr>
        <w:widowControl/>
        <w:jc w:val="left"/>
        <w:rPr>
          <w:rFonts w:ascii="宋体" w:hAnsi="宋体" w:eastAsia="宋体" w:cs="宋体"/>
          <w:szCs w:val="21"/>
        </w:rPr>
      </w:pPr>
    </w:p>
    <w:p>
      <w:pPr>
        <w:ind w:firstLine="640" w:firstLineChars="200"/>
        <w:outlineLvl w:val="1"/>
        <w:rPr>
          <w:rFonts w:ascii="楷体_GB2312" w:hAnsi="楷体_GB2312" w:eastAsia="楷体_GB2312" w:cs="楷体_GB2312"/>
          <w:sz w:val="32"/>
          <w:szCs w:val="20"/>
          <w:highlight w:val="yellow"/>
        </w:rPr>
      </w:pPr>
      <w:bookmarkStart w:id="24" w:name="_Toc12868"/>
      <w:bookmarkStart w:id="25" w:name="_Toc6031"/>
      <w:r>
        <w:rPr>
          <w:rFonts w:hint="eastAsia" w:ascii="楷体_GB2312" w:hAnsi="楷体_GB2312" w:eastAsia="楷体_GB2312" w:cs="楷体_GB2312"/>
          <w:sz w:val="32"/>
          <w:szCs w:val="20"/>
        </w:rPr>
        <w:t>（二）绩效评价指标分析情况。</w:t>
      </w:r>
      <w:bookmarkEnd w:id="24"/>
      <w:bookmarkEnd w:id="25"/>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此次绩效评价以书面材料核查、访谈、座谈、问卷调查、选点抽查为基础，综合运用成本效益分析法、比较法、抽样调查、专家评议、满意度调查等方法对资金和项目的投入、过程、产出、效益等四个方面进行综合评价。</w:t>
      </w:r>
    </w:p>
    <w:p>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1.投入</w:t>
      </w:r>
    </w:p>
    <w:p>
      <w:pPr>
        <w:spacing w:line="360" w:lineRule="auto"/>
        <w:ind w:firstLine="420" w:firstLineChars="200"/>
        <w:jc w:val="center"/>
      </w:pPr>
      <w:r>
        <w:drawing>
          <wp:inline distT="0" distB="0" distL="114300" distR="114300">
            <wp:extent cx="5094605" cy="3274695"/>
            <wp:effectExtent l="4445" t="4445" r="6350" b="16510"/>
            <wp:docPr id="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图1 投入－四级指标得分图</w:t>
      </w:r>
    </w:p>
    <w:p>
      <w:pPr>
        <w:spacing w:line="360" w:lineRule="auto"/>
        <w:jc w:val="center"/>
        <w:rPr>
          <w:rFonts w:hint="eastAsia" w:ascii="宋体" w:hAnsi="宋体" w:eastAsia="宋体" w:cs="宋体"/>
          <w:b/>
          <w:bCs/>
          <w:sz w:val="28"/>
          <w:szCs w:val="28"/>
        </w:rPr>
      </w:pP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该指标主要考核项目立项是否充分、项目的绩效目标设置是否合理科学以及是否具有良好的项目保障措施，包括2个二级指标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5个三级指标</w:t>
      </w:r>
      <w:r>
        <w:rPr>
          <w:rFonts w:hint="eastAsia"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rPr>
        <w:t>9个四级指标。该项分值20分，综合得分为1</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，得分率为8</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（1）论证决策</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该指标主要考核项目是否论证充分且合法合规，是否具有前期可行性研究报告、集体会议或摸底调查工作总结等材料。该指标评价分值4分，得分4分，得分率100%。</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根据《关于上报韶关市乳源瑶族自治县南水水库供水工程可行性研究报告的请示及相关附件材料》（乳发改字〔2014〕 41号）《关于韶关市乳源瑶族自治县南水水库供水工程（水厂工程部分）项目可行性研究报告的批复》（韶市发改资〔2015〕49号）《广东省发展改革委关于韶关市乳源瑶族自治县南水水库供水工程可行性报告的批复》（粤发改农经函〔2015〕2495号）等文件，项目经多次讨论及调研后完成立项，该项目论证决策较充分。该指标不扣分。</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（2）目标设置</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该指标主要考核绩效目标的设置是否完整、合理、清晰可衡量、可细化。该指标评价分值6分，得分</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分，得分率</w:t>
      </w:r>
      <w:r>
        <w:rPr>
          <w:rFonts w:hint="eastAsia" w:ascii="Times New Roman" w:hAnsi="Times New Roman" w:eastAsia="仿宋_GB2312" w:cs="Times New Roman"/>
          <w:sz w:val="32"/>
          <w:szCs w:val="32"/>
          <w:lang w:val="en-US" w:eastAsia="zh-CN"/>
        </w:rPr>
        <w:t>50</w:t>
      </w:r>
      <w:r>
        <w:rPr>
          <w:rFonts w:hint="eastAsia"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根据资料核查，</w:t>
      </w: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项目（原水管部分）的绩效目标缺乏数量指标、质量指标、经济效益指标、环境效益指标；</w:t>
      </w: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（扩建西河二水厂部分工程）的绩效目标缺乏质量指标、经济效益指标、环境效益指标</w:t>
      </w:r>
      <w:r>
        <w:rPr>
          <w:rFonts w:hint="eastAsia" w:ascii="Times New Roman" w:hAnsi="Times New Roman" w:eastAsia="仿宋_GB2312" w:cs="Times New Roman"/>
          <w:sz w:val="32"/>
          <w:szCs w:val="32"/>
          <w:lang w:eastAsia="zh-CN"/>
        </w:rPr>
        <w:t>，扣</w:t>
      </w:r>
      <w:r>
        <w:rPr>
          <w:rFonts w:hint="eastAsia" w:ascii="Times New Roman" w:hAnsi="Times New Roman" w:eastAsia="仿宋_GB2312" w:cs="Times New Roman"/>
          <w:sz w:val="32"/>
          <w:szCs w:val="32"/>
          <w:lang w:val="en-US" w:eastAsia="zh-CN"/>
        </w:rPr>
        <w:t>2分。</w:t>
      </w:r>
      <w:r>
        <w:rPr>
          <w:rFonts w:hint="eastAsia" w:ascii="Times New Roman" w:hAnsi="Times New Roman" w:eastAsia="仿宋_GB2312" w:cs="Times New Roman"/>
          <w:sz w:val="32"/>
          <w:szCs w:val="32"/>
        </w:rPr>
        <w:t>可持续发展指标中的“开发韶关市区饮用水第二水源，保障用水安全”难以量化，不具有可衡量性</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扣</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分。</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（3）保障措施</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制度完整性主要考察为加强项目的预算绩效管理、规范财务行为而制定的管理制度是否健全完整。该指标评价分值1分，得分0.5分，得分率50%。经核查，</w:t>
      </w:r>
      <w:r>
        <w:rPr>
          <w:rFonts w:hint="eastAsia" w:ascii="Times New Roman" w:hAnsi="Times New Roman" w:eastAsia="仿宋_GB2312" w:cs="Times New Roman"/>
          <w:sz w:val="32"/>
          <w:szCs w:val="32"/>
          <w:lang w:eastAsia="zh-CN"/>
        </w:rPr>
        <w:t>南水工程项目制定了相关</w:t>
      </w:r>
      <w:r>
        <w:rPr>
          <w:rFonts w:hint="eastAsia" w:ascii="Times New Roman" w:hAnsi="Times New Roman" w:eastAsia="仿宋_GB2312" w:cs="Times New Roman"/>
          <w:sz w:val="32"/>
          <w:szCs w:val="32"/>
        </w:rPr>
        <w:t>工程管理、财务管理制度文件，但未</w:t>
      </w:r>
      <w:r>
        <w:rPr>
          <w:rFonts w:hint="eastAsia" w:ascii="Times New Roman" w:hAnsi="Times New Roman" w:eastAsia="仿宋_GB2312" w:cs="Times New Roman"/>
          <w:sz w:val="32"/>
          <w:szCs w:val="32"/>
          <w:lang w:eastAsia="zh-CN"/>
        </w:rPr>
        <w:t>制定</w:t>
      </w:r>
      <w:r>
        <w:rPr>
          <w:rFonts w:hint="eastAsia" w:ascii="Times New Roman" w:hAnsi="Times New Roman" w:eastAsia="仿宋_GB2312" w:cs="Times New Roman"/>
          <w:sz w:val="32"/>
          <w:szCs w:val="32"/>
        </w:rPr>
        <w:t>绩效跟踪管理的制度文件。因此该项扣0.5分。</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计划安排合理性主要考核项目是否制定有科学合理的工作进度安排。该指标评价分值1分，得分0.5分，得分率50%。经核查，该项目于2017年正式动工，原定施工时间为730日，2019年12月11日因施工单位交接问题停工，至2020年10月10日全面复工，后定于2021年4月30日完成全部施工任务及工程验收工作。在“五加二、白加黑”的模式下，项目组全面赶工，于2021年3月底完成原水管部分主体工程的建设，于2021年6月完成西河二水厂部分主体工程的建设，但目前尚未完成工程结算、竣工验收等手续，侧面说明计划进度安排不够合理，存在提升空间。因此该项扣0.5分。</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（4）资金到位</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资金到位率主要考察实际到位资金与预算资金的比率，以反映和考核资金落实情况对项目实施的总体保障程度。该指标评价分值3分，得分3分，得分率100%。经核查，该项目2021年度共到位资金13,000万元，资金到位率为100%。因此不扣分。</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资金到位及时性主要考察实际资金到位时间与预期预算资金到位时间比率，以反映和考核资金落实情况对项目实施的总体保障程度。该指标评价分值2分，得分2分，得分率100%。经核查，该项目所需的市本级新增债券转贷资金均于2021年内下达，资金到位及时，因此不扣分。</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（5）资金分配</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该指标主要考察项目预算资金分配是否有测算依据，是否与补助单位或地方实际相适应，以反映和考核项目预算资金分配的科学性、合理性情况。该指标评价分值3分，得分3分，得分率100%。</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经核查，</w:t>
      </w:r>
      <w:r>
        <w:rPr>
          <w:rFonts w:hint="eastAsia" w:ascii="Times New Roman" w:hAnsi="Times New Roman" w:eastAsia="仿宋_GB2312" w:cs="Times New Roman"/>
          <w:sz w:val="32"/>
          <w:szCs w:val="32"/>
          <w:lang w:eastAsia="zh-CN"/>
        </w:rPr>
        <w:t>根据</w:t>
      </w:r>
      <w:r>
        <w:rPr>
          <w:rFonts w:hint="eastAsia" w:ascii="Times New Roman" w:hAnsi="Times New Roman" w:eastAsia="仿宋_GB2312" w:cs="Times New Roman"/>
          <w:sz w:val="32"/>
          <w:szCs w:val="32"/>
        </w:rPr>
        <w:t>《关于对韶关市乳源瑶族自治县南水水库供水工程项目（原水管道部分）初步设计的批复》《韶关市乳源瑶族自治县南水水库供水工程（原水管道部分）调整概算报告（修订稿）》《关于韶关市乳源瑶族自治县南水水库供水工程——扩建西河二水厂部分投资概算的批复》等资金概算文件，资金分配依据较为充分，因此不扣分。</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2.过程</w:t>
      </w:r>
    </w:p>
    <w:p>
      <w:pPr>
        <w:spacing w:line="360" w:lineRule="auto"/>
        <w:ind w:firstLine="420" w:firstLineChars="200"/>
        <w:jc w:val="center"/>
      </w:pPr>
      <w:r>
        <w:drawing>
          <wp:inline distT="0" distB="0" distL="114300" distR="114300">
            <wp:extent cx="4618355" cy="2933700"/>
            <wp:effectExtent l="5080" t="5080" r="5715" b="13970"/>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360" w:lineRule="auto"/>
        <w:jc w:val="center"/>
      </w:pPr>
      <w:r>
        <w:rPr>
          <w:rFonts w:hint="eastAsia" w:ascii="宋体" w:hAnsi="宋体" w:eastAsia="宋体" w:cs="宋体"/>
          <w:b/>
          <w:bCs/>
          <w:sz w:val="28"/>
          <w:szCs w:val="28"/>
        </w:rPr>
        <w:t>图2 过程－四级指标得分图</w:t>
      </w:r>
    </w:p>
    <w:p>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该指标主要考核项目实施过程的资金管理、事项管理是否有效、合规，包括2个二级指标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4个三级指标和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5个四级指标。该项分值为20分，综合得分19.84分，得分率为99.20%。</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（1）资金支付</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该指标考察资金支出是否达到年初制定的目标。该指标分值3分，得分2.84分，得分率94.67%。</w:t>
      </w: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项目2021年度共下达市本级新增债券转贷资金13,000万元，实际支出12,303.86万元，支出率为94.65%</w:t>
      </w:r>
      <w:r>
        <w:rPr>
          <w:rFonts w:hint="eastAsia" w:ascii="Times New Roman" w:hAnsi="Times New Roman" w:eastAsia="仿宋_GB2312" w:cs="Times New Roman"/>
          <w:sz w:val="32"/>
          <w:szCs w:val="32"/>
          <w:lang w:eastAsia="zh-CN"/>
        </w:rPr>
        <w:t>，其中：南水工程</w:t>
      </w:r>
      <w:r>
        <w:rPr>
          <w:rFonts w:hint="eastAsia" w:ascii="Times New Roman" w:hAnsi="Times New Roman" w:eastAsia="仿宋_GB2312" w:cs="Times New Roman"/>
          <w:sz w:val="32"/>
          <w:szCs w:val="32"/>
        </w:rPr>
        <w:t>（扩建西河二水厂部分工程）尚未完成工程结</w:t>
      </w:r>
      <w:r>
        <w:rPr>
          <w:rFonts w:hint="eastAsia" w:ascii="Times New Roman" w:hAnsi="Times New Roman" w:eastAsia="仿宋_GB2312" w:cs="Times New Roman"/>
          <w:color w:val="auto"/>
          <w:sz w:val="32"/>
          <w:szCs w:val="32"/>
        </w:rPr>
        <w:t>算手续</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无法进行工程支付</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2021</w:t>
      </w:r>
      <w:r>
        <w:rPr>
          <w:rFonts w:hint="eastAsia" w:ascii="Times New Roman" w:hAnsi="Times New Roman" w:eastAsia="仿宋_GB2312" w:cs="Times New Roman"/>
          <w:color w:val="auto"/>
          <w:sz w:val="32"/>
          <w:szCs w:val="32"/>
          <w:lang w:val="en-US" w:eastAsia="zh-CN"/>
        </w:rPr>
        <w:t>年度</w:t>
      </w: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（扩建西河二水厂部分工程）</w:t>
      </w:r>
      <w:r>
        <w:rPr>
          <w:rFonts w:hint="eastAsia" w:ascii="Times New Roman" w:hAnsi="Times New Roman" w:eastAsia="仿宋_GB2312" w:cs="Times New Roman"/>
          <w:color w:val="auto"/>
          <w:sz w:val="32"/>
          <w:szCs w:val="32"/>
        </w:rPr>
        <w:t>的实际支付金额为1,803.86万元，支付率仅72.15%，降低了整个项目的支付率。因此根据公式资金支出率=</w:t>
      </w:r>
      <w:r>
        <w:rPr>
          <w:rFonts w:hint="eastAsia" w:ascii="Times New Roman" w:hAnsi="Times New Roman" w:eastAsia="仿宋_GB2312" w:cs="Times New Roman"/>
          <w:sz w:val="32"/>
          <w:szCs w:val="32"/>
        </w:rPr>
        <w:t>（支付额/预算额度）×100%计算得出该项得分，共2.84分，扣0.16分。</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（2）支出规范性</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该指标主要考察项目预算资金的使用是否符合相关的预算财务管理制度的规定，是否符合相关规定的开支范围，以反映考核部门预算资金的规范运行和安全运行情况。该指标评价分值6分，得分6分，得分率100%。</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通过审核</w:t>
      </w:r>
      <w:r>
        <w:rPr>
          <w:rFonts w:hint="eastAsia" w:ascii="Times New Roman" w:hAnsi="Times New Roman" w:eastAsia="仿宋_GB2312" w:cs="Times New Roman"/>
          <w:sz w:val="32"/>
          <w:szCs w:val="32"/>
        </w:rPr>
        <w:t>资料发现，</w:t>
      </w:r>
      <w:r>
        <w:rPr>
          <w:rFonts w:hint="eastAsia" w:ascii="Times New Roman" w:hAnsi="Times New Roman" w:eastAsia="仿宋_GB2312" w:cs="Times New Roman"/>
          <w:sz w:val="32"/>
          <w:szCs w:val="32"/>
          <w:lang w:eastAsia="zh-CN"/>
        </w:rPr>
        <w:t>根据</w:t>
      </w:r>
      <w:r>
        <w:rPr>
          <w:rFonts w:hint="eastAsia" w:ascii="Times New Roman" w:hAnsi="Times New Roman" w:eastAsia="仿宋_GB2312" w:cs="Times New Roman"/>
          <w:sz w:val="32"/>
          <w:szCs w:val="32"/>
        </w:rPr>
        <w:t>《转来韶关市人民政府关于印发韶关市市属国有企业大额财政性资金管理暂行办法的通知》《市水投集团资金支付管理办法》</w:t>
      </w:r>
      <w:r>
        <w:rPr>
          <w:rFonts w:hint="eastAsia" w:ascii="Times New Roman" w:hAnsi="Times New Roman" w:eastAsia="仿宋_GB2312" w:cs="Times New Roman"/>
          <w:sz w:val="32"/>
          <w:szCs w:val="32"/>
          <w:lang w:eastAsia="zh-CN"/>
        </w:rPr>
        <w:t>，第三方</w:t>
      </w:r>
      <w:r>
        <w:rPr>
          <w:rFonts w:hint="eastAsia" w:ascii="Times New Roman" w:hAnsi="Times New Roman" w:eastAsia="仿宋_GB2312" w:cs="Times New Roman"/>
          <w:sz w:val="32"/>
          <w:szCs w:val="32"/>
        </w:rPr>
        <w:t>随机抽取“扩建西二水厂部分工程工程监理费”进行核查，发现该项支出具有记账凭证、业务回单、预算资金开支审批表、广东增值税普通发票、支付申请报告、工程款支付建议书等材料，各项手续完整、合规。因此该项不扣分。</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（3）实施程序</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该指标主要考察项目的实施是否符合相关的管理制度的规定，以反映考核项目的规范运行和安全运行情况。该指标评价分值5分，得分5分，得分率100%。经核查，</w:t>
      </w:r>
      <w:r>
        <w:rPr>
          <w:rFonts w:hint="eastAsia" w:ascii="Times New Roman" w:hAnsi="Times New Roman" w:eastAsia="仿宋_GB2312" w:cs="Times New Roman"/>
          <w:sz w:val="32"/>
          <w:szCs w:val="32"/>
          <w:lang w:eastAsia="zh-CN"/>
        </w:rPr>
        <w:t>南水工程各施工合同协议等</w:t>
      </w:r>
      <w:r>
        <w:rPr>
          <w:rFonts w:hint="eastAsia" w:ascii="Times New Roman" w:hAnsi="Times New Roman" w:eastAsia="仿宋_GB2312" w:cs="Times New Roman"/>
          <w:sz w:val="32"/>
          <w:szCs w:val="32"/>
          <w:lang w:val="en-US" w:eastAsia="zh-CN"/>
        </w:rPr>
        <w:t>资料归档完整、符合项目要求，且</w:t>
      </w:r>
      <w:r>
        <w:rPr>
          <w:rFonts w:hint="eastAsia" w:ascii="Times New Roman" w:hAnsi="Times New Roman" w:eastAsia="仿宋_GB2312" w:cs="Times New Roman"/>
          <w:sz w:val="32"/>
          <w:szCs w:val="32"/>
        </w:rPr>
        <w:t>通过发布纸质文件、挂网等方式进行了项目公示。因此不扣分。</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（4）管理情况</w:t>
      </w:r>
    </w:p>
    <w:p>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组织管理机构设立情况主要考核对项目管理相关组织机构的设立情况，用以反映和考核项目实施单位对项目质量的控制情况。该指标评价分值3分，得分3分，得分率100%。</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经核查，</w:t>
      </w: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项目成立有专门的领导小组</w:t>
      </w:r>
      <w:r>
        <w:rPr>
          <w:rFonts w:hint="eastAsia" w:ascii="Times New Roman" w:hAnsi="Times New Roman" w:eastAsia="仿宋_GB2312" w:cs="Times New Roman"/>
          <w:sz w:val="32"/>
          <w:szCs w:val="32"/>
          <w:lang w:eastAsia="zh-CN"/>
        </w:rPr>
        <w:t>印发了</w:t>
      </w:r>
      <w:r>
        <w:rPr>
          <w:rFonts w:hint="eastAsia" w:ascii="Times New Roman" w:hAnsi="Times New Roman" w:eastAsia="仿宋_GB2312" w:cs="Times New Roman"/>
          <w:sz w:val="32"/>
          <w:szCs w:val="32"/>
        </w:rPr>
        <w:t>《粤电水务公司关于调整南水水库供水工程融资工作领导小组的通知》</w:t>
      </w:r>
      <w:r>
        <w:rPr>
          <w:rFonts w:hint="eastAsia" w:ascii="Times New Roman" w:hAnsi="Times New Roman" w:eastAsia="仿宋_GB2312" w:cs="Times New Roman"/>
          <w:sz w:val="32"/>
          <w:szCs w:val="32"/>
          <w:lang w:eastAsia="zh-CN"/>
        </w:rPr>
        <w:t>，并形成了</w:t>
      </w:r>
      <w:r>
        <w:rPr>
          <w:rFonts w:hint="eastAsia" w:ascii="Times New Roman" w:hAnsi="Times New Roman" w:eastAsia="仿宋_GB2312" w:cs="Times New Roman"/>
          <w:sz w:val="32"/>
          <w:szCs w:val="32"/>
        </w:rPr>
        <w:t>《韶关市南水引水工程建设工作领导小组会议纪要〔2021〕1号》等领导小组文件，因此该项不扣分。</w:t>
      </w:r>
    </w:p>
    <w:p>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监管有效性主要考核</w:t>
      </w:r>
      <w:r>
        <w:rPr>
          <w:rFonts w:ascii="Times New Roman" w:hAnsi="Times New Roman" w:eastAsia="仿宋_GB2312" w:cs="Times New Roman"/>
          <w:sz w:val="32"/>
          <w:szCs w:val="32"/>
        </w:rPr>
        <w:t>项目是否为保障资金安全、规范运行而采取必要的监控措施，用以反映和考核项目资金运行的控制情况。</w:t>
      </w:r>
      <w:r>
        <w:rPr>
          <w:rFonts w:hint="eastAsia" w:ascii="Times New Roman" w:hAnsi="Times New Roman" w:eastAsia="仿宋_GB2312" w:cs="Times New Roman"/>
          <w:sz w:val="32"/>
          <w:szCs w:val="32"/>
        </w:rPr>
        <w:t>该指标评价分值3分，得分3分，得分率100%。</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经核查，</w:t>
      </w:r>
      <w:r>
        <w:rPr>
          <w:rFonts w:hint="eastAsia" w:ascii="Times New Roman" w:hAnsi="Times New Roman" w:eastAsia="仿宋_GB2312" w:cs="Times New Roman"/>
          <w:sz w:val="32"/>
          <w:szCs w:val="32"/>
          <w:lang w:eastAsia="zh-CN"/>
        </w:rPr>
        <w:t>市水务局</w:t>
      </w:r>
      <w:r>
        <w:rPr>
          <w:rFonts w:hint="eastAsia" w:ascii="Times New Roman" w:hAnsi="Times New Roman" w:eastAsia="仿宋_GB2312" w:cs="Times New Roman"/>
          <w:sz w:val="32"/>
          <w:szCs w:val="32"/>
        </w:rPr>
        <w:t>对项目采取了必要的监控机制、验收手段</w:t>
      </w:r>
      <w:r>
        <w:rPr>
          <w:rFonts w:hint="eastAsia" w:ascii="Times New Roman" w:hAnsi="Times New Roman" w:eastAsia="仿宋_GB2312" w:cs="Times New Roman"/>
          <w:sz w:val="32"/>
          <w:szCs w:val="32"/>
          <w:lang w:eastAsia="zh-CN"/>
        </w:rPr>
        <w:t>，印发了</w:t>
      </w:r>
      <w:r>
        <w:rPr>
          <w:rFonts w:hint="eastAsia" w:ascii="Times New Roman" w:hAnsi="Times New Roman" w:eastAsia="仿宋_GB2312" w:cs="Times New Roman"/>
          <w:sz w:val="32"/>
          <w:szCs w:val="32"/>
        </w:rPr>
        <w:t>《韶关市乳源瑶族自治县南水水库供水工程项目（原水管道部分）南水供水工程施工第Ⅱ标段》《关于印发〈南水水库供水工程（原水管道）建设管理制度汇编〉的通知》等文件。因此该项不扣分。</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3.产出</w:t>
      </w:r>
    </w:p>
    <w:p>
      <w:pPr>
        <w:spacing w:line="360" w:lineRule="auto"/>
        <w:ind w:firstLine="420" w:firstLineChars="200"/>
        <w:jc w:val="center"/>
      </w:pPr>
      <w:r>
        <w:drawing>
          <wp:inline distT="0" distB="0" distL="114300" distR="114300">
            <wp:extent cx="5203190" cy="3279140"/>
            <wp:effectExtent l="4445" t="4445" r="12065" b="1206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360" w:lineRule="auto"/>
        <w:jc w:val="center"/>
      </w:pPr>
      <w:r>
        <w:rPr>
          <w:rFonts w:hint="eastAsia" w:ascii="宋体" w:hAnsi="宋体" w:eastAsia="宋体" w:cs="宋体"/>
          <w:b/>
          <w:bCs/>
          <w:sz w:val="28"/>
          <w:szCs w:val="28"/>
        </w:rPr>
        <w:t>图3 产出－四级指标得分图</w:t>
      </w:r>
    </w:p>
    <w:p>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该指标主要考核项目实施过程的预算控制及产出情况，</w:t>
      </w:r>
      <w:r>
        <w:rPr>
          <w:rFonts w:hint="eastAsia" w:ascii="Times New Roman" w:hAnsi="Times New Roman" w:eastAsia="仿宋_GB2312" w:cs="Times New Roman"/>
          <w:sz w:val="32"/>
          <w:szCs w:val="32"/>
          <w:lang w:val="en-US" w:eastAsia="zh-CN"/>
        </w:rPr>
        <w:t>包括</w:t>
      </w:r>
      <w:r>
        <w:rPr>
          <w:rFonts w:hint="eastAsia" w:ascii="Times New Roman" w:hAnsi="Times New Roman" w:eastAsia="仿宋_GB2312" w:cs="Times New Roman"/>
          <w:sz w:val="32"/>
          <w:szCs w:val="32"/>
        </w:rPr>
        <w:t>2个二级指标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4个三级指标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11个四级指标。该项总分为30分，综合得分24.63分，得分率为82.10%。</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（1）预算控制</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成本控制率主要考核项目完成的成本控制情况。该指标分值3分，得分2分，得分率66.67%。根据《韶关市乳源瑶族自治县南水水库供水工程（原水管道部分）调整概算报告》，</w:t>
      </w:r>
      <w:r>
        <w:rPr>
          <w:rFonts w:hint="eastAsia" w:ascii="Times New Roman" w:hAnsi="Times New Roman" w:eastAsia="仿宋_GB2312" w:cs="Times New Roman"/>
          <w:sz w:val="32"/>
          <w:szCs w:val="32"/>
          <w:lang w:eastAsia="zh-CN"/>
        </w:rPr>
        <w:t>该项目</w:t>
      </w:r>
      <w:r>
        <w:rPr>
          <w:rFonts w:hint="eastAsia" w:ascii="Times New Roman" w:hAnsi="Times New Roman" w:eastAsia="仿宋_GB2312" w:cs="Times New Roman"/>
          <w:sz w:val="32"/>
          <w:szCs w:val="32"/>
        </w:rPr>
        <w:t>于2021年修订了项目概算，减少了工程总投资金额，侧面说明此前的概算存在成本控制空间。因此酌情扣1分。</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成本节约考核完成项目计划工作目标的实际节约成本与计划成本的比率，用以反映和考核项目的成本节约程度。该指标分值2分，得分1.63分，得分率81.5%。经概算调整，该项目预算金额由151,652.68万元减少为148,866.45万元，成本节约率为1.84%，根据公式计算得出，该指标得分1.63分，扣0.37分。</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（2）产出数量</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该指标主要考核项目的工程建设用地规模、输水管道建设情况、新水厂供水情况。该指标分值10分，得分9分。得分率90%。</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截止</w:t>
      </w:r>
      <w:r>
        <w:rPr>
          <w:rFonts w:hint="eastAsia" w:ascii="Times New Roman" w:hAnsi="Times New Roman" w:eastAsia="仿宋_GB2312" w:cs="Times New Roman"/>
          <w:sz w:val="32"/>
          <w:szCs w:val="32"/>
        </w:rPr>
        <w:t>至2021年12月31日，该项目一共建成输水管道约38.1公里，年均日供水量可达26.98万吨。自2021年6月18日正式通水运行至2021年12月31日，</w:t>
      </w:r>
      <w:r>
        <w:rPr>
          <w:rFonts w:hint="eastAsia" w:ascii="Times New Roman" w:hAnsi="Times New Roman" w:eastAsia="仿宋_GB2312" w:cs="Times New Roman"/>
          <w:sz w:val="32"/>
          <w:szCs w:val="32"/>
          <w:lang w:val="en-US" w:eastAsia="zh-CN"/>
        </w:rPr>
        <w:t>西河二水厂稳定供水，</w:t>
      </w:r>
      <w:r>
        <w:rPr>
          <w:rFonts w:hint="eastAsia" w:ascii="Times New Roman" w:hAnsi="Times New Roman" w:eastAsia="仿宋_GB2312" w:cs="Times New Roman"/>
          <w:sz w:val="32"/>
          <w:szCs w:val="32"/>
        </w:rPr>
        <w:t>不曾断供。</w:t>
      </w:r>
      <w:r>
        <w:rPr>
          <w:rFonts w:hint="eastAsia" w:ascii="Times New Roman" w:hAnsi="Times New Roman" w:eastAsia="仿宋_GB2312" w:cs="Times New Roman"/>
          <w:sz w:val="32"/>
          <w:szCs w:val="32"/>
          <w:lang w:val="en-US" w:eastAsia="zh-CN"/>
        </w:rPr>
        <w:t>此外，评价小组</w:t>
      </w:r>
      <w:r>
        <w:rPr>
          <w:rFonts w:hint="eastAsia" w:ascii="Times New Roman" w:hAnsi="Times New Roman" w:eastAsia="仿宋_GB2312" w:cs="Times New Roman"/>
          <w:sz w:val="32"/>
          <w:szCs w:val="32"/>
        </w:rPr>
        <w:t>未</w:t>
      </w:r>
      <w:r>
        <w:rPr>
          <w:rFonts w:hint="eastAsia" w:ascii="Times New Roman" w:hAnsi="Times New Roman" w:eastAsia="仿宋_GB2312" w:cs="Times New Roman"/>
          <w:sz w:val="32"/>
          <w:szCs w:val="32"/>
          <w:lang w:val="en-US" w:eastAsia="zh-CN"/>
        </w:rPr>
        <w:t>于部门提供的资料中</w:t>
      </w:r>
      <w:r>
        <w:rPr>
          <w:rFonts w:hint="eastAsia" w:ascii="Times New Roman" w:hAnsi="Times New Roman" w:eastAsia="仿宋_GB2312" w:cs="Times New Roman"/>
          <w:sz w:val="32"/>
          <w:szCs w:val="32"/>
        </w:rPr>
        <w:t>见工程建设用地规模佐证材料，因此扣1分。2021年度供水详情见图4。</w:t>
      </w:r>
    </w:p>
    <w:p>
      <w:pPr>
        <w:spacing w:line="360" w:lineRule="auto"/>
        <w:ind w:firstLine="420" w:firstLineChars="200"/>
        <w:jc w:val="center"/>
        <w:rPr>
          <w:rFonts w:ascii="Times New Roman" w:hAnsi="Times New Roman" w:eastAsia="仿宋_GB2312" w:cs="Times New Roman"/>
          <w:sz w:val="32"/>
          <w:szCs w:val="32"/>
        </w:rPr>
      </w:pPr>
      <w:r>
        <w:drawing>
          <wp:inline distT="0" distB="0" distL="114300" distR="114300">
            <wp:extent cx="5575935" cy="4156710"/>
            <wp:effectExtent l="4445" t="5080" r="20320" b="10160"/>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360" w:lineRule="auto"/>
        <w:jc w:val="center"/>
        <w:rPr>
          <w:rFonts w:ascii="宋体" w:hAnsi="宋体" w:eastAsia="宋体" w:cs="宋体"/>
          <w:b/>
          <w:bCs/>
          <w:sz w:val="28"/>
          <w:szCs w:val="28"/>
        </w:rPr>
      </w:pPr>
      <w:r>
        <w:rPr>
          <w:rFonts w:hint="eastAsia" w:ascii="宋体" w:hAnsi="宋体" w:eastAsia="宋体" w:cs="宋体"/>
          <w:szCs w:val="21"/>
        </w:rPr>
        <w:t>数据来源：《广东粤海韶投水务有限责任公司月度运行数据表》</w:t>
      </w:r>
    </w:p>
    <w:p>
      <w:pPr>
        <w:spacing w:line="360" w:lineRule="auto"/>
        <w:ind w:firstLine="562" w:firstLineChars="200"/>
        <w:jc w:val="center"/>
        <w:rPr>
          <w:rFonts w:ascii="Times New Roman" w:hAnsi="Times New Roman" w:eastAsia="仿宋_GB2312" w:cs="Times New Roman"/>
          <w:sz w:val="32"/>
          <w:szCs w:val="32"/>
        </w:rPr>
      </w:pPr>
      <w:r>
        <w:rPr>
          <w:rFonts w:hint="eastAsia" w:ascii="宋体" w:hAnsi="宋体" w:eastAsia="宋体" w:cs="宋体"/>
          <w:b/>
          <w:bCs/>
          <w:sz w:val="28"/>
          <w:szCs w:val="28"/>
        </w:rPr>
        <w:t>图4 2021年供水量</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（3）产出质量</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该指标主要考核工程的验收、供水水质达标情况。该指标评价分值10分，得分10分，得分率100%。</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根据《分部（子分部）工程质量验收记录》《建筑消防设施监测报告》《单位工程验收鉴定书》等验收报告，</w:t>
      </w: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项目的工程验收合格率为100%。根据水质监测报告，该项目的水质符合《地表水环境质量标准》（GB 3838-2002）Ⅱ类水标准，自来水符合《生活饮用水卫生标准》（GB 5749-2006）的规定。因此该项不扣分。</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（4）产出时效</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该指标主要考核开工建设及时性以及工程的完成情况。该指标评价分值5分，得分2分，得分率40%。</w:t>
      </w:r>
    </w:p>
    <w:p>
      <w:pPr>
        <w:spacing w:line="360" w:lineRule="auto"/>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根据项目各标段补充协议与工程验收鉴定书，</w:t>
      </w: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原水管道部分）的主体工程于2021年3月30日完工，项目的土建及安装施工合同第I标段原定于2021年4月30日完工，实际于2021年5月23日完工，第II标段原定于2021年3月31日完工，实际于2021年4月24日完工，第Ⅲ标段原定于2021年4月30日完工，实际于2021年5月28日完工，第IV标段原定于2021年4月30日完工，实际于2021年5月30日完工，第V标段原定于2021年4月30日完工，</w:t>
      </w:r>
      <w:r>
        <w:rPr>
          <w:rFonts w:hint="eastAsia" w:ascii="Times New Roman" w:hAnsi="Times New Roman" w:eastAsia="仿宋_GB2312" w:cs="Times New Roman"/>
          <w:sz w:val="32"/>
          <w:szCs w:val="32"/>
          <w:lang w:val="en-US" w:eastAsia="zh-CN"/>
        </w:rPr>
        <w:t>但</w:t>
      </w:r>
      <w:r>
        <w:rPr>
          <w:rFonts w:hint="eastAsia" w:ascii="Times New Roman" w:hAnsi="Times New Roman" w:eastAsia="仿宋_GB2312" w:cs="Times New Roman"/>
          <w:sz w:val="32"/>
          <w:szCs w:val="32"/>
        </w:rPr>
        <w:t>佐证材料中未见完工时间，</w:t>
      </w:r>
      <w:r>
        <w:rPr>
          <w:rFonts w:hint="eastAsia" w:ascii="Times New Roman" w:hAnsi="Times New Roman" w:eastAsia="仿宋_GB2312" w:cs="Times New Roman"/>
          <w:sz w:val="32"/>
          <w:szCs w:val="32"/>
          <w:lang w:val="en-US" w:eastAsia="zh-CN"/>
        </w:rPr>
        <w:t>仅见</w:t>
      </w:r>
      <w:r>
        <w:rPr>
          <w:rFonts w:hint="eastAsia" w:ascii="Times New Roman" w:hAnsi="Times New Roman" w:eastAsia="仿宋_GB2312" w:cs="Times New Roman"/>
          <w:sz w:val="32"/>
          <w:szCs w:val="32"/>
        </w:rPr>
        <w:t>验收时间为2022年1月17日。</w:t>
      </w: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（扩建西河二水厂部分工程）原定于2021年7月前完工，实际于2021年6月完成主体工程建设，但暂未完成后续的工程结算、验收手续。因此酌情扣3分。</w:t>
      </w:r>
      <w:r>
        <w:rPr>
          <w:rFonts w:hint="eastAsia" w:ascii="Times New Roman" w:hAnsi="Times New Roman" w:eastAsia="仿宋_GB2312" w:cs="Times New Roman"/>
          <w:sz w:val="32"/>
          <w:szCs w:val="32"/>
          <w:lang w:val="en-US" w:eastAsia="zh-CN"/>
        </w:rPr>
        <w:t>完工时间对比见表5。</w:t>
      </w:r>
    </w:p>
    <w:p>
      <w:pPr>
        <w:spacing w:line="360" w:lineRule="auto"/>
        <w:jc w:val="cente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表5 完工时间对比表</w:t>
      </w:r>
    </w:p>
    <w:tbl>
      <w:tblPr>
        <w:tblStyle w:val="19"/>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1500"/>
        <w:gridCol w:w="2175"/>
        <w:gridCol w:w="2040"/>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29" w:type="dxa"/>
            <w:gridSpan w:val="2"/>
          </w:tcPr>
          <w:p>
            <w:pPr>
              <w:spacing w:line="360"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工程</w:t>
            </w:r>
          </w:p>
        </w:tc>
        <w:tc>
          <w:tcPr>
            <w:tcW w:w="2175" w:type="dxa"/>
          </w:tcPr>
          <w:p>
            <w:pPr>
              <w:spacing w:line="360"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原定完工时间</w:t>
            </w:r>
          </w:p>
        </w:tc>
        <w:tc>
          <w:tcPr>
            <w:tcW w:w="2040" w:type="dxa"/>
          </w:tcPr>
          <w:p>
            <w:pPr>
              <w:spacing w:line="360"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实际完工时间</w:t>
            </w:r>
          </w:p>
        </w:tc>
        <w:tc>
          <w:tcPr>
            <w:tcW w:w="1326" w:type="dxa"/>
          </w:tcPr>
          <w:p>
            <w:pPr>
              <w:spacing w:line="360"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延误时长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9" w:type="dxa"/>
            <w:vMerge w:val="restar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原水管道部分</w:t>
            </w:r>
          </w:p>
        </w:tc>
        <w:tc>
          <w:tcPr>
            <w:tcW w:w="1500" w:type="dxa"/>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rPr>
              <w:t>第I标段</w:t>
            </w:r>
          </w:p>
        </w:tc>
        <w:tc>
          <w:tcPr>
            <w:tcW w:w="2175" w:type="dxa"/>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rPr>
              <w:t>2021年4月30日</w:t>
            </w:r>
          </w:p>
        </w:tc>
        <w:tc>
          <w:tcPr>
            <w:tcW w:w="2040" w:type="dxa"/>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rPr>
              <w:t>2021年5月23日</w:t>
            </w:r>
          </w:p>
        </w:tc>
        <w:tc>
          <w:tcPr>
            <w:tcW w:w="1326" w:type="dxa"/>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9" w:type="dxa"/>
            <w:vMerge w:val="continue"/>
            <w:vAlign w:val="center"/>
          </w:tcPr>
          <w:p>
            <w:pPr>
              <w:spacing w:line="360" w:lineRule="auto"/>
              <w:jc w:val="center"/>
              <w:rPr>
                <w:rFonts w:hint="eastAsia" w:ascii="宋体" w:hAnsi="宋体" w:eastAsia="宋体" w:cs="宋体"/>
                <w:szCs w:val="21"/>
              </w:rPr>
            </w:pPr>
          </w:p>
        </w:tc>
        <w:tc>
          <w:tcPr>
            <w:tcW w:w="1500" w:type="dxa"/>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rPr>
              <w:t>第II标段</w:t>
            </w:r>
          </w:p>
        </w:tc>
        <w:tc>
          <w:tcPr>
            <w:tcW w:w="2175" w:type="dxa"/>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rPr>
              <w:t>2021年3月31日</w:t>
            </w:r>
          </w:p>
        </w:tc>
        <w:tc>
          <w:tcPr>
            <w:tcW w:w="2040" w:type="dxa"/>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rPr>
              <w:t>2021年4月24日</w:t>
            </w:r>
          </w:p>
        </w:tc>
        <w:tc>
          <w:tcPr>
            <w:tcW w:w="1326" w:type="dxa"/>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9" w:type="dxa"/>
            <w:vMerge w:val="continue"/>
            <w:vAlign w:val="center"/>
          </w:tcPr>
          <w:p>
            <w:pPr>
              <w:spacing w:line="360" w:lineRule="auto"/>
              <w:jc w:val="center"/>
              <w:rPr>
                <w:rFonts w:hint="eastAsia" w:ascii="宋体" w:hAnsi="宋体" w:eastAsia="宋体" w:cs="宋体"/>
                <w:szCs w:val="21"/>
              </w:rPr>
            </w:pPr>
          </w:p>
        </w:tc>
        <w:tc>
          <w:tcPr>
            <w:tcW w:w="1500" w:type="dxa"/>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rPr>
              <w:t>第Ⅲ标段</w:t>
            </w:r>
          </w:p>
        </w:tc>
        <w:tc>
          <w:tcPr>
            <w:tcW w:w="2175" w:type="dxa"/>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rPr>
              <w:t>2021年4月30日</w:t>
            </w:r>
          </w:p>
        </w:tc>
        <w:tc>
          <w:tcPr>
            <w:tcW w:w="2040" w:type="dxa"/>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rPr>
              <w:t>2021年5月28日</w:t>
            </w:r>
          </w:p>
        </w:tc>
        <w:tc>
          <w:tcPr>
            <w:tcW w:w="1326" w:type="dxa"/>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9" w:type="dxa"/>
            <w:vMerge w:val="continue"/>
            <w:vAlign w:val="center"/>
          </w:tcPr>
          <w:p>
            <w:pPr>
              <w:spacing w:line="360" w:lineRule="auto"/>
              <w:jc w:val="center"/>
              <w:rPr>
                <w:rFonts w:hint="eastAsia" w:ascii="宋体" w:hAnsi="宋体" w:eastAsia="宋体" w:cs="宋体"/>
                <w:szCs w:val="21"/>
              </w:rPr>
            </w:pPr>
          </w:p>
        </w:tc>
        <w:tc>
          <w:tcPr>
            <w:tcW w:w="1500" w:type="dxa"/>
          </w:tcPr>
          <w:p>
            <w:pPr>
              <w:spacing w:line="360" w:lineRule="auto"/>
              <w:jc w:val="center"/>
              <w:rPr>
                <w:rFonts w:hint="eastAsia" w:ascii="宋体" w:hAnsi="宋体" w:eastAsia="宋体" w:cs="宋体"/>
                <w:szCs w:val="21"/>
              </w:rPr>
            </w:pPr>
            <w:r>
              <w:rPr>
                <w:rFonts w:hint="eastAsia" w:ascii="宋体" w:hAnsi="宋体" w:eastAsia="宋体" w:cs="宋体"/>
                <w:szCs w:val="21"/>
              </w:rPr>
              <w:t>第V标段</w:t>
            </w:r>
          </w:p>
        </w:tc>
        <w:tc>
          <w:tcPr>
            <w:tcW w:w="2175" w:type="dxa"/>
          </w:tcPr>
          <w:p>
            <w:pPr>
              <w:spacing w:line="360" w:lineRule="auto"/>
              <w:jc w:val="center"/>
              <w:rPr>
                <w:rFonts w:hint="eastAsia" w:ascii="宋体" w:hAnsi="宋体" w:eastAsia="宋体" w:cs="宋体"/>
                <w:szCs w:val="21"/>
              </w:rPr>
            </w:pPr>
            <w:r>
              <w:rPr>
                <w:rFonts w:hint="eastAsia" w:ascii="宋体" w:hAnsi="宋体" w:eastAsia="宋体" w:cs="宋体"/>
                <w:szCs w:val="21"/>
              </w:rPr>
              <w:t>2021年4月30日</w:t>
            </w:r>
          </w:p>
        </w:tc>
        <w:tc>
          <w:tcPr>
            <w:tcW w:w="2040" w:type="dxa"/>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val="en-US" w:eastAsia="zh-CN"/>
              </w:rPr>
              <w:t>-</w:t>
            </w:r>
          </w:p>
        </w:tc>
        <w:tc>
          <w:tcPr>
            <w:tcW w:w="1326" w:type="dxa"/>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9"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扩建西河二水厂部分</w:t>
            </w:r>
          </w:p>
        </w:tc>
        <w:tc>
          <w:tcPr>
            <w:tcW w:w="1500"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主体工程</w:t>
            </w:r>
          </w:p>
        </w:tc>
        <w:tc>
          <w:tcPr>
            <w:tcW w:w="2175"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2021年7月</w:t>
            </w:r>
          </w:p>
        </w:tc>
        <w:tc>
          <w:tcPr>
            <w:tcW w:w="2040"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rPr>
              <w:t>2021年6月</w:t>
            </w:r>
          </w:p>
        </w:tc>
        <w:tc>
          <w:tcPr>
            <w:tcW w:w="1326"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w:t>
            </w:r>
          </w:p>
        </w:tc>
      </w:tr>
    </w:tbl>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4.效益</w:t>
      </w:r>
    </w:p>
    <w:p>
      <w:pPr>
        <w:spacing w:line="360" w:lineRule="auto"/>
        <w:ind w:firstLine="420" w:firstLineChars="200"/>
        <w:jc w:val="center"/>
        <w:rPr>
          <w:rFonts w:ascii="Times New Roman" w:hAnsi="Times New Roman" w:eastAsia="仿宋_GB2312" w:cs="Times New Roman"/>
          <w:sz w:val="32"/>
          <w:szCs w:val="32"/>
        </w:rPr>
      </w:pPr>
      <w:r>
        <w:drawing>
          <wp:inline distT="0" distB="0" distL="114300" distR="114300">
            <wp:extent cx="4958715" cy="3238500"/>
            <wp:effectExtent l="4445" t="4445" r="8890"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360" w:lineRule="auto"/>
        <w:jc w:val="center"/>
        <w:rPr>
          <w:rFonts w:ascii="Times New Roman" w:hAnsi="Times New Roman" w:eastAsia="仿宋_GB2312" w:cs="Times New Roman"/>
          <w:sz w:val="32"/>
          <w:szCs w:val="32"/>
        </w:rPr>
      </w:pPr>
      <w:r>
        <w:rPr>
          <w:rFonts w:hint="eastAsia" w:ascii="宋体" w:hAnsi="宋体" w:eastAsia="宋体" w:cs="宋体"/>
          <w:b/>
          <w:bCs/>
          <w:sz w:val="28"/>
          <w:szCs w:val="28"/>
        </w:rPr>
        <w:t>图5 效益－四级指标得分图</w:t>
      </w:r>
    </w:p>
    <w:p>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该指标主要考察项目建设完成后所产出的社会效益、生态效益、可持续发展等效益的情况以及民众对该项目的满意度，包括2个二级指标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5个三级指标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10个四级指标。该项总分30分，综合得分18分，得分率60%。</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（1）经济效益</w:t>
      </w:r>
    </w:p>
    <w:p>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该指标主要考核供水单位的用电成本下降情况。该指标分值3分，得分1分，得分率为33.33%。</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实地考察及座谈发现，</w:t>
      </w:r>
      <w:r>
        <w:rPr>
          <w:rFonts w:hint="eastAsia" w:ascii="Times New Roman" w:hAnsi="Times New Roman" w:eastAsia="仿宋_GB2312" w:cs="Times New Roman"/>
          <w:sz w:val="32"/>
          <w:szCs w:val="32"/>
        </w:rPr>
        <w:t>该项目仅于工程建设过程中产生部分电耗，后续供水</w:t>
      </w:r>
      <w:r>
        <w:rPr>
          <w:rFonts w:hint="eastAsia" w:ascii="Times New Roman" w:hAnsi="Times New Roman" w:eastAsia="仿宋_GB2312" w:cs="Times New Roman"/>
          <w:sz w:val="32"/>
          <w:szCs w:val="32"/>
          <w:lang w:val="en-US" w:eastAsia="zh-CN"/>
        </w:rPr>
        <w:t>因重力作用</w:t>
      </w:r>
      <w:r>
        <w:rPr>
          <w:rFonts w:hint="eastAsia" w:ascii="Times New Roman" w:hAnsi="Times New Roman" w:eastAsia="仿宋_GB2312" w:cs="Times New Roman"/>
          <w:sz w:val="32"/>
          <w:szCs w:val="32"/>
        </w:rPr>
        <w:t>，几乎不产生电耗。经核查，仅于项目概算节能设计文件中见供水单位的用电能耗阐述，</w:t>
      </w:r>
      <w:r>
        <w:rPr>
          <w:rFonts w:hint="eastAsia" w:ascii="Times New Roman" w:hAnsi="Times New Roman" w:eastAsia="仿宋_GB2312" w:cs="Times New Roman"/>
          <w:sz w:val="32"/>
          <w:szCs w:val="32"/>
          <w:lang w:val="en-US" w:eastAsia="zh-CN"/>
        </w:rPr>
        <w:t>但</w:t>
      </w:r>
      <w:r>
        <w:rPr>
          <w:rFonts w:hint="eastAsia" w:ascii="Times New Roman" w:hAnsi="Times New Roman" w:eastAsia="仿宋_GB2312" w:cs="Times New Roman"/>
          <w:sz w:val="32"/>
          <w:szCs w:val="32"/>
        </w:rPr>
        <w:t>未见项目建成后的供水单位综合电耗相关材料，因此扣2分。</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（2）社会效益</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该指标主要考核该项目的供水量满足居民需求的程度、项目建成后的水质对比情况、供水保证率情况，以反映项目的建设是否提高了居民的生活品质。该指标分值9分，得分7分，得分率为77.78%。</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抽查新水厂通过前后供水水质检测报告，发现2021年12月供水pH值为7.4，2021年1月供水pH值为7.6，项目建后水质pH值有所下降，更靠近中性值，侧面说明居民饮用水水质提高。</w:t>
      </w:r>
      <w:r>
        <w:rPr>
          <w:rFonts w:hint="eastAsia" w:ascii="Times New Roman" w:hAnsi="Times New Roman" w:eastAsia="仿宋_GB2312" w:cs="Times New Roman"/>
          <w:sz w:val="32"/>
          <w:szCs w:val="32"/>
          <w:lang w:val="en-US" w:eastAsia="zh-CN"/>
        </w:rPr>
        <w:t>根据</w:t>
      </w:r>
      <w:r>
        <w:rPr>
          <w:rFonts w:hint="eastAsia" w:ascii="Times New Roman" w:hAnsi="Times New Roman" w:eastAsia="仿宋_GB2312" w:cs="Times New Roman"/>
          <w:sz w:val="32"/>
          <w:szCs w:val="32"/>
        </w:rPr>
        <w:t>《广东粤海韶投水务有限责任公司月度运行数据表》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该项目2021年度的供水保证率可达100%，但未见居民供水稳定情况的前后对比材料，因此扣2分。</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（3）环境效益</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该指标主要考核工程对环境的影响、对废弃物的处理情况。该指标分值8分，得分1分，得分率为12.5%。</w:t>
      </w:r>
      <w:r>
        <w:rPr>
          <w:rFonts w:hint="eastAsia" w:ascii="Times New Roman" w:hAnsi="Times New Roman" w:eastAsia="仿宋_GB2312" w:cs="Times New Roman"/>
          <w:sz w:val="32"/>
          <w:szCs w:val="32"/>
          <w:lang w:val="en-US" w:eastAsia="zh-CN"/>
        </w:rPr>
        <w:t>实地考察发现，</w:t>
      </w:r>
      <w:r>
        <w:rPr>
          <w:rFonts w:hint="eastAsia" w:ascii="Times New Roman" w:hAnsi="Times New Roman" w:eastAsia="仿宋_GB2312" w:cs="Times New Roman"/>
          <w:sz w:val="32"/>
          <w:szCs w:val="32"/>
        </w:rPr>
        <w:t>目前该项目正在陆续进行项目完工后的土地复垦工作，</w:t>
      </w:r>
      <w:r>
        <w:rPr>
          <w:rFonts w:hint="eastAsia" w:ascii="Times New Roman" w:hAnsi="Times New Roman" w:eastAsia="仿宋_GB2312" w:cs="Times New Roman"/>
          <w:sz w:val="32"/>
          <w:szCs w:val="32"/>
          <w:lang w:val="en-US" w:eastAsia="zh-CN"/>
        </w:rPr>
        <w:t>但因</w:t>
      </w:r>
      <w:r>
        <w:rPr>
          <w:rFonts w:hint="eastAsia" w:ascii="Times New Roman" w:hAnsi="Times New Roman" w:eastAsia="仿宋_GB2312" w:cs="Times New Roman"/>
          <w:sz w:val="32"/>
          <w:szCs w:val="32"/>
        </w:rPr>
        <w:t>未见</w:t>
      </w:r>
      <w:r>
        <w:rPr>
          <w:rFonts w:hint="eastAsia" w:ascii="Times New Roman" w:hAnsi="Times New Roman" w:eastAsia="仿宋_GB2312" w:cs="Times New Roman"/>
          <w:sz w:val="32"/>
          <w:szCs w:val="32"/>
          <w:lang w:val="en-US" w:eastAsia="zh-CN"/>
        </w:rPr>
        <w:t>相关</w:t>
      </w:r>
      <w:r>
        <w:rPr>
          <w:rFonts w:hint="eastAsia" w:ascii="Times New Roman" w:hAnsi="Times New Roman" w:eastAsia="仿宋_GB2312" w:cs="Times New Roman"/>
          <w:sz w:val="32"/>
          <w:szCs w:val="32"/>
        </w:rPr>
        <w:t>佐证材料，扣7分。</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（4）可持续发展</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该指标主要考核项目建成后的在线水质监测、运营管理、后续工程扩建情况。该指标分值7分，得分6分，得分率85.71%。经核查，该项目新建有水质监测化验室，且明确了化验室的管理制度，可进行在线水质监测。项目的后续运营将移交给西河二水厂进行管理。但未见项目二次供水设施结构的相关材料，因此扣1分。</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（5）满意度</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该指标主要考察群众对于水库供水的满意度情况。该指标评价分值3分，得分3分，得分率100%。经核查，韶关民生网、韶关发布、南方Plus等</w:t>
      </w:r>
      <w:r>
        <w:rPr>
          <w:rFonts w:hint="eastAsia" w:ascii="Times New Roman" w:hAnsi="Times New Roman" w:eastAsia="仿宋_GB2312" w:cs="Times New Roman"/>
          <w:sz w:val="32"/>
          <w:szCs w:val="32"/>
          <w:lang w:eastAsia="zh-CN"/>
        </w:rPr>
        <w:t>多家</w:t>
      </w:r>
      <w:r>
        <w:rPr>
          <w:rFonts w:hint="eastAsia" w:ascii="Times New Roman" w:hAnsi="Times New Roman" w:eastAsia="仿宋_GB2312" w:cs="Times New Roman"/>
          <w:sz w:val="32"/>
          <w:szCs w:val="32"/>
        </w:rPr>
        <w:t>媒体</w:t>
      </w:r>
      <w:r>
        <w:rPr>
          <w:rFonts w:hint="eastAsia" w:ascii="Times New Roman" w:hAnsi="Times New Roman" w:eastAsia="仿宋_GB2312" w:cs="Times New Roman"/>
          <w:sz w:val="32"/>
          <w:szCs w:val="32"/>
          <w:lang w:eastAsia="zh-CN"/>
        </w:rPr>
        <w:t>关注及</w:t>
      </w:r>
      <w:r>
        <w:rPr>
          <w:rFonts w:hint="eastAsia" w:ascii="Times New Roman" w:hAnsi="Times New Roman" w:eastAsia="仿宋_GB2312" w:cs="Times New Roman"/>
          <w:sz w:val="32"/>
          <w:szCs w:val="32"/>
        </w:rPr>
        <w:t>报道</w:t>
      </w:r>
      <w:r>
        <w:rPr>
          <w:rFonts w:hint="eastAsia" w:ascii="Times New Roman" w:hAnsi="Times New Roman" w:eastAsia="仿宋_GB2312" w:cs="Times New Roman"/>
          <w:sz w:val="32"/>
          <w:szCs w:val="32"/>
          <w:lang w:eastAsia="zh-CN"/>
        </w:rPr>
        <w:t>南水工程情况</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不少市民反映该工程</w:t>
      </w:r>
      <w:r>
        <w:rPr>
          <w:rFonts w:hint="eastAsia" w:ascii="Times New Roman" w:hAnsi="Times New Roman" w:eastAsia="仿宋_GB2312" w:cs="Times New Roman"/>
          <w:sz w:val="32"/>
          <w:szCs w:val="32"/>
        </w:rPr>
        <w:t>保障了130万人的饮用水安全</w:t>
      </w:r>
      <w:r>
        <w:rPr>
          <w:rFonts w:hint="eastAsia" w:ascii="Times New Roman" w:hAnsi="Times New Roman" w:eastAsia="仿宋_GB2312" w:cs="Times New Roman"/>
          <w:sz w:val="32"/>
          <w:szCs w:val="32"/>
          <w:lang w:eastAsia="zh-CN"/>
        </w:rPr>
        <w:t>，提高了韶关市区饮用水质量</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受到</w:t>
      </w:r>
      <w:r>
        <w:rPr>
          <w:rFonts w:hint="eastAsia" w:ascii="Times New Roman" w:hAnsi="Times New Roman" w:eastAsia="仿宋_GB2312" w:cs="Times New Roman"/>
          <w:sz w:val="32"/>
          <w:szCs w:val="32"/>
        </w:rPr>
        <w:t>广泛</w:t>
      </w:r>
      <w:r>
        <w:rPr>
          <w:rFonts w:hint="eastAsia" w:ascii="Times New Roman" w:hAnsi="Times New Roman" w:eastAsia="仿宋_GB2312" w:cs="Times New Roman"/>
          <w:sz w:val="32"/>
          <w:szCs w:val="32"/>
          <w:lang w:eastAsia="zh-CN"/>
        </w:rPr>
        <w:t>的认可</w:t>
      </w:r>
      <w:r>
        <w:rPr>
          <w:rFonts w:hint="eastAsia" w:ascii="Times New Roman" w:hAnsi="Times New Roman" w:eastAsia="仿宋_GB2312" w:cs="Times New Roman"/>
          <w:sz w:val="32"/>
          <w:szCs w:val="32"/>
        </w:rPr>
        <w:t>。因此不扣分。</w:t>
      </w:r>
    </w:p>
    <w:p>
      <w:pPr>
        <w:spacing w:line="360" w:lineRule="auto"/>
        <w:ind w:firstLine="640" w:firstLineChars="200"/>
        <w:outlineLvl w:val="0"/>
        <w:rPr>
          <w:rFonts w:ascii="黑体" w:hAnsi="黑体" w:eastAsia="黑体" w:cs="黑体"/>
          <w:sz w:val="32"/>
          <w:szCs w:val="32"/>
        </w:rPr>
      </w:pPr>
      <w:bookmarkStart w:id="26" w:name="_Toc14615"/>
      <w:bookmarkStart w:id="27" w:name="_Toc13966"/>
      <w:r>
        <w:rPr>
          <w:rFonts w:hint="eastAsia" w:ascii="黑体" w:hAnsi="黑体" w:eastAsia="黑体" w:cs="黑体"/>
          <w:sz w:val="32"/>
          <w:szCs w:val="32"/>
        </w:rPr>
        <w:t>三、评价结论</w:t>
      </w:r>
      <w:bookmarkEnd w:id="26"/>
      <w:bookmarkEnd w:id="27"/>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通过分析被评价单位提供的相关资料、管理办法、项目合同等，结合资料评审、专家评审、现场核实等情况，经综合评定，</w:t>
      </w: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项目绩效评价得分为</w:t>
      </w:r>
      <w:r>
        <w:rPr>
          <w:rFonts w:hint="eastAsia" w:ascii="Times New Roman" w:hAnsi="Times New Roman" w:eastAsia="仿宋_GB2312" w:cs="Times New Roman"/>
          <w:b/>
          <w:bCs/>
          <w:sz w:val="32"/>
          <w:szCs w:val="32"/>
        </w:rPr>
        <w:t>7</w:t>
      </w:r>
      <w:r>
        <w:rPr>
          <w:rFonts w:hint="eastAsia" w:ascii="Times New Roman" w:hAnsi="Times New Roman" w:eastAsia="仿宋_GB2312" w:cs="Times New Roman"/>
          <w:b/>
          <w:bCs/>
          <w:sz w:val="32"/>
          <w:szCs w:val="32"/>
          <w:lang w:val="en-US" w:eastAsia="zh-CN"/>
        </w:rPr>
        <w:t>8</w:t>
      </w:r>
      <w:r>
        <w:rPr>
          <w:rFonts w:hint="eastAsia" w:ascii="Times New Roman" w:hAnsi="Times New Roman" w:eastAsia="仿宋_GB2312" w:cs="Times New Roman"/>
          <w:b/>
          <w:bCs/>
          <w:sz w:val="32"/>
          <w:szCs w:val="32"/>
        </w:rPr>
        <w:t>.47</w:t>
      </w:r>
      <w:r>
        <w:rPr>
          <w:rFonts w:hint="eastAsia" w:ascii="Times New Roman" w:hAnsi="Times New Roman" w:eastAsia="仿宋_GB2312" w:cs="Times New Roman"/>
          <w:sz w:val="32"/>
          <w:szCs w:val="32"/>
        </w:rPr>
        <w:t>分，评价等级为“</w:t>
      </w:r>
      <w:r>
        <w:rPr>
          <w:rFonts w:hint="eastAsia" w:ascii="Times New Roman" w:hAnsi="Times New Roman" w:eastAsia="仿宋_GB2312" w:cs="Times New Roman"/>
          <w:b/>
          <w:bCs/>
          <w:sz w:val="32"/>
          <w:szCs w:val="32"/>
        </w:rPr>
        <w:t>中</w:t>
      </w:r>
      <w:r>
        <w:rPr>
          <w:rFonts w:hint="eastAsia" w:ascii="Times New Roman" w:hAnsi="Times New Roman" w:eastAsia="仿宋_GB2312" w:cs="Times New Roman"/>
          <w:sz w:val="32"/>
          <w:szCs w:val="32"/>
        </w:rPr>
        <w:t>”。一级指标具体得分见图</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w:t>
      </w:r>
    </w:p>
    <w:p>
      <w:pPr>
        <w:spacing w:line="360" w:lineRule="auto"/>
        <w:ind w:firstLine="420" w:firstLineChars="200"/>
        <w:jc w:val="center"/>
        <w:rPr>
          <w:rFonts w:ascii="Times New Roman" w:hAnsi="Times New Roman" w:eastAsia="仿宋_GB2312" w:cs="Times New Roman"/>
          <w:sz w:val="32"/>
          <w:szCs w:val="32"/>
        </w:rPr>
      </w:pPr>
      <w:r>
        <w:drawing>
          <wp:inline distT="0" distB="0" distL="114300" distR="114300">
            <wp:extent cx="5047615" cy="3245485"/>
            <wp:effectExtent l="5080" t="4445" r="14605" b="762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360" w:lineRule="auto"/>
        <w:ind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图6 一级指标得分情况</w:t>
      </w:r>
    </w:p>
    <w:p>
      <w:pPr>
        <w:spacing w:line="360" w:lineRule="auto"/>
        <w:ind w:firstLine="562" w:firstLineChars="200"/>
        <w:jc w:val="center"/>
        <w:rPr>
          <w:rFonts w:hint="eastAsia" w:ascii="宋体" w:hAnsi="宋体" w:eastAsia="宋体" w:cs="宋体"/>
          <w:b/>
          <w:bCs/>
          <w:sz w:val="28"/>
          <w:szCs w:val="28"/>
        </w:rPr>
      </w:pPr>
    </w:p>
    <w:p>
      <w:pPr>
        <w:spacing w:line="360" w:lineRule="auto"/>
        <w:ind w:firstLine="640" w:firstLineChars="200"/>
        <w:outlineLvl w:val="0"/>
        <w:rPr>
          <w:rFonts w:ascii="黑体" w:hAnsi="黑体" w:eastAsia="黑体" w:cs="黑体"/>
          <w:sz w:val="32"/>
          <w:szCs w:val="32"/>
        </w:rPr>
      </w:pPr>
      <w:bookmarkStart w:id="28" w:name="_Toc14808"/>
      <w:bookmarkStart w:id="29" w:name="_Toc21753"/>
      <w:r>
        <w:rPr>
          <w:rFonts w:hint="eastAsia" w:ascii="黑体" w:hAnsi="黑体" w:eastAsia="黑体" w:cs="黑体"/>
          <w:sz w:val="32"/>
          <w:szCs w:val="32"/>
        </w:rPr>
        <w:t>四、主要绩效</w:t>
      </w:r>
      <w:bookmarkEnd w:id="28"/>
      <w:bookmarkEnd w:id="29"/>
    </w:p>
    <w:p>
      <w:pPr>
        <w:spacing w:line="360" w:lineRule="auto"/>
        <w:ind w:firstLine="640" w:firstLineChars="200"/>
        <w:outlineLvl w:val="1"/>
      </w:pPr>
      <w:bookmarkStart w:id="30" w:name="_Toc5877"/>
      <w:bookmarkStart w:id="31" w:name="_Toc24731"/>
      <w:r>
        <w:rPr>
          <w:rFonts w:hint="eastAsia" w:ascii="楷体_GB2312" w:hAnsi="楷体_GB2312" w:eastAsia="楷体_GB2312" w:cs="楷体_GB2312"/>
          <w:sz w:val="32"/>
          <w:szCs w:val="32"/>
        </w:rPr>
        <w:t>（一）保障饮水安全，惠及韶关人民。</w:t>
      </w:r>
      <w:bookmarkEnd w:id="30"/>
      <w:bookmarkEnd w:id="31"/>
    </w:p>
    <w:p>
      <w:pPr>
        <w:spacing w:line="360" w:lineRule="auto"/>
        <w:ind w:firstLine="640" w:firstLineChars="200"/>
      </w:pPr>
      <w:r>
        <w:rPr>
          <w:rFonts w:hint="eastAsia" w:ascii="Times New Roman" w:hAnsi="Times New Roman" w:eastAsia="仿宋_GB2312" w:cs="Times New Roman"/>
          <w:sz w:val="32"/>
          <w:szCs w:val="32"/>
        </w:rPr>
        <w:t>截止至2021年12月31日，</w:t>
      </w: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项目一共建成输水管道约38.1公里，扩建有西河二水厂。自2021年6月18日正式通水以来，该项目的取水量得到扩大，每年可达10,911万立方米；年均日供水量得到扩大，已达26.98万吨；水质得到提升，已达Ⅱ类水标准。在实际运行中，该项目可保证韶关市老城区、芙蓉新区、重大项目及周边农村130万人民的全年供水不间断，有效解决了韶关市区水源单一的问题。后续二期项目完成后，该项目的日供水量预计可达67.4万吨。项目建成以来，众多媒体对该工程进行了宣传报道，人民群众也表现出较高的满意度。</w:t>
      </w:r>
    </w:p>
    <w:p>
      <w:pPr>
        <w:spacing w:line="360" w:lineRule="auto"/>
        <w:ind w:firstLine="640" w:firstLineChars="200"/>
        <w:outlineLvl w:val="1"/>
        <w:rPr>
          <w:rFonts w:ascii="楷体_GB2312" w:hAnsi="楷体_GB2312" w:eastAsia="楷体_GB2312" w:cs="楷体_GB2312"/>
          <w:sz w:val="32"/>
          <w:szCs w:val="32"/>
        </w:rPr>
      </w:pPr>
      <w:bookmarkStart w:id="32" w:name="_Toc23563"/>
      <w:bookmarkStart w:id="33" w:name="_Toc9764"/>
      <w:r>
        <w:rPr>
          <w:rFonts w:hint="eastAsia" w:ascii="楷体_GB2312" w:hAnsi="楷体_GB2312" w:eastAsia="楷体_GB2312" w:cs="楷体_GB2312"/>
          <w:sz w:val="32"/>
          <w:szCs w:val="32"/>
        </w:rPr>
        <w:t>（二）坚持攻坚克难，进行技术创新。</w:t>
      </w:r>
      <w:bookmarkEnd w:id="32"/>
      <w:bookmarkEnd w:id="33"/>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项目的施工地点位于山上，地形狭窄，地质复杂，施工难度大，施工单位在项目实施过程中不断攻坚克难，并进行了不少创新工作。</w:t>
      </w:r>
      <w:r>
        <w:rPr>
          <w:rFonts w:hint="eastAsia" w:ascii="Times New Roman" w:hAnsi="Times New Roman" w:eastAsia="仿宋_GB2312" w:cs="Times New Roman"/>
          <w:b/>
          <w:bCs/>
          <w:sz w:val="32"/>
          <w:szCs w:val="32"/>
        </w:rPr>
        <w:t>一是</w:t>
      </w:r>
      <w:r>
        <w:rPr>
          <w:rFonts w:hint="eastAsia" w:ascii="Times New Roman" w:hAnsi="Times New Roman" w:eastAsia="仿宋_GB2312" w:cs="Times New Roman"/>
          <w:sz w:val="32"/>
          <w:szCs w:val="32"/>
        </w:rPr>
        <w:t>在新建的水厂增设有在线检测水质的中控室和水质化验室，保证了居民的饮用水安全；</w:t>
      </w:r>
      <w:r>
        <w:rPr>
          <w:rFonts w:hint="eastAsia" w:ascii="Times New Roman" w:hAnsi="Times New Roman" w:eastAsia="仿宋_GB2312" w:cs="Times New Roman"/>
          <w:b/>
          <w:bCs/>
          <w:sz w:val="32"/>
          <w:szCs w:val="32"/>
        </w:rPr>
        <w:t>二是</w:t>
      </w:r>
      <w:r>
        <w:rPr>
          <w:rFonts w:hint="eastAsia" w:ascii="Times New Roman" w:hAnsi="Times New Roman" w:eastAsia="仿宋_GB2312" w:cs="Times New Roman"/>
          <w:sz w:val="32"/>
          <w:szCs w:val="32"/>
        </w:rPr>
        <w:t>在项目建设过程中，进行了滤池的创新设计，减少了施工成本，提高了建设质量；</w:t>
      </w:r>
      <w:r>
        <w:rPr>
          <w:rFonts w:hint="eastAsia" w:ascii="Times New Roman" w:hAnsi="Times New Roman" w:eastAsia="仿宋_GB2312" w:cs="Times New Roman"/>
          <w:b/>
          <w:bCs/>
          <w:sz w:val="32"/>
          <w:szCs w:val="32"/>
        </w:rPr>
        <w:t>三是</w:t>
      </w:r>
      <w:r>
        <w:rPr>
          <w:rFonts w:hint="eastAsia" w:ascii="Times New Roman" w:hAnsi="Times New Roman" w:eastAsia="仿宋_GB2312" w:cs="Times New Roman"/>
          <w:sz w:val="32"/>
          <w:szCs w:val="32"/>
        </w:rPr>
        <w:t>发明了新型无粘结钢管外包混凝土的组合结构，减少了高压输水时水管开裂变形的风险，提高了工程的安全性；</w:t>
      </w:r>
      <w:r>
        <w:rPr>
          <w:rFonts w:hint="eastAsia" w:ascii="Times New Roman" w:hAnsi="Times New Roman" w:eastAsia="仿宋_GB2312" w:cs="Times New Roman"/>
          <w:b/>
          <w:bCs/>
          <w:sz w:val="32"/>
          <w:szCs w:val="32"/>
        </w:rPr>
        <w:t>四是</w:t>
      </w:r>
      <w:r>
        <w:rPr>
          <w:rFonts w:hint="eastAsia" w:ascii="Times New Roman" w:hAnsi="Times New Roman" w:eastAsia="仿宋_GB2312" w:cs="Times New Roman"/>
          <w:sz w:val="32"/>
          <w:szCs w:val="32"/>
        </w:rPr>
        <w:t>铺设有国内第二大高压、省内第一大高压的长距离、大管径输水管道项目，为同类型输水管道建设提供建设参考。</w:t>
      </w:r>
    </w:p>
    <w:p>
      <w:pPr>
        <w:spacing w:line="360" w:lineRule="auto"/>
        <w:ind w:firstLine="640" w:firstLineChars="200"/>
        <w:outlineLvl w:val="1"/>
        <w:rPr>
          <w:rFonts w:ascii="楷体_GB2312" w:hAnsi="楷体_GB2312" w:eastAsia="楷体_GB2312" w:cs="楷体_GB2312"/>
          <w:sz w:val="32"/>
          <w:szCs w:val="32"/>
        </w:rPr>
      </w:pPr>
      <w:bookmarkStart w:id="34" w:name="_Toc18397"/>
      <w:bookmarkStart w:id="35" w:name="_Toc1280"/>
      <w:r>
        <w:rPr>
          <w:rFonts w:hint="eastAsia" w:ascii="楷体_GB2312" w:hAnsi="楷体_GB2312" w:eastAsia="楷体_GB2312" w:cs="楷体_GB2312"/>
          <w:sz w:val="32"/>
          <w:szCs w:val="32"/>
        </w:rPr>
        <w:t>（三）节约项目成本，减轻财政负担。</w:t>
      </w:r>
      <w:bookmarkEnd w:id="34"/>
      <w:bookmarkEnd w:id="35"/>
    </w:p>
    <w:p>
      <w:pPr>
        <w:ind w:firstLine="640" w:firstLineChars="200"/>
        <w:rPr>
          <w:rFonts w:ascii="黑体" w:hAnsi="黑体" w:eastAsia="黑体" w:cs="黑体"/>
          <w:sz w:val="32"/>
          <w:szCs w:val="32"/>
        </w:rPr>
      </w:pP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项目立项支出申请的初步概算为15.17亿元，在工程实施的过程中，为节约项目成本，施工单位进行了初次调概，经批复，调概后的项目预算金额为14.88亿元，节约了0.29亿元。后在实际的工程建设中，经第三方咨询机构的审核意见，施工单位根据实际情况再次申请了调概，调概后的预算金额为13.79亿元，较初次调概节约了1.09亿元，较最初的概算节约了1.38亿元，减轻了财政负担。</w:t>
      </w:r>
    </w:p>
    <w:p>
      <w:pPr>
        <w:spacing w:line="360" w:lineRule="auto"/>
        <w:ind w:firstLine="640" w:firstLineChars="200"/>
        <w:outlineLvl w:val="0"/>
      </w:pPr>
      <w:bookmarkStart w:id="36" w:name="_Toc819"/>
      <w:bookmarkStart w:id="37" w:name="_Toc32411"/>
      <w:r>
        <w:rPr>
          <w:rFonts w:hint="eastAsia" w:ascii="黑体" w:hAnsi="黑体" w:eastAsia="黑体" w:cs="黑体"/>
          <w:sz w:val="32"/>
          <w:szCs w:val="32"/>
        </w:rPr>
        <w:t>五、存在问题</w:t>
      </w:r>
      <w:bookmarkEnd w:id="36"/>
      <w:bookmarkEnd w:id="37"/>
    </w:p>
    <w:p>
      <w:pPr>
        <w:spacing w:line="360" w:lineRule="auto"/>
        <w:ind w:firstLine="640" w:firstLineChars="200"/>
        <w:outlineLvl w:val="1"/>
        <w:rPr>
          <w:rFonts w:ascii="楷体_GB2312" w:hAnsi="楷体_GB2312" w:eastAsia="楷体_GB2312" w:cs="楷体_GB2312"/>
          <w:sz w:val="32"/>
          <w:szCs w:val="32"/>
        </w:rPr>
      </w:pPr>
      <w:bookmarkStart w:id="38" w:name="_Toc31928"/>
      <w:bookmarkStart w:id="39" w:name="_Toc10613"/>
      <w:bookmarkStart w:id="40" w:name="_Toc1418"/>
      <w:bookmarkStart w:id="41" w:name="_Toc23105"/>
      <w:bookmarkStart w:id="42" w:name="_Toc14012"/>
      <w:bookmarkStart w:id="43" w:name="_Toc21767"/>
      <w:r>
        <w:rPr>
          <w:rFonts w:hint="eastAsia" w:ascii="楷体_GB2312" w:hAnsi="楷体_GB2312" w:eastAsia="楷体_GB2312" w:cs="楷体_GB2312"/>
          <w:sz w:val="32"/>
          <w:szCs w:val="32"/>
        </w:rPr>
        <w:t>（一）设计深度不足，工程变更频繁。</w:t>
      </w:r>
      <w:bookmarkEnd w:id="38"/>
      <w:bookmarkEnd w:id="39"/>
    </w:p>
    <w:p>
      <w:pPr>
        <w:spacing w:line="360" w:lineRule="auto"/>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核查发现，</w:t>
      </w:r>
      <w:r>
        <w:rPr>
          <w:rFonts w:hint="eastAsia" w:ascii="Times New Roman" w:hAnsi="Times New Roman" w:eastAsia="仿宋_GB2312" w:cs="Times New Roman"/>
          <w:sz w:val="32"/>
          <w:szCs w:val="32"/>
          <w:lang w:eastAsia="zh-CN"/>
        </w:rPr>
        <w:t>南水工程的</w:t>
      </w:r>
      <w:r>
        <w:rPr>
          <w:rFonts w:hint="eastAsia" w:ascii="Times New Roman" w:hAnsi="Times New Roman" w:eastAsia="仿宋_GB2312" w:cs="Times New Roman"/>
          <w:sz w:val="32"/>
          <w:szCs w:val="32"/>
          <w:lang w:val="en-US" w:eastAsia="zh-CN"/>
        </w:rPr>
        <w:t>主体工程建设自2013年调研始至2021年终，共跨越八年，自2017年开工建设至2021年主体工程完成终，共跨越5年。项目总体时间跨度大，</w:t>
      </w:r>
      <w:r>
        <w:rPr>
          <w:rFonts w:hint="eastAsia" w:ascii="Times New Roman" w:hAnsi="Times New Roman" w:eastAsia="仿宋_GB2312" w:cs="Times New Roman"/>
          <w:sz w:val="32"/>
          <w:szCs w:val="32"/>
        </w:rPr>
        <w:t>变更较为频繁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例如，工程因建设单位股权变更于2019年12月11日暂停施工，于2020年10月10日全面复工。</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此外，该</w:t>
      </w:r>
      <w:r>
        <w:rPr>
          <w:rFonts w:hint="eastAsia" w:ascii="Times New Roman" w:hAnsi="Times New Roman" w:eastAsia="仿宋_GB2312" w:cs="Times New Roman"/>
          <w:sz w:val="32"/>
          <w:szCs w:val="32"/>
        </w:rPr>
        <w:t>项目</w:t>
      </w:r>
      <w:r>
        <w:rPr>
          <w:rFonts w:hint="eastAsia" w:ascii="Times New Roman" w:hAnsi="Times New Roman" w:eastAsia="仿宋_GB2312" w:cs="Times New Roman"/>
          <w:sz w:val="32"/>
          <w:szCs w:val="32"/>
          <w:lang w:val="en-US" w:eastAsia="zh-CN"/>
        </w:rPr>
        <w:t>在</w:t>
      </w:r>
      <w:r>
        <w:rPr>
          <w:rFonts w:hint="eastAsia" w:ascii="Times New Roman" w:hAnsi="Times New Roman" w:eastAsia="仿宋_GB2312" w:cs="Times New Roman"/>
          <w:sz w:val="32"/>
          <w:szCs w:val="32"/>
        </w:rPr>
        <w:t>建设之初</w:t>
      </w:r>
      <w:r>
        <w:rPr>
          <w:rFonts w:hint="eastAsia" w:ascii="Times New Roman" w:hAnsi="Times New Roman" w:eastAsia="仿宋_GB2312" w:cs="Times New Roman"/>
          <w:sz w:val="32"/>
          <w:szCs w:val="32"/>
          <w:lang w:val="en-US" w:eastAsia="zh-CN"/>
        </w:rPr>
        <w:t>存在</w:t>
      </w:r>
      <w:r>
        <w:rPr>
          <w:rFonts w:hint="eastAsia" w:ascii="Times New Roman" w:hAnsi="Times New Roman" w:eastAsia="仿宋_GB2312" w:cs="Times New Roman"/>
          <w:sz w:val="32"/>
          <w:szCs w:val="32"/>
        </w:rPr>
        <w:t>设计深度不足</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lang w:val="en-US" w:eastAsia="zh-CN"/>
        </w:rPr>
        <w:t>问题</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项目组</w:t>
      </w:r>
      <w:r>
        <w:rPr>
          <w:rFonts w:hint="eastAsia" w:ascii="Times New Roman" w:hAnsi="Times New Roman" w:eastAsia="仿宋_GB2312" w:cs="Times New Roman"/>
          <w:sz w:val="32"/>
          <w:szCs w:val="32"/>
        </w:rPr>
        <w:t>对重大风险源如高边坡、深基坑作业面、顶管掘进作业面等的安全评估、技术评估不足，过程管理欠缺，以致后期造成停工核查、工程造价核查、多次调整项目设计、转交施工单位的现象。</w:t>
      </w:r>
    </w:p>
    <w:p>
      <w:pPr>
        <w:spacing w:line="360" w:lineRule="auto"/>
        <w:ind w:firstLine="640" w:firstLineChars="200"/>
        <w:outlineLvl w:val="1"/>
        <w:rPr>
          <w:rFonts w:ascii="楷体_GB2312" w:hAnsi="楷体_GB2312" w:eastAsia="楷体_GB2312" w:cs="楷体_GB2312"/>
          <w:sz w:val="32"/>
          <w:szCs w:val="32"/>
        </w:rPr>
      </w:pPr>
      <w:bookmarkStart w:id="44" w:name="_Toc9858"/>
      <w:bookmarkStart w:id="45" w:name="_Toc17048"/>
      <w:r>
        <w:rPr>
          <w:rFonts w:hint="eastAsia" w:ascii="楷体_GB2312" w:hAnsi="楷体_GB2312" w:eastAsia="楷体_GB2312" w:cs="楷体_GB2312"/>
          <w:sz w:val="32"/>
          <w:szCs w:val="32"/>
        </w:rPr>
        <w:t>（二）项目进度缓慢，</w:t>
      </w:r>
      <w:bookmarkEnd w:id="40"/>
      <w:bookmarkEnd w:id="41"/>
      <w:bookmarkEnd w:id="42"/>
      <w:bookmarkEnd w:id="43"/>
      <w:r>
        <w:rPr>
          <w:rFonts w:hint="eastAsia" w:ascii="楷体_GB2312" w:hAnsi="楷体_GB2312" w:eastAsia="楷体_GB2312" w:cs="楷体_GB2312"/>
          <w:sz w:val="32"/>
          <w:szCs w:val="32"/>
        </w:rPr>
        <w:t>时间安排不足。</w:t>
      </w:r>
      <w:bookmarkEnd w:id="44"/>
      <w:bookmarkEnd w:id="45"/>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核查发现，</w:t>
      </w: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项目存在工期中断、建设时间段、完工结算时间长的现象，进度安排不够合理。例如，</w:t>
      </w: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原水管道部分）土建及安装施工合同第I标段原定于2021年4月30日完工，实际于2021年5月23日完工，第II标段原定于2021年3月31日完工，实际于2021年4月24日完工。截至评价基准日（2021年12月31日），该项目已完成各部分主体工程的建设且顺利通水运行，但建设期间仍存在“白加黑、5加2”的赶工模式，侧面说明工程的进度安排不够合理。</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究其原因：</w:t>
      </w:r>
      <w:r>
        <w:rPr>
          <w:rFonts w:hint="eastAsia" w:ascii="Times New Roman" w:hAnsi="Times New Roman" w:eastAsia="仿宋_GB2312" w:cs="Times New Roman"/>
          <w:b/>
          <w:bCs/>
          <w:sz w:val="32"/>
          <w:szCs w:val="32"/>
        </w:rPr>
        <w:t>一是</w:t>
      </w:r>
      <w:r>
        <w:rPr>
          <w:rFonts w:hint="eastAsia" w:ascii="Times New Roman" w:hAnsi="Times New Roman" w:eastAsia="仿宋_GB2312" w:cs="Times New Roman"/>
          <w:sz w:val="32"/>
          <w:szCs w:val="32"/>
        </w:rPr>
        <w:t>该项目工程量大，涉及地形地质复杂，客观存在较大建设难度；</w:t>
      </w:r>
      <w:r>
        <w:rPr>
          <w:rFonts w:hint="eastAsia" w:ascii="Times New Roman" w:hAnsi="Times New Roman" w:eastAsia="仿宋_GB2312" w:cs="Times New Roman"/>
          <w:b/>
          <w:bCs/>
          <w:sz w:val="32"/>
          <w:szCs w:val="32"/>
        </w:rPr>
        <w:t>二是</w:t>
      </w:r>
      <w:r>
        <w:rPr>
          <w:rFonts w:hint="eastAsia" w:ascii="Times New Roman" w:hAnsi="Times New Roman" w:eastAsia="仿宋_GB2312" w:cs="Times New Roman"/>
          <w:sz w:val="32"/>
          <w:szCs w:val="32"/>
        </w:rPr>
        <w:t>项目变更频繁，存在较长的停工时间；</w:t>
      </w:r>
      <w:r>
        <w:rPr>
          <w:rFonts w:hint="eastAsia" w:ascii="Times New Roman" w:hAnsi="Times New Roman" w:eastAsia="仿宋_GB2312" w:cs="Times New Roman"/>
          <w:b/>
          <w:bCs/>
          <w:sz w:val="32"/>
          <w:szCs w:val="32"/>
        </w:rPr>
        <w:t>三是</w:t>
      </w:r>
      <w:r>
        <w:rPr>
          <w:rFonts w:hint="eastAsia" w:ascii="Times New Roman" w:hAnsi="Times New Roman" w:eastAsia="仿宋_GB2312" w:cs="Times New Roman"/>
          <w:sz w:val="32"/>
          <w:szCs w:val="32"/>
        </w:rPr>
        <w:t>项目建设期间梅雨天气较多，地上积水较多，受自然因素影响，难有长时间的建设条件；</w:t>
      </w:r>
      <w:r>
        <w:rPr>
          <w:rFonts w:hint="eastAsia" w:ascii="Times New Roman" w:hAnsi="Times New Roman" w:eastAsia="仿宋_GB2312" w:cs="Times New Roman"/>
          <w:b/>
          <w:bCs/>
          <w:sz w:val="32"/>
          <w:szCs w:val="32"/>
        </w:rPr>
        <w:t>四是</w:t>
      </w:r>
      <w:r>
        <w:rPr>
          <w:rFonts w:hint="eastAsia" w:ascii="Times New Roman" w:hAnsi="Times New Roman" w:eastAsia="仿宋_GB2312" w:cs="Times New Roman"/>
          <w:sz w:val="32"/>
          <w:szCs w:val="32"/>
        </w:rPr>
        <w:t>项目进行了较多工艺改进，占用了一定时间；</w:t>
      </w:r>
      <w:r>
        <w:rPr>
          <w:rFonts w:hint="eastAsia" w:ascii="Times New Roman" w:hAnsi="Times New Roman" w:eastAsia="仿宋_GB2312" w:cs="Times New Roman"/>
          <w:b/>
          <w:bCs/>
          <w:sz w:val="32"/>
          <w:szCs w:val="32"/>
        </w:rPr>
        <w:t>五是</w:t>
      </w:r>
      <w:r>
        <w:rPr>
          <w:rFonts w:hint="eastAsia" w:ascii="Times New Roman" w:hAnsi="Times New Roman" w:eastAsia="仿宋_GB2312" w:cs="Times New Roman"/>
          <w:sz w:val="32"/>
          <w:szCs w:val="32"/>
        </w:rPr>
        <w:t>在竣工验收阶段，项目进行了部分改进修补；</w:t>
      </w:r>
      <w:r>
        <w:rPr>
          <w:rFonts w:hint="eastAsia" w:ascii="Times New Roman" w:hAnsi="Times New Roman" w:eastAsia="仿宋_GB2312" w:cs="Times New Roman"/>
          <w:b/>
          <w:bCs/>
          <w:sz w:val="32"/>
          <w:szCs w:val="32"/>
        </w:rPr>
        <w:t>六是</w:t>
      </w:r>
      <w:r>
        <w:rPr>
          <w:rFonts w:hint="eastAsia" w:ascii="Times New Roman" w:hAnsi="Times New Roman" w:eastAsia="仿宋_GB2312" w:cs="Times New Roman"/>
          <w:sz w:val="32"/>
          <w:szCs w:val="32"/>
        </w:rPr>
        <w:t>工程结算手续复杂，时间较长。这些主客观原因都导致了工程完工的延后。</w:t>
      </w:r>
    </w:p>
    <w:p>
      <w:pPr>
        <w:spacing w:line="360" w:lineRule="auto"/>
        <w:ind w:firstLine="640" w:firstLineChars="200"/>
        <w:outlineLvl w:val="1"/>
        <w:rPr>
          <w:rFonts w:ascii="楷体_GB2312" w:hAnsi="楷体_GB2312" w:eastAsia="楷体_GB2312" w:cs="楷体_GB2312"/>
          <w:sz w:val="32"/>
          <w:szCs w:val="32"/>
        </w:rPr>
      </w:pPr>
      <w:bookmarkStart w:id="46" w:name="_Toc19975"/>
      <w:bookmarkStart w:id="47" w:name="_Toc21834"/>
      <w:r>
        <w:rPr>
          <w:rFonts w:hint="eastAsia" w:ascii="楷体_GB2312" w:hAnsi="楷体_GB2312" w:eastAsia="楷体_GB2312" w:cs="楷体_GB2312"/>
          <w:sz w:val="32"/>
          <w:szCs w:val="32"/>
        </w:rPr>
        <w:t>（三）污染处理欠缺，环境效益不足。</w:t>
      </w:r>
      <w:bookmarkEnd w:id="46"/>
      <w:bookmarkEnd w:id="47"/>
    </w:p>
    <w:p>
      <w:pPr>
        <w:ind w:firstLine="640" w:firstLineChars="200"/>
      </w:pP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项目的正式建设横跨了2017至2022五年时间，项目建设过程涉及土壤开采、绿地破坏、工程废弃污染物堆积等现象，不可避免地对周围的生态环境造成一定的负面影响。项目建设后期涉及土壤回填、绿地复垦、废弃污染物处理等工作，但在被评价单位所提供的材料中，未见相关废弃污染物处理的材料，该项目的环境效益相对不足。</w:t>
      </w:r>
    </w:p>
    <w:p>
      <w:pPr>
        <w:pStyle w:val="4"/>
        <w:spacing w:after="0" w:line="360" w:lineRule="auto"/>
        <w:ind w:firstLine="640" w:firstLineChars="200"/>
        <w:outlineLvl w:val="0"/>
        <w:rPr>
          <w:rFonts w:hint="eastAsia" w:ascii="黑体" w:hAnsi="黑体" w:eastAsia="黑体" w:cs="黑体"/>
          <w:sz w:val="32"/>
          <w:szCs w:val="32"/>
          <w:lang w:eastAsia="zh-CN"/>
        </w:rPr>
      </w:pPr>
      <w:bookmarkStart w:id="48" w:name="_Toc28923"/>
      <w:bookmarkStart w:id="49" w:name="_Toc16719"/>
      <w:r>
        <w:rPr>
          <w:rFonts w:hint="eastAsia" w:ascii="黑体" w:hAnsi="黑体" w:eastAsia="黑体" w:cs="黑体"/>
          <w:sz w:val="32"/>
          <w:szCs w:val="32"/>
        </w:rPr>
        <w:t>六、</w:t>
      </w:r>
      <w:bookmarkStart w:id="50" w:name="_Toc25459"/>
      <w:r>
        <w:rPr>
          <w:rFonts w:hint="eastAsia" w:ascii="黑体" w:hAnsi="黑体" w:eastAsia="黑体" w:cs="黑体"/>
          <w:sz w:val="32"/>
          <w:szCs w:val="32"/>
        </w:rPr>
        <w:t>对策或建议</w:t>
      </w:r>
      <w:bookmarkEnd w:id="48"/>
      <w:bookmarkEnd w:id="49"/>
      <w:bookmarkEnd w:id="50"/>
    </w:p>
    <w:p>
      <w:pPr>
        <w:spacing w:line="360" w:lineRule="auto"/>
        <w:ind w:firstLine="640" w:firstLineChars="200"/>
        <w:outlineLvl w:val="1"/>
        <w:rPr>
          <w:rFonts w:ascii="楷体_GB2312" w:hAnsi="楷体_GB2312" w:eastAsia="楷体_GB2312" w:cs="楷体_GB2312"/>
          <w:sz w:val="32"/>
          <w:szCs w:val="32"/>
        </w:rPr>
      </w:pPr>
      <w:bookmarkStart w:id="51" w:name="_Toc5540"/>
      <w:bookmarkStart w:id="52" w:name="_Toc25349"/>
      <w:r>
        <w:rPr>
          <w:rFonts w:hint="eastAsia" w:ascii="楷体_GB2312" w:hAnsi="楷体_GB2312" w:eastAsia="楷体_GB2312" w:cs="楷体_GB2312"/>
          <w:sz w:val="32"/>
          <w:szCs w:val="32"/>
        </w:rPr>
        <w:t>（一）加强项目设计，增强过程管理。</w:t>
      </w:r>
      <w:bookmarkEnd w:id="51"/>
      <w:bookmarkEnd w:id="52"/>
    </w:p>
    <w:p>
      <w:pPr>
        <w:spacing w:line="360" w:lineRule="auto"/>
        <w:ind w:firstLine="643"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rPr>
        <w:t>一是</w:t>
      </w:r>
      <w:r>
        <w:rPr>
          <w:rFonts w:hint="eastAsia" w:ascii="Times New Roman" w:hAnsi="Times New Roman" w:eastAsia="仿宋_GB2312" w:cs="Times New Roman"/>
          <w:sz w:val="32"/>
          <w:szCs w:val="32"/>
        </w:rPr>
        <w:t>实事求是，</w:t>
      </w:r>
      <w:r>
        <w:rPr>
          <w:rFonts w:hint="eastAsia" w:ascii="Times New Roman" w:hAnsi="Times New Roman" w:eastAsia="仿宋_GB2312" w:cs="Times New Roman"/>
          <w:sz w:val="32"/>
          <w:szCs w:val="32"/>
          <w:lang w:val="en-US" w:eastAsia="zh-CN"/>
        </w:rPr>
        <w:t>选用专业的人员进行</w:t>
      </w:r>
      <w:r>
        <w:rPr>
          <w:rFonts w:hint="eastAsia" w:ascii="Times New Roman" w:hAnsi="Times New Roman" w:eastAsia="仿宋_GB2312" w:cs="Times New Roman"/>
          <w:sz w:val="32"/>
          <w:szCs w:val="32"/>
        </w:rPr>
        <w:t>项目之初</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rPr>
        <w:t>调研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通过专家论证、问卷调查、实地勘察等方式加强调研的深度和有效性，</w:t>
      </w:r>
      <w:r>
        <w:rPr>
          <w:rFonts w:hint="eastAsia" w:ascii="Times New Roman" w:hAnsi="Times New Roman" w:eastAsia="仿宋_GB2312" w:cs="Times New Roman"/>
          <w:sz w:val="32"/>
          <w:szCs w:val="32"/>
        </w:rPr>
        <w:t>明确项目需求与目的，深化项目设计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对项目的施工单位、施工范围、施工环境等进行深入分析，介绍后续因施工单位方面的问题造成工程变更的几率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同时根据实际情况确立项目的施工时间，以免因工程跨越年限长导致已有的调研结论失效，从而出现进行二次调研、二次调概等的现象；</w:t>
      </w:r>
    </w:p>
    <w:p>
      <w:pPr>
        <w:spacing w:line="360" w:lineRule="auto"/>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二是</w:t>
      </w:r>
      <w:r>
        <w:rPr>
          <w:rFonts w:hint="eastAsia" w:ascii="Times New Roman" w:hAnsi="Times New Roman" w:eastAsia="仿宋_GB2312" w:cs="Times New Roman"/>
          <w:sz w:val="32"/>
          <w:szCs w:val="32"/>
        </w:rPr>
        <w:t>加强对水利工程类项目的风险评估，</w:t>
      </w:r>
      <w:r>
        <w:rPr>
          <w:rFonts w:hint="eastAsia" w:ascii="Times New Roman" w:hAnsi="Times New Roman" w:eastAsia="仿宋_GB2312" w:cs="Times New Roman"/>
          <w:sz w:val="32"/>
          <w:szCs w:val="32"/>
          <w:lang w:val="en-US" w:eastAsia="zh-CN"/>
        </w:rPr>
        <w:t>对施工时间延长、停工复工、自然灾害影响等问题进行发生可能性及概率评估，</w:t>
      </w:r>
      <w:r>
        <w:rPr>
          <w:rFonts w:hint="eastAsia" w:ascii="Times New Roman" w:hAnsi="Times New Roman" w:eastAsia="仿宋_GB2312" w:cs="Times New Roman"/>
          <w:sz w:val="32"/>
          <w:szCs w:val="32"/>
        </w:rPr>
        <w:t>加强紧急预案设计</w:t>
      </w:r>
      <w:r>
        <w:rPr>
          <w:rFonts w:hint="eastAsia" w:ascii="Times New Roman" w:hAnsi="Times New Roman" w:eastAsia="仿宋_GB2312" w:cs="Times New Roman"/>
          <w:sz w:val="32"/>
          <w:szCs w:val="32"/>
          <w:lang w:val="en-US" w:eastAsia="zh-CN"/>
        </w:rPr>
        <w:t>并成立专门的应急管理小组</w:t>
      </w:r>
      <w:r>
        <w:rPr>
          <w:rFonts w:hint="eastAsia" w:ascii="Times New Roman" w:hAnsi="Times New Roman" w:eastAsia="仿宋_GB2312" w:cs="Times New Roman"/>
          <w:sz w:val="32"/>
          <w:szCs w:val="32"/>
        </w:rPr>
        <w:t>，居安思危；</w:t>
      </w:r>
    </w:p>
    <w:p>
      <w:pPr>
        <w:spacing w:line="360" w:lineRule="auto"/>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三是</w:t>
      </w:r>
      <w:r>
        <w:rPr>
          <w:rFonts w:hint="eastAsia" w:ascii="Times New Roman" w:hAnsi="Times New Roman" w:eastAsia="仿宋_GB2312" w:cs="Times New Roman"/>
          <w:sz w:val="32"/>
          <w:szCs w:val="32"/>
        </w:rPr>
        <w:t>增强市场调研能力，</w:t>
      </w:r>
      <w:r>
        <w:rPr>
          <w:rFonts w:hint="eastAsia" w:ascii="Times New Roman" w:hAnsi="Times New Roman" w:eastAsia="仿宋_GB2312" w:cs="Times New Roman"/>
          <w:sz w:val="32"/>
          <w:szCs w:val="32"/>
          <w:lang w:val="en-US" w:eastAsia="zh-CN"/>
        </w:rPr>
        <w:t>通过选用工作质量较高的公司、加强任务跟进或监督的方式，</w:t>
      </w:r>
      <w:r>
        <w:rPr>
          <w:rFonts w:hint="eastAsia" w:ascii="Times New Roman" w:hAnsi="Times New Roman" w:eastAsia="仿宋_GB2312" w:cs="Times New Roman"/>
          <w:sz w:val="32"/>
          <w:szCs w:val="32"/>
        </w:rPr>
        <w:t>提高工程造价准确性；</w:t>
      </w:r>
    </w:p>
    <w:p>
      <w:pPr>
        <w:spacing w:line="360" w:lineRule="auto"/>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四是</w:t>
      </w:r>
      <w:r>
        <w:rPr>
          <w:rFonts w:hint="eastAsia" w:ascii="Times New Roman" w:hAnsi="Times New Roman" w:eastAsia="仿宋_GB2312" w:cs="Times New Roman"/>
          <w:sz w:val="32"/>
          <w:szCs w:val="32"/>
        </w:rPr>
        <w:t>增强项目过程管理，建立过程监督机制</w:t>
      </w:r>
      <w:r>
        <w:rPr>
          <w:rFonts w:hint="eastAsia" w:ascii="Times New Roman" w:hAnsi="Times New Roman" w:eastAsia="仿宋_GB2312" w:cs="Times New Roman"/>
          <w:sz w:val="32"/>
          <w:szCs w:val="32"/>
          <w:lang w:val="en-US" w:eastAsia="zh-CN"/>
        </w:rPr>
        <w:t>并落实</w:t>
      </w:r>
      <w:r>
        <w:rPr>
          <w:rFonts w:hint="eastAsia" w:ascii="Times New Roman" w:hAnsi="Times New Roman" w:eastAsia="仿宋_GB2312" w:cs="Times New Roman"/>
          <w:sz w:val="32"/>
          <w:szCs w:val="32"/>
        </w:rPr>
        <w:t>，强化主体责任意识，</w:t>
      </w:r>
      <w:r>
        <w:rPr>
          <w:rFonts w:hint="eastAsia" w:ascii="Times New Roman" w:hAnsi="Times New Roman" w:eastAsia="仿宋_GB2312" w:cs="Times New Roman"/>
          <w:sz w:val="32"/>
          <w:szCs w:val="32"/>
          <w:lang w:val="en-US" w:eastAsia="zh-CN"/>
        </w:rPr>
        <w:t>对违规现象进行处理与整改，</w:t>
      </w:r>
      <w:r>
        <w:rPr>
          <w:rFonts w:hint="eastAsia" w:ascii="Times New Roman" w:hAnsi="Times New Roman" w:eastAsia="仿宋_GB2312" w:cs="Times New Roman"/>
          <w:sz w:val="32"/>
          <w:szCs w:val="32"/>
        </w:rPr>
        <w:t>提高项目管理的有效性。</w:t>
      </w:r>
    </w:p>
    <w:p>
      <w:pPr>
        <w:spacing w:line="360" w:lineRule="auto"/>
        <w:ind w:firstLine="640" w:firstLineChars="200"/>
        <w:outlineLvl w:val="1"/>
        <w:rPr>
          <w:rFonts w:ascii="楷体_GB2312" w:hAnsi="楷体_GB2312" w:eastAsia="楷体_GB2312" w:cs="楷体_GB2312"/>
          <w:sz w:val="32"/>
          <w:szCs w:val="32"/>
        </w:rPr>
      </w:pPr>
      <w:bookmarkStart w:id="53" w:name="_Toc14684"/>
      <w:bookmarkStart w:id="54" w:name="_Toc362"/>
      <w:bookmarkStart w:id="55" w:name="_Toc17892"/>
      <w:bookmarkStart w:id="56" w:name="_Toc24496"/>
      <w:bookmarkStart w:id="57" w:name="_Toc26505"/>
      <w:bookmarkStart w:id="58" w:name="_Toc1961"/>
      <w:r>
        <w:rPr>
          <w:rFonts w:hint="eastAsia" w:ascii="楷体_GB2312" w:hAnsi="楷体_GB2312" w:eastAsia="楷体_GB2312" w:cs="楷体_GB2312"/>
          <w:sz w:val="32"/>
          <w:szCs w:val="32"/>
        </w:rPr>
        <w:t>（二）科学安排进度，合理安排工期。</w:t>
      </w:r>
      <w:bookmarkEnd w:id="53"/>
      <w:bookmarkEnd w:id="54"/>
      <w:bookmarkEnd w:id="55"/>
      <w:bookmarkEnd w:id="56"/>
      <w:bookmarkEnd w:id="57"/>
      <w:bookmarkEnd w:id="58"/>
    </w:p>
    <w:p>
      <w:pPr>
        <w:spacing w:line="360" w:lineRule="auto"/>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一是</w:t>
      </w:r>
      <w:r>
        <w:rPr>
          <w:rFonts w:hint="eastAsia" w:ascii="Times New Roman" w:hAnsi="Times New Roman" w:eastAsia="仿宋_GB2312" w:cs="Times New Roman"/>
          <w:sz w:val="32"/>
          <w:szCs w:val="32"/>
        </w:rPr>
        <w:t>加强事前调研，摸清建设难度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根据项目难度配备项目实施单位的专职管理人员和具体施工单位的人员，合理安排建设工期</w:t>
      </w:r>
      <w:r>
        <w:rPr>
          <w:rFonts w:hint="eastAsia" w:ascii="Times New Roman" w:hAnsi="Times New Roman" w:eastAsia="仿宋_GB2312" w:cs="Times New Roman"/>
          <w:sz w:val="32"/>
          <w:szCs w:val="32"/>
        </w:rPr>
        <w:t>；</w:t>
      </w:r>
    </w:p>
    <w:p>
      <w:pPr>
        <w:spacing w:line="360" w:lineRule="auto"/>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二是</w:t>
      </w:r>
      <w:r>
        <w:rPr>
          <w:rFonts w:hint="eastAsia" w:ascii="Times New Roman" w:hAnsi="Times New Roman" w:eastAsia="仿宋_GB2312" w:cs="Times New Roman"/>
          <w:sz w:val="32"/>
          <w:szCs w:val="32"/>
        </w:rPr>
        <w:t>做好自然灾害、工程变更、工艺改进</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修复完善</w:t>
      </w:r>
      <w:r>
        <w:rPr>
          <w:rFonts w:hint="eastAsia" w:ascii="Times New Roman" w:hAnsi="Times New Roman" w:eastAsia="仿宋_GB2312" w:cs="Times New Roman"/>
          <w:sz w:val="32"/>
          <w:szCs w:val="32"/>
        </w:rPr>
        <w:t>等各类可能占用工期的因素的应急预案，</w:t>
      </w:r>
      <w:r>
        <w:rPr>
          <w:rFonts w:hint="eastAsia" w:ascii="Times New Roman" w:hAnsi="Times New Roman" w:eastAsia="仿宋_GB2312" w:cs="Times New Roman"/>
          <w:sz w:val="32"/>
          <w:szCs w:val="32"/>
          <w:lang w:val="en-US" w:eastAsia="zh-CN"/>
        </w:rPr>
        <w:t>并在紧急情况发生的时候按照预案及时行动，减少人为类情况对工程建设的影响</w:t>
      </w:r>
      <w:r>
        <w:rPr>
          <w:rFonts w:hint="eastAsia" w:ascii="Times New Roman" w:hAnsi="Times New Roman" w:eastAsia="仿宋_GB2312" w:cs="Times New Roman"/>
          <w:sz w:val="32"/>
          <w:szCs w:val="32"/>
        </w:rPr>
        <w:t>；</w:t>
      </w:r>
    </w:p>
    <w:p>
      <w:pPr>
        <w:spacing w:line="360" w:lineRule="auto"/>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三是</w:t>
      </w:r>
      <w:r>
        <w:rPr>
          <w:rFonts w:hint="eastAsia" w:ascii="Times New Roman" w:hAnsi="Times New Roman" w:eastAsia="仿宋_GB2312" w:cs="Times New Roman"/>
          <w:sz w:val="32"/>
          <w:szCs w:val="32"/>
        </w:rPr>
        <w:t>加强项目建设的质量管控，</w:t>
      </w:r>
      <w:r>
        <w:rPr>
          <w:rFonts w:hint="eastAsia" w:ascii="Times New Roman" w:hAnsi="Times New Roman" w:eastAsia="仿宋_GB2312" w:cs="Times New Roman"/>
          <w:sz w:val="32"/>
          <w:szCs w:val="32"/>
          <w:lang w:val="en-US" w:eastAsia="zh-CN"/>
        </w:rPr>
        <w:t>在每一阶段工程结束后自查项目质量，并及时整改，</w:t>
      </w:r>
      <w:r>
        <w:rPr>
          <w:rFonts w:hint="eastAsia" w:ascii="Times New Roman" w:hAnsi="Times New Roman" w:eastAsia="仿宋_GB2312" w:cs="Times New Roman"/>
          <w:sz w:val="32"/>
          <w:szCs w:val="32"/>
        </w:rPr>
        <w:t>减少验收时的修复完善区域；</w:t>
      </w:r>
    </w:p>
    <w:p>
      <w:pPr>
        <w:spacing w:line="360" w:lineRule="auto"/>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四是</w:t>
      </w:r>
      <w:r>
        <w:rPr>
          <w:rFonts w:hint="eastAsia" w:ascii="Times New Roman" w:hAnsi="Times New Roman" w:eastAsia="仿宋_GB2312" w:cs="Times New Roman"/>
          <w:sz w:val="32"/>
          <w:szCs w:val="32"/>
        </w:rPr>
        <w:t>将工程的前期探索、后期竣工、结算等手续所需的时间考虑进工期，</w:t>
      </w:r>
      <w:r>
        <w:rPr>
          <w:rFonts w:hint="eastAsia" w:ascii="Times New Roman" w:hAnsi="Times New Roman" w:eastAsia="仿宋_GB2312" w:cs="Times New Roman"/>
          <w:sz w:val="32"/>
          <w:szCs w:val="32"/>
          <w:lang w:val="en-US" w:eastAsia="zh-CN"/>
        </w:rPr>
        <w:t>预存机动与应急时间，分时段、分情况、分责任人</w:t>
      </w:r>
      <w:r>
        <w:rPr>
          <w:rFonts w:hint="eastAsia" w:ascii="Times New Roman" w:hAnsi="Times New Roman" w:eastAsia="仿宋_GB2312" w:cs="Times New Roman"/>
          <w:sz w:val="32"/>
          <w:szCs w:val="32"/>
        </w:rPr>
        <w:t>科学合理安排进度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将不同的任务落实到不同的责任人，减少因人员交接、事项交接等行政、流程因素导致的时间延长情况</w:t>
      </w:r>
      <w:r>
        <w:rPr>
          <w:rFonts w:hint="eastAsia" w:ascii="Times New Roman" w:hAnsi="Times New Roman" w:eastAsia="仿宋_GB2312" w:cs="Times New Roman"/>
          <w:sz w:val="32"/>
          <w:szCs w:val="32"/>
        </w:rPr>
        <w:t>。</w:t>
      </w:r>
    </w:p>
    <w:p>
      <w:pPr>
        <w:spacing w:line="360" w:lineRule="auto"/>
        <w:ind w:firstLine="640" w:firstLineChars="200"/>
        <w:outlineLvl w:val="1"/>
        <w:rPr>
          <w:rFonts w:ascii="楷体_GB2312" w:hAnsi="楷体_GB2312" w:eastAsia="楷体_GB2312" w:cs="楷体_GB2312"/>
          <w:sz w:val="32"/>
          <w:szCs w:val="32"/>
        </w:rPr>
      </w:pPr>
      <w:bookmarkStart w:id="59" w:name="_Toc11770"/>
      <w:bookmarkStart w:id="60" w:name="_Toc21827"/>
      <w:r>
        <w:rPr>
          <w:rFonts w:hint="eastAsia" w:ascii="楷体_GB2312" w:hAnsi="楷体_GB2312" w:eastAsia="楷体_GB2312" w:cs="楷体_GB2312"/>
          <w:sz w:val="32"/>
          <w:szCs w:val="32"/>
        </w:rPr>
        <w:t>（三）加强污染防治，注重环境效益。</w:t>
      </w:r>
      <w:bookmarkEnd w:id="59"/>
      <w:bookmarkEnd w:id="60"/>
    </w:p>
    <w:p>
      <w:pPr>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一是</w:t>
      </w:r>
      <w:r>
        <w:rPr>
          <w:rFonts w:hint="eastAsia" w:ascii="Times New Roman" w:hAnsi="Times New Roman" w:eastAsia="仿宋_GB2312" w:cs="Times New Roman"/>
          <w:sz w:val="32"/>
          <w:szCs w:val="32"/>
        </w:rPr>
        <w:t>提高污染防治意识，</w:t>
      </w:r>
      <w:r>
        <w:rPr>
          <w:rFonts w:hint="eastAsia" w:ascii="Times New Roman" w:hAnsi="Times New Roman" w:eastAsia="仿宋_GB2312" w:cs="Times New Roman"/>
          <w:sz w:val="32"/>
          <w:szCs w:val="32"/>
          <w:lang w:val="en-US" w:eastAsia="zh-CN"/>
        </w:rPr>
        <w:t>建立污染防治相关制度管理办法，</w:t>
      </w:r>
      <w:r>
        <w:rPr>
          <w:rFonts w:hint="eastAsia" w:ascii="Times New Roman" w:hAnsi="Times New Roman" w:eastAsia="仿宋_GB2312" w:cs="Times New Roman"/>
          <w:sz w:val="32"/>
          <w:szCs w:val="32"/>
        </w:rPr>
        <w:t>在建设过程中加强工地废弃物的分区域堆积、监管工作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落实污染防治责任人制度，定期对工程建设的污染防治情况进行监督检查，及时整改不规范的行为，并对违反规定、恶意破坏环境等行为进行不同程度的处罚</w:t>
      </w:r>
      <w:r>
        <w:rPr>
          <w:rFonts w:hint="eastAsia" w:ascii="Times New Roman" w:hAnsi="Times New Roman" w:eastAsia="仿宋_GB2312" w:cs="Times New Roman"/>
          <w:sz w:val="32"/>
          <w:szCs w:val="32"/>
        </w:rPr>
        <w:t>；</w:t>
      </w:r>
    </w:p>
    <w:p>
      <w:pPr>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二是</w:t>
      </w:r>
      <w:r>
        <w:rPr>
          <w:rFonts w:hint="eastAsia" w:ascii="Times New Roman" w:hAnsi="Times New Roman" w:eastAsia="仿宋_GB2312" w:cs="Times New Roman"/>
          <w:sz w:val="32"/>
          <w:szCs w:val="32"/>
        </w:rPr>
        <w:t>及时进行土壤回填、绿地复垦等工作，减少</w:t>
      </w:r>
      <w:r>
        <w:rPr>
          <w:rFonts w:hint="eastAsia" w:ascii="Times New Roman" w:hAnsi="Times New Roman" w:eastAsia="仿宋_GB2312" w:cs="Times New Roman"/>
          <w:sz w:val="32"/>
          <w:szCs w:val="32"/>
          <w:lang w:val="en-US" w:eastAsia="zh-CN"/>
        </w:rPr>
        <w:t>因技术问题导致的</w:t>
      </w:r>
      <w:r>
        <w:rPr>
          <w:rFonts w:hint="eastAsia" w:ascii="Times New Roman" w:hAnsi="Times New Roman" w:eastAsia="仿宋_GB2312" w:cs="Times New Roman"/>
          <w:sz w:val="32"/>
          <w:szCs w:val="32"/>
        </w:rPr>
        <w:t>工程对生态环境的破坏；</w:t>
      </w:r>
    </w:p>
    <w:p>
      <w:pPr>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三是</w:t>
      </w:r>
      <w:r>
        <w:rPr>
          <w:rFonts w:hint="eastAsia" w:ascii="Times New Roman" w:hAnsi="Times New Roman" w:eastAsia="仿宋_GB2312" w:cs="Times New Roman"/>
          <w:b w:val="0"/>
          <w:bCs w:val="0"/>
          <w:sz w:val="32"/>
          <w:szCs w:val="32"/>
          <w:lang w:val="en-US" w:eastAsia="zh-CN"/>
        </w:rPr>
        <w:t>在工程建设初期就进行垃圾分类回收区域的设置，在工程建设过程中定期进行分类回收处理，并与相关部门、企业、机构或人员合作，建立工程垃圾回收循环利用程序，减少污染，提高工程垃圾利用率</w:t>
      </w:r>
      <w:r>
        <w:rPr>
          <w:rFonts w:hint="eastAsia" w:ascii="Times New Roman" w:hAnsi="Times New Roman" w:eastAsia="仿宋_GB2312" w:cs="Times New Roman"/>
          <w:sz w:val="32"/>
          <w:szCs w:val="32"/>
        </w:rPr>
        <w:t>，探索更为环保的建筑垃圾处理方法；</w:t>
      </w:r>
    </w:p>
    <w:p>
      <w:pPr>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四是</w:t>
      </w:r>
      <w:r>
        <w:rPr>
          <w:rFonts w:hint="eastAsia" w:ascii="Times New Roman" w:hAnsi="Times New Roman" w:eastAsia="仿宋_GB2312" w:cs="Times New Roman"/>
          <w:sz w:val="32"/>
          <w:szCs w:val="32"/>
        </w:rPr>
        <w:t>将</w:t>
      </w:r>
      <w:r>
        <w:rPr>
          <w:rFonts w:hint="eastAsia" w:ascii="Times New Roman" w:hAnsi="Times New Roman" w:eastAsia="仿宋_GB2312" w:cs="Times New Roman"/>
          <w:sz w:val="32"/>
          <w:szCs w:val="32"/>
          <w:lang w:eastAsia="zh-CN"/>
        </w:rPr>
        <w:t>南水工程</w:t>
      </w:r>
      <w:r>
        <w:rPr>
          <w:rFonts w:hint="eastAsia" w:ascii="Times New Roman" w:hAnsi="Times New Roman" w:eastAsia="仿宋_GB2312" w:cs="Times New Roman"/>
          <w:sz w:val="32"/>
          <w:szCs w:val="32"/>
        </w:rPr>
        <w:t>项目放入全局考虑，发现其与周围生态的联系，发挥南水水库的生态功能，提高项目的环境效益。</w:t>
      </w:r>
    </w:p>
    <w:p>
      <w:pPr>
        <w:pStyle w:val="34"/>
        <w:ind w:firstLine="0" w:firstLineChars="0"/>
        <w:rPr>
          <w:rFonts w:ascii="仿宋_GB2312" w:hAnsi="仿宋_GB2312" w:eastAsia="仿宋_GB2312" w:cs="仿宋_GB2312"/>
          <w:sz w:val="32"/>
          <w:lang w:bidi="ar"/>
        </w:rPr>
      </w:pPr>
    </w:p>
    <w:p>
      <w:pPr>
        <w:pStyle w:val="34"/>
        <w:ind w:firstLine="0" w:firstLineChars="0"/>
        <w:rPr>
          <w:rFonts w:ascii="仿宋_GB2312" w:hAnsi="仿宋_GB2312" w:eastAsia="仿宋_GB2312" w:cs="仿宋_GB2312"/>
          <w:sz w:val="32"/>
          <w:lang w:bidi="ar"/>
        </w:rPr>
      </w:pPr>
    </w:p>
    <w:p>
      <w:pPr>
        <w:pStyle w:val="34"/>
        <w:ind w:left="1918" w:leftChars="304" w:hanging="1280" w:hangingChars="400"/>
        <w:rPr>
          <w:rFonts w:ascii="仿宋_GB2312" w:hAnsi="仿宋_GB2312" w:eastAsia="仿宋_GB2312" w:cs="仿宋_GB2312"/>
          <w:sz w:val="32"/>
          <w:lang w:bidi="ar"/>
        </w:rPr>
      </w:pPr>
      <w:r>
        <w:rPr>
          <w:rFonts w:hint="eastAsia" w:ascii="仿宋_GB2312" w:hAnsi="仿宋_GB2312" w:eastAsia="仿宋_GB2312" w:cs="仿宋_GB2312"/>
          <w:sz w:val="32"/>
          <w:lang w:bidi="ar"/>
        </w:rPr>
        <w:t>附件：1.韶关市乳源瑶族自治县南水水库供水工程项目绩效评价体系表</w:t>
      </w:r>
    </w:p>
    <w:p>
      <w:pPr>
        <w:ind w:left="1916" w:leftChars="760" w:hanging="320" w:hangingChars="100"/>
        <w:jc w:val="left"/>
        <w:rPr>
          <w:rFonts w:ascii="仿宋_GB2312" w:hAnsi="仿宋_GB2312" w:eastAsia="仿宋_GB2312" w:cs="仿宋_GB2312"/>
          <w:sz w:val="32"/>
          <w:lang w:bidi="ar"/>
        </w:rPr>
      </w:pPr>
      <w:r>
        <w:rPr>
          <w:rFonts w:hint="eastAsia" w:ascii="仿宋_GB2312" w:hAnsi="仿宋_GB2312" w:eastAsia="仿宋_GB2312" w:cs="仿宋_GB2312"/>
          <w:sz w:val="32"/>
          <w:lang w:bidi="ar"/>
        </w:rPr>
        <w:t>2.韶关市乳源瑶族自治县南水水库供水工程项目评 价团队</w:t>
      </w:r>
    </w:p>
    <w:p>
      <w:pPr>
        <w:rPr>
          <w:rFonts w:ascii="黑体" w:hAnsi="黑体" w:eastAsia="黑体" w:cs="黑体"/>
          <w:b/>
          <w:bCs/>
          <w:sz w:val="32"/>
          <w:szCs w:val="32"/>
        </w:rPr>
        <w:sectPr>
          <w:pgSz w:w="11906" w:h="16838"/>
          <w:pgMar w:top="1440" w:right="1417" w:bottom="1440" w:left="1531" w:header="851" w:footer="992" w:gutter="0"/>
          <w:pgNumType w:start="1"/>
          <w:cols w:space="0" w:num="1"/>
          <w:docGrid w:type="lines" w:linePitch="319" w:charSpace="0"/>
        </w:sectPr>
      </w:pPr>
      <w:bookmarkStart w:id="61" w:name="_Toc24025"/>
    </w:p>
    <w:p>
      <w:pPr>
        <w:outlineLvl w:val="0"/>
        <w:rPr>
          <w:rFonts w:ascii="黑体" w:hAnsi="黑体" w:eastAsia="黑体" w:cs="黑体"/>
          <w:b/>
          <w:bCs/>
          <w:sz w:val="32"/>
          <w:szCs w:val="32"/>
        </w:rPr>
      </w:pPr>
      <w:bookmarkStart w:id="62" w:name="_Toc5729"/>
      <w:bookmarkStart w:id="63" w:name="_Toc6677"/>
      <w:r>
        <w:rPr>
          <w:rFonts w:hint="eastAsia" w:ascii="黑体" w:hAnsi="黑体" w:eastAsia="黑体" w:cs="黑体"/>
          <w:b/>
          <w:bCs/>
          <w:sz w:val="32"/>
          <w:szCs w:val="32"/>
        </w:rPr>
        <w:t>附件1</w:t>
      </w:r>
      <w:bookmarkEnd w:id="61"/>
      <w:bookmarkEnd w:id="62"/>
      <w:bookmarkEnd w:id="63"/>
    </w:p>
    <w:p>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韶关市乳源瑶族自治县南水水库供水工程项目绩效评价体系表</w:t>
      </w:r>
    </w:p>
    <w:tbl>
      <w:tblPr>
        <w:tblStyle w:val="18"/>
        <w:tblpPr w:leftFromText="180" w:rightFromText="180" w:vertAnchor="text" w:horzAnchor="page" w:tblpX="1160" w:tblpY="218"/>
        <w:tblOverlap w:val="never"/>
        <w:tblW w:w="14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60"/>
        <w:gridCol w:w="810"/>
        <w:gridCol w:w="645"/>
        <w:gridCol w:w="720"/>
        <w:gridCol w:w="630"/>
        <w:gridCol w:w="960"/>
        <w:gridCol w:w="660"/>
        <w:gridCol w:w="4245"/>
        <w:gridCol w:w="1020"/>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 w:hRule="atLeast"/>
          <w:tblHeader/>
        </w:trPr>
        <w:tc>
          <w:tcPr>
            <w:tcW w:w="5805" w:type="dxa"/>
            <w:gridSpan w:val="8"/>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kern w:val="0"/>
                <w:szCs w:val="21"/>
              </w:rPr>
            </w:pPr>
            <w:r>
              <w:rPr>
                <w:rFonts w:hint="eastAsia" w:ascii="宋体" w:hAnsi="宋体" w:eastAsia="宋体" w:cs="宋体"/>
                <w:b/>
                <w:bCs/>
                <w:kern w:val="0"/>
                <w:szCs w:val="21"/>
              </w:rPr>
              <w:t>评价指标</w:t>
            </w:r>
          </w:p>
        </w:tc>
        <w:tc>
          <w:tcPr>
            <w:tcW w:w="424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kern w:val="0"/>
                <w:szCs w:val="21"/>
              </w:rPr>
            </w:pPr>
            <w:r>
              <w:rPr>
                <w:rFonts w:hint="eastAsia" w:ascii="宋体" w:hAnsi="宋体" w:eastAsia="宋体" w:cs="宋体"/>
                <w:b/>
                <w:bCs/>
                <w:kern w:val="0"/>
                <w:szCs w:val="21"/>
              </w:rPr>
              <w:t>评分标准</w:t>
            </w:r>
          </w:p>
        </w:tc>
        <w:tc>
          <w:tcPr>
            <w:tcW w:w="102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kern w:val="0"/>
                <w:szCs w:val="21"/>
              </w:rPr>
            </w:pPr>
            <w:r>
              <w:rPr>
                <w:rFonts w:hint="eastAsia" w:ascii="宋体" w:hAnsi="宋体" w:eastAsia="宋体" w:cs="宋体"/>
                <w:b/>
                <w:bCs/>
                <w:kern w:val="0"/>
                <w:szCs w:val="21"/>
              </w:rPr>
              <w:t>专家评分</w:t>
            </w:r>
          </w:p>
        </w:tc>
        <w:tc>
          <w:tcPr>
            <w:tcW w:w="3617"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kern w:val="0"/>
                <w:szCs w:val="21"/>
              </w:rPr>
            </w:pPr>
            <w:r>
              <w:rPr>
                <w:rFonts w:hint="eastAsia" w:ascii="宋体" w:hAnsi="宋体" w:eastAsia="宋体" w:cs="宋体"/>
                <w:b/>
                <w:bCs/>
                <w:kern w:val="0"/>
                <w:szCs w:val="21"/>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138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kern w:val="0"/>
                <w:szCs w:val="21"/>
              </w:rPr>
            </w:pPr>
            <w:r>
              <w:rPr>
                <w:rFonts w:hint="eastAsia" w:ascii="宋体" w:hAnsi="宋体" w:eastAsia="宋体" w:cs="宋体"/>
                <w:b/>
                <w:bCs/>
                <w:kern w:val="0"/>
                <w:szCs w:val="21"/>
              </w:rPr>
              <w:t>一级指标</w:t>
            </w:r>
          </w:p>
        </w:tc>
        <w:tc>
          <w:tcPr>
            <w:tcW w:w="1455"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kern w:val="0"/>
                <w:szCs w:val="21"/>
              </w:rPr>
            </w:pPr>
            <w:r>
              <w:rPr>
                <w:rFonts w:hint="eastAsia" w:ascii="宋体" w:hAnsi="宋体" w:eastAsia="宋体" w:cs="宋体"/>
                <w:b/>
                <w:bCs/>
                <w:kern w:val="0"/>
                <w:szCs w:val="21"/>
              </w:rPr>
              <w:t>二级指标</w:t>
            </w:r>
          </w:p>
        </w:tc>
        <w:tc>
          <w:tcPr>
            <w:tcW w:w="135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kern w:val="0"/>
                <w:szCs w:val="21"/>
              </w:rPr>
            </w:pPr>
            <w:r>
              <w:rPr>
                <w:rFonts w:hint="eastAsia" w:ascii="宋体" w:hAnsi="宋体" w:eastAsia="宋体" w:cs="宋体"/>
                <w:b/>
                <w:bCs/>
                <w:kern w:val="0"/>
                <w:szCs w:val="21"/>
              </w:rPr>
              <w:t>三级指标</w:t>
            </w:r>
          </w:p>
        </w:tc>
        <w:tc>
          <w:tcPr>
            <w:tcW w:w="162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kern w:val="0"/>
                <w:szCs w:val="21"/>
              </w:rPr>
            </w:pPr>
            <w:r>
              <w:rPr>
                <w:rFonts w:hint="eastAsia" w:ascii="宋体" w:hAnsi="宋体" w:eastAsia="宋体" w:cs="宋体"/>
                <w:b/>
                <w:bCs/>
                <w:kern w:val="0"/>
                <w:szCs w:val="21"/>
              </w:rPr>
              <w:t>四级指标</w:t>
            </w:r>
          </w:p>
        </w:tc>
        <w:tc>
          <w:tcPr>
            <w:tcW w:w="42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kern w:val="0"/>
                <w:szCs w:val="21"/>
              </w:rPr>
            </w:pPr>
          </w:p>
        </w:tc>
        <w:tc>
          <w:tcPr>
            <w:tcW w:w="10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kern w:val="0"/>
                <w:szCs w:val="21"/>
              </w:rPr>
            </w:pPr>
          </w:p>
        </w:tc>
        <w:tc>
          <w:tcPr>
            <w:tcW w:w="36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kern w:val="0"/>
                <w:szCs w:val="21"/>
              </w:rPr>
            </w:pPr>
            <w:r>
              <w:rPr>
                <w:rFonts w:hint="eastAsia" w:ascii="宋体" w:hAnsi="宋体" w:eastAsia="宋体" w:cs="宋体"/>
                <w:b/>
                <w:bCs/>
                <w:kern w:val="0"/>
                <w:szCs w:val="21"/>
              </w:rPr>
              <w:t>名称</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kern w:val="0"/>
                <w:szCs w:val="21"/>
              </w:rPr>
            </w:pPr>
            <w:r>
              <w:rPr>
                <w:rFonts w:hint="eastAsia" w:ascii="宋体" w:hAnsi="宋体" w:eastAsia="宋体" w:cs="宋体"/>
                <w:b/>
                <w:bCs/>
                <w:kern w:val="0"/>
                <w:szCs w:val="21"/>
              </w:rPr>
              <w:t>权重</w:t>
            </w:r>
          </w:p>
        </w:tc>
        <w:tc>
          <w:tcPr>
            <w:tcW w:w="81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kern w:val="0"/>
                <w:szCs w:val="21"/>
              </w:rPr>
            </w:pPr>
            <w:r>
              <w:rPr>
                <w:rFonts w:hint="eastAsia" w:ascii="宋体" w:hAnsi="宋体" w:eastAsia="宋体" w:cs="宋体"/>
                <w:b/>
                <w:bCs/>
                <w:kern w:val="0"/>
                <w:szCs w:val="21"/>
              </w:rPr>
              <w:t>名称</w:t>
            </w:r>
          </w:p>
        </w:tc>
        <w:tc>
          <w:tcPr>
            <w:tcW w:w="6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kern w:val="0"/>
                <w:szCs w:val="21"/>
              </w:rPr>
            </w:pPr>
            <w:r>
              <w:rPr>
                <w:rFonts w:hint="eastAsia" w:ascii="宋体" w:hAnsi="宋体" w:eastAsia="宋体" w:cs="宋体"/>
                <w:b/>
                <w:bCs/>
                <w:kern w:val="0"/>
                <w:szCs w:val="21"/>
              </w:rPr>
              <w:t>权重</w:t>
            </w:r>
          </w:p>
        </w:tc>
        <w:tc>
          <w:tcPr>
            <w:tcW w:w="7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kern w:val="0"/>
                <w:szCs w:val="21"/>
              </w:rPr>
            </w:pPr>
            <w:r>
              <w:rPr>
                <w:rFonts w:hint="eastAsia" w:ascii="宋体" w:hAnsi="宋体" w:eastAsia="宋体" w:cs="宋体"/>
                <w:b/>
                <w:bCs/>
                <w:kern w:val="0"/>
                <w:szCs w:val="21"/>
              </w:rPr>
              <w:t>名称</w:t>
            </w:r>
          </w:p>
        </w:tc>
        <w:tc>
          <w:tcPr>
            <w:tcW w:w="6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kern w:val="0"/>
                <w:szCs w:val="21"/>
              </w:rPr>
            </w:pPr>
            <w:r>
              <w:rPr>
                <w:rFonts w:hint="eastAsia" w:ascii="宋体" w:hAnsi="宋体" w:eastAsia="宋体" w:cs="宋体"/>
                <w:b/>
                <w:bCs/>
                <w:kern w:val="0"/>
                <w:szCs w:val="21"/>
              </w:rPr>
              <w:t>权重</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kern w:val="0"/>
                <w:szCs w:val="21"/>
              </w:rPr>
            </w:pPr>
            <w:r>
              <w:rPr>
                <w:rFonts w:hint="eastAsia" w:ascii="宋体" w:hAnsi="宋体" w:eastAsia="宋体" w:cs="宋体"/>
                <w:b/>
                <w:bCs/>
                <w:kern w:val="0"/>
                <w:szCs w:val="21"/>
              </w:rPr>
              <w:t>名称</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kern w:val="0"/>
                <w:szCs w:val="21"/>
              </w:rPr>
            </w:pPr>
            <w:r>
              <w:rPr>
                <w:rFonts w:hint="eastAsia" w:ascii="宋体" w:hAnsi="宋体" w:eastAsia="宋体" w:cs="宋体"/>
                <w:b/>
                <w:bCs/>
                <w:kern w:val="0"/>
                <w:szCs w:val="21"/>
              </w:rPr>
              <w:t>权重</w:t>
            </w:r>
          </w:p>
        </w:tc>
        <w:tc>
          <w:tcPr>
            <w:tcW w:w="42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kern w:val="0"/>
                <w:szCs w:val="21"/>
              </w:rPr>
            </w:pPr>
          </w:p>
        </w:tc>
        <w:tc>
          <w:tcPr>
            <w:tcW w:w="10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kern w:val="0"/>
                <w:szCs w:val="21"/>
              </w:rPr>
            </w:pPr>
          </w:p>
        </w:tc>
        <w:tc>
          <w:tcPr>
            <w:tcW w:w="36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kern w:val="0"/>
                <w:szCs w:val="21"/>
              </w:rPr>
            </w:pPr>
            <w:r>
              <w:rPr>
                <w:rFonts w:hint="eastAsia" w:ascii="宋体" w:hAnsi="宋体" w:eastAsia="宋体" w:cs="宋体"/>
                <w:kern w:val="0"/>
                <w:szCs w:val="21"/>
              </w:rPr>
              <w:t>投入</w:t>
            </w:r>
          </w:p>
        </w:tc>
        <w:tc>
          <w:tcPr>
            <w:tcW w:w="66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kern w:val="0"/>
                <w:szCs w:val="21"/>
              </w:rPr>
            </w:pPr>
            <w:r>
              <w:rPr>
                <w:rFonts w:hint="eastAsia" w:ascii="宋体" w:hAnsi="宋体" w:eastAsia="宋体" w:cs="宋体"/>
                <w:kern w:val="0"/>
                <w:szCs w:val="21"/>
              </w:rPr>
              <w:t>20</w:t>
            </w:r>
          </w:p>
        </w:tc>
        <w:tc>
          <w:tcPr>
            <w:tcW w:w="81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kern w:val="0"/>
                <w:szCs w:val="21"/>
              </w:rPr>
            </w:pPr>
            <w:r>
              <w:rPr>
                <w:rFonts w:hint="eastAsia" w:ascii="宋体" w:hAnsi="宋体" w:eastAsia="宋体" w:cs="宋体"/>
                <w:kern w:val="0"/>
                <w:szCs w:val="21"/>
              </w:rPr>
              <w:t>项目立项</w:t>
            </w:r>
          </w:p>
        </w:tc>
        <w:tc>
          <w:tcPr>
            <w:tcW w:w="64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kern w:val="0"/>
                <w:szCs w:val="21"/>
              </w:rPr>
            </w:pPr>
            <w:r>
              <w:rPr>
                <w:rFonts w:hint="eastAsia" w:ascii="宋体" w:hAnsi="宋体" w:eastAsia="宋体" w:cs="宋体"/>
                <w:kern w:val="0"/>
                <w:szCs w:val="21"/>
              </w:rPr>
              <w:t>12</w:t>
            </w:r>
          </w:p>
        </w:tc>
        <w:tc>
          <w:tcPr>
            <w:tcW w:w="7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kern w:val="0"/>
                <w:szCs w:val="21"/>
              </w:rPr>
            </w:pPr>
            <w:r>
              <w:rPr>
                <w:rFonts w:hint="eastAsia" w:ascii="宋体" w:hAnsi="宋体" w:eastAsia="宋体" w:cs="宋体"/>
                <w:kern w:val="0"/>
                <w:szCs w:val="21"/>
              </w:rPr>
              <w:t>论证</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kern w:val="0"/>
                <w:szCs w:val="21"/>
              </w:rPr>
            </w:pPr>
            <w:r>
              <w:rPr>
                <w:rFonts w:hint="eastAsia" w:ascii="宋体" w:hAnsi="宋体" w:eastAsia="宋体" w:cs="宋体"/>
                <w:kern w:val="0"/>
                <w:szCs w:val="21"/>
              </w:rPr>
              <w:t>决策</w:t>
            </w:r>
          </w:p>
        </w:tc>
        <w:tc>
          <w:tcPr>
            <w:tcW w:w="6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kern w:val="0"/>
                <w:szCs w:val="21"/>
              </w:rPr>
            </w:pPr>
            <w:r>
              <w:rPr>
                <w:rFonts w:hint="eastAsia" w:ascii="宋体" w:hAnsi="宋体" w:eastAsia="宋体" w:cs="宋体"/>
                <w:kern w:val="0"/>
                <w:szCs w:val="21"/>
              </w:rPr>
              <w:t>4</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论证充分性</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4</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szCs w:val="21"/>
              </w:rPr>
            </w:pPr>
            <w:r>
              <w:rPr>
                <w:rFonts w:hint="eastAsia" w:ascii="宋体" w:hAnsi="宋体" w:eastAsia="宋体" w:cs="宋体"/>
                <w:szCs w:val="21"/>
              </w:rPr>
              <w:t>具有前期可行性研究报告或摸底调查工作总结等材料的，或经过集体会议协商、并咨询相关专家意见、且有文字材料，每项1分，满分4分。</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4</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szCs w:val="21"/>
              </w:rPr>
            </w:pPr>
            <w:r>
              <w:rPr>
                <w:rFonts w:hint="eastAsia" w:ascii="宋体" w:hAnsi="宋体" w:eastAsia="宋体" w:cs="宋体"/>
                <w:szCs w:val="21"/>
              </w:rPr>
              <w:t>项目经多次讨论及调研后完成立项，该项目论证决策较充分。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81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72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kern w:val="0"/>
                <w:szCs w:val="21"/>
              </w:rPr>
            </w:pPr>
            <w:r>
              <w:rPr>
                <w:rFonts w:hint="eastAsia" w:ascii="宋体" w:hAnsi="宋体" w:eastAsia="宋体" w:cs="宋体"/>
                <w:kern w:val="0"/>
                <w:szCs w:val="21"/>
              </w:rPr>
              <w:t>目标</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kern w:val="0"/>
                <w:szCs w:val="21"/>
              </w:rPr>
            </w:pPr>
            <w:r>
              <w:rPr>
                <w:rFonts w:hint="eastAsia" w:ascii="宋体" w:hAnsi="宋体" w:eastAsia="宋体" w:cs="宋体"/>
                <w:kern w:val="0"/>
                <w:szCs w:val="21"/>
              </w:rPr>
              <w:t>设置</w:t>
            </w:r>
          </w:p>
        </w:tc>
        <w:tc>
          <w:tcPr>
            <w:tcW w:w="63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kern w:val="0"/>
                <w:szCs w:val="21"/>
              </w:rPr>
            </w:pPr>
            <w:r>
              <w:rPr>
                <w:rFonts w:hint="eastAsia" w:ascii="宋体" w:hAnsi="宋体" w:eastAsia="宋体" w:cs="宋体"/>
                <w:kern w:val="0"/>
                <w:szCs w:val="21"/>
              </w:rPr>
              <w:t>6</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完整性</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2</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szCs w:val="21"/>
              </w:rPr>
            </w:pPr>
            <w:r>
              <w:rPr>
                <w:rFonts w:hint="eastAsia" w:ascii="宋体" w:hAnsi="宋体" w:eastAsia="宋体" w:cs="宋体"/>
                <w:szCs w:val="21"/>
              </w:rPr>
              <w:t>依据相关基础信息和证据判断目标设置的完整性，即是否包含总目标和阶段性目标，是否包括预期提供的公共产品或服务的产出数量、质量、成本指标，预期达到的效果性指标，据此核定分数。符合要求得2分。</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Cs w:val="21"/>
                <w:lang w:eastAsia="zh-CN"/>
              </w:rPr>
            </w:pPr>
            <w:r>
              <w:rPr>
                <w:rFonts w:hint="eastAsia" w:ascii="宋体" w:hAnsi="宋体" w:eastAsia="宋体" w:cs="宋体"/>
                <w:szCs w:val="21"/>
                <w:lang w:val="en-US" w:eastAsia="zh-CN"/>
              </w:rPr>
              <w:t>0</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szCs w:val="21"/>
              </w:rPr>
            </w:pPr>
            <w:r>
              <w:rPr>
                <w:rFonts w:hint="eastAsia" w:ascii="宋体" w:hAnsi="宋体" w:eastAsia="宋体" w:cs="宋体"/>
                <w:szCs w:val="21"/>
              </w:rPr>
              <w:t>缺乏数量指标、质量指标、经济效益指标等指标。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81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3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合理性</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2</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szCs w:val="21"/>
              </w:rPr>
            </w:pPr>
            <w:r>
              <w:rPr>
                <w:rFonts w:hint="eastAsia" w:ascii="宋体" w:hAnsi="宋体" w:eastAsia="宋体" w:cs="宋体"/>
                <w:szCs w:val="21"/>
              </w:rPr>
              <w:t>依据相关基础信息和证据判断目标设置的相关性，即绩效目标是否与资金或项目属性特点、支出内容相关，体现决策意图，同时合乎客观实际，每项1分，满分2分。</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2</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szCs w:val="21"/>
              </w:rPr>
            </w:pPr>
            <w:r>
              <w:rPr>
                <w:rFonts w:hint="eastAsia" w:ascii="宋体" w:hAnsi="宋体" w:eastAsia="宋体" w:cs="宋体"/>
                <w:szCs w:val="21"/>
              </w:rPr>
              <w:t>绩效目标较为合理。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81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3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可衡</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量性</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2</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szCs w:val="21"/>
              </w:rPr>
            </w:pPr>
            <w:r>
              <w:rPr>
                <w:rFonts w:hint="eastAsia" w:ascii="宋体" w:hAnsi="宋体" w:eastAsia="宋体" w:cs="宋体"/>
                <w:szCs w:val="21"/>
              </w:rPr>
              <w:t>每项1分。</w:t>
            </w:r>
            <w:r>
              <w:rPr>
                <w:rFonts w:hint="eastAsia" w:ascii="宋体" w:hAnsi="宋体" w:eastAsia="宋体" w:cs="宋体"/>
                <w:szCs w:val="21"/>
              </w:rPr>
              <w:br w:type="textWrapping"/>
            </w:r>
            <w:r>
              <w:rPr>
                <w:rFonts w:hint="eastAsia" w:ascii="宋体" w:hAnsi="宋体" w:eastAsia="宋体" w:cs="宋体"/>
                <w:szCs w:val="21"/>
              </w:rPr>
              <w:t>依据相关基础信息和证据判断目标设置的可衡量性，即绩效目标设置是否有数据支撑、是否有可衡量性的产出和效果指标，据此核定分数。</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1</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szCs w:val="21"/>
              </w:rPr>
            </w:pPr>
            <w:r>
              <w:rPr>
                <w:rFonts w:hint="eastAsia" w:ascii="宋体" w:hAnsi="宋体" w:eastAsia="宋体" w:cs="宋体"/>
                <w:szCs w:val="21"/>
              </w:rPr>
              <w:t>“开发韶关市区饮用水第二水源，保障用水安全”难以量化。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81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72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kern w:val="0"/>
                <w:szCs w:val="21"/>
              </w:rPr>
            </w:pPr>
            <w:r>
              <w:rPr>
                <w:rFonts w:hint="eastAsia" w:ascii="宋体" w:hAnsi="宋体" w:eastAsia="宋体" w:cs="宋体"/>
                <w:kern w:val="0"/>
                <w:szCs w:val="21"/>
              </w:rPr>
              <w:t>保障</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kern w:val="0"/>
                <w:szCs w:val="21"/>
              </w:rPr>
            </w:pPr>
            <w:r>
              <w:rPr>
                <w:rFonts w:hint="eastAsia" w:ascii="宋体" w:hAnsi="宋体" w:eastAsia="宋体" w:cs="宋体"/>
                <w:kern w:val="0"/>
                <w:szCs w:val="21"/>
              </w:rPr>
              <w:t>措施</w:t>
            </w:r>
          </w:p>
        </w:tc>
        <w:tc>
          <w:tcPr>
            <w:tcW w:w="63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kern w:val="0"/>
                <w:szCs w:val="21"/>
              </w:rPr>
            </w:pPr>
            <w:r>
              <w:rPr>
                <w:rFonts w:hint="eastAsia" w:ascii="宋体" w:hAnsi="宋体" w:eastAsia="宋体" w:cs="宋体"/>
                <w:kern w:val="0"/>
                <w:szCs w:val="21"/>
              </w:rPr>
              <w:t>2</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制度完整性</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1</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szCs w:val="21"/>
              </w:rPr>
            </w:pPr>
            <w:r>
              <w:rPr>
                <w:rFonts w:hint="eastAsia" w:ascii="宋体" w:hAnsi="宋体" w:eastAsia="宋体" w:cs="宋体"/>
                <w:szCs w:val="21"/>
              </w:rPr>
              <w:t>依据相关基础信息和证据判断制度完整性和是否具备条件实施，每项符合得0.5分，不符合不得分。</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0.5</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szCs w:val="21"/>
              </w:rPr>
            </w:pPr>
            <w:r>
              <w:rPr>
                <w:rFonts w:hint="eastAsia" w:ascii="宋体" w:hAnsi="宋体" w:eastAsia="宋体" w:cs="宋体"/>
                <w:szCs w:val="21"/>
              </w:rPr>
              <w:t>未发现绩效跟踪管理的相关制度文件。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81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3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计划安排合理性</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1</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szCs w:val="21"/>
              </w:rPr>
            </w:pPr>
            <w:r>
              <w:rPr>
                <w:rFonts w:hint="eastAsia" w:ascii="宋体" w:hAnsi="宋体" w:eastAsia="宋体" w:cs="宋体"/>
                <w:szCs w:val="21"/>
              </w:rPr>
              <w:t>依据工作进度计划等相关基础信息和证据判断，符合得1分，不符合不得分。</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0.5</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szCs w:val="21"/>
              </w:rPr>
            </w:pPr>
            <w:r>
              <w:rPr>
                <w:rFonts w:hint="eastAsia" w:ascii="宋体" w:hAnsi="宋体" w:eastAsia="宋体" w:cs="宋体"/>
                <w:szCs w:val="21"/>
              </w:rPr>
              <w:t>存在赶工问题，且目前尚未完成工程结算、竣工验收等手续。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81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kern w:val="0"/>
                <w:szCs w:val="21"/>
              </w:rPr>
            </w:pPr>
            <w:r>
              <w:rPr>
                <w:rFonts w:hint="eastAsia" w:ascii="宋体" w:hAnsi="宋体" w:eastAsia="宋体" w:cs="宋体"/>
                <w:kern w:val="0"/>
                <w:szCs w:val="21"/>
              </w:rPr>
              <w:t>资金落实</w:t>
            </w:r>
          </w:p>
        </w:tc>
        <w:tc>
          <w:tcPr>
            <w:tcW w:w="64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kern w:val="0"/>
                <w:szCs w:val="21"/>
              </w:rPr>
            </w:pPr>
            <w:r>
              <w:rPr>
                <w:rFonts w:hint="eastAsia" w:ascii="宋体" w:hAnsi="宋体" w:eastAsia="宋体" w:cs="宋体"/>
                <w:kern w:val="0"/>
                <w:szCs w:val="21"/>
              </w:rPr>
              <w:t>8</w:t>
            </w:r>
          </w:p>
        </w:tc>
        <w:tc>
          <w:tcPr>
            <w:tcW w:w="72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资金</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到位</w:t>
            </w:r>
          </w:p>
        </w:tc>
        <w:tc>
          <w:tcPr>
            <w:tcW w:w="63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5</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资金到位率</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szCs w:val="21"/>
              </w:rPr>
            </w:pPr>
            <w:r>
              <w:rPr>
                <w:rFonts w:hint="eastAsia" w:ascii="宋体" w:hAnsi="宋体" w:eastAsia="宋体" w:cs="宋体"/>
                <w:szCs w:val="21"/>
              </w:rPr>
              <w:t>资金到位率等于100%的，得满分；≤95%的，得0分；95%-100%之间的，计算确定，满分3分。</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资金到位率为100%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81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3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资金到位及时性</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2</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1.各类来源的资金及时到位的，得2分；</w:t>
            </w:r>
            <w:r>
              <w:rPr>
                <w:rFonts w:hint="eastAsia" w:ascii="宋体" w:hAnsi="宋体" w:eastAsia="宋体" w:cs="宋体"/>
                <w:szCs w:val="21"/>
              </w:rPr>
              <w:br w:type="textWrapping"/>
            </w:r>
            <w:r>
              <w:rPr>
                <w:rFonts w:hint="eastAsia" w:ascii="宋体" w:hAnsi="宋体" w:eastAsia="宋体" w:cs="宋体"/>
                <w:szCs w:val="21"/>
              </w:rPr>
              <w:t>资金到位及时率等于100%的，得满分；≤95%的，得0分；95%-100%之间的，计算确定，满分2分。</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2</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均于2021年内下达，资金到位及时。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81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7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资金</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分配</w:t>
            </w:r>
          </w:p>
        </w:tc>
        <w:tc>
          <w:tcPr>
            <w:tcW w:w="6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资金分配合理性</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szCs w:val="21"/>
              </w:rPr>
            </w:pPr>
            <w:r>
              <w:rPr>
                <w:rFonts w:hint="eastAsia" w:ascii="宋体" w:hAnsi="宋体" w:eastAsia="宋体" w:cs="宋体"/>
                <w:szCs w:val="21"/>
              </w:rPr>
              <w:t>依据相关信息和证据判断资金分配是否合理，是否有助于实现资金的绩效目标，每项1.5分，满分为3分。</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具有资金概算文件，资金分配依据较为充分。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kern w:val="0"/>
                <w:szCs w:val="21"/>
              </w:rPr>
            </w:pPr>
            <w:r>
              <w:rPr>
                <w:rFonts w:hint="eastAsia" w:ascii="宋体" w:hAnsi="宋体" w:eastAsia="宋体" w:cs="宋体"/>
                <w:kern w:val="0"/>
                <w:szCs w:val="21"/>
              </w:rPr>
              <w:t>过程</w:t>
            </w:r>
          </w:p>
        </w:tc>
        <w:tc>
          <w:tcPr>
            <w:tcW w:w="66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kern w:val="0"/>
                <w:szCs w:val="21"/>
              </w:rPr>
            </w:pPr>
            <w:r>
              <w:rPr>
                <w:rFonts w:hint="eastAsia" w:ascii="宋体" w:hAnsi="宋体" w:eastAsia="宋体" w:cs="宋体"/>
                <w:kern w:val="0"/>
                <w:szCs w:val="21"/>
              </w:rPr>
              <w:t>20</w:t>
            </w:r>
          </w:p>
        </w:tc>
        <w:tc>
          <w:tcPr>
            <w:tcW w:w="81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kern w:val="0"/>
                <w:szCs w:val="21"/>
              </w:rPr>
            </w:pPr>
            <w:r>
              <w:rPr>
                <w:rFonts w:hint="eastAsia" w:ascii="宋体" w:hAnsi="宋体" w:eastAsia="宋体" w:cs="宋体"/>
                <w:kern w:val="0"/>
                <w:szCs w:val="21"/>
              </w:rPr>
              <w:t>资金管理</w:t>
            </w:r>
          </w:p>
        </w:tc>
        <w:tc>
          <w:tcPr>
            <w:tcW w:w="64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kern w:val="0"/>
                <w:szCs w:val="21"/>
              </w:rPr>
            </w:pPr>
            <w:r>
              <w:rPr>
                <w:rFonts w:hint="eastAsia" w:ascii="宋体" w:hAnsi="宋体" w:eastAsia="宋体" w:cs="宋体"/>
                <w:kern w:val="0"/>
                <w:szCs w:val="21"/>
              </w:rPr>
              <w:t>9</w:t>
            </w:r>
          </w:p>
        </w:tc>
        <w:tc>
          <w:tcPr>
            <w:tcW w:w="7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资金</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支付</w:t>
            </w:r>
          </w:p>
        </w:tc>
        <w:tc>
          <w:tcPr>
            <w:tcW w:w="6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资金支出率</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szCs w:val="21"/>
              </w:rPr>
            </w:pPr>
            <w:r>
              <w:rPr>
                <w:rFonts w:hint="eastAsia" w:ascii="宋体" w:hAnsi="宋体" w:eastAsia="宋体" w:cs="宋体"/>
                <w:szCs w:val="21"/>
              </w:rPr>
              <w:t>综合考虑工作进度，以及是否垫资或履行支付手续而影响支出率等因素适当调整最后得分。预期值为100%，得满分，低于预期值按照百分比计算分值，满分为3分。</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2.84</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支出率为94.65%。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81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7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highlight w:val="yellow"/>
              </w:rPr>
            </w:pPr>
            <w:r>
              <w:rPr>
                <w:rFonts w:hint="eastAsia" w:ascii="宋体" w:hAnsi="宋体" w:eastAsia="宋体" w:cs="宋体"/>
                <w:szCs w:val="21"/>
              </w:rPr>
              <w:t>支出规范性</w:t>
            </w:r>
          </w:p>
        </w:tc>
        <w:tc>
          <w:tcPr>
            <w:tcW w:w="6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highlight w:val="yellow"/>
              </w:rPr>
            </w:pPr>
            <w:r>
              <w:rPr>
                <w:rFonts w:hint="eastAsia" w:ascii="宋体" w:hAnsi="宋体" w:eastAsia="宋体" w:cs="宋体"/>
                <w:szCs w:val="21"/>
              </w:rPr>
              <w:t>6</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highlight w:val="yellow"/>
              </w:rPr>
            </w:pPr>
            <w:r>
              <w:rPr>
                <w:rFonts w:hint="eastAsia" w:ascii="宋体" w:hAnsi="宋体" w:eastAsia="宋体" w:cs="宋体"/>
                <w:szCs w:val="21"/>
              </w:rPr>
              <w:t>支出规范性</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highlight w:val="yellow"/>
              </w:rPr>
            </w:pPr>
            <w:r>
              <w:rPr>
                <w:rFonts w:hint="eastAsia" w:ascii="宋体" w:hAnsi="宋体" w:eastAsia="宋体" w:cs="宋体"/>
                <w:szCs w:val="21"/>
              </w:rPr>
              <w:t>6</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szCs w:val="21"/>
                <w:highlight w:val="yellow"/>
              </w:rPr>
            </w:pPr>
            <w:r>
              <w:rPr>
                <w:rFonts w:hint="eastAsia" w:ascii="宋体" w:hAnsi="宋体" w:eastAsia="宋体" w:cs="宋体"/>
                <w:szCs w:val="21"/>
              </w:rPr>
              <w:t>每项1分，满分为6分。</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6</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各项手续完整、合规。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81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kern w:val="0"/>
                <w:szCs w:val="21"/>
              </w:rPr>
            </w:pPr>
            <w:r>
              <w:rPr>
                <w:rFonts w:hint="eastAsia" w:ascii="宋体" w:hAnsi="宋体" w:eastAsia="宋体" w:cs="宋体"/>
                <w:kern w:val="0"/>
                <w:szCs w:val="21"/>
              </w:rPr>
              <w:t>事项管理</w:t>
            </w:r>
          </w:p>
        </w:tc>
        <w:tc>
          <w:tcPr>
            <w:tcW w:w="64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kern w:val="0"/>
                <w:szCs w:val="21"/>
              </w:rPr>
            </w:pPr>
            <w:r>
              <w:rPr>
                <w:rFonts w:hint="eastAsia" w:ascii="宋体" w:hAnsi="宋体" w:eastAsia="宋体" w:cs="宋体"/>
                <w:kern w:val="0"/>
                <w:szCs w:val="21"/>
              </w:rPr>
              <w:t>11</w:t>
            </w:r>
          </w:p>
        </w:tc>
        <w:tc>
          <w:tcPr>
            <w:tcW w:w="7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实施</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highlight w:val="yellow"/>
              </w:rPr>
            </w:pPr>
            <w:r>
              <w:rPr>
                <w:rFonts w:hint="eastAsia" w:ascii="宋体" w:hAnsi="宋体" w:eastAsia="宋体" w:cs="宋体"/>
                <w:szCs w:val="21"/>
              </w:rPr>
              <w:t>程序</w:t>
            </w:r>
          </w:p>
        </w:tc>
        <w:tc>
          <w:tcPr>
            <w:tcW w:w="6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highlight w:val="yellow"/>
              </w:rPr>
            </w:pPr>
            <w:r>
              <w:rPr>
                <w:rFonts w:hint="eastAsia" w:ascii="宋体" w:hAnsi="宋体" w:eastAsia="宋体" w:cs="宋体"/>
                <w:szCs w:val="21"/>
              </w:rPr>
              <w:t>5</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highlight w:val="yellow"/>
              </w:rPr>
            </w:pPr>
            <w:r>
              <w:rPr>
                <w:rFonts w:hint="eastAsia" w:ascii="宋体" w:hAnsi="宋体" w:eastAsia="宋体" w:cs="宋体"/>
                <w:szCs w:val="21"/>
              </w:rPr>
              <w:t>程序规范性</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5</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szCs w:val="21"/>
                <w:highlight w:val="yellow"/>
              </w:rPr>
            </w:pPr>
            <w:r>
              <w:rPr>
                <w:rFonts w:hint="eastAsia" w:ascii="宋体" w:hAnsi="宋体" w:eastAsia="宋体" w:cs="宋体"/>
                <w:szCs w:val="21"/>
              </w:rPr>
              <w:t>每项1分，满分为5分。</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5</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szCs w:val="21"/>
              </w:rPr>
            </w:pPr>
            <w:r>
              <w:rPr>
                <w:rFonts w:hint="eastAsia" w:ascii="宋体" w:hAnsi="宋体" w:eastAsia="宋体" w:cs="宋体"/>
                <w:szCs w:val="21"/>
              </w:rPr>
              <w:t>具有《韶关市乳源瑶族自治县南水水库供水工程（原水管道部分）土建及安装施工合同第III标段补充协议二（重新约定工期）》等资料，并进行公示。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81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kern w:val="0"/>
                <w:szCs w:val="21"/>
              </w:rPr>
            </w:pPr>
          </w:p>
        </w:tc>
        <w:tc>
          <w:tcPr>
            <w:tcW w:w="6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kern w:val="0"/>
                <w:szCs w:val="21"/>
              </w:rPr>
            </w:pPr>
          </w:p>
        </w:tc>
        <w:tc>
          <w:tcPr>
            <w:tcW w:w="72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管理</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情况</w:t>
            </w:r>
          </w:p>
        </w:tc>
        <w:tc>
          <w:tcPr>
            <w:tcW w:w="63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6</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组织管理机构设立情况</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szCs w:val="21"/>
              </w:rPr>
            </w:pPr>
            <w:r>
              <w:rPr>
                <w:rFonts w:hint="eastAsia" w:ascii="宋体" w:hAnsi="宋体" w:eastAsia="宋体" w:cs="宋体"/>
                <w:szCs w:val="21"/>
              </w:rPr>
              <w:t>每项1.5分，满分为3分。</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szCs w:val="21"/>
              </w:rPr>
            </w:pPr>
            <w:r>
              <w:rPr>
                <w:rFonts w:hint="eastAsia" w:ascii="宋体" w:hAnsi="宋体" w:eastAsia="宋体" w:cs="宋体"/>
                <w:szCs w:val="21"/>
              </w:rPr>
              <w:t>设立有韶关市乳源瑶族自治县南水水库供水工程项目领导小组。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81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3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监管有效性</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szCs w:val="21"/>
              </w:rPr>
            </w:pPr>
            <w:r>
              <w:rPr>
                <w:rFonts w:hint="eastAsia" w:ascii="宋体" w:hAnsi="宋体" w:eastAsia="宋体" w:cs="宋体"/>
                <w:szCs w:val="21"/>
              </w:rPr>
              <w:t>每项1分，满分为3分。</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szCs w:val="21"/>
              </w:rPr>
            </w:pPr>
            <w:r>
              <w:rPr>
                <w:rFonts w:hint="eastAsia" w:ascii="宋体" w:hAnsi="宋体" w:eastAsia="宋体" w:cs="宋体"/>
                <w:szCs w:val="21"/>
              </w:rPr>
              <w:t>采取了必要的监控措施。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产出</w:t>
            </w:r>
          </w:p>
        </w:tc>
        <w:tc>
          <w:tcPr>
            <w:tcW w:w="66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30</w:t>
            </w:r>
          </w:p>
        </w:tc>
        <w:tc>
          <w:tcPr>
            <w:tcW w:w="81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经济性</w:t>
            </w:r>
          </w:p>
        </w:tc>
        <w:tc>
          <w:tcPr>
            <w:tcW w:w="64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5</w:t>
            </w:r>
          </w:p>
        </w:tc>
        <w:tc>
          <w:tcPr>
            <w:tcW w:w="72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预算</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控制</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成本控制率</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szCs w:val="21"/>
              </w:rPr>
            </w:pPr>
            <w:r>
              <w:rPr>
                <w:rFonts w:hint="eastAsia" w:ascii="宋体" w:hAnsi="宋体" w:eastAsia="宋体" w:cs="宋体"/>
                <w:szCs w:val="21"/>
              </w:rPr>
              <w:t>在项目按照预算完成的前提下，与同类项目或市场价格比较，项目实施的成本（包括工程造价、物品采购单价、人员经费等）属于合理范围的（如与同类项目或市场价格大致相符的）得满分；成本不合理的（如明显高于或低于同类项目或市场价格的）酌情扣分。</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2</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于2021年修订了项目概算，减少了工程总投资金额，侧面说明此前的概算存在成本控制空间。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81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2</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成本</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节约</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2</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szCs w:val="21"/>
              </w:rPr>
            </w:pPr>
            <w:r>
              <w:rPr>
                <w:rFonts w:hint="eastAsia" w:ascii="宋体" w:hAnsi="宋体" w:eastAsia="宋体" w:cs="宋体"/>
                <w:szCs w:val="21"/>
              </w:rPr>
              <w:t>1.成本节约率≥2%，得2分；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szCs w:val="21"/>
              </w:rPr>
            </w:pPr>
            <w:r>
              <w:rPr>
                <w:rFonts w:hint="eastAsia" w:ascii="宋体" w:hAnsi="宋体" w:eastAsia="宋体" w:cs="宋体"/>
                <w:szCs w:val="21"/>
              </w:rPr>
              <w:t xml:space="preserve">2.0＜成本节约率＜2%，得分=成本节约率×该指标分值； </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1.63</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概算由15.17亿元减少为14.88亿元；未见调整为13.79亿元的概算批复文件。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81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效率性</w:t>
            </w:r>
          </w:p>
        </w:tc>
        <w:tc>
          <w:tcPr>
            <w:tcW w:w="64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25</w:t>
            </w:r>
          </w:p>
        </w:tc>
        <w:tc>
          <w:tcPr>
            <w:tcW w:w="72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产出</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数量</w:t>
            </w:r>
          </w:p>
        </w:tc>
        <w:tc>
          <w:tcPr>
            <w:tcW w:w="63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10</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Cs w:val="21"/>
              </w:rPr>
            </w:pPr>
            <w:r>
              <w:rPr>
                <w:rFonts w:hint="eastAsia" w:ascii="宋体" w:hAnsi="宋体" w:eastAsia="宋体" w:cs="宋体"/>
                <w:szCs w:val="21"/>
              </w:rPr>
              <w:t>工程建设用地规模</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2</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szCs w:val="21"/>
              </w:rPr>
            </w:pPr>
            <w:r>
              <w:rPr>
                <w:rFonts w:hint="eastAsia" w:ascii="宋体" w:hAnsi="宋体" w:eastAsia="宋体" w:cs="宋体"/>
                <w:szCs w:val="21"/>
              </w:rPr>
              <w:t>工程建设用地规模预期值为 3923.59 亩，低于预期值按照百分比计算分值，满分为2分。</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1</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未见佐证材料。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81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3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Cs w:val="21"/>
              </w:rPr>
            </w:pPr>
            <w:r>
              <w:rPr>
                <w:rFonts w:hint="eastAsia" w:ascii="宋体" w:hAnsi="宋体" w:eastAsia="宋体" w:cs="宋体"/>
                <w:szCs w:val="21"/>
              </w:rPr>
              <w:t>完成输水管道建设</w:t>
            </w:r>
          </w:p>
        </w:tc>
        <w:tc>
          <w:tcPr>
            <w:tcW w:w="6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预期值为南水至西河二水厂段输水管道长 36.67km，乳源县配水主管长 0.12km，低于预期值按照百分比计算分值，满分为3分。</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建成输水管道约38.1公里。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81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3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Cs w:val="21"/>
              </w:rPr>
            </w:pPr>
            <w:r>
              <w:rPr>
                <w:rFonts w:hint="eastAsia" w:ascii="宋体" w:hAnsi="宋体" w:eastAsia="宋体" w:cs="宋体"/>
                <w:szCs w:val="21"/>
              </w:rPr>
              <w:t>新水厂日供水能力</w:t>
            </w:r>
          </w:p>
        </w:tc>
        <w:tc>
          <w:tcPr>
            <w:tcW w:w="6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2</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预期值为16.25 万吨/天，依据水价定价原则，日均达到 65%及以上得满分，低于预期值按照百分比计算分值，满分为2分。</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2</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年均日供水量达26.98万吨。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81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3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Cs w:val="21"/>
              </w:rPr>
            </w:pPr>
            <w:r>
              <w:rPr>
                <w:rFonts w:hint="eastAsia" w:ascii="宋体" w:hAnsi="宋体" w:eastAsia="宋体" w:cs="宋体"/>
                <w:szCs w:val="21"/>
              </w:rPr>
              <w:t>供水量保证率</w:t>
            </w:r>
          </w:p>
        </w:tc>
        <w:tc>
          <w:tcPr>
            <w:tcW w:w="6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预期值为95%及以上得满分，低于预期值按照百分比计算分值，满分为3分。</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无断供。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81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72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产出</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质量</w:t>
            </w:r>
          </w:p>
        </w:tc>
        <w:tc>
          <w:tcPr>
            <w:tcW w:w="63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10</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Cs w:val="21"/>
              </w:rPr>
            </w:pPr>
            <w:r>
              <w:rPr>
                <w:rFonts w:hint="eastAsia" w:ascii="宋体" w:hAnsi="宋体" w:eastAsia="宋体" w:cs="宋体"/>
                <w:szCs w:val="21"/>
              </w:rPr>
              <w:t>工程验收合格率</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4</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预期值为100%，得满分，低于预期值按照百分比计算分值，满分为4分。</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4</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验收合格率100%。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81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3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Cs w:val="21"/>
              </w:rPr>
            </w:pPr>
            <w:r>
              <w:rPr>
                <w:rFonts w:hint="eastAsia" w:ascii="宋体" w:hAnsi="宋体" w:eastAsia="宋体" w:cs="宋体"/>
                <w:szCs w:val="21"/>
              </w:rPr>
              <w:t>供水水质达标率</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预期值为100%，得满分，低于预期值按照百分比计算分值，满分为3分。</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符合《地表水环境质量标准》（GB3838-2002）Ⅱ类水标准；自来水符合《生活饮用水卫生标准》（GB 5749-2006）的规定。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81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3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Cs w:val="21"/>
              </w:rPr>
            </w:pPr>
            <w:r>
              <w:rPr>
                <w:rFonts w:hint="eastAsia" w:ascii="宋体" w:hAnsi="宋体" w:eastAsia="宋体" w:cs="宋体"/>
                <w:szCs w:val="21"/>
              </w:rPr>
              <w:t>供水水压达标率</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预期值为城市配水管网的供水水压宜满足用户接管点处服务水头28m的要求，低于预期值不得分。</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工程建于山上，可通过重力作用供水。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81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72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产出</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时效</w:t>
            </w:r>
          </w:p>
        </w:tc>
        <w:tc>
          <w:tcPr>
            <w:tcW w:w="63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5</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Cs w:val="21"/>
              </w:rPr>
            </w:pPr>
            <w:r>
              <w:rPr>
                <w:rFonts w:hint="eastAsia" w:ascii="宋体" w:hAnsi="宋体" w:eastAsia="宋体" w:cs="宋体"/>
                <w:szCs w:val="21"/>
              </w:rPr>
              <w:t>水厂完工时间</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预期值为2021年内建成，低于预期值按照百分比计算分值，满分为3分。</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1</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主体工程于2021年3月30日完工，各标段工程完工时间略延期。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81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6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kern w:val="0"/>
                <w:szCs w:val="21"/>
              </w:rPr>
            </w:pPr>
          </w:p>
        </w:tc>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3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Cs w:val="21"/>
              </w:rPr>
            </w:pPr>
            <w:r>
              <w:rPr>
                <w:rFonts w:hint="eastAsia" w:ascii="宋体" w:hAnsi="宋体" w:eastAsia="宋体" w:cs="宋体"/>
                <w:szCs w:val="21"/>
              </w:rPr>
              <w:t>输水管道建设完工投产时间</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2</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工程建设期为2年，预期值为2021年内建成为100%，得满分，低于预期值按照百分比计算分值，满分为2分。</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1</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2021年6月完成主体工程建设，但暂未完成后续的工程结算、验收手续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效益</w:t>
            </w:r>
          </w:p>
        </w:tc>
        <w:tc>
          <w:tcPr>
            <w:tcW w:w="66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30</w:t>
            </w:r>
          </w:p>
        </w:tc>
        <w:tc>
          <w:tcPr>
            <w:tcW w:w="81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效果性</w:t>
            </w:r>
          </w:p>
        </w:tc>
        <w:tc>
          <w:tcPr>
            <w:tcW w:w="64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27</w:t>
            </w:r>
          </w:p>
        </w:tc>
        <w:tc>
          <w:tcPr>
            <w:tcW w:w="7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经济</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效益</w:t>
            </w:r>
          </w:p>
        </w:tc>
        <w:tc>
          <w:tcPr>
            <w:tcW w:w="6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Cs w:val="21"/>
              </w:rPr>
            </w:pPr>
            <w:r>
              <w:rPr>
                <w:rFonts w:hint="eastAsia" w:ascii="宋体" w:hAnsi="宋体" w:eastAsia="宋体" w:cs="宋体"/>
                <w:szCs w:val="21"/>
              </w:rPr>
              <w:t>供水单位综合电耗</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预期值为380 kwh/（103m3·MPa），低于预期值不得分。</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1</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仅于项目概算节能设计文件中见供水单位的用电能耗阐述，未见项目建成后的供水单位综合电耗相关材料。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81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72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社会</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效益</w:t>
            </w:r>
          </w:p>
        </w:tc>
        <w:tc>
          <w:tcPr>
            <w:tcW w:w="63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9</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Cs w:val="21"/>
              </w:rPr>
            </w:pPr>
            <w:r>
              <w:rPr>
                <w:rFonts w:hint="eastAsia" w:ascii="宋体" w:hAnsi="宋体" w:eastAsia="宋体" w:cs="宋体"/>
                <w:szCs w:val="21"/>
              </w:rPr>
              <w:t>居民生活用水量供应达标</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供水水压达标率预期值为最不利配水点达到城市配水管网的供水水压满足用户接管点处服务水头14m的要求。</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工程建于山上，可通过重力作用供水。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81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3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Cs w:val="21"/>
              </w:rPr>
            </w:pPr>
            <w:r>
              <w:rPr>
                <w:rFonts w:hint="eastAsia" w:ascii="宋体" w:hAnsi="宋体" w:eastAsia="宋体" w:cs="宋体"/>
                <w:szCs w:val="21"/>
              </w:rPr>
              <w:t>提供更高品质生活饮用水</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根据工程前后居民供水水质检测结果评分，工程投产后主要水质参数高于原来供水参数得满分，否则不得分。</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2021年12月水质pH值更靠近7。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81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3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提供稳定安全的供水保证率</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根据工程前后韶关市区和乳源县供水保证率进行评分，工程投产后韶关市区供水保证率达到预期值供水设计保证率97%得满分，低于预期值按照百分比计算分值。</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1</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未见佐证材料。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81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72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环境</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效益</w:t>
            </w:r>
          </w:p>
        </w:tc>
        <w:tc>
          <w:tcPr>
            <w:tcW w:w="63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8</w:t>
            </w:r>
          </w:p>
        </w:tc>
        <w:tc>
          <w:tcPr>
            <w:tcW w:w="9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自然环境管理</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4</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工程建设中以及完工后对施工破坏的环境进行报备并尽可能恢复。工程建设完工后由当地环保局监督监查，自然环境管理要求达标。存在破坏环境问题不得分。</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1</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未见佐证材料。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81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72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3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9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污染</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控制</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4</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污染控制经检测达标得满分，否则不得分。</w:t>
            </w:r>
          </w:p>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0</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未见佐证材料。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81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72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可持续发展</w:t>
            </w:r>
          </w:p>
        </w:tc>
        <w:tc>
          <w:tcPr>
            <w:tcW w:w="63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7</w:t>
            </w:r>
          </w:p>
        </w:tc>
        <w:tc>
          <w:tcPr>
            <w:tcW w:w="9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供水保障能力</w:t>
            </w:r>
          </w:p>
        </w:tc>
        <w:tc>
          <w:tcPr>
            <w:tcW w:w="6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2</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1.增设在线水质检测设施，得 1 分。</w:t>
            </w:r>
          </w:p>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2.由供水企业负责管理的二次供水设施，提升末端水质的保障能力，如实现二次供水设施结构的全封闭等，得 1 分。</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1</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中控楼新设水质检测化验室；未见二次供水设施结构相关材料。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81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72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3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9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工程运营管理</w:t>
            </w:r>
          </w:p>
        </w:tc>
        <w:tc>
          <w:tcPr>
            <w:tcW w:w="6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1.成立专门的机构负责工程建成后的运行管理工作，得1分。</w:t>
            </w:r>
          </w:p>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2.配置人员负责工程建成后的运行管理工作，得1分。</w:t>
            </w:r>
          </w:p>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3.划定工程管理范围和保护范围，配置相应的交通、通讯等管理设施，得1分。</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移交西河二水厂管理。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81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72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3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9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工程扩（续）建可增加年引水量</w:t>
            </w:r>
          </w:p>
        </w:tc>
        <w:tc>
          <w:tcPr>
            <w:tcW w:w="6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2</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1.查看项目论证报告与验收报告，被评价单位提供的工程资料对于下一步扩建和续建留有余量得1分，否则不得分。</w:t>
            </w:r>
          </w:p>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2.工程设计的年引水量可以在现有基础上增得1分，否则不得分。</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2</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可研报告中存在“后续建议”；目前供水量达30万吨，预计全部工程建完后供水量可达67万吨。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p>
        </w:tc>
        <w:tc>
          <w:tcPr>
            <w:tcW w:w="81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公平性</w:t>
            </w:r>
          </w:p>
        </w:tc>
        <w:tc>
          <w:tcPr>
            <w:tcW w:w="6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7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满意度</w:t>
            </w:r>
          </w:p>
        </w:tc>
        <w:tc>
          <w:tcPr>
            <w:tcW w:w="6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群众满意度</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42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预期值为90%或以上，得满分，低于预期值按照百分比计算分值，满分为3分。</w:t>
            </w: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szCs w:val="21"/>
              </w:rPr>
            </w:pPr>
            <w:r>
              <w:rPr>
                <w:rFonts w:hint="eastAsia" w:ascii="宋体" w:hAnsi="宋体" w:eastAsia="宋体" w:cs="宋体"/>
                <w:szCs w:val="21"/>
              </w:rPr>
              <w:t>3</w:t>
            </w:r>
          </w:p>
        </w:tc>
        <w:tc>
          <w:tcPr>
            <w:tcW w:w="3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szCs w:val="21"/>
              </w:rPr>
            </w:pPr>
            <w:r>
              <w:rPr>
                <w:rFonts w:hint="eastAsia" w:ascii="宋体" w:hAnsi="宋体" w:eastAsia="宋体" w:cs="宋体"/>
                <w:szCs w:val="21"/>
              </w:rPr>
              <w:t>得到众多媒体的报道，保障了130万人的饮用水安全，得到群众的广泛喜爱。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7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szCs w:val="21"/>
              </w:rPr>
            </w:pPr>
            <w:r>
              <w:rPr>
                <w:rFonts w:hint="eastAsia" w:ascii="宋体" w:hAnsi="宋体" w:eastAsia="宋体" w:cs="宋体"/>
                <w:b/>
                <w:bCs/>
                <w:szCs w:val="21"/>
              </w:rPr>
              <w:t>合计</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szCs w:val="21"/>
              </w:rPr>
            </w:pPr>
            <w:r>
              <w:rPr>
                <w:rFonts w:hint="eastAsia" w:ascii="宋体" w:hAnsi="宋体" w:eastAsia="宋体" w:cs="宋体"/>
                <w:b/>
                <w:bCs/>
                <w:szCs w:val="21"/>
              </w:rPr>
              <w:t>100</w:t>
            </w:r>
          </w:p>
        </w:tc>
        <w:tc>
          <w:tcPr>
            <w:tcW w:w="81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szCs w:val="21"/>
              </w:rPr>
            </w:pPr>
            <w:r>
              <w:rPr>
                <w:rFonts w:hint="eastAsia" w:ascii="宋体" w:hAnsi="宋体" w:eastAsia="宋体" w:cs="宋体"/>
                <w:b/>
                <w:bCs/>
                <w:szCs w:val="21"/>
              </w:rPr>
              <w:t>-</w:t>
            </w:r>
          </w:p>
        </w:tc>
        <w:tc>
          <w:tcPr>
            <w:tcW w:w="6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szCs w:val="21"/>
              </w:rPr>
            </w:pPr>
            <w:r>
              <w:rPr>
                <w:rFonts w:hint="eastAsia" w:ascii="宋体" w:hAnsi="宋体" w:eastAsia="宋体" w:cs="宋体"/>
                <w:b/>
                <w:bCs/>
                <w:szCs w:val="21"/>
              </w:rPr>
              <w:t>100</w:t>
            </w:r>
          </w:p>
        </w:tc>
        <w:tc>
          <w:tcPr>
            <w:tcW w:w="7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szCs w:val="21"/>
              </w:rPr>
            </w:pPr>
            <w:r>
              <w:rPr>
                <w:rFonts w:hint="eastAsia" w:ascii="宋体" w:hAnsi="宋体" w:eastAsia="宋体" w:cs="宋体"/>
                <w:b/>
                <w:bCs/>
                <w:szCs w:val="21"/>
              </w:rPr>
              <w:t>-</w:t>
            </w:r>
          </w:p>
        </w:tc>
        <w:tc>
          <w:tcPr>
            <w:tcW w:w="6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szCs w:val="21"/>
              </w:rPr>
            </w:pPr>
            <w:r>
              <w:rPr>
                <w:rFonts w:hint="eastAsia" w:ascii="宋体" w:hAnsi="宋体" w:eastAsia="宋体" w:cs="宋体"/>
                <w:b/>
                <w:bCs/>
                <w:szCs w:val="21"/>
              </w:rPr>
              <w:t>100</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szCs w:val="21"/>
              </w:rPr>
            </w:pPr>
            <w:r>
              <w:rPr>
                <w:rFonts w:hint="eastAsia" w:ascii="宋体" w:hAnsi="宋体" w:eastAsia="宋体" w:cs="宋体"/>
                <w:b/>
                <w:bCs/>
                <w:szCs w:val="21"/>
              </w:rPr>
              <w:t>-</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szCs w:val="21"/>
              </w:rPr>
            </w:pPr>
            <w:r>
              <w:rPr>
                <w:rFonts w:hint="eastAsia" w:ascii="宋体" w:hAnsi="宋体" w:eastAsia="宋体" w:cs="宋体"/>
                <w:b/>
                <w:bCs/>
                <w:szCs w:val="21"/>
              </w:rPr>
              <w:t>100</w:t>
            </w:r>
          </w:p>
        </w:tc>
        <w:tc>
          <w:tcPr>
            <w:tcW w:w="4245"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b/>
                <w:bCs/>
                <w:szCs w:val="21"/>
              </w:rPr>
            </w:pPr>
          </w:p>
        </w:tc>
        <w:tc>
          <w:tcPr>
            <w:tcW w:w="10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szCs w:val="21"/>
              </w:rPr>
            </w:pPr>
            <w:r>
              <w:rPr>
                <w:rFonts w:hint="eastAsia" w:ascii="宋体" w:hAnsi="宋体" w:eastAsia="宋体" w:cs="宋体"/>
                <w:b/>
                <w:bCs/>
                <w:szCs w:val="21"/>
              </w:rPr>
              <w:t>7</w:t>
            </w:r>
            <w:r>
              <w:rPr>
                <w:rFonts w:hint="eastAsia" w:ascii="宋体" w:hAnsi="宋体" w:eastAsia="宋体" w:cs="宋体"/>
                <w:b/>
                <w:bCs/>
                <w:szCs w:val="21"/>
                <w:lang w:val="en-US" w:eastAsia="zh-CN"/>
              </w:rPr>
              <w:t>8</w:t>
            </w:r>
            <w:r>
              <w:rPr>
                <w:rFonts w:hint="eastAsia" w:ascii="宋体" w:hAnsi="宋体" w:eastAsia="宋体" w:cs="宋体"/>
                <w:b/>
                <w:bCs/>
                <w:szCs w:val="21"/>
              </w:rPr>
              <w:t>.47</w:t>
            </w:r>
          </w:p>
        </w:tc>
        <w:tc>
          <w:tcPr>
            <w:tcW w:w="3617"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hAnsi="宋体" w:eastAsia="宋体" w:cs="宋体"/>
                <w:b/>
                <w:bCs/>
                <w:szCs w:val="21"/>
              </w:rPr>
            </w:pPr>
          </w:p>
        </w:tc>
      </w:tr>
    </w:tbl>
    <w:p/>
    <w:p/>
    <w:p>
      <w:r>
        <w:br w:type="page"/>
      </w:r>
    </w:p>
    <w:p>
      <w:pPr>
        <w:outlineLvl w:val="0"/>
        <w:rPr>
          <w:rFonts w:ascii="黑体" w:hAnsi="黑体" w:eastAsia="黑体" w:cs="黑体"/>
          <w:sz w:val="32"/>
          <w:szCs w:val="22"/>
        </w:rPr>
      </w:pPr>
      <w:bookmarkStart w:id="64" w:name="_Toc32709"/>
      <w:r>
        <w:rPr>
          <w:rFonts w:hint="eastAsia" w:ascii="黑体" w:hAnsi="黑体" w:eastAsia="黑体" w:cs="黑体"/>
          <w:sz w:val="32"/>
          <w:szCs w:val="22"/>
        </w:rPr>
        <w:t>附件2</w:t>
      </w:r>
      <w:bookmarkEnd w:id="64"/>
    </w:p>
    <w:p>
      <w:pPr>
        <w:jc w:val="center"/>
        <w:rPr>
          <w:rFonts w:hint="eastAsia" w:asciiTheme="majorEastAsia" w:hAnsiTheme="majorEastAsia" w:eastAsiaTheme="majorEastAsia" w:cstheme="majorEastAsia"/>
          <w:b/>
          <w:bCs/>
          <w:sz w:val="32"/>
          <w:szCs w:val="22"/>
        </w:rPr>
      </w:pPr>
      <w:r>
        <w:rPr>
          <w:rFonts w:hint="eastAsia" w:asciiTheme="majorEastAsia" w:hAnsiTheme="majorEastAsia" w:eastAsiaTheme="majorEastAsia" w:cstheme="majorEastAsia"/>
          <w:b/>
          <w:bCs/>
          <w:sz w:val="32"/>
          <w:szCs w:val="22"/>
          <w:lang w:bidi="ar"/>
        </w:rPr>
        <w:t>韶关市乳源瑶族自治县南水水库供水工程项目</w:t>
      </w:r>
      <w:r>
        <w:rPr>
          <w:rFonts w:hint="eastAsia" w:asciiTheme="majorEastAsia" w:hAnsiTheme="majorEastAsia" w:eastAsiaTheme="majorEastAsia" w:cstheme="majorEastAsia"/>
          <w:b/>
          <w:bCs/>
          <w:sz w:val="32"/>
          <w:szCs w:val="22"/>
        </w:rPr>
        <w:t>评价团队</w:t>
      </w:r>
    </w:p>
    <w:tbl>
      <w:tblPr>
        <w:tblStyle w:val="19"/>
        <w:tblW w:w="13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406"/>
        <w:gridCol w:w="1251"/>
        <w:gridCol w:w="2859"/>
        <w:gridCol w:w="5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882" w:type="dxa"/>
            <w:vAlign w:val="center"/>
          </w:tcPr>
          <w:p>
            <w:pPr>
              <w:widowControl/>
              <w:spacing w:line="24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406" w:type="dxa"/>
            <w:vAlign w:val="center"/>
          </w:tcPr>
          <w:p>
            <w:pPr>
              <w:widowControl/>
              <w:spacing w:line="240" w:lineRule="exact"/>
              <w:jc w:val="center"/>
              <w:rPr>
                <w:rFonts w:ascii="宋体" w:hAnsi="宋体" w:eastAsia="宋体" w:cs="宋体"/>
                <w:b/>
                <w:bCs/>
                <w:sz w:val="24"/>
                <w:szCs w:val="24"/>
              </w:rPr>
            </w:pPr>
            <w:r>
              <w:rPr>
                <w:rFonts w:hint="eastAsia" w:ascii="宋体" w:hAnsi="宋体" w:eastAsia="宋体" w:cs="宋体"/>
                <w:b/>
                <w:bCs/>
                <w:sz w:val="24"/>
                <w:szCs w:val="24"/>
              </w:rPr>
              <w:t>分工</w:t>
            </w:r>
          </w:p>
        </w:tc>
        <w:tc>
          <w:tcPr>
            <w:tcW w:w="1251" w:type="dxa"/>
            <w:vAlign w:val="center"/>
          </w:tcPr>
          <w:p>
            <w:pPr>
              <w:widowControl/>
              <w:spacing w:line="240" w:lineRule="exact"/>
              <w:jc w:val="center"/>
              <w:rPr>
                <w:rFonts w:ascii="宋体" w:hAnsi="宋体" w:eastAsia="宋体" w:cs="宋体"/>
                <w:b/>
                <w:bCs/>
                <w:sz w:val="24"/>
                <w:szCs w:val="24"/>
              </w:rPr>
            </w:pPr>
            <w:r>
              <w:rPr>
                <w:rFonts w:hint="eastAsia" w:ascii="宋体" w:hAnsi="宋体" w:eastAsia="宋体" w:cs="宋体"/>
                <w:b/>
                <w:bCs/>
                <w:sz w:val="24"/>
                <w:szCs w:val="24"/>
              </w:rPr>
              <w:t>姓名</w:t>
            </w:r>
          </w:p>
        </w:tc>
        <w:tc>
          <w:tcPr>
            <w:tcW w:w="2859" w:type="dxa"/>
            <w:vAlign w:val="center"/>
          </w:tcPr>
          <w:p>
            <w:pPr>
              <w:widowControl/>
              <w:spacing w:line="240" w:lineRule="exact"/>
              <w:jc w:val="center"/>
              <w:rPr>
                <w:rFonts w:ascii="宋体" w:hAnsi="宋体" w:eastAsia="宋体" w:cs="宋体"/>
                <w:b/>
                <w:bCs/>
                <w:sz w:val="24"/>
                <w:szCs w:val="24"/>
              </w:rPr>
            </w:pPr>
            <w:r>
              <w:rPr>
                <w:rFonts w:hint="eastAsia" w:ascii="宋体" w:hAnsi="宋体" w:eastAsia="宋体" w:cs="宋体"/>
                <w:b/>
                <w:bCs/>
                <w:sz w:val="24"/>
                <w:szCs w:val="24"/>
              </w:rPr>
              <w:t>职务/职称</w:t>
            </w:r>
          </w:p>
        </w:tc>
        <w:tc>
          <w:tcPr>
            <w:tcW w:w="5677" w:type="dxa"/>
            <w:vAlign w:val="center"/>
          </w:tcPr>
          <w:p>
            <w:pPr>
              <w:widowControl/>
              <w:spacing w:line="240" w:lineRule="exact"/>
              <w:jc w:val="center"/>
              <w:rPr>
                <w:rFonts w:ascii="宋体" w:hAnsi="宋体" w:eastAsia="宋体" w:cs="宋体"/>
                <w:b/>
                <w:bCs/>
                <w:sz w:val="24"/>
                <w:szCs w:val="24"/>
              </w:rPr>
            </w:pPr>
            <w:r>
              <w:rPr>
                <w:rFonts w:hint="eastAsia" w:ascii="宋体" w:hAnsi="宋体" w:eastAsia="宋体" w:cs="宋体"/>
                <w:b/>
                <w:bCs/>
                <w:sz w:val="24"/>
                <w:szCs w:val="24"/>
              </w:rPr>
              <w:t>本次评价中负责的工作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2"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w:t>
            </w:r>
          </w:p>
        </w:tc>
        <w:tc>
          <w:tcPr>
            <w:tcW w:w="2406"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评价机构负责人</w:t>
            </w:r>
          </w:p>
        </w:tc>
        <w:tc>
          <w:tcPr>
            <w:tcW w:w="1251"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易中华</w:t>
            </w:r>
          </w:p>
        </w:tc>
        <w:tc>
          <w:tcPr>
            <w:tcW w:w="2859"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建筑工程造价高级工程师</w:t>
            </w:r>
          </w:p>
        </w:tc>
        <w:tc>
          <w:tcPr>
            <w:tcW w:w="5677"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总负责人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2"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w:t>
            </w:r>
          </w:p>
        </w:tc>
        <w:tc>
          <w:tcPr>
            <w:tcW w:w="2406"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项目负责人</w:t>
            </w:r>
          </w:p>
        </w:tc>
        <w:tc>
          <w:tcPr>
            <w:tcW w:w="1251"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王德华</w:t>
            </w:r>
          </w:p>
        </w:tc>
        <w:tc>
          <w:tcPr>
            <w:tcW w:w="2859"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经理</w:t>
            </w:r>
          </w:p>
        </w:tc>
        <w:tc>
          <w:tcPr>
            <w:tcW w:w="5677"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整体组织统筹项目进度及质量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2"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w:t>
            </w:r>
          </w:p>
        </w:tc>
        <w:tc>
          <w:tcPr>
            <w:tcW w:w="2406"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绩效专家</w:t>
            </w:r>
          </w:p>
        </w:tc>
        <w:tc>
          <w:tcPr>
            <w:tcW w:w="1251"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于铁山</w:t>
            </w:r>
          </w:p>
        </w:tc>
        <w:tc>
          <w:tcPr>
            <w:tcW w:w="2859"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副教授</w:t>
            </w:r>
          </w:p>
        </w:tc>
        <w:tc>
          <w:tcPr>
            <w:tcW w:w="5677"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整体把控评价质量，包括绩效指标体系设计、现场评价等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2"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w:t>
            </w:r>
          </w:p>
        </w:tc>
        <w:tc>
          <w:tcPr>
            <w:tcW w:w="2406"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绩效专家</w:t>
            </w:r>
          </w:p>
        </w:tc>
        <w:tc>
          <w:tcPr>
            <w:tcW w:w="1251"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李森科</w:t>
            </w:r>
          </w:p>
        </w:tc>
        <w:tc>
          <w:tcPr>
            <w:tcW w:w="2859"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高级经济师、国际注册会计师</w:t>
            </w:r>
          </w:p>
        </w:tc>
        <w:tc>
          <w:tcPr>
            <w:tcW w:w="5677"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整体把控评价质量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2"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w:t>
            </w:r>
          </w:p>
        </w:tc>
        <w:tc>
          <w:tcPr>
            <w:tcW w:w="2406"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财务专家</w:t>
            </w:r>
          </w:p>
        </w:tc>
        <w:tc>
          <w:tcPr>
            <w:tcW w:w="1251"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李冰</w:t>
            </w:r>
          </w:p>
        </w:tc>
        <w:tc>
          <w:tcPr>
            <w:tcW w:w="2859"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高级会计师</w:t>
            </w:r>
          </w:p>
        </w:tc>
        <w:tc>
          <w:tcPr>
            <w:tcW w:w="5677"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整体把控财务评审质量，进行现场评价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2"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6</w:t>
            </w:r>
          </w:p>
        </w:tc>
        <w:tc>
          <w:tcPr>
            <w:tcW w:w="2406"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行业专家</w:t>
            </w:r>
          </w:p>
        </w:tc>
        <w:tc>
          <w:tcPr>
            <w:tcW w:w="1251"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邹晋</w:t>
            </w:r>
          </w:p>
        </w:tc>
        <w:tc>
          <w:tcPr>
            <w:tcW w:w="2859"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高级劳动关系协调师</w:t>
            </w:r>
          </w:p>
        </w:tc>
        <w:tc>
          <w:tcPr>
            <w:tcW w:w="5677"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整体把控评价质量，进行现场评价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2"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7</w:t>
            </w:r>
          </w:p>
        </w:tc>
        <w:tc>
          <w:tcPr>
            <w:tcW w:w="2406"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行业专家</w:t>
            </w:r>
          </w:p>
        </w:tc>
        <w:tc>
          <w:tcPr>
            <w:tcW w:w="1251"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杨丽杰</w:t>
            </w:r>
          </w:p>
        </w:tc>
        <w:tc>
          <w:tcPr>
            <w:tcW w:w="2859"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中级建筑经济师</w:t>
            </w:r>
          </w:p>
        </w:tc>
        <w:tc>
          <w:tcPr>
            <w:tcW w:w="5677"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整体把控评价质量，进行现场评价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2"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8</w:t>
            </w:r>
          </w:p>
        </w:tc>
        <w:tc>
          <w:tcPr>
            <w:tcW w:w="2406"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项目成员</w:t>
            </w:r>
          </w:p>
        </w:tc>
        <w:tc>
          <w:tcPr>
            <w:tcW w:w="1251"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李吉霞</w:t>
            </w:r>
          </w:p>
        </w:tc>
        <w:tc>
          <w:tcPr>
            <w:tcW w:w="2859"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项目专员</w:t>
            </w:r>
          </w:p>
        </w:tc>
        <w:tc>
          <w:tcPr>
            <w:tcW w:w="5677"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沟通对接，收集材料，资料评审，撰写评价报告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2"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9</w:t>
            </w:r>
          </w:p>
        </w:tc>
        <w:tc>
          <w:tcPr>
            <w:tcW w:w="2406"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项目成员</w:t>
            </w:r>
          </w:p>
        </w:tc>
        <w:tc>
          <w:tcPr>
            <w:tcW w:w="1251"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林衣丰</w:t>
            </w:r>
          </w:p>
        </w:tc>
        <w:tc>
          <w:tcPr>
            <w:tcW w:w="2859"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项目专员</w:t>
            </w:r>
          </w:p>
        </w:tc>
        <w:tc>
          <w:tcPr>
            <w:tcW w:w="5677" w:type="dxa"/>
            <w:vAlign w:val="center"/>
          </w:tcPr>
          <w:p>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沟通对接，收集材料，资料评审，撰写评价报告</w:t>
            </w:r>
          </w:p>
        </w:tc>
      </w:tr>
    </w:tbl>
    <w:p>
      <w:pPr>
        <w:pStyle w:val="9"/>
        <w:ind w:firstLine="640"/>
        <w:rPr>
          <w:rFonts w:ascii="黑体" w:hAnsi="黑体" w:eastAsia="黑体" w:cs="黑体"/>
          <w:sz w:val="32"/>
          <w:szCs w:val="22"/>
        </w:rPr>
      </w:pPr>
    </w:p>
    <w:p/>
    <w:sectPr>
      <w:pgSz w:w="16838" w:h="11906" w:orient="landscape"/>
      <w:pgMar w:top="1134" w:right="850" w:bottom="1020" w:left="85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2ZWVmNjE0YzEyM2FkNjcyMmFkNTNkNjEzNmNmOTUifQ=="/>
  </w:docVars>
  <w:rsids>
    <w:rsidRoot w:val="0077656D"/>
    <w:rsid w:val="000E76A5"/>
    <w:rsid w:val="00103897"/>
    <w:rsid w:val="001053C7"/>
    <w:rsid w:val="001A4716"/>
    <w:rsid w:val="00217E6F"/>
    <w:rsid w:val="00236D6D"/>
    <w:rsid w:val="0026009F"/>
    <w:rsid w:val="00276E33"/>
    <w:rsid w:val="00321CCF"/>
    <w:rsid w:val="00427981"/>
    <w:rsid w:val="00464AB3"/>
    <w:rsid w:val="00496DA9"/>
    <w:rsid w:val="0057657A"/>
    <w:rsid w:val="005D69E6"/>
    <w:rsid w:val="006D2A98"/>
    <w:rsid w:val="00717F2D"/>
    <w:rsid w:val="0077656D"/>
    <w:rsid w:val="00844285"/>
    <w:rsid w:val="00906B82"/>
    <w:rsid w:val="009F6D12"/>
    <w:rsid w:val="00A23CFC"/>
    <w:rsid w:val="00BA51BC"/>
    <w:rsid w:val="00BD708F"/>
    <w:rsid w:val="00CD1F4B"/>
    <w:rsid w:val="00D5063D"/>
    <w:rsid w:val="00D84314"/>
    <w:rsid w:val="00DF61F1"/>
    <w:rsid w:val="00EF05B6"/>
    <w:rsid w:val="01987FE8"/>
    <w:rsid w:val="01BA61B0"/>
    <w:rsid w:val="01D52DD1"/>
    <w:rsid w:val="01F67B9A"/>
    <w:rsid w:val="024358FD"/>
    <w:rsid w:val="0256755B"/>
    <w:rsid w:val="02663C42"/>
    <w:rsid w:val="029E162E"/>
    <w:rsid w:val="02A413D3"/>
    <w:rsid w:val="02D52197"/>
    <w:rsid w:val="03367AB9"/>
    <w:rsid w:val="03573723"/>
    <w:rsid w:val="03CD23D0"/>
    <w:rsid w:val="04267B2D"/>
    <w:rsid w:val="04854128"/>
    <w:rsid w:val="04921ADD"/>
    <w:rsid w:val="049802FF"/>
    <w:rsid w:val="04CC1D57"/>
    <w:rsid w:val="053578FC"/>
    <w:rsid w:val="05880374"/>
    <w:rsid w:val="05D211EC"/>
    <w:rsid w:val="0608218B"/>
    <w:rsid w:val="06466978"/>
    <w:rsid w:val="06846541"/>
    <w:rsid w:val="06935222"/>
    <w:rsid w:val="06D21D6E"/>
    <w:rsid w:val="074D53D1"/>
    <w:rsid w:val="0778062E"/>
    <w:rsid w:val="07967E0F"/>
    <w:rsid w:val="07A23D1D"/>
    <w:rsid w:val="07C17B6D"/>
    <w:rsid w:val="07E15B19"/>
    <w:rsid w:val="07E61381"/>
    <w:rsid w:val="084762C4"/>
    <w:rsid w:val="087F0262"/>
    <w:rsid w:val="08A708AD"/>
    <w:rsid w:val="08D13DE0"/>
    <w:rsid w:val="09104908"/>
    <w:rsid w:val="09445BE1"/>
    <w:rsid w:val="094E71DE"/>
    <w:rsid w:val="0959370A"/>
    <w:rsid w:val="099217C1"/>
    <w:rsid w:val="09D44961"/>
    <w:rsid w:val="0A2A7C4B"/>
    <w:rsid w:val="0ADA043A"/>
    <w:rsid w:val="0B815649"/>
    <w:rsid w:val="0B860EB1"/>
    <w:rsid w:val="0C1C1816"/>
    <w:rsid w:val="0C430B50"/>
    <w:rsid w:val="0C5C6F3A"/>
    <w:rsid w:val="0CD25BE7"/>
    <w:rsid w:val="0CDC319E"/>
    <w:rsid w:val="0CE340E1"/>
    <w:rsid w:val="0D641F63"/>
    <w:rsid w:val="0D984E0C"/>
    <w:rsid w:val="0E122E22"/>
    <w:rsid w:val="0E161B32"/>
    <w:rsid w:val="0E5B4F4C"/>
    <w:rsid w:val="0EAC50D3"/>
    <w:rsid w:val="0EC20452"/>
    <w:rsid w:val="0ED14B39"/>
    <w:rsid w:val="0EE827B7"/>
    <w:rsid w:val="0EEF4FBF"/>
    <w:rsid w:val="0EF6634E"/>
    <w:rsid w:val="0F130CAE"/>
    <w:rsid w:val="0F615EBD"/>
    <w:rsid w:val="0F824086"/>
    <w:rsid w:val="0F847DFE"/>
    <w:rsid w:val="0FE713D9"/>
    <w:rsid w:val="10086339"/>
    <w:rsid w:val="100920B1"/>
    <w:rsid w:val="10367256"/>
    <w:rsid w:val="10446F77"/>
    <w:rsid w:val="10515956"/>
    <w:rsid w:val="10A03E8D"/>
    <w:rsid w:val="10AB4F16"/>
    <w:rsid w:val="10DF232F"/>
    <w:rsid w:val="10E30B54"/>
    <w:rsid w:val="10F60887"/>
    <w:rsid w:val="11641C95"/>
    <w:rsid w:val="117A5014"/>
    <w:rsid w:val="11D65FCE"/>
    <w:rsid w:val="11F1104F"/>
    <w:rsid w:val="11FE3E97"/>
    <w:rsid w:val="123A5B78"/>
    <w:rsid w:val="12AD766B"/>
    <w:rsid w:val="12CF6B79"/>
    <w:rsid w:val="13311437"/>
    <w:rsid w:val="13876A37"/>
    <w:rsid w:val="139D148E"/>
    <w:rsid w:val="13B03ECA"/>
    <w:rsid w:val="14067033"/>
    <w:rsid w:val="14146123"/>
    <w:rsid w:val="144410B4"/>
    <w:rsid w:val="14676DD4"/>
    <w:rsid w:val="14B545B5"/>
    <w:rsid w:val="14E1184E"/>
    <w:rsid w:val="155A11D2"/>
    <w:rsid w:val="15D373E9"/>
    <w:rsid w:val="15E52CB3"/>
    <w:rsid w:val="15FB249C"/>
    <w:rsid w:val="15FB6A2C"/>
    <w:rsid w:val="15FC3BEB"/>
    <w:rsid w:val="16114B27"/>
    <w:rsid w:val="161812A0"/>
    <w:rsid w:val="1666025D"/>
    <w:rsid w:val="167E55A7"/>
    <w:rsid w:val="16831F71"/>
    <w:rsid w:val="16846935"/>
    <w:rsid w:val="168B4D0C"/>
    <w:rsid w:val="16B7213C"/>
    <w:rsid w:val="16B72867"/>
    <w:rsid w:val="16F5513D"/>
    <w:rsid w:val="16F9705E"/>
    <w:rsid w:val="17311408"/>
    <w:rsid w:val="17426023"/>
    <w:rsid w:val="174B10D8"/>
    <w:rsid w:val="1757411A"/>
    <w:rsid w:val="17885FB1"/>
    <w:rsid w:val="17AC1CA0"/>
    <w:rsid w:val="17AF353E"/>
    <w:rsid w:val="17BB6387"/>
    <w:rsid w:val="17DB3417"/>
    <w:rsid w:val="181A06D2"/>
    <w:rsid w:val="183E32DD"/>
    <w:rsid w:val="188B71A6"/>
    <w:rsid w:val="189F5B9A"/>
    <w:rsid w:val="18BB2233"/>
    <w:rsid w:val="18C179CD"/>
    <w:rsid w:val="18DA283C"/>
    <w:rsid w:val="190B50EC"/>
    <w:rsid w:val="193D688A"/>
    <w:rsid w:val="196A3BC0"/>
    <w:rsid w:val="1997040C"/>
    <w:rsid w:val="19B7492C"/>
    <w:rsid w:val="1A2D7E24"/>
    <w:rsid w:val="1A5F749D"/>
    <w:rsid w:val="1A630051"/>
    <w:rsid w:val="1A646862"/>
    <w:rsid w:val="1A717E52"/>
    <w:rsid w:val="1A7F18ED"/>
    <w:rsid w:val="1AB07CF9"/>
    <w:rsid w:val="1AFB6C7B"/>
    <w:rsid w:val="1AFE6CB6"/>
    <w:rsid w:val="1B0D514B"/>
    <w:rsid w:val="1B1E36E7"/>
    <w:rsid w:val="1B487050"/>
    <w:rsid w:val="1BB73AD4"/>
    <w:rsid w:val="1BDD4B1E"/>
    <w:rsid w:val="1BF1402F"/>
    <w:rsid w:val="1BF63E31"/>
    <w:rsid w:val="1C0F3FFD"/>
    <w:rsid w:val="1C2C7853"/>
    <w:rsid w:val="1C424981"/>
    <w:rsid w:val="1C512E16"/>
    <w:rsid w:val="1C8C574B"/>
    <w:rsid w:val="1C964C6E"/>
    <w:rsid w:val="1CA67605"/>
    <w:rsid w:val="1CAD6B0C"/>
    <w:rsid w:val="1CB11B06"/>
    <w:rsid w:val="1CF71C0F"/>
    <w:rsid w:val="1D3544E5"/>
    <w:rsid w:val="1D651C5C"/>
    <w:rsid w:val="1D6D0123"/>
    <w:rsid w:val="1DB25B36"/>
    <w:rsid w:val="1DE37FB0"/>
    <w:rsid w:val="1E892D3B"/>
    <w:rsid w:val="1EA44A5F"/>
    <w:rsid w:val="1EC2624D"/>
    <w:rsid w:val="1EF46602"/>
    <w:rsid w:val="1F004140"/>
    <w:rsid w:val="1F1C5482"/>
    <w:rsid w:val="1F232B99"/>
    <w:rsid w:val="1F3E1CDB"/>
    <w:rsid w:val="1F4428EE"/>
    <w:rsid w:val="1F4D63F1"/>
    <w:rsid w:val="1F593770"/>
    <w:rsid w:val="1F5E41C7"/>
    <w:rsid w:val="1F6B0692"/>
    <w:rsid w:val="1F7E03C6"/>
    <w:rsid w:val="1F816CFE"/>
    <w:rsid w:val="1F987723"/>
    <w:rsid w:val="1FE34D61"/>
    <w:rsid w:val="1FF470B4"/>
    <w:rsid w:val="1FFC144B"/>
    <w:rsid w:val="205E1FA5"/>
    <w:rsid w:val="206D45CC"/>
    <w:rsid w:val="20796DDF"/>
    <w:rsid w:val="207D242B"/>
    <w:rsid w:val="20980855"/>
    <w:rsid w:val="20A32E18"/>
    <w:rsid w:val="20E533CF"/>
    <w:rsid w:val="20E6351D"/>
    <w:rsid w:val="21093CBF"/>
    <w:rsid w:val="214342F6"/>
    <w:rsid w:val="219F63D1"/>
    <w:rsid w:val="21B75E11"/>
    <w:rsid w:val="21C60D47"/>
    <w:rsid w:val="224A19C9"/>
    <w:rsid w:val="22662D0C"/>
    <w:rsid w:val="227B6E3E"/>
    <w:rsid w:val="22910CB0"/>
    <w:rsid w:val="22D56F29"/>
    <w:rsid w:val="230C5CE8"/>
    <w:rsid w:val="233139A1"/>
    <w:rsid w:val="233E32B4"/>
    <w:rsid w:val="235E3888"/>
    <w:rsid w:val="2375388E"/>
    <w:rsid w:val="2378512C"/>
    <w:rsid w:val="23926362"/>
    <w:rsid w:val="23B24235"/>
    <w:rsid w:val="23C10881"/>
    <w:rsid w:val="242F2C6B"/>
    <w:rsid w:val="248B0E8F"/>
    <w:rsid w:val="249266C1"/>
    <w:rsid w:val="24E22751"/>
    <w:rsid w:val="25137802"/>
    <w:rsid w:val="2540611D"/>
    <w:rsid w:val="25593316"/>
    <w:rsid w:val="25B20DC9"/>
    <w:rsid w:val="25B328ED"/>
    <w:rsid w:val="25E7449D"/>
    <w:rsid w:val="260D4251"/>
    <w:rsid w:val="26414229"/>
    <w:rsid w:val="26472FFD"/>
    <w:rsid w:val="268944AF"/>
    <w:rsid w:val="26964247"/>
    <w:rsid w:val="26A30712"/>
    <w:rsid w:val="26AF355A"/>
    <w:rsid w:val="26BE379D"/>
    <w:rsid w:val="26D0042D"/>
    <w:rsid w:val="26EE610D"/>
    <w:rsid w:val="272C4BAB"/>
    <w:rsid w:val="2760001F"/>
    <w:rsid w:val="27800622"/>
    <w:rsid w:val="27D50D9F"/>
    <w:rsid w:val="27D86F65"/>
    <w:rsid w:val="282378D4"/>
    <w:rsid w:val="28285372"/>
    <w:rsid w:val="286029DF"/>
    <w:rsid w:val="286D1E37"/>
    <w:rsid w:val="28A14293"/>
    <w:rsid w:val="28AC6D85"/>
    <w:rsid w:val="29731F84"/>
    <w:rsid w:val="29752839"/>
    <w:rsid w:val="29791BFE"/>
    <w:rsid w:val="29984A7F"/>
    <w:rsid w:val="29CE019B"/>
    <w:rsid w:val="29D37560"/>
    <w:rsid w:val="2A4144C9"/>
    <w:rsid w:val="2A5F7045"/>
    <w:rsid w:val="2A6308E4"/>
    <w:rsid w:val="2A6D3510"/>
    <w:rsid w:val="2A726D79"/>
    <w:rsid w:val="2A830F86"/>
    <w:rsid w:val="2A8A392A"/>
    <w:rsid w:val="2A9144DF"/>
    <w:rsid w:val="2A97058D"/>
    <w:rsid w:val="2ADB69BD"/>
    <w:rsid w:val="2AE5754B"/>
    <w:rsid w:val="2AF23A16"/>
    <w:rsid w:val="2BE45A54"/>
    <w:rsid w:val="2C055B0E"/>
    <w:rsid w:val="2C424529"/>
    <w:rsid w:val="2C656780"/>
    <w:rsid w:val="2D4A109A"/>
    <w:rsid w:val="2DA74F8B"/>
    <w:rsid w:val="2DBA5B5D"/>
    <w:rsid w:val="2DBD47AF"/>
    <w:rsid w:val="2DCB27C1"/>
    <w:rsid w:val="2DDC2BE2"/>
    <w:rsid w:val="2DE51610"/>
    <w:rsid w:val="2E246248"/>
    <w:rsid w:val="2EA80FBB"/>
    <w:rsid w:val="2F320885"/>
    <w:rsid w:val="2F450A99"/>
    <w:rsid w:val="2F5E167A"/>
    <w:rsid w:val="2F5F53F2"/>
    <w:rsid w:val="2FE04785"/>
    <w:rsid w:val="2FE83639"/>
    <w:rsid w:val="2FED3636"/>
    <w:rsid w:val="300C37CC"/>
    <w:rsid w:val="304E3D3D"/>
    <w:rsid w:val="305E03BF"/>
    <w:rsid w:val="30644635"/>
    <w:rsid w:val="30730D63"/>
    <w:rsid w:val="30CC6AB7"/>
    <w:rsid w:val="30DD7897"/>
    <w:rsid w:val="30EE4C7F"/>
    <w:rsid w:val="30FE1366"/>
    <w:rsid w:val="311C17EC"/>
    <w:rsid w:val="31405FB9"/>
    <w:rsid w:val="314825E1"/>
    <w:rsid w:val="31682C84"/>
    <w:rsid w:val="31EE13DB"/>
    <w:rsid w:val="320822F5"/>
    <w:rsid w:val="322841C1"/>
    <w:rsid w:val="323B7075"/>
    <w:rsid w:val="32432DA9"/>
    <w:rsid w:val="329E6B9E"/>
    <w:rsid w:val="33104B70"/>
    <w:rsid w:val="331F55C4"/>
    <w:rsid w:val="33AD6FA6"/>
    <w:rsid w:val="33AF6948"/>
    <w:rsid w:val="33BA709B"/>
    <w:rsid w:val="33F513F6"/>
    <w:rsid w:val="341E587B"/>
    <w:rsid w:val="345218AD"/>
    <w:rsid w:val="34A1726C"/>
    <w:rsid w:val="34B546B3"/>
    <w:rsid w:val="34F77D06"/>
    <w:rsid w:val="35064A16"/>
    <w:rsid w:val="35183827"/>
    <w:rsid w:val="35510A68"/>
    <w:rsid w:val="355470B4"/>
    <w:rsid w:val="35555378"/>
    <w:rsid w:val="35A66F4F"/>
    <w:rsid w:val="35AE2C2F"/>
    <w:rsid w:val="35AE75EB"/>
    <w:rsid w:val="36451DC5"/>
    <w:rsid w:val="36BA1E1E"/>
    <w:rsid w:val="37441A9D"/>
    <w:rsid w:val="37645C9B"/>
    <w:rsid w:val="37A62BDB"/>
    <w:rsid w:val="37B07132"/>
    <w:rsid w:val="383C09C6"/>
    <w:rsid w:val="388A7983"/>
    <w:rsid w:val="38CC58A6"/>
    <w:rsid w:val="38F75933"/>
    <w:rsid w:val="39495268"/>
    <w:rsid w:val="39F176D6"/>
    <w:rsid w:val="39FF3A59"/>
    <w:rsid w:val="3A0B4AF4"/>
    <w:rsid w:val="3A1E4827"/>
    <w:rsid w:val="3A4938AA"/>
    <w:rsid w:val="3A842CC8"/>
    <w:rsid w:val="3AA8656F"/>
    <w:rsid w:val="3AB07DC6"/>
    <w:rsid w:val="3AB24F6F"/>
    <w:rsid w:val="3AC249C3"/>
    <w:rsid w:val="3AC3717D"/>
    <w:rsid w:val="3AE83839"/>
    <w:rsid w:val="3B1E43B3"/>
    <w:rsid w:val="3BA40D5C"/>
    <w:rsid w:val="3BA448B8"/>
    <w:rsid w:val="3BB723C6"/>
    <w:rsid w:val="3BB7542C"/>
    <w:rsid w:val="3C343D4F"/>
    <w:rsid w:val="3C5067EE"/>
    <w:rsid w:val="3C90308E"/>
    <w:rsid w:val="3CC03974"/>
    <w:rsid w:val="3CEF24AB"/>
    <w:rsid w:val="3D4D2EB3"/>
    <w:rsid w:val="3D4E2440"/>
    <w:rsid w:val="3D4F31B1"/>
    <w:rsid w:val="3D9372DA"/>
    <w:rsid w:val="3D9B618F"/>
    <w:rsid w:val="3DB57251"/>
    <w:rsid w:val="3DBA5AD4"/>
    <w:rsid w:val="3DD60F75"/>
    <w:rsid w:val="3DF57A68"/>
    <w:rsid w:val="3DFF227A"/>
    <w:rsid w:val="3E1A3557"/>
    <w:rsid w:val="3EBA43F3"/>
    <w:rsid w:val="3EC15781"/>
    <w:rsid w:val="3EC341A0"/>
    <w:rsid w:val="3ED41958"/>
    <w:rsid w:val="3F261808"/>
    <w:rsid w:val="3F4940F4"/>
    <w:rsid w:val="3F9904AC"/>
    <w:rsid w:val="3FB13A48"/>
    <w:rsid w:val="3FC65745"/>
    <w:rsid w:val="3FC92B3F"/>
    <w:rsid w:val="3FE40407"/>
    <w:rsid w:val="40495772"/>
    <w:rsid w:val="40504D46"/>
    <w:rsid w:val="406665E0"/>
    <w:rsid w:val="412D35A2"/>
    <w:rsid w:val="414C7ECC"/>
    <w:rsid w:val="41A14729"/>
    <w:rsid w:val="41AF2209"/>
    <w:rsid w:val="41CE268F"/>
    <w:rsid w:val="41DA0B95"/>
    <w:rsid w:val="41F62BC1"/>
    <w:rsid w:val="42154762"/>
    <w:rsid w:val="421D01F6"/>
    <w:rsid w:val="42291FBB"/>
    <w:rsid w:val="4246797C"/>
    <w:rsid w:val="425B0798"/>
    <w:rsid w:val="42751CB1"/>
    <w:rsid w:val="42CA554C"/>
    <w:rsid w:val="42D068DB"/>
    <w:rsid w:val="42FB3958"/>
    <w:rsid w:val="43030A5E"/>
    <w:rsid w:val="433B01F8"/>
    <w:rsid w:val="438020AF"/>
    <w:rsid w:val="43DB166C"/>
    <w:rsid w:val="43F108B7"/>
    <w:rsid w:val="441A605F"/>
    <w:rsid w:val="441F3676"/>
    <w:rsid w:val="447C0AC8"/>
    <w:rsid w:val="44B40296"/>
    <w:rsid w:val="44F20D8A"/>
    <w:rsid w:val="44FF34A7"/>
    <w:rsid w:val="45016725"/>
    <w:rsid w:val="4504286C"/>
    <w:rsid w:val="45121F3C"/>
    <w:rsid w:val="455E5698"/>
    <w:rsid w:val="459E24F5"/>
    <w:rsid w:val="45E5444B"/>
    <w:rsid w:val="45E85CE9"/>
    <w:rsid w:val="46001285"/>
    <w:rsid w:val="46236D21"/>
    <w:rsid w:val="4682042B"/>
    <w:rsid w:val="468E063F"/>
    <w:rsid w:val="46921AAD"/>
    <w:rsid w:val="46A2233C"/>
    <w:rsid w:val="46B75DE7"/>
    <w:rsid w:val="46C87FF5"/>
    <w:rsid w:val="46E7649C"/>
    <w:rsid w:val="4710712D"/>
    <w:rsid w:val="47321912"/>
    <w:rsid w:val="47E02A6A"/>
    <w:rsid w:val="482079BC"/>
    <w:rsid w:val="4821125B"/>
    <w:rsid w:val="49044BE8"/>
    <w:rsid w:val="49264FCC"/>
    <w:rsid w:val="493C1721"/>
    <w:rsid w:val="496833C9"/>
    <w:rsid w:val="498F20FE"/>
    <w:rsid w:val="4A2A4B22"/>
    <w:rsid w:val="4A4F6337"/>
    <w:rsid w:val="4A7147DC"/>
    <w:rsid w:val="4A987CDE"/>
    <w:rsid w:val="4AA523FB"/>
    <w:rsid w:val="4AB471C4"/>
    <w:rsid w:val="4AE31CE4"/>
    <w:rsid w:val="4B094738"/>
    <w:rsid w:val="4B157580"/>
    <w:rsid w:val="4B3E2804"/>
    <w:rsid w:val="4B6202EC"/>
    <w:rsid w:val="4B7B7013"/>
    <w:rsid w:val="4BBF687E"/>
    <w:rsid w:val="4BF115BB"/>
    <w:rsid w:val="4C136DB7"/>
    <w:rsid w:val="4C520360"/>
    <w:rsid w:val="4C675BBA"/>
    <w:rsid w:val="4C7107E7"/>
    <w:rsid w:val="4C83051A"/>
    <w:rsid w:val="4C9179EA"/>
    <w:rsid w:val="4CB32810"/>
    <w:rsid w:val="4CD87DAA"/>
    <w:rsid w:val="4D072EF9"/>
    <w:rsid w:val="4D227280"/>
    <w:rsid w:val="4D3637DE"/>
    <w:rsid w:val="4D3C7C5C"/>
    <w:rsid w:val="4D420779"/>
    <w:rsid w:val="4D477799"/>
    <w:rsid w:val="4D491763"/>
    <w:rsid w:val="4D69668F"/>
    <w:rsid w:val="4D785BA5"/>
    <w:rsid w:val="4E536492"/>
    <w:rsid w:val="4EA03605"/>
    <w:rsid w:val="4EB513C3"/>
    <w:rsid w:val="4ECE29B0"/>
    <w:rsid w:val="4F38383D"/>
    <w:rsid w:val="4F5D5812"/>
    <w:rsid w:val="4FBE01E7"/>
    <w:rsid w:val="4FBF511E"/>
    <w:rsid w:val="504907AE"/>
    <w:rsid w:val="507C3BFE"/>
    <w:rsid w:val="509B4084"/>
    <w:rsid w:val="50A53155"/>
    <w:rsid w:val="50D43A3A"/>
    <w:rsid w:val="50DE6667"/>
    <w:rsid w:val="510E5B8F"/>
    <w:rsid w:val="513256AF"/>
    <w:rsid w:val="514566E6"/>
    <w:rsid w:val="51EE4687"/>
    <w:rsid w:val="51F824A8"/>
    <w:rsid w:val="52354064"/>
    <w:rsid w:val="52AD4542"/>
    <w:rsid w:val="52B551A5"/>
    <w:rsid w:val="52E066C6"/>
    <w:rsid w:val="52E37F64"/>
    <w:rsid w:val="52F8470B"/>
    <w:rsid w:val="530F2B07"/>
    <w:rsid w:val="532365B3"/>
    <w:rsid w:val="534A450B"/>
    <w:rsid w:val="538708F0"/>
    <w:rsid w:val="538B4884"/>
    <w:rsid w:val="53C63001"/>
    <w:rsid w:val="53E03725"/>
    <w:rsid w:val="53EA0E7E"/>
    <w:rsid w:val="54091C4C"/>
    <w:rsid w:val="546F6672"/>
    <w:rsid w:val="54971006"/>
    <w:rsid w:val="549B0215"/>
    <w:rsid w:val="54EB4EAE"/>
    <w:rsid w:val="55937F28"/>
    <w:rsid w:val="55945546"/>
    <w:rsid w:val="55AD53D9"/>
    <w:rsid w:val="55B47996"/>
    <w:rsid w:val="55F45E1D"/>
    <w:rsid w:val="55FF6E63"/>
    <w:rsid w:val="5612303A"/>
    <w:rsid w:val="56312D95"/>
    <w:rsid w:val="566B0CF2"/>
    <w:rsid w:val="56892BD1"/>
    <w:rsid w:val="56EB388B"/>
    <w:rsid w:val="57106E4E"/>
    <w:rsid w:val="57476D14"/>
    <w:rsid w:val="57AA28A3"/>
    <w:rsid w:val="57E427B4"/>
    <w:rsid w:val="582C415B"/>
    <w:rsid w:val="585D2567"/>
    <w:rsid w:val="586C637E"/>
    <w:rsid w:val="58AB6E2E"/>
    <w:rsid w:val="58F44C79"/>
    <w:rsid w:val="593E7CA2"/>
    <w:rsid w:val="59B440C4"/>
    <w:rsid w:val="59DD74BB"/>
    <w:rsid w:val="5A0C4452"/>
    <w:rsid w:val="5A4E660B"/>
    <w:rsid w:val="5A9A467A"/>
    <w:rsid w:val="5AAE031B"/>
    <w:rsid w:val="5AD7215D"/>
    <w:rsid w:val="5ADD1E8F"/>
    <w:rsid w:val="5AF37B22"/>
    <w:rsid w:val="5AFA6E73"/>
    <w:rsid w:val="5B1769FD"/>
    <w:rsid w:val="5B3752F1"/>
    <w:rsid w:val="5B3B2B1A"/>
    <w:rsid w:val="5BDE576D"/>
    <w:rsid w:val="5BEB1C13"/>
    <w:rsid w:val="5BFB7DDE"/>
    <w:rsid w:val="5BFE196B"/>
    <w:rsid w:val="5C0A0310"/>
    <w:rsid w:val="5C950521"/>
    <w:rsid w:val="5CA22C3E"/>
    <w:rsid w:val="5CB83EC0"/>
    <w:rsid w:val="5CEB6393"/>
    <w:rsid w:val="5CF5726F"/>
    <w:rsid w:val="5CF60894"/>
    <w:rsid w:val="5D3E2967"/>
    <w:rsid w:val="5D553D6C"/>
    <w:rsid w:val="5D656145"/>
    <w:rsid w:val="5D7A69EC"/>
    <w:rsid w:val="5DCD5A99"/>
    <w:rsid w:val="5DEC23C3"/>
    <w:rsid w:val="5E085275"/>
    <w:rsid w:val="5E3653EC"/>
    <w:rsid w:val="5E3915E5"/>
    <w:rsid w:val="5E653F23"/>
    <w:rsid w:val="5EDE5514"/>
    <w:rsid w:val="5F0008BF"/>
    <w:rsid w:val="5F013C4C"/>
    <w:rsid w:val="5F8C575F"/>
    <w:rsid w:val="602F47E9"/>
    <w:rsid w:val="603255D0"/>
    <w:rsid w:val="6033021D"/>
    <w:rsid w:val="603718EF"/>
    <w:rsid w:val="604C0EF7"/>
    <w:rsid w:val="604F4E8B"/>
    <w:rsid w:val="60624BBE"/>
    <w:rsid w:val="6142679E"/>
    <w:rsid w:val="6186386F"/>
    <w:rsid w:val="618D5C6B"/>
    <w:rsid w:val="618F19E3"/>
    <w:rsid w:val="61970898"/>
    <w:rsid w:val="61A82AA5"/>
    <w:rsid w:val="61DC62AA"/>
    <w:rsid w:val="61DD2DEF"/>
    <w:rsid w:val="61E45B3F"/>
    <w:rsid w:val="61F2259B"/>
    <w:rsid w:val="623E246C"/>
    <w:rsid w:val="62586279"/>
    <w:rsid w:val="62593D9F"/>
    <w:rsid w:val="626E6459"/>
    <w:rsid w:val="6271217C"/>
    <w:rsid w:val="632779F9"/>
    <w:rsid w:val="63576530"/>
    <w:rsid w:val="639028BE"/>
    <w:rsid w:val="63B84AF5"/>
    <w:rsid w:val="63DC07E4"/>
    <w:rsid w:val="63FA6EBC"/>
    <w:rsid w:val="641A5E38"/>
    <w:rsid w:val="64446389"/>
    <w:rsid w:val="64846B9B"/>
    <w:rsid w:val="64C3537E"/>
    <w:rsid w:val="64C9037A"/>
    <w:rsid w:val="6502427A"/>
    <w:rsid w:val="65460ACA"/>
    <w:rsid w:val="65562089"/>
    <w:rsid w:val="657447BA"/>
    <w:rsid w:val="65AB4911"/>
    <w:rsid w:val="65E259D1"/>
    <w:rsid w:val="65F76511"/>
    <w:rsid w:val="66102639"/>
    <w:rsid w:val="66442670"/>
    <w:rsid w:val="664F7993"/>
    <w:rsid w:val="66E04A8F"/>
    <w:rsid w:val="66FE20A6"/>
    <w:rsid w:val="67163178"/>
    <w:rsid w:val="671D07ED"/>
    <w:rsid w:val="676E5BF7"/>
    <w:rsid w:val="67801DCE"/>
    <w:rsid w:val="67E16479"/>
    <w:rsid w:val="67F0485E"/>
    <w:rsid w:val="67F51E74"/>
    <w:rsid w:val="68237232"/>
    <w:rsid w:val="683926A8"/>
    <w:rsid w:val="683C0921"/>
    <w:rsid w:val="6873723D"/>
    <w:rsid w:val="68914293"/>
    <w:rsid w:val="68AF64C7"/>
    <w:rsid w:val="68CC7E97"/>
    <w:rsid w:val="68D91796"/>
    <w:rsid w:val="68EB3277"/>
    <w:rsid w:val="68ED76C8"/>
    <w:rsid w:val="690F6F65"/>
    <w:rsid w:val="69124CA8"/>
    <w:rsid w:val="69210D87"/>
    <w:rsid w:val="69230C63"/>
    <w:rsid w:val="692A1FF1"/>
    <w:rsid w:val="692E7D33"/>
    <w:rsid w:val="692F585A"/>
    <w:rsid w:val="69360996"/>
    <w:rsid w:val="69717C20"/>
    <w:rsid w:val="697C33F7"/>
    <w:rsid w:val="69B55D5F"/>
    <w:rsid w:val="69DF2D60"/>
    <w:rsid w:val="6A06480C"/>
    <w:rsid w:val="6A1C4D9B"/>
    <w:rsid w:val="6A4B66C3"/>
    <w:rsid w:val="6AA64F87"/>
    <w:rsid w:val="6AD71D05"/>
    <w:rsid w:val="6BC4672D"/>
    <w:rsid w:val="6BDB3A77"/>
    <w:rsid w:val="6C2C0174"/>
    <w:rsid w:val="6C3A212B"/>
    <w:rsid w:val="6C5A0E3F"/>
    <w:rsid w:val="6CB727D4"/>
    <w:rsid w:val="6CED5810"/>
    <w:rsid w:val="6D5D7E62"/>
    <w:rsid w:val="6DC50EA8"/>
    <w:rsid w:val="6DE64844"/>
    <w:rsid w:val="6E2B2A93"/>
    <w:rsid w:val="6E484699"/>
    <w:rsid w:val="6E5378F4"/>
    <w:rsid w:val="6E5D4941"/>
    <w:rsid w:val="6E7534E7"/>
    <w:rsid w:val="6E9D5A4F"/>
    <w:rsid w:val="6EE13152"/>
    <w:rsid w:val="6F107F60"/>
    <w:rsid w:val="6F1803BE"/>
    <w:rsid w:val="6F282B2F"/>
    <w:rsid w:val="6F343413"/>
    <w:rsid w:val="6F426691"/>
    <w:rsid w:val="6F477399"/>
    <w:rsid w:val="70024412"/>
    <w:rsid w:val="700E441B"/>
    <w:rsid w:val="7016134E"/>
    <w:rsid w:val="702A6D04"/>
    <w:rsid w:val="70622071"/>
    <w:rsid w:val="708B7819"/>
    <w:rsid w:val="70B52AE8"/>
    <w:rsid w:val="70E1568B"/>
    <w:rsid w:val="71096990"/>
    <w:rsid w:val="713D5F4D"/>
    <w:rsid w:val="71C83D94"/>
    <w:rsid w:val="71F46EAE"/>
    <w:rsid w:val="71FD4747"/>
    <w:rsid w:val="72916C3D"/>
    <w:rsid w:val="72EC0317"/>
    <w:rsid w:val="73CB43D1"/>
    <w:rsid w:val="740D6797"/>
    <w:rsid w:val="74257F85"/>
    <w:rsid w:val="744B635D"/>
    <w:rsid w:val="745F3A75"/>
    <w:rsid w:val="7467234B"/>
    <w:rsid w:val="747C09A4"/>
    <w:rsid w:val="7510653F"/>
    <w:rsid w:val="75557104"/>
    <w:rsid w:val="75596138"/>
    <w:rsid w:val="7592164A"/>
    <w:rsid w:val="75956A44"/>
    <w:rsid w:val="759E6F7C"/>
    <w:rsid w:val="75AB4A0E"/>
    <w:rsid w:val="75BF1D13"/>
    <w:rsid w:val="75D05C6D"/>
    <w:rsid w:val="76345DE5"/>
    <w:rsid w:val="76472BF4"/>
    <w:rsid w:val="764C6DCD"/>
    <w:rsid w:val="76564426"/>
    <w:rsid w:val="76733229"/>
    <w:rsid w:val="76832D41"/>
    <w:rsid w:val="7696709C"/>
    <w:rsid w:val="76B15B00"/>
    <w:rsid w:val="770E46E8"/>
    <w:rsid w:val="771576D6"/>
    <w:rsid w:val="771C66A3"/>
    <w:rsid w:val="771D3195"/>
    <w:rsid w:val="77383613"/>
    <w:rsid w:val="773C186D"/>
    <w:rsid w:val="77477EEB"/>
    <w:rsid w:val="77585F7B"/>
    <w:rsid w:val="776153F2"/>
    <w:rsid w:val="77F71C38"/>
    <w:rsid w:val="77FD0B74"/>
    <w:rsid w:val="780442CA"/>
    <w:rsid w:val="782F13D2"/>
    <w:rsid w:val="78727511"/>
    <w:rsid w:val="78941235"/>
    <w:rsid w:val="78B72B77"/>
    <w:rsid w:val="78B90C9C"/>
    <w:rsid w:val="78BF7473"/>
    <w:rsid w:val="78CD4747"/>
    <w:rsid w:val="7914377A"/>
    <w:rsid w:val="798B6ADC"/>
    <w:rsid w:val="79E41D48"/>
    <w:rsid w:val="79F50B09"/>
    <w:rsid w:val="7A33053A"/>
    <w:rsid w:val="7A33417F"/>
    <w:rsid w:val="7A3727C0"/>
    <w:rsid w:val="7A5213A8"/>
    <w:rsid w:val="7A7237F8"/>
    <w:rsid w:val="7AE55D78"/>
    <w:rsid w:val="7AF53E7B"/>
    <w:rsid w:val="7B8C08E9"/>
    <w:rsid w:val="7BAC1CAA"/>
    <w:rsid w:val="7BC2513D"/>
    <w:rsid w:val="7C030BAC"/>
    <w:rsid w:val="7C044924"/>
    <w:rsid w:val="7CAF2AE1"/>
    <w:rsid w:val="7D0270B5"/>
    <w:rsid w:val="7D5B4A17"/>
    <w:rsid w:val="7D5E3250"/>
    <w:rsid w:val="7D717D97"/>
    <w:rsid w:val="7D753A3D"/>
    <w:rsid w:val="7D823D52"/>
    <w:rsid w:val="7D8E049D"/>
    <w:rsid w:val="7DEB5D9B"/>
    <w:rsid w:val="7E9755DB"/>
    <w:rsid w:val="7EF868F6"/>
    <w:rsid w:val="7EFA62F0"/>
    <w:rsid w:val="7F181384"/>
    <w:rsid w:val="7F29112B"/>
    <w:rsid w:val="7F5E0598"/>
    <w:rsid w:val="7FFB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38"/>
    <w:qFormat/>
    <w:uiPriority w:val="0"/>
    <w:rPr>
      <w:b/>
      <w:bCs/>
    </w:rPr>
  </w:style>
  <w:style w:type="paragraph" w:styleId="3">
    <w:name w:val="annotation text"/>
    <w:basedOn w:val="1"/>
    <w:link w:val="37"/>
    <w:qFormat/>
    <w:uiPriority w:val="0"/>
    <w:pPr>
      <w:jc w:val="left"/>
    </w:pPr>
  </w:style>
  <w:style w:type="paragraph" w:styleId="4">
    <w:name w:val="Body Text"/>
    <w:basedOn w:val="1"/>
    <w:unhideWhenUsed/>
    <w:qFormat/>
    <w:uiPriority w:val="99"/>
    <w:pPr>
      <w:spacing w:after="120"/>
    </w:pPr>
  </w:style>
  <w:style w:type="paragraph" w:styleId="5">
    <w:name w:val="Body Text Indent"/>
    <w:basedOn w:val="1"/>
    <w:qFormat/>
    <w:uiPriority w:val="0"/>
    <w:pPr>
      <w:spacing w:line="150" w:lineRule="atLeast"/>
      <w:ind w:firstLine="420" w:firstLineChars="200"/>
      <w:textAlignment w:val="baseline"/>
    </w:pPr>
  </w:style>
  <w:style w:type="paragraph" w:styleId="6">
    <w:name w:val="Body Text Indent 2"/>
    <w:basedOn w:val="1"/>
    <w:qFormat/>
    <w:uiPriority w:val="0"/>
    <w:pPr>
      <w:spacing w:after="120" w:line="480" w:lineRule="auto"/>
      <w:ind w:left="420" w:leftChars="200"/>
    </w:pPr>
  </w:style>
  <w:style w:type="paragraph" w:styleId="7">
    <w:name w:val="Balloon Text"/>
    <w:basedOn w:val="1"/>
    <w:link w:val="39"/>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First Indent 2"/>
    <w:basedOn w:val="5"/>
    <w:qFormat/>
    <w:uiPriority w:val="0"/>
    <w:pPr>
      <w:ind w:firstLine="48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Autospacing="1" w:afterAutospacing="1"/>
      <w:jc w:val="left"/>
    </w:pPr>
    <w:rPr>
      <w:rFonts w:cs="Times New Roman"/>
      <w:kern w:val="0"/>
      <w:sz w:val="24"/>
    </w:rPr>
  </w:style>
  <w:style w:type="character" w:styleId="15">
    <w:name w:val="Strong"/>
    <w:basedOn w:val="14"/>
    <w:qFormat/>
    <w:uiPriority w:val="0"/>
    <w:rPr>
      <w:b/>
    </w:rPr>
  </w:style>
  <w:style w:type="character" w:styleId="16">
    <w:name w:val="Emphasis"/>
    <w:basedOn w:val="14"/>
    <w:qFormat/>
    <w:uiPriority w:val="0"/>
    <w:rPr>
      <w:i/>
    </w:rPr>
  </w:style>
  <w:style w:type="character" w:styleId="17">
    <w:name w:val="annotation reference"/>
    <w:basedOn w:val="14"/>
    <w:qFormat/>
    <w:uiPriority w:val="0"/>
    <w:rPr>
      <w:sz w:val="21"/>
      <w:szCs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UserStyle_2"/>
    <w:qFormat/>
    <w:uiPriority w:val="0"/>
    <w:rPr>
      <w:rFonts w:hint="default" w:ascii="Times New Roman" w:hAnsi="Times New Roman" w:eastAsia="宋体" w:cs="Times New Roman"/>
    </w:rPr>
  </w:style>
  <w:style w:type="character" w:customStyle="1" w:styleId="21">
    <w:name w:val="font101"/>
    <w:basedOn w:val="14"/>
    <w:qFormat/>
    <w:uiPriority w:val="0"/>
    <w:rPr>
      <w:rFonts w:hint="eastAsia" w:ascii="宋体" w:hAnsi="宋体" w:eastAsia="宋体" w:cs="宋体"/>
      <w:b/>
      <w:bCs/>
      <w:color w:val="000000"/>
      <w:sz w:val="20"/>
      <w:szCs w:val="20"/>
      <w:u w:val="none"/>
    </w:rPr>
  </w:style>
  <w:style w:type="character" w:customStyle="1" w:styleId="22">
    <w:name w:val="font41"/>
    <w:basedOn w:val="14"/>
    <w:qFormat/>
    <w:uiPriority w:val="0"/>
    <w:rPr>
      <w:rFonts w:hint="default" w:ascii="Times New Roman" w:hAnsi="Times New Roman" w:cs="Times New Roman"/>
      <w:b/>
      <w:bCs/>
      <w:color w:val="000000"/>
      <w:sz w:val="20"/>
      <w:szCs w:val="20"/>
      <w:u w:val="none"/>
    </w:rPr>
  </w:style>
  <w:style w:type="character" w:customStyle="1" w:styleId="23">
    <w:name w:val="font51"/>
    <w:basedOn w:val="14"/>
    <w:qFormat/>
    <w:uiPriority w:val="0"/>
    <w:rPr>
      <w:rFonts w:hint="eastAsia" w:ascii="宋体" w:hAnsi="宋体" w:eastAsia="宋体" w:cs="宋体"/>
      <w:color w:val="000000"/>
      <w:sz w:val="20"/>
      <w:szCs w:val="20"/>
      <w:u w:val="none"/>
    </w:rPr>
  </w:style>
  <w:style w:type="character" w:customStyle="1" w:styleId="24">
    <w:name w:val="font151"/>
    <w:basedOn w:val="14"/>
    <w:qFormat/>
    <w:uiPriority w:val="0"/>
    <w:rPr>
      <w:rFonts w:hint="eastAsia" w:ascii="宋体" w:hAnsi="宋体" w:eastAsia="宋体" w:cs="宋体"/>
      <w:color w:val="000000"/>
      <w:sz w:val="24"/>
      <w:szCs w:val="24"/>
      <w:u w:val="none"/>
    </w:rPr>
  </w:style>
  <w:style w:type="character" w:customStyle="1" w:styleId="25">
    <w:name w:val="font21"/>
    <w:basedOn w:val="14"/>
    <w:qFormat/>
    <w:uiPriority w:val="0"/>
    <w:rPr>
      <w:rFonts w:hint="default" w:ascii="Times New Roman" w:hAnsi="Times New Roman" w:cs="Times New Roman"/>
      <w:color w:val="000000"/>
      <w:sz w:val="24"/>
      <w:szCs w:val="24"/>
      <w:u w:val="none"/>
    </w:rPr>
  </w:style>
  <w:style w:type="character" w:customStyle="1" w:styleId="26">
    <w:name w:val="font132"/>
    <w:basedOn w:val="14"/>
    <w:qFormat/>
    <w:uiPriority w:val="0"/>
    <w:rPr>
      <w:rFonts w:hint="default" w:ascii="Times New Roman" w:hAnsi="Times New Roman" w:cs="Times New Roman"/>
      <w:color w:val="000000"/>
      <w:sz w:val="20"/>
      <w:szCs w:val="20"/>
      <w:u w:val="none"/>
    </w:rPr>
  </w:style>
  <w:style w:type="character" w:customStyle="1" w:styleId="27">
    <w:name w:val="font141"/>
    <w:basedOn w:val="14"/>
    <w:qFormat/>
    <w:uiPriority w:val="0"/>
    <w:rPr>
      <w:rFonts w:hint="eastAsia" w:ascii="仿宋_GB2312" w:eastAsia="仿宋_GB2312" w:cs="仿宋_GB2312"/>
      <w:color w:val="000000"/>
      <w:sz w:val="20"/>
      <w:szCs w:val="20"/>
      <w:u w:val="none"/>
    </w:rPr>
  </w:style>
  <w:style w:type="character" w:customStyle="1" w:styleId="28">
    <w:name w:val="font171"/>
    <w:basedOn w:val="14"/>
    <w:qFormat/>
    <w:uiPriority w:val="0"/>
    <w:rPr>
      <w:rFonts w:hint="eastAsia" w:ascii="仿宋_GB2312" w:eastAsia="仿宋_GB2312" w:cs="仿宋_GB2312"/>
      <w:color w:val="000000"/>
      <w:sz w:val="16"/>
      <w:szCs w:val="16"/>
      <w:u w:val="none"/>
    </w:rPr>
  </w:style>
  <w:style w:type="character" w:customStyle="1" w:styleId="29">
    <w:name w:val="font91"/>
    <w:basedOn w:val="14"/>
    <w:qFormat/>
    <w:uiPriority w:val="0"/>
    <w:rPr>
      <w:rFonts w:hint="eastAsia" w:ascii="宋体" w:hAnsi="宋体" w:eastAsia="宋体" w:cs="宋体"/>
      <w:color w:val="000000"/>
      <w:sz w:val="16"/>
      <w:szCs w:val="16"/>
      <w:u w:val="none"/>
    </w:rPr>
  </w:style>
  <w:style w:type="character" w:customStyle="1" w:styleId="30">
    <w:name w:val="font111"/>
    <w:basedOn w:val="14"/>
    <w:qFormat/>
    <w:uiPriority w:val="0"/>
    <w:rPr>
      <w:rFonts w:hint="default" w:ascii="Times New Roman" w:hAnsi="Times New Roman" w:cs="Times New Roman"/>
      <w:color w:val="000000"/>
      <w:sz w:val="16"/>
      <w:szCs w:val="16"/>
      <w:u w:val="none"/>
    </w:rPr>
  </w:style>
  <w:style w:type="character" w:customStyle="1" w:styleId="31">
    <w:name w:val="font181"/>
    <w:basedOn w:val="14"/>
    <w:qFormat/>
    <w:uiPriority w:val="0"/>
    <w:rPr>
      <w:rFonts w:hint="eastAsia" w:ascii="仿宋_GB2312" w:eastAsia="仿宋_GB2312" w:cs="仿宋_GB2312"/>
      <w:color w:val="000000"/>
      <w:sz w:val="18"/>
      <w:szCs w:val="18"/>
      <w:u w:val="none"/>
    </w:rPr>
  </w:style>
  <w:style w:type="character" w:customStyle="1" w:styleId="32">
    <w:name w:val="font31"/>
    <w:basedOn w:val="14"/>
    <w:qFormat/>
    <w:uiPriority w:val="0"/>
    <w:rPr>
      <w:rFonts w:hint="default" w:ascii="Times New Roman" w:hAnsi="Times New Roman" w:cs="Times New Roman"/>
      <w:color w:val="000000"/>
      <w:sz w:val="20"/>
      <w:szCs w:val="20"/>
      <w:u w:val="none"/>
    </w:rPr>
  </w:style>
  <w:style w:type="character" w:customStyle="1" w:styleId="33">
    <w:name w:val="font161"/>
    <w:basedOn w:val="14"/>
    <w:qFormat/>
    <w:uiPriority w:val="0"/>
    <w:rPr>
      <w:rFonts w:hint="eastAsia" w:ascii="仿宋_GB2312" w:eastAsia="仿宋_GB2312" w:cs="仿宋_GB2312"/>
      <w:color w:val="000000"/>
      <w:sz w:val="24"/>
      <w:szCs w:val="24"/>
      <w:u w:val="none"/>
    </w:rPr>
  </w:style>
  <w:style w:type="paragraph" w:customStyle="1" w:styleId="34">
    <w:name w:val="Normal Indent1"/>
    <w:basedOn w:val="1"/>
    <w:qFormat/>
    <w:uiPriority w:val="0"/>
    <w:pPr>
      <w:ind w:firstLine="200" w:firstLineChars="200"/>
    </w:p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7">
    <w:name w:val="批注文字 字符"/>
    <w:basedOn w:val="14"/>
    <w:link w:val="3"/>
    <w:qFormat/>
    <w:uiPriority w:val="0"/>
    <w:rPr>
      <w:rFonts w:asciiTheme="minorHAnsi" w:hAnsiTheme="minorHAnsi" w:eastAsiaTheme="minorEastAsia" w:cstheme="minorBidi"/>
      <w:kern w:val="2"/>
      <w:sz w:val="21"/>
      <w:szCs w:val="24"/>
    </w:rPr>
  </w:style>
  <w:style w:type="character" w:customStyle="1" w:styleId="38">
    <w:name w:val="批注主题 字符"/>
    <w:basedOn w:val="37"/>
    <w:link w:val="2"/>
    <w:qFormat/>
    <w:uiPriority w:val="0"/>
    <w:rPr>
      <w:rFonts w:asciiTheme="minorHAnsi" w:hAnsiTheme="minorHAnsi" w:eastAsiaTheme="minorEastAsia" w:cstheme="minorBidi"/>
      <w:b/>
      <w:bCs/>
      <w:kern w:val="2"/>
      <w:sz w:val="21"/>
      <w:szCs w:val="24"/>
    </w:rPr>
  </w:style>
  <w:style w:type="character" w:customStyle="1" w:styleId="39">
    <w:name w:val="批注框文本 字符"/>
    <w:basedOn w:val="14"/>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20107;&#21518;&#35780;&#20215;-&#38902;&#20851;&#22235;&#20010;\&#21335;&#27700;&#24037;&#31243;\08%20&#36164;&#37329;&#25972;&#29702;&#12289;&#32479;&#20998;&#12289;&#21508;&#26495;&#22359;&#20998;&#26512;&#12289;&#32489;&#25928;&#30446;&#26631;&#3156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21862;&#21862;&#21862;\Desktop\&#38902;&#20851;&#39033;&#30446;\&#38902;&#20851;&#39033;&#30446;\&#21335;&#27700;\&#36164;&#37329;.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21862;&#21862;&#21862;\Desktop\&#38902;&#20851;&#39033;&#30446;\&#38902;&#20851;&#39033;&#30446;\&#21335;&#27700;\&#36164;&#37329;.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21862;&#21862;&#21862;\Desktop\&#38902;&#20851;&#39033;&#30446;\&#38902;&#20851;&#39033;&#30446;\&#21335;&#27700;\&#36164;&#37329;.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21862;&#21862;&#21862;\Desktop\&#38902;&#20851;&#39033;&#30446;\&#38902;&#20851;&#39033;&#30446;\&#21335;&#27700;\&#36164;&#37329;.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20107;&#21518;&#35780;&#20215;-&#38902;&#20851;&#22235;&#20010;\&#21335;&#27700;&#24037;&#31243;\08%20&#36164;&#37329;&#25972;&#29702;&#12289;&#32479;&#20998;&#12289;&#21508;&#26495;&#22359;&#20998;&#26512;&#12289;&#32489;&#25928;&#30446;&#26631;&#3156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'[08 资金整理、统分、各板块分析、绩效目标等.xlsx]得分表图'!$AJ$1</c:f>
              <c:strCache>
                <c:ptCount val="1"/>
                <c:pt idx="0">
                  <c:v>权重</c:v>
                </c:pt>
              </c:strCache>
            </c:strRef>
          </c:tx>
          <c:spPr>
            <a:solidFill>
              <a:schemeClr val="accent1">
                <a:shade val="65000"/>
              </a:schemeClr>
            </a:solidFill>
            <a:ln>
              <a:noFill/>
            </a:ln>
            <a:effectLst/>
          </c:spPr>
          <c:invertIfNegative val="0"/>
          <c:dLbls>
            <c:delete val="1"/>
          </c:dLbls>
          <c:cat>
            <c:strRef>
              <c:f>'[08 资金整理、统分、各板块分析、绩效目标等.xlsx]得分表图'!$AI$2:$AI$10</c:f>
              <c:strCache>
                <c:ptCount val="9"/>
                <c:pt idx="0">
                  <c:v>论证充分性</c:v>
                </c:pt>
                <c:pt idx="1">
                  <c:v>完整性</c:v>
                </c:pt>
                <c:pt idx="2">
                  <c:v>合理性</c:v>
                </c:pt>
                <c:pt idx="3">
                  <c:v>可衡量性</c:v>
                </c:pt>
                <c:pt idx="4">
                  <c:v>制度完整性</c:v>
                </c:pt>
                <c:pt idx="5">
                  <c:v>计划安排合理性</c:v>
                </c:pt>
                <c:pt idx="6">
                  <c:v>资金到位率</c:v>
                </c:pt>
                <c:pt idx="7">
                  <c:v>资金到位及时性</c:v>
                </c:pt>
                <c:pt idx="8">
                  <c:v>资金分配合理性</c:v>
                </c:pt>
              </c:strCache>
            </c:strRef>
          </c:cat>
          <c:val>
            <c:numRef>
              <c:f>'[08 资金整理、统分、各板块分析、绩效目标等.xlsx]得分表图'!$AJ$2:$AJ$10</c:f>
              <c:numCache>
                <c:formatCode>#,##0.00_ </c:formatCode>
                <c:ptCount val="9"/>
                <c:pt idx="0">
                  <c:v>4</c:v>
                </c:pt>
                <c:pt idx="1">
                  <c:v>2</c:v>
                </c:pt>
                <c:pt idx="2">
                  <c:v>2</c:v>
                </c:pt>
                <c:pt idx="3">
                  <c:v>2</c:v>
                </c:pt>
                <c:pt idx="4">
                  <c:v>1</c:v>
                </c:pt>
                <c:pt idx="5">
                  <c:v>1</c:v>
                </c:pt>
                <c:pt idx="6">
                  <c:v>3</c:v>
                </c:pt>
                <c:pt idx="7">
                  <c:v>2</c:v>
                </c:pt>
                <c:pt idx="8">
                  <c:v>2</c:v>
                </c:pt>
              </c:numCache>
            </c:numRef>
          </c:val>
        </c:ser>
        <c:ser>
          <c:idx val="1"/>
          <c:order val="1"/>
          <c:tx>
            <c:strRef>
              <c:f>'[08 资金整理、统分、各板块分析、绩效目标等.xlsx]得分表图'!$AK$1</c:f>
              <c:strCache>
                <c:ptCount val="1"/>
                <c:pt idx="0">
                  <c:v>得分</c:v>
                </c:pt>
              </c:strCache>
            </c:strRef>
          </c:tx>
          <c:spPr>
            <a:solidFill>
              <a:schemeClr val="accent1"/>
            </a:solidFill>
            <a:ln>
              <a:noFill/>
            </a:ln>
            <a:effectLst/>
          </c:spPr>
          <c:invertIfNegative val="0"/>
          <c:dLbls>
            <c:delete val="1"/>
          </c:dLbls>
          <c:cat>
            <c:strRef>
              <c:f>'[08 资金整理、统分、各板块分析、绩效目标等.xlsx]得分表图'!$AI$2:$AI$10</c:f>
              <c:strCache>
                <c:ptCount val="9"/>
                <c:pt idx="0">
                  <c:v>论证充分性</c:v>
                </c:pt>
                <c:pt idx="1">
                  <c:v>完整性</c:v>
                </c:pt>
                <c:pt idx="2">
                  <c:v>合理性</c:v>
                </c:pt>
                <c:pt idx="3">
                  <c:v>可衡量性</c:v>
                </c:pt>
                <c:pt idx="4">
                  <c:v>制度完整性</c:v>
                </c:pt>
                <c:pt idx="5">
                  <c:v>计划安排合理性</c:v>
                </c:pt>
                <c:pt idx="6">
                  <c:v>资金到位率</c:v>
                </c:pt>
                <c:pt idx="7">
                  <c:v>资金到位及时性</c:v>
                </c:pt>
                <c:pt idx="8">
                  <c:v>资金分配合理性</c:v>
                </c:pt>
              </c:strCache>
            </c:strRef>
          </c:cat>
          <c:val>
            <c:numRef>
              <c:f>'[08 资金整理、统分、各板块分析、绩效目标等.xlsx]得分表图'!$AK$2:$AK$10</c:f>
              <c:numCache>
                <c:formatCode>#,##0.00_ </c:formatCode>
                <c:ptCount val="9"/>
                <c:pt idx="0">
                  <c:v>4</c:v>
                </c:pt>
                <c:pt idx="1">
                  <c:v>0</c:v>
                </c:pt>
                <c:pt idx="2">
                  <c:v>2</c:v>
                </c:pt>
                <c:pt idx="3">
                  <c:v>1</c:v>
                </c:pt>
                <c:pt idx="4">
                  <c:v>0.5</c:v>
                </c:pt>
                <c:pt idx="5">
                  <c:v>0.5</c:v>
                </c:pt>
                <c:pt idx="6">
                  <c:v>3</c:v>
                </c:pt>
                <c:pt idx="7">
                  <c:v>2</c:v>
                </c:pt>
                <c:pt idx="8">
                  <c:v>3</c:v>
                </c:pt>
              </c:numCache>
            </c:numRef>
          </c:val>
        </c:ser>
        <c:dLbls>
          <c:showLegendKey val="0"/>
          <c:showVal val="0"/>
          <c:showCatName val="0"/>
          <c:showSerName val="0"/>
          <c:showPercent val="0"/>
          <c:showBubbleSize val="0"/>
        </c:dLbls>
        <c:gapWidth val="219"/>
        <c:overlap val="-27"/>
        <c:axId val="597987458"/>
        <c:axId val="273330297"/>
      </c:barChart>
      <c:lineChart>
        <c:grouping val="standard"/>
        <c:varyColors val="0"/>
        <c:ser>
          <c:idx val="2"/>
          <c:order val="2"/>
          <c:tx>
            <c:strRef>
              <c:f>'[08 资金整理、统分、各板块分析、绩效目标等.xlsx]得分表图'!$AL$1</c:f>
              <c:strCache>
                <c:ptCount val="1"/>
                <c:pt idx="0">
                  <c:v>得分率</c:v>
                </c:pt>
              </c:strCache>
            </c:strRef>
          </c:tx>
          <c:spPr>
            <a:ln w="28575" cap="rnd">
              <a:solidFill>
                <a:schemeClr val="accent1">
                  <a:tint val="65000"/>
                </a:schemeClr>
              </a:solidFill>
              <a:round/>
            </a:ln>
            <a:effectLst/>
          </c:spPr>
          <c:marker>
            <c:symbol val="circle"/>
            <c:size val="5"/>
            <c:spPr>
              <a:solidFill>
                <a:schemeClr val="accent1">
                  <a:tint val="65000"/>
                </a:schemeClr>
              </a:solidFill>
              <a:ln w="9525">
                <a:solidFill>
                  <a:schemeClr val="accent1">
                    <a:tint val="65000"/>
                  </a:schemeClr>
                </a:solidFill>
              </a:ln>
              <a:effectLst/>
            </c:spPr>
          </c:marker>
          <c:dLbls>
            <c:delete val="1"/>
          </c:dLbls>
          <c:cat>
            <c:strRef>
              <c:f>'[08 资金整理、统分、各板块分析、绩效目标等.xlsx]得分表图'!$AI$2:$AI$10</c:f>
              <c:strCache>
                <c:ptCount val="9"/>
                <c:pt idx="0">
                  <c:v>论证充分性</c:v>
                </c:pt>
                <c:pt idx="1">
                  <c:v>完整性</c:v>
                </c:pt>
                <c:pt idx="2">
                  <c:v>合理性</c:v>
                </c:pt>
                <c:pt idx="3">
                  <c:v>可衡量性</c:v>
                </c:pt>
                <c:pt idx="4">
                  <c:v>制度完整性</c:v>
                </c:pt>
                <c:pt idx="5">
                  <c:v>计划安排合理性</c:v>
                </c:pt>
                <c:pt idx="6">
                  <c:v>资金到位率</c:v>
                </c:pt>
                <c:pt idx="7">
                  <c:v>资金到位及时性</c:v>
                </c:pt>
                <c:pt idx="8">
                  <c:v>资金分配合理性</c:v>
                </c:pt>
              </c:strCache>
            </c:strRef>
          </c:cat>
          <c:val>
            <c:numRef>
              <c:f>'[08 资金整理、统分、各板块分析、绩效目标等.xlsx]得分表图'!$AL$2:$AL$10</c:f>
              <c:numCache>
                <c:formatCode>0.00%</c:formatCode>
                <c:ptCount val="9"/>
                <c:pt idx="0">
                  <c:v>1</c:v>
                </c:pt>
                <c:pt idx="1">
                  <c:v>0</c:v>
                </c:pt>
                <c:pt idx="2">
                  <c:v>1</c:v>
                </c:pt>
                <c:pt idx="3">
                  <c:v>0.5</c:v>
                </c:pt>
                <c:pt idx="4">
                  <c:v>0.5</c:v>
                </c:pt>
                <c:pt idx="5">
                  <c:v>0.5</c:v>
                </c:pt>
                <c:pt idx="6">
                  <c:v>1</c:v>
                </c:pt>
                <c:pt idx="7">
                  <c:v>1</c:v>
                </c:pt>
                <c:pt idx="8">
                  <c:v>1</c:v>
                </c:pt>
              </c:numCache>
            </c:numRef>
          </c:val>
          <c:smooth val="0"/>
        </c:ser>
        <c:dLbls>
          <c:showLegendKey val="0"/>
          <c:showVal val="0"/>
          <c:showCatName val="0"/>
          <c:showSerName val="0"/>
          <c:showPercent val="0"/>
          <c:showBubbleSize val="0"/>
        </c:dLbls>
        <c:marker val="1"/>
        <c:smooth val="0"/>
        <c:axId val="410759090"/>
        <c:axId val="529585897"/>
      </c:lineChart>
      <c:catAx>
        <c:axId val="59798745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3330297"/>
        <c:crosses val="autoZero"/>
        <c:auto val="1"/>
        <c:lblAlgn val="ctr"/>
        <c:lblOffset val="100"/>
        <c:noMultiLvlLbl val="0"/>
      </c:catAx>
      <c:valAx>
        <c:axId val="273330297"/>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7987458"/>
        <c:crosses val="autoZero"/>
        <c:crossBetween val="between"/>
      </c:valAx>
      <c:catAx>
        <c:axId val="410759090"/>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9585897"/>
        <c:crosses val="autoZero"/>
        <c:auto val="1"/>
        <c:lblAlgn val="ctr"/>
        <c:lblOffset val="100"/>
        <c:noMultiLvlLbl val="0"/>
      </c:catAx>
      <c:valAx>
        <c:axId val="529585897"/>
        <c:scaling>
          <c:orientation val="minMax"/>
        </c:scaling>
        <c:delete val="0"/>
        <c:axPos val="r"/>
        <c:numFmt formatCode="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0759090"/>
        <c:crosses val="max"/>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得分表图!$U$1</c:f>
              <c:strCache>
                <c:ptCount val="1"/>
                <c:pt idx="0">
                  <c:v>权重</c:v>
                </c:pt>
              </c:strCache>
            </c:strRef>
          </c:tx>
          <c:spPr>
            <a:solidFill>
              <a:schemeClr val="accent5">
                <a:tint val="65000"/>
              </a:schemeClr>
            </a:solidFill>
            <a:ln>
              <a:noFill/>
            </a:ln>
            <a:effectLst/>
          </c:spPr>
          <c:invertIfNegative val="0"/>
          <c:dLbls>
            <c:delete val="1"/>
          </c:dLbls>
          <c:cat>
            <c:strRef>
              <c:f>得分表图!$T$2:$T$6</c:f>
              <c:strCache>
                <c:ptCount val="5"/>
                <c:pt idx="0">
                  <c:v>资金支出率</c:v>
                </c:pt>
                <c:pt idx="1">
                  <c:v>支出规范性</c:v>
                </c:pt>
                <c:pt idx="2">
                  <c:v>程序规范性</c:v>
                </c:pt>
                <c:pt idx="3">
                  <c:v>组织管理机构设立情况</c:v>
                </c:pt>
                <c:pt idx="4">
                  <c:v>监管有效性</c:v>
                </c:pt>
              </c:strCache>
            </c:strRef>
          </c:cat>
          <c:val>
            <c:numRef>
              <c:f>得分表图!$U$2:$U$6</c:f>
              <c:numCache>
                <c:formatCode>#,##0.00_ </c:formatCode>
                <c:ptCount val="5"/>
                <c:pt idx="0">
                  <c:v>3</c:v>
                </c:pt>
                <c:pt idx="1">
                  <c:v>6</c:v>
                </c:pt>
                <c:pt idx="2">
                  <c:v>5</c:v>
                </c:pt>
                <c:pt idx="3">
                  <c:v>3</c:v>
                </c:pt>
                <c:pt idx="4">
                  <c:v>3</c:v>
                </c:pt>
              </c:numCache>
            </c:numRef>
          </c:val>
        </c:ser>
        <c:ser>
          <c:idx val="1"/>
          <c:order val="1"/>
          <c:tx>
            <c:strRef>
              <c:f>得分表图!$V$1</c:f>
              <c:strCache>
                <c:ptCount val="1"/>
                <c:pt idx="0">
                  <c:v>得分</c:v>
                </c:pt>
              </c:strCache>
            </c:strRef>
          </c:tx>
          <c:spPr>
            <a:solidFill>
              <a:schemeClr val="accent5"/>
            </a:solidFill>
            <a:ln>
              <a:noFill/>
            </a:ln>
            <a:effectLst/>
          </c:spPr>
          <c:invertIfNegative val="0"/>
          <c:dLbls>
            <c:delete val="1"/>
          </c:dLbls>
          <c:cat>
            <c:strRef>
              <c:f>得分表图!$T$2:$T$6</c:f>
              <c:strCache>
                <c:ptCount val="5"/>
                <c:pt idx="0">
                  <c:v>资金支出率</c:v>
                </c:pt>
                <c:pt idx="1">
                  <c:v>支出规范性</c:v>
                </c:pt>
                <c:pt idx="2">
                  <c:v>程序规范性</c:v>
                </c:pt>
                <c:pt idx="3">
                  <c:v>组织管理机构设立情况</c:v>
                </c:pt>
                <c:pt idx="4">
                  <c:v>监管有效性</c:v>
                </c:pt>
              </c:strCache>
            </c:strRef>
          </c:cat>
          <c:val>
            <c:numRef>
              <c:f>得分表图!$V$2:$V$6</c:f>
              <c:numCache>
                <c:formatCode>#,##0.00_ </c:formatCode>
                <c:ptCount val="5"/>
                <c:pt idx="0">
                  <c:v>2.84</c:v>
                </c:pt>
                <c:pt idx="1">
                  <c:v>6</c:v>
                </c:pt>
                <c:pt idx="2">
                  <c:v>5</c:v>
                </c:pt>
                <c:pt idx="3">
                  <c:v>3</c:v>
                </c:pt>
                <c:pt idx="4">
                  <c:v>3</c:v>
                </c:pt>
              </c:numCache>
            </c:numRef>
          </c:val>
        </c:ser>
        <c:dLbls>
          <c:showLegendKey val="0"/>
          <c:showVal val="0"/>
          <c:showCatName val="0"/>
          <c:showSerName val="0"/>
          <c:showPercent val="0"/>
          <c:showBubbleSize val="0"/>
        </c:dLbls>
        <c:gapWidth val="219"/>
        <c:overlap val="-27"/>
        <c:axId val="319913400"/>
        <c:axId val="721600264"/>
      </c:barChart>
      <c:lineChart>
        <c:grouping val="standard"/>
        <c:varyColors val="0"/>
        <c:ser>
          <c:idx val="2"/>
          <c:order val="2"/>
          <c:tx>
            <c:strRef>
              <c:f>得分表图!$W$1</c:f>
              <c:strCache>
                <c:ptCount val="1"/>
                <c:pt idx="0">
                  <c:v>得分率</c:v>
                </c:pt>
              </c:strCache>
            </c:strRef>
          </c:tx>
          <c:spPr>
            <a:ln w="28575" cap="rnd">
              <a:solidFill>
                <a:schemeClr val="accent5">
                  <a:shade val="65000"/>
                </a:schemeClr>
              </a:solidFill>
              <a:round/>
            </a:ln>
            <a:effectLst/>
          </c:spPr>
          <c:marker>
            <c:symbol val="circle"/>
            <c:size val="5"/>
            <c:spPr>
              <a:solidFill>
                <a:schemeClr val="accent5">
                  <a:shade val="65000"/>
                </a:schemeClr>
              </a:solidFill>
              <a:ln w="9525">
                <a:solidFill>
                  <a:schemeClr val="accent5">
                    <a:shade val="65000"/>
                  </a:schemeClr>
                </a:solidFill>
              </a:ln>
              <a:effectLst/>
            </c:spPr>
          </c:marker>
          <c:dLbls>
            <c:delete val="1"/>
          </c:dLbls>
          <c:cat>
            <c:strRef>
              <c:f>得分表图!$T$2:$T$6</c:f>
              <c:strCache>
                <c:ptCount val="5"/>
                <c:pt idx="0">
                  <c:v>资金支出率</c:v>
                </c:pt>
                <c:pt idx="1">
                  <c:v>支出规范性</c:v>
                </c:pt>
                <c:pt idx="2">
                  <c:v>程序规范性</c:v>
                </c:pt>
                <c:pt idx="3">
                  <c:v>组织管理机构设立情况</c:v>
                </c:pt>
                <c:pt idx="4">
                  <c:v>监管有效性</c:v>
                </c:pt>
              </c:strCache>
            </c:strRef>
          </c:cat>
          <c:val>
            <c:numRef>
              <c:f>得分表图!$W$2:$W$6</c:f>
              <c:numCache>
                <c:formatCode>0.00%</c:formatCode>
                <c:ptCount val="5"/>
                <c:pt idx="0">
                  <c:v>0.946666666666667</c:v>
                </c:pt>
                <c:pt idx="1">
                  <c:v>1</c:v>
                </c:pt>
                <c:pt idx="2">
                  <c:v>1</c:v>
                </c:pt>
                <c:pt idx="3">
                  <c:v>1</c:v>
                </c:pt>
                <c:pt idx="4">
                  <c:v>1</c:v>
                </c:pt>
              </c:numCache>
            </c:numRef>
          </c:val>
          <c:smooth val="0"/>
        </c:ser>
        <c:dLbls>
          <c:showLegendKey val="0"/>
          <c:showVal val="0"/>
          <c:showCatName val="0"/>
          <c:showSerName val="0"/>
          <c:showPercent val="0"/>
          <c:showBubbleSize val="0"/>
        </c:dLbls>
        <c:marker val="1"/>
        <c:smooth val="0"/>
        <c:axId val="254550742"/>
        <c:axId val="185449233"/>
      </c:lineChart>
      <c:catAx>
        <c:axId val="3199134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1600264"/>
        <c:crosses val="autoZero"/>
        <c:auto val="1"/>
        <c:lblAlgn val="ctr"/>
        <c:lblOffset val="100"/>
        <c:noMultiLvlLbl val="0"/>
      </c:catAx>
      <c:valAx>
        <c:axId val="721600264"/>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9913400"/>
        <c:crosses val="autoZero"/>
        <c:crossBetween val="between"/>
      </c:valAx>
      <c:catAx>
        <c:axId val="254550742"/>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5449233"/>
        <c:crosses val="autoZero"/>
        <c:auto val="1"/>
        <c:lblAlgn val="ctr"/>
        <c:lblOffset val="100"/>
        <c:noMultiLvlLbl val="0"/>
      </c:catAx>
      <c:valAx>
        <c:axId val="185449233"/>
        <c:scaling>
          <c:orientation val="minMax"/>
        </c:scaling>
        <c:delete val="0"/>
        <c:axPos val="r"/>
        <c:numFmt formatCode="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4550742"/>
        <c:crosses val="max"/>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得分表图!$T$23</c:f>
              <c:strCache>
                <c:ptCount val="1"/>
                <c:pt idx="0">
                  <c:v>权重</c:v>
                </c:pt>
              </c:strCache>
            </c:strRef>
          </c:tx>
          <c:spPr>
            <a:solidFill>
              <a:schemeClr val="accent5">
                <a:tint val="65000"/>
              </a:schemeClr>
            </a:solidFill>
            <a:ln>
              <a:noFill/>
            </a:ln>
            <a:effectLst/>
          </c:spPr>
          <c:invertIfNegative val="0"/>
          <c:dLbls>
            <c:delete val="1"/>
          </c:dLbls>
          <c:cat>
            <c:strRef>
              <c:f>得分表图!$S$24:$S$34</c:f>
              <c:strCache>
                <c:ptCount val="11"/>
                <c:pt idx="0">
                  <c:v>成本控制率</c:v>
                </c:pt>
                <c:pt idx="1">
                  <c:v>成本节约</c:v>
                </c:pt>
                <c:pt idx="2">
                  <c:v>工程建设用地规模</c:v>
                </c:pt>
                <c:pt idx="3">
                  <c:v>完成输水管道建设</c:v>
                </c:pt>
                <c:pt idx="4">
                  <c:v>新水厂日供水能力</c:v>
                </c:pt>
                <c:pt idx="5">
                  <c:v>供水量保证率</c:v>
                </c:pt>
                <c:pt idx="6">
                  <c:v>工程验收合格率</c:v>
                </c:pt>
                <c:pt idx="7">
                  <c:v>供水水质达标率</c:v>
                </c:pt>
                <c:pt idx="8">
                  <c:v>供水水压达标率</c:v>
                </c:pt>
                <c:pt idx="9">
                  <c:v>水厂完工时间</c:v>
                </c:pt>
                <c:pt idx="10">
                  <c:v>输水管道建设完工投产时间</c:v>
                </c:pt>
              </c:strCache>
            </c:strRef>
          </c:cat>
          <c:val>
            <c:numRef>
              <c:f>得分表图!$T$24:$T$34</c:f>
              <c:numCache>
                <c:formatCode>#,##0.00_ </c:formatCode>
                <c:ptCount val="11"/>
                <c:pt idx="0">
                  <c:v>3</c:v>
                </c:pt>
                <c:pt idx="1">
                  <c:v>2</c:v>
                </c:pt>
                <c:pt idx="2">
                  <c:v>2</c:v>
                </c:pt>
                <c:pt idx="3">
                  <c:v>3</c:v>
                </c:pt>
                <c:pt idx="4">
                  <c:v>2</c:v>
                </c:pt>
                <c:pt idx="5">
                  <c:v>3</c:v>
                </c:pt>
                <c:pt idx="6">
                  <c:v>4</c:v>
                </c:pt>
                <c:pt idx="7">
                  <c:v>3</c:v>
                </c:pt>
                <c:pt idx="8">
                  <c:v>3</c:v>
                </c:pt>
                <c:pt idx="9">
                  <c:v>3</c:v>
                </c:pt>
                <c:pt idx="10">
                  <c:v>2</c:v>
                </c:pt>
              </c:numCache>
            </c:numRef>
          </c:val>
        </c:ser>
        <c:ser>
          <c:idx val="1"/>
          <c:order val="1"/>
          <c:tx>
            <c:strRef>
              <c:f>得分表图!$U$23</c:f>
              <c:strCache>
                <c:ptCount val="1"/>
                <c:pt idx="0">
                  <c:v>得分</c:v>
                </c:pt>
              </c:strCache>
            </c:strRef>
          </c:tx>
          <c:spPr>
            <a:solidFill>
              <a:schemeClr val="accent5"/>
            </a:solidFill>
            <a:ln>
              <a:noFill/>
            </a:ln>
            <a:effectLst/>
          </c:spPr>
          <c:invertIfNegative val="0"/>
          <c:dLbls>
            <c:delete val="1"/>
          </c:dLbls>
          <c:cat>
            <c:strRef>
              <c:f>得分表图!$S$24:$S$34</c:f>
              <c:strCache>
                <c:ptCount val="11"/>
                <c:pt idx="0">
                  <c:v>成本控制率</c:v>
                </c:pt>
                <c:pt idx="1">
                  <c:v>成本节约</c:v>
                </c:pt>
                <c:pt idx="2">
                  <c:v>工程建设用地规模</c:v>
                </c:pt>
                <c:pt idx="3">
                  <c:v>完成输水管道建设</c:v>
                </c:pt>
                <c:pt idx="4">
                  <c:v>新水厂日供水能力</c:v>
                </c:pt>
                <c:pt idx="5">
                  <c:v>供水量保证率</c:v>
                </c:pt>
                <c:pt idx="6">
                  <c:v>工程验收合格率</c:v>
                </c:pt>
                <c:pt idx="7">
                  <c:v>供水水质达标率</c:v>
                </c:pt>
                <c:pt idx="8">
                  <c:v>供水水压达标率</c:v>
                </c:pt>
                <c:pt idx="9">
                  <c:v>水厂完工时间</c:v>
                </c:pt>
                <c:pt idx="10">
                  <c:v>输水管道建设完工投产时间</c:v>
                </c:pt>
              </c:strCache>
            </c:strRef>
          </c:cat>
          <c:val>
            <c:numRef>
              <c:f>得分表图!$U$24:$U$34</c:f>
              <c:numCache>
                <c:formatCode>#,##0.00_ </c:formatCode>
                <c:ptCount val="11"/>
                <c:pt idx="0">
                  <c:v>2</c:v>
                </c:pt>
                <c:pt idx="1">
                  <c:v>1.63</c:v>
                </c:pt>
                <c:pt idx="2">
                  <c:v>1</c:v>
                </c:pt>
                <c:pt idx="3">
                  <c:v>3</c:v>
                </c:pt>
                <c:pt idx="4">
                  <c:v>2</c:v>
                </c:pt>
                <c:pt idx="5">
                  <c:v>3</c:v>
                </c:pt>
                <c:pt idx="6">
                  <c:v>4</c:v>
                </c:pt>
                <c:pt idx="7">
                  <c:v>3</c:v>
                </c:pt>
                <c:pt idx="8">
                  <c:v>3</c:v>
                </c:pt>
                <c:pt idx="9">
                  <c:v>1</c:v>
                </c:pt>
                <c:pt idx="10">
                  <c:v>1</c:v>
                </c:pt>
              </c:numCache>
            </c:numRef>
          </c:val>
        </c:ser>
        <c:dLbls>
          <c:showLegendKey val="0"/>
          <c:showVal val="0"/>
          <c:showCatName val="0"/>
          <c:showSerName val="0"/>
          <c:showPercent val="0"/>
          <c:showBubbleSize val="0"/>
        </c:dLbls>
        <c:gapWidth val="219"/>
        <c:overlap val="-27"/>
        <c:axId val="205281660"/>
        <c:axId val="22310067"/>
      </c:barChart>
      <c:lineChart>
        <c:grouping val="standard"/>
        <c:varyColors val="0"/>
        <c:ser>
          <c:idx val="2"/>
          <c:order val="2"/>
          <c:tx>
            <c:strRef>
              <c:f>得分表图!$V$23</c:f>
              <c:strCache>
                <c:ptCount val="1"/>
                <c:pt idx="0">
                  <c:v>得分率</c:v>
                </c:pt>
              </c:strCache>
            </c:strRef>
          </c:tx>
          <c:spPr>
            <a:ln w="28575" cap="rnd">
              <a:solidFill>
                <a:schemeClr val="accent5">
                  <a:shade val="65000"/>
                </a:schemeClr>
              </a:solidFill>
              <a:round/>
            </a:ln>
            <a:effectLst/>
          </c:spPr>
          <c:marker>
            <c:symbol val="circle"/>
            <c:size val="5"/>
            <c:spPr>
              <a:solidFill>
                <a:schemeClr val="accent5">
                  <a:shade val="65000"/>
                </a:schemeClr>
              </a:solidFill>
              <a:ln w="9525">
                <a:solidFill>
                  <a:schemeClr val="accent5">
                    <a:shade val="65000"/>
                  </a:schemeClr>
                </a:solidFill>
              </a:ln>
              <a:effectLst/>
            </c:spPr>
          </c:marker>
          <c:dLbls>
            <c:delete val="1"/>
          </c:dLbls>
          <c:cat>
            <c:strRef>
              <c:f>得分表图!$S$24:$S$34</c:f>
              <c:strCache>
                <c:ptCount val="11"/>
                <c:pt idx="0">
                  <c:v>成本控制率</c:v>
                </c:pt>
                <c:pt idx="1">
                  <c:v>成本节约</c:v>
                </c:pt>
                <c:pt idx="2">
                  <c:v>工程建设用地规模</c:v>
                </c:pt>
                <c:pt idx="3">
                  <c:v>完成输水管道建设</c:v>
                </c:pt>
                <c:pt idx="4">
                  <c:v>新水厂日供水能力</c:v>
                </c:pt>
                <c:pt idx="5">
                  <c:v>供水量保证率</c:v>
                </c:pt>
                <c:pt idx="6">
                  <c:v>工程验收合格率</c:v>
                </c:pt>
                <c:pt idx="7">
                  <c:v>供水水质达标率</c:v>
                </c:pt>
                <c:pt idx="8">
                  <c:v>供水水压达标率</c:v>
                </c:pt>
                <c:pt idx="9">
                  <c:v>水厂完工时间</c:v>
                </c:pt>
                <c:pt idx="10">
                  <c:v>输水管道建设完工投产时间</c:v>
                </c:pt>
              </c:strCache>
            </c:strRef>
          </c:cat>
          <c:val>
            <c:numRef>
              <c:f>得分表图!$V$24:$V$34</c:f>
              <c:numCache>
                <c:formatCode>0.00%</c:formatCode>
                <c:ptCount val="11"/>
                <c:pt idx="0">
                  <c:v>0.666666666666667</c:v>
                </c:pt>
                <c:pt idx="1">
                  <c:v>0.815</c:v>
                </c:pt>
                <c:pt idx="2">
                  <c:v>0.5</c:v>
                </c:pt>
                <c:pt idx="3">
                  <c:v>1</c:v>
                </c:pt>
                <c:pt idx="4">
                  <c:v>1</c:v>
                </c:pt>
                <c:pt idx="5">
                  <c:v>1</c:v>
                </c:pt>
                <c:pt idx="6">
                  <c:v>1</c:v>
                </c:pt>
                <c:pt idx="7">
                  <c:v>1</c:v>
                </c:pt>
                <c:pt idx="8">
                  <c:v>1</c:v>
                </c:pt>
                <c:pt idx="9">
                  <c:v>0.333333333333333</c:v>
                </c:pt>
                <c:pt idx="10">
                  <c:v>0.5</c:v>
                </c:pt>
              </c:numCache>
            </c:numRef>
          </c:val>
          <c:smooth val="0"/>
        </c:ser>
        <c:dLbls>
          <c:showLegendKey val="0"/>
          <c:showVal val="0"/>
          <c:showCatName val="0"/>
          <c:showSerName val="0"/>
          <c:showPercent val="0"/>
          <c:showBubbleSize val="0"/>
        </c:dLbls>
        <c:marker val="1"/>
        <c:smooth val="0"/>
        <c:axId val="15241477"/>
        <c:axId val="726316541"/>
      </c:lineChart>
      <c:catAx>
        <c:axId val="20528166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310067"/>
        <c:crosses val="autoZero"/>
        <c:auto val="1"/>
        <c:lblAlgn val="ctr"/>
        <c:lblOffset val="100"/>
        <c:noMultiLvlLbl val="0"/>
      </c:catAx>
      <c:valAx>
        <c:axId val="22310067"/>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5281660"/>
        <c:crosses val="autoZero"/>
        <c:crossBetween val="between"/>
      </c:valAx>
      <c:catAx>
        <c:axId val="15241477"/>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6316541"/>
        <c:crosses val="autoZero"/>
        <c:auto val="1"/>
        <c:lblAlgn val="ctr"/>
        <c:lblOffset val="100"/>
        <c:noMultiLvlLbl val="0"/>
      </c:catAx>
      <c:valAx>
        <c:axId val="726316541"/>
        <c:scaling>
          <c:orientation val="minMax"/>
        </c:scaling>
        <c:delete val="0"/>
        <c:axPos val="r"/>
        <c:numFmt formatCode="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241477"/>
        <c:crosses val="max"/>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80" b="0" i="0" u="none" strike="noStrike" kern="1200" spc="0" baseline="0">
                <a:solidFill>
                  <a:schemeClr val="tx1">
                    <a:lumMod val="65000"/>
                    <a:lumOff val="35000"/>
                  </a:schemeClr>
                </a:solidFill>
                <a:latin typeface="+mn-lt"/>
                <a:ea typeface="+mn-ea"/>
                <a:cs typeface="+mn-cs"/>
              </a:defRPr>
            </a:pPr>
            <a:r>
              <a:rPr lang="zh-CN" altLang="en-US" sz="1080"/>
              <a:t>单位：立方米</a:t>
            </a:r>
            <a:endParaRPr lang="zh-CN" altLang="en-US" sz="1080"/>
          </a:p>
        </c:rich>
      </c:tx>
      <c:layout>
        <c:manualLayout>
          <c:xMode val="edge"/>
          <c:yMode val="edge"/>
          <c:x val="0.813699332991278"/>
          <c:y val="0.0178890876565295"/>
        </c:manualLayout>
      </c:layout>
      <c:overlay val="0"/>
      <c:spPr>
        <a:noFill/>
        <a:ln>
          <a:noFill/>
        </a:ln>
        <a:effectLst/>
      </c:spPr>
    </c:title>
    <c:autoTitleDeleted val="0"/>
    <c:plotArea>
      <c:layout/>
      <c:barChart>
        <c:barDir val="col"/>
        <c:grouping val="clustered"/>
        <c:varyColors val="0"/>
        <c:ser>
          <c:idx val="2"/>
          <c:order val="2"/>
          <c:tx>
            <c:strRef>
              <c:f>[资金.xlsx]供水量表!$D$3</c:f>
              <c:strCache>
                <c:ptCount val="1"/>
                <c:pt idx="0">
                  <c:v>1号日合计供水量</c:v>
                </c:pt>
              </c:strCache>
            </c:strRef>
          </c:tx>
          <c:spPr>
            <a:solidFill>
              <a:schemeClr val="accent5"/>
            </a:solidFill>
            <a:ln>
              <a:noFill/>
            </a:ln>
            <a:effectLst/>
          </c:spPr>
          <c:invertIfNegative val="0"/>
          <c:dLbls>
            <c:delete val="1"/>
          </c:dLbls>
          <c:cat>
            <c:numRef>
              <c:f>[资金.xlsx]供水量表!$A$4:$A$10</c:f>
              <c:numCache>
                <c:formatCode>yyyy"年"m"月"</c:formatCode>
                <c:ptCount val="7"/>
                <c:pt idx="0" c:formatCode="yyyy&quot;年&quot;m&quot;月&quot;">
                  <c:v>44348</c:v>
                </c:pt>
                <c:pt idx="1" c:formatCode="yyyy&quot;年&quot;m&quot;月&quot;">
                  <c:v>44378</c:v>
                </c:pt>
                <c:pt idx="2" c:formatCode="yyyy&quot;年&quot;m&quot;月&quot;">
                  <c:v>44409</c:v>
                </c:pt>
                <c:pt idx="3" c:formatCode="yyyy&quot;年&quot;m&quot;月&quot;">
                  <c:v>44440</c:v>
                </c:pt>
                <c:pt idx="4" c:formatCode="yyyy&quot;年&quot;m&quot;月&quot;">
                  <c:v>44470</c:v>
                </c:pt>
                <c:pt idx="5" c:formatCode="yyyy&quot;年&quot;m&quot;月&quot;">
                  <c:v>44501</c:v>
                </c:pt>
                <c:pt idx="6" c:formatCode="yyyy&quot;年&quot;m&quot;月&quot;">
                  <c:v>44531</c:v>
                </c:pt>
              </c:numCache>
            </c:numRef>
          </c:cat>
          <c:val>
            <c:numRef>
              <c:f>[资金.xlsx]供水量表!$D$4:$D$10</c:f>
              <c:numCache>
                <c:formatCode>General</c:formatCode>
                <c:ptCount val="7"/>
                <c:pt idx="1" c:formatCode="0.00_ ">
                  <c:v>28</c:v>
                </c:pt>
                <c:pt idx="2">
                  <c:v>27.56</c:v>
                </c:pt>
                <c:pt idx="3">
                  <c:v>27.14</c:v>
                </c:pt>
                <c:pt idx="4">
                  <c:v>27.78</c:v>
                </c:pt>
                <c:pt idx="5">
                  <c:v>23.61</c:v>
                </c:pt>
                <c:pt idx="6">
                  <c:v>26.64</c:v>
                </c:pt>
              </c:numCache>
            </c:numRef>
          </c:val>
        </c:ser>
        <c:ser>
          <c:idx val="3"/>
          <c:order val="3"/>
          <c:tx>
            <c:strRef>
              <c:f>[资金.xlsx]供水量表!$E$3</c:f>
              <c:strCache>
                <c:ptCount val="1"/>
                <c:pt idx="0">
                  <c:v>15日合计供水量</c:v>
                </c:pt>
              </c:strCache>
            </c:strRef>
          </c:tx>
          <c:spPr>
            <a:solidFill>
              <a:schemeClr val="accent1">
                <a:lumMod val="60000"/>
              </a:schemeClr>
            </a:solidFill>
            <a:ln>
              <a:noFill/>
            </a:ln>
            <a:effectLst/>
          </c:spPr>
          <c:invertIfNegative val="0"/>
          <c:dLbls>
            <c:delete val="1"/>
          </c:dLbls>
          <c:cat>
            <c:numRef>
              <c:f>[资金.xlsx]供水量表!$A$4:$A$10</c:f>
              <c:numCache>
                <c:formatCode>yyyy"年"m"月"</c:formatCode>
                <c:ptCount val="7"/>
                <c:pt idx="0" c:formatCode="yyyy&quot;年&quot;m&quot;月&quot;">
                  <c:v>44348</c:v>
                </c:pt>
                <c:pt idx="1" c:formatCode="yyyy&quot;年&quot;m&quot;月&quot;">
                  <c:v>44378</c:v>
                </c:pt>
                <c:pt idx="2" c:formatCode="yyyy&quot;年&quot;m&quot;月&quot;">
                  <c:v>44409</c:v>
                </c:pt>
                <c:pt idx="3" c:formatCode="yyyy&quot;年&quot;m&quot;月&quot;">
                  <c:v>44440</c:v>
                </c:pt>
                <c:pt idx="4" c:formatCode="yyyy&quot;年&quot;m&quot;月&quot;">
                  <c:v>44470</c:v>
                </c:pt>
                <c:pt idx="5" c:formatCode="yyyy&quot;年&quot;m&quot;月&quot;">
                  <c:v>44501</c:v>
                </c:pt>
                <c:pt idx="6" c:formatCode="yyyy&quot;年&quot;m&quot;月&quot;">
                  <c:v>44531</c:v>
                </c:pt>
              </c:numCache>
            </c:numRef>
          </c:cat>
          <c:val>
            <c:numRef>
              <c:f>[资金.xlsx]供水量表!$E$4:$E$10</c:f>
              <c:numCache>
                <c:formatCode>General</c:formatCode>
                <c:ptCount val="7"/>
                <c:pt idx="1">
                  <c:v>28.49</c:v>
                </c:pt>
                <c:pt idx="2">
                  <c:v>27.01</c:v>
                </c:pt>
                <c:pt idx="3">
                  <c:v>29.2</c:v>
                </c:pt>
                <c:pt idx="4">
                  <c:v>27.63</c:v>
                </c:pt>
                <c:pt idx="5">
                  <c:v>27.88</c:v>
                </c:pt>
                <c:pt idx="6">
                  <c:v>25.94</c:v>
                </c:pt>
              </c:numCache>
            </c:numRef>
          </c:val>
        </c:ser>
        <c:ser>
          <c:idx val="4"/>
          <c:order val="4"/>
          <c:tx>
            <c:strRef>
              <c:f>[资金.xlsx]供水量表!$F$3</c:f>
              <c:strCache>
                <c:ptCount val="1"/>
                <c:pt idx="0">
                  <c:v>30日合计供水量</c:v>
                </c:pt>
              </c:strCache>
            </c:strRef>
          </c:tx>
          <c:spPr>
            <a:solidFill>
              <a:schemeClr val="accent3">
                <a:lumMod val="60000"/>
              </a:schemeClr>
            </a:solidFill>
            <a:ln>
              <a:noFill/>
            </a:ln>
            <a:effectLst/>
          </c:spPr>
          <c:invertIfNegative val="0"/>
          <c:dLbls>
            <c:delete val="1"/>
          </c:dLbls>
          <c:cat>
            <c:numRef>
              <c:f>[资金.xlsx]供水量表!$A$4:$A$10</c:f>
              <c:numCache>
                <c:formatCode>yyyy"年"m"月"</c:formatCode>
                <c:ptCount val="7"/>
                <c:pt idx="0" c:formatCode="yyyy&quot;年&quot;m&quot;月&quot;">
                  <c:v>44348</c:v>
                </c:pt>
                <c:pt idx="1" c:formatCode="yyyy&quot;年&quot;m&quot;月&quot;">
                  <c:v>44378</c:v>
                </c:pt>
                <c:pt idx="2" c:formatCode="yyyy&quot;年&quot;m&quot;月&quot;">
                  <c:v>44409</c:v>
                </c:pt>
                <c:pt idx="3" c:formatCode="yyyy&quot;年&quot;m&quot;月&quot;">
                  <c:v>44440</c:v>
                </c:pt>
                <c:pt idx="4" c:formatCode="yyyy&quot;年&quot;m&quot;月&quot;">
                  <c:v>44470</c:v>
                </c:pt>
                <c:pt idx="5" c:formatCode="yyyy&quot;年&quot;m&quot;月&quot;">
                  <c:v>44501</c:v>
                </c:pt>
                <c:pt idx="6" c:formatCode="yyyy&quot;年&quot;m&quot;月&quot;">
                  <c:v>44531</c:v>
                </c:pt>
              </c:numCache>
            </c:numRef>
          </c:cat>
          <c:val>
            <c:numRef>
              <c:f>[资金.xlsx]供水量表!$F$4:$F$10</c:f>
              <c:numCache>
                <c:formatCode>General</c:formatCode>
                <c:ptCount val="7"/>
                <c:pt idx="0">
                  <c:v>24.58</c:v>
                </c:pt>
                <c:pt idx="1">
                  <c:v>28.25</c:v>
                </c:pt>
                <c:pt idx="2">
                  <c:v>28.86</c:v>
                </c:pt>
                <c:pt idx="3">
                  <c:v>28.82</c:v>
                </c:pt>
                <c:pt idx="4">
                  <c:v>25.29</c:v>
                </c:pt>
                <c:pt idx="5">
                  <c:v>27.29</c:v>
                </c:pt>
                <c:pt idx="6">
                  <c:v>25.13</c:v>
                </c:pt>
              </c:numCache>
            </c:numRef>
          </c:val>
        </c:ser>
        <c:dLbls>
          <c:showLegendKey val="0"/>
          <c:showVal val="0"/>
          <c:showCatName val="0"/>
          <c:showSerName val="0"/>
          <c:showPercent val="0"/>
          <c:showBubbleSize val="0"/>
        </c:dLbls>
        <c:gapWidth val="219"/>
        <c:overlap val="-27"/>
        <c:axId val="275916520"/>
        <c:axId val="425338085"/>
      </c:barChart>
      <c:lineChart>
        <c:grouping val="standard"/>
        <c:varyColors val="0"/>
        <c:ser>
          <c:idx val="0"/>
          <c:order val="0"/>
          <c:tx>
            <c:strRef>
              <c:f>[资金.xlsx]供水量表!$B$3</c:f>
              <c:strCache>
                <c:ptCount val="1"/>
                <c:pt idx="0">
                  <c:v>月累计供水量</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[资金.xlsx]供水量表!$A$4:$A$10</c:f>
              <c:numCache>
                <c:formatCode>yyyy"年"m"月"</c:formatCode>
                <c:ptCount val="7"/>
                <c:pt idx="0" c:formatCode="yyyy&quot;年&quot;m&quot;月&quot;">
                  <c:v>44348</c:v>
                </c:pt>
                <c:pt idx="1" c:formatCode="yyyy&quot;年&quot;m&quot;月&quot;">
                  <c:v>44378</c:v>
                </c:pt>
                <c:pt idx="2" c:formatCode="yyyy&quot;年&quot;m&quot;月&quot;">
                  <c:v>44409</c:v>
                </c:pt>
                <c:pt idx="3" c:formatCode="yyyy&quot;年&quot;m&quot;月&quot;">
                  <c:v>44440</c:v>
                </c:pt>
                <c:pt idx="4" c:formatCode="yyyy&quot;年&quot;m&quot;月&quot;">
                  <c:v>44470</c:v>
                </c:pt>
                <c:pt idx="5" c:formatCode="yyyy&quot;年&quot;m&quot;月&quot;">
                  <c:v>44501</c:v>
                </c:pt>
                <c:pt idx="6" c:formatCode="yyyy&quot;年&quot;m&quot;月&quot;">
                  <c:v>44531</c:v>
                </c:pt>
              </c:numCache>
            </c:numRef>
          </c:cat>
          <c:val>
            <c:numRef>
              <c:f>[资金.xlsx]供水量表!$B$4:$B$10</c:f>
              <c:numCache>
                <c:formatCode>General</c:formatCode>
                <c:ptCount val="7"/>
                <c:pt idx="0">
                  <c:v>316.54</c:v>
                </c:pt>
                <c:pt idx="1" c:formatCode="0.00_ ">
                  <c:v>852</c:v>
                </c:pt>
                <c:pt idx="2">
                  <c:v>864.95</c:v>
                </c:pt>
                <c:pt idx="3">
                  <c:v>865.32</c:v>
                </c:pt>
                <c:pt idx="4">
                  <c:v>848.57</c:v>
                </c:pt>
                <c:pt idx="5">
                  <c:v>793.56</c:v>
                </c:pt>
                <c:pt idx="6" c:formatCode="0.00_ ">
                  <c:v>799.8</c:v>
                </c:pt>
              </c:numCache>
            </c:numRef>
          </c:val>
          <c:smooth val="0"/>
        </c:ser>
        <c:dLbls>
          <c:showLegendKey val="0"/>
          <c:showVal val="0"/>
          <c:showCatName val="0"/>
          <c:showSerName val="0"/>
          <c:showPercent val="0"/>
          <c:showBubbleSize val="0"/>
        </c:dLbls>
        <c:marker val="1"/>
        <c:smooth val="0"/>
        <c:axId val="37788139"/>
        <c:axId val="718211463"/>
      </c:lineChart>
      <c:lineChart>
        <c:grouping val="standard"/>
        <c:varyColors val="0"/>
        <c:ser>
          <c:idx val="1"/>
          <c:order val="1"/>
          <c:tx>
            <c:strRef>
              <c:f>[资金.xlsx]供水量表!$C$3</c:f>
              <c:strCache>
                <c:ptCount val="1"/>
                <c:pt idx="0">
                  <c:v>月均日合计供水量</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elete val="1"/>
          </c:dLbls>
          <c:cat>
            <c:numRef>
              <c:f>[资金.xlsx]供水量表!$A$4:$A$10</c:f>
              <c:numCache>
                <c:formatCode>yyyy"年"m"月"</c:formatCode>
                <c:ptCount val="7"/>
                <c:pt idx="0" c:formatCode="yyyy&quot;年&quot;m&quot;月&quot;">
                  <c:v>44348</c:v>
                </c:pt>
                <c:pt idx="1" c:formatCode="yyyy&quot;年&quot;m&quot;月&quot;">
                  <c:v>44378</c:v>
                </c:pt>
                <c:pt idx="2" c:formatCode="yyyy&quot;年&quot;m&quot;月&quot;">
                  <c:v>44409</c:v>
                </c:pt>
                <c:pt idx="3" c:formatCode="yyyy&quot;年&quot;m&quot;月&quot;">
                  <c:v>44440</c:v>
                </c:pt>
                <c:pt idx="4" c:formatCode="yyyy&quot;年&quot;m&quot;月&quot;">
                  <c:v>44470</c:v>
                </c:pt>
                <c:pt idx="5" c:formatCode="yyyy&quot;年&quot;m&quot;月&quot;">
                  <c:v>44501</c:v>
                </c:pt>
                <c:pt idx="6" c:formatCode="yyyy&quot;年&quot;m&quot;月&quot;">
                  <c:v>44531</c:v>
                </c:pt>
              </c:numCache>
            </c:numRef>
          </c:cat>
          <c:val>
            <c:numRef>
              <c:f>[资金.xlsx]供水量表!$C$4:$C$10</c:f>
              <c:numCache>
                <c:formatCode>General</c:formatCode>
                <c:ptCount val="7"/>
                <c:pt idx="0">
                  <c:v>24.73</c:v>
                </c:pt>
                <c:pt idx="1">
                  <c:v>27.8</c:v>
                </c:pt>
                <c:pt idx="2">
                  <c:v>27.9</c:v>
                </c:pt>
                <c:pt idx="3">
                  <c:v>28.84</c:v>
                </c:pt>
                <c:pt idx="4">
                  <c:v>27.37</c:v>
                </c:pt>
                <c:pt idx="5">
                  <c:v>26.45</c:v>
                </c:pt>
                <c:pt idx="6" c:formatCode="0.00_ ">
                  <c:v>25.8</c:v>
                </c:pt>
              </c:numCache>
            </c:numRef>
          </c:val>
          <c:smooth val="0"/>
        </c:ser>
        <c:dLbls>
          <c:showLegendKey val="0"/>
          <c:showVal val="0"/>
          <c:showCatName val="0"/>
          <c:showSerName val="0"/>
          <c:showPercent val="0"/>
          <c:showBubbleSize val="0"/>
        </c:dLbls>
        <c:marker val="1"/>
        <c:smooth val="0"/>
        <c:axId val="275916520"/>
        <c:axId val="425338085"/>
      </c:lineChart>
      <c:dateAx>
        <c:axId val="37788139"/>
        <c:scaling>
          <c:orientation val="minMax"/>
        </c:scaling>
        <c:delete val="0"/>
        <c:axPos val="b"/>
        <c:numFmt formatCode="yyyy&quot;年&quot;m&quot;月&quot;"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8211463"/>
        <c:crosses val="autoZero"/>
        <c:auto val="1"/>
        <c:lblOffset val="100"/>
        <c:baseTimeUnit val="months"/>
      </c:dateAx>
      <c:valAx>
        <c:axId val="7182114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788139"/>
        <c:crosses val="autoZero"/>
        <c:crossBetween val="between"/>
      </c:valAx>
      <c:dateAx>
        <c:axId val="275916520"/>
        <c:scaling>
          <c:orientation val="minMax"/>
        </c:scaling>
        <c:delete val="1"/>
        <c:axPos val="b"/>
        <c:numFmt formatCode="yyyy&quot;年&quot;m&quot;月&quot;"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5338085"/>
        <c:crosses val="autoZero"/>
        <c:auto val="1"/>
        <c:lblOffset val="100"/>
        <c:baseTimeUnit val="months"/>
      </c:dateAx>
      <c:valAx>
        <c:axId val="425338085"/>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5916520"/>
        <c:crosses val="max"/>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900"/>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得分表图!$M$32</c:f>
              <c:strCache>
                <c:ptCount val="1"/>
                <c:pt idx="0">
                  <c:v>权重</c:v>
                </c:pt>
              </c:strCache>
            </c:strRef>
          </c:tx>
          <c:spPr>
            <a:solidFill>
              <a:schemeClr val="accent5">
                <a:tint val="65000"/>
              </a:schemeClr>
            </a:solidFill>
            <a:ln>
              <a:noFill/>
            </a:ln>
            <a:effectLst/>
          </c:spPr>
          <c:invertIfNegative val="0"/>
          <c:dLbls>
            <c:delete val="1"/>
          </c:dLbls>
          <c:cat>
            <c:strRef>
              <c:f>得分表图!$L$33:$L$42</c:f>
              <c:strCache>
                <c:ptCount val="10"/>
                <c:pt idx="0">
                  <c:v>供水单位综合电耗</c:v>
                </c:pt>
                <c:pt idx="1">
                  <c:v>居民生活用水量供应达标</c:v>
                </c:pt>
                <c:pt idx="2">
                  <c:v>提供更高品质生活饮用水</c:v>
                </c:pt>
                <c:pt idx="3">
                  <c:v>提供稳定安全的供水保证率</c:v>
                </c:pt>
                <c:pt idx="4">
                  <c:v>自然环境管理</c:v>
                </c:pt>
                <c:pt idx="5">
                  <c:v>污染控制</c:v>
                </c:pt>
                <c:pt idx="6">
                  <c:v>供水保障能力</c:v>
                </c:pt>
                <c:pt idx="7">
                  <c:v>工程运营管理</c:v>
                </c:pt>
                <c:pt idx="8">
                  <c:v>工程扩（续）建可增加年引水量</c:v>
                </c:pt>
                <c:pt idx="9">
                  <c:v>群众满意度</c:v>
                </c:pt>
              </c:strCache>
            </c:strRef>
          </c:cat>
          <c:val>
            <c:numRef>
              <c:f>得分表图!$M$33:$M$42</c:f>
              <c:numCache>
                <c:formatCode>#,##0.00_ </c:formatCode>
                <c:ptCount val="10"/>
                <c:pt idx="0">
                  <c:v>3</c:v>
                </c:pt>
                <c:pt idx="1">
                  <c:v>3</c:v>
                </c:pt>
                <c:pt idx="2">
                  <c:v>3</c:v>
                </c:pt>
                <c:pt idx="3">
                  <c:v>3</c:v>
                </c:pt>
                <c:pt idx="4">
                  <c:v>4</c:v>
                </c:pt>
                <c:pt idx="5">
                  <c:v>4</c:v>
                </c:pt>
                <c:pt idx="6">
                  <c:v>2</c:v>
                </c:pt>
                <c:pt idx="7">
                  <c:v>3</c:v>
                </c:pt>
                <c:pt idx="8">
                  <c:v>2</c:v>
                </c:pt>
                <c:pt idx="9">
                  <c:v>3</c:v>
                </c:pt>
              </c:numCache>
            </c:numRef>
          </c:val>
        </c:ser>
        <c:ser>
          <c:idx val="1"/>
          <c:order val="1"/>
          <c:tx>
            <c:strRef>
              <c:f>得分表图!$N$32</c:f>
              <c:strCache>
                <c:ptCount val="1"/>
                <c:pt idx="0">
                  <c:v>得分</c:v>
                </c:pt>
              </c:strCache>
            </c:strRef>
          </c:tx>
          <c:spPr>
            <a:solidFill>
              <a:schemeClr val="accent5"/>
            </a:solidFill>
            <a:ln>
              <a:noFill/>
            </a:ln>
            <a:effectLst/>
          </c:spPr>
          <c:invertIfNegative val="0"/>
          <c:dLbls>
            <c:delete val="1"/>
          </c:dLbls>
          <c:cat>
            <c:strRef>
              <c:f>得分表图!$L$33:$L$42</c:f>
              <c:strCache>
                <c:ptCount val="10"/>
                <c:pt idx="0">
                  <c:v>供水单位综合电耗</c:v>
                </c:pt>
                <c:pt idx="1">
                  <c:v>居民生活用水量供应达标</c:v>
                </c:pt>
                <c:pt idx="2">
                  <c:v>提供更高品质生活饮用水</c:v>
                </c:pt>
                <c:pt idx="3">
                  <c:v>提供稳定安全的供水保证率</c:v>
                </c:pt>
                <c:pt idx="4">
                  <c:v>自然环境管理</c:v>
                </c:pt>
                <c:pt idx="5">
                  <c:v>污染控制</c:v>
                </c:pt>
                <c:pt idx="6">
                  <c:v>供水保障能力</c:v>
                </c:pt>
                <c:pt idx="7">
                  <c:v>工程运营管理</c:v>
                </c:pt>
                <c:pt idx="8">
                  <c:v>工程扩（续）建可增加年引水量</c:v>
                </c:pt>
                <c:pt idx="9">
                  <c:v>群众满意度</c:v>
                </c:pt>
              </c:strCache>
            </c:strRef>
          </c:cat>
          <c:val>
            <c:numRef>
              <c:f>得分表图!$N$33:$N$42</c:f>
              <c:numCache>
                <c:formatCode>#,##0.00_ </c:formatCode>
                <c:ptCount val="10"/>
                <c:pt idx="0">
                  <c:v>1</c:v>
                </c:pt>
                <c:pt idx="1">
                  <c:v>3</c:v>
                </c:pt>
                <c:pt idx="2">
                  <c:v>3</c:v>
                </c:pt>
                <c:pt idx="3">
                  <c:v>1</c:v>
                </c:pt>
                <c:pt idx="4">
                  <c:v>1</c:v>
                </c:pt>
                <c:pt idx="5">
                  <c:v>0</c:v>
                </c:pt>
                <c:pt idx="6">
                  <c:v>1</c:v>
                </c:pt>
                <c:pt idx="7">
                  <c:v>3</c:v>
                </c:pt>
                <c:pt idx="8">
                  <c:v>2</c:v>
                </c:pt>
                <c:pt idx="9">
                  <c:v>3</c:v>
                </c:pt>
              </c:numCache>
            </c:numRef>
          </c:val>
        </c:ser>
        <c:dLbls>
          <c:showLegendKey val="0"/>
          <c:showVal val="0"/>
          <c:showCatName val="0"/>
          <c:showSerName val="0"/>
          <c:showPercent val="0"/>
          <c:showBubbleSize val="0"/>
        </c:dLbls>
        <c:gapWidth val="219"/>
        <c:overlap val="-27"/>
        <c:axId val="11750320"/>
        <c:axId val="352952818"/>
      </c:barChart>
      <c:lineChart>
        <c:grouping val="standard"/>
        <c:varyColors val="0"/>
        <c:ser>
          <c:idx val="2"/>
          <c:order val="2"/>
          <c:tx>
            <c:strRef>
              <c:f>得分表图!$O$32</c:f>
              <c:strCache>
                <c:ptCount val="1"/>
                <c:pt idx="0">
                  <c:v>得分率</c:v>
                </c:pt>
              </c:strCache>
            </c:strRef>
          </c:tx>
          <c:spPr>
            <a:ln w="28575" cap="rnd">
              <a:solidFill>
                <a:schemeClr val="accent5">
                  <a:shade val="65000"/>
                </a:schemeClr>
              </a:solidFill>
              <a:round/>
            </a:ln>
            <a:effectLst/>
          </c:spPr>
          <c:marker>
            <c:symbol val="circle"/>
            <c:size val="5"/>
            <c:spPr>
              <a:solidFill>
                <a:schemeClr val="accent5">
                  <a:shade val="65000"/>
                </a:schemeClr>
              </a:solidFill>
              <a:ln w="9525">
                <a:solidFill>
                  <a:schemeClr val="accent5">
                    <a:shade val="65000"/>
                  </a:schemeClr>
                </a:solidFill>
              </a:ln>
              <a:effectLst/>
            </c:spPr>
          </c:marker>
          <c:dLbls>
            <c:delete val="1"/>
          </c:dLbls>
          <c:cat>
            <c:strRef>
              <c:f>得分表图!$L$33:$L$42</c:f>
              <c:strCache>
                <c:ptCount val="10"/>
                <c:pt idx="0">
                  <c:v>供水单位综合电耗</c:v>
                </c:pt>
                <c:pt idx="1">
                  <c:v>居民生活用水量供应达标</c:v>
                </c:pt>
                <c:pt idx="2">
                  <c:v>提供更高品质生活饮用水</c:v>
                </c:pt>
                <c:pt idx="3">
                  <c:v>提供稳定安全的供水保证率</c:v>
                </c:pt>
                <c:pt idx="4">
                  <c:v>自然环境管理</c:v>
                </c:pt>
                <c:pt idx="5">
                  <c:v>污染控制</c:v>
                </c:pt>
                <c:pt idx="6">
                  <c:v>供水保障能力</c:v>
                </c:pt>
                <c:pt idx="7">
                  <c:v>工程运营管理</c:v>
                </c:pt>
                <c:pt idx="8">
                  <c:v>工程扩（续）建可增加年引水量</c:v>
                </c:pt>
                <c:pt idx="9">
                  <c:v>群众满意度</c:v>
                </c:pt>
              </c:strCache>
            </c:strRef>
          </c:cat>
          <c:val>
            <c:numRef>
              <c:f>得分表图!$O$33:$O$42</c:f>
              <c:numCache>
                <c:formatCode>0.00%</c:formatCode>
                <c:ptCount val="10"/>
                <c:pt idx="0">
                  <c:v>0.333333333333333</c:v>
                </c:pt>
                <c:pt idx="1">
                  <c:v>1</c:v>
                </c:pt>
                <c:pt idx="2">
                  <c:v>1</c:v>
                </c:pt>
                <c:pt idx="3">
                  <c:v>0.333333333333333</c:v>
                </c:pt>
                <c:pt idx="4">
                  <c:v>0.25</c:v>
                </c:pt>
                <c:pt idx="5">
                  <c:v>0</c:v>
                </c:pt>
                <c:pt idx="6">
                  <c:v>0.5</c:v>
                </c:pt>
                <c:pt idx="7">
                  <c:v>1</c:v>
                </c:pt>
                <c:pt idx="8">
                  <c:v>1</c:v>
                </c:pt>
                <c:pt idx="9">
                  <c:v>1</c:v>
                </c:pt>
              </c:numCache>
            </c:numRef>
          </c:val>
          <c:smooth val="0"/>
        </c:ser>
        <c:dLbls>
          <c:showLegendKey val="0"/>
          <c:showVal val="0"/>
          <c:showCatName val="0"/>
          <c:showSerName val="0"/>
          <c:showPercent val="0"/>
          <c:showBubbleSize val="0"/>
        </c:dLbls>
        <c:marker val="1"/>
        <c:smooth val="0"/>
        <c:axId val="31174223"/>
        <c:axId val="147936696"/>
      </c:lineChart>
      <c:catAx>
        <c:axId val="117503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2952818"/>
        <c:crosses val="autoZero"/>
        <c:auto val="1"/>
        <c:lblAlgn val="ctr"/>
        <c:lblOffset val="100"/>
        <c:noMultiLvlLbl val="0"/>
      </c:catAx>
      <c:valAx>
        <c:axId val="352952818"/>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750320"/>
        <c:crosses val="autoZero"/>
        <c:crossBetween val="between"/>
      </c:valAx>
      <c:catAx>
        <c:axId val="31174223"/>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936696"/>
        <c:crosses val="autoZero"/>
        <c:auto val="1"/>
        <c:lblAlgn val="ctr"/>
        <c:lblOffset val="100"/>
        <c:noMultiLvlLbl val="0"/>
      </c:catAx>
      <c:valAx>
        <c:axId val="147936696"/>
        <c:scaling>
          <c:orientation val="minMax"/>
        </c:scaling>
        <c:delete val="0"/>
        <c:axPos val="r"/>
        <c:numFmt formatCode="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174223"/>
        <c:crosses val="max"/>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'[08 资金整理、统分、各板块分析、绩效目标等.xlsx]得分表图'!$AB$1</c:f>
              <c:strCache>
                <c:ptCount val="1"/>
                <c:pt idx="0">
                  <c:v>权重</c:v>
                </c:pt>
              </c:strCache>
            </c:strRef>
          </c:tx>
          <c:spPr>
            <a:solidFill>
              <a:schemeClr val="accent1">
                <a:shade val="65000"/>
              </a:schemeClr>
            </a:solidFill>
            <a:ln>
              <a:noFill/>
            </a:ln>
            <a:effectLst/>
          </c:spPr>
          <c:invertIfNegative val="0"/>
          <c:dLbls>
            <c:delete val="1"/>
          </c:dLbls>
          <c:cat>
            <c:strRef>
              <c:f>'[08 资金整理、统分、各板块分析、绩效目标等.xlsx]得分表图'!$AA$2:$AA$6</c:f>
              <c:strCache>
                <c:ptCount val="5"/>
                <c:pt idx="0">
                  <c:v>投入</c:v>
                </c:pt>
                <c:pt idx="1">
                  <c:v>过程</c:v>
                </c:pt>
                <c:pt idx="2">
                  <c:v>产出</c:v>
                </c:pt>
                <c:pt idx="3">
                  <c:v>效益</c:v>
                </c:pt>
                <c:pt idx="4">
                  <c:v>合计</c:v>
                </c:pt>
              </c:strCache>
            </c:strRef>
          </c:cat>
          <c:val>
            <c:numRef>
              <c:f>'[08 资金整理、统分、各板块分析、绩效目标等.xlsx]得分表图'!$AB$2:$AB$6</c:f>
              <c:numCache>
                <c:formatCode>#,##0.00_ </c:formatCode>
                <c:ptCount val="5"/>
                <c:pt idx="0">
                  <c:v>20</c:v>
                </c:pt>
                <c:pt idx="1">
                  <c:v>20</c:v>
                </c:pt>
                <c:pt idx="2">
                  <c:v>30</c:v>
                </c:pt>
                <c:pt idx="3">
                  <c:v>30</c:v>
                </c:pt>
                <c:pt idx="4">
                  <c:v>100</c:v>
                </c:pt>
              </c:numCache>
            </c:numRef>
          </c:val>
        </c:ser>
        <c:ser>
          <c:idx val="1"/>
          <c:order val="1"/>
          <c:tx>
            <c:strRef>
              <c:f>'[08 资金整理、统分、各板块分析、绩效目标等.xlsx]得分表图'!$AC$1</c:f>
              <c:strCache>
                <c:ptCount val="1"/>
                <c:pt idx="0">
                  <c:v>得分</c:v>
                </c:pt>
              </c:strCache>
            </c:strRef>
          </c:tx>
          <c:spPr>
            <a:solidFill>
              <a:schemeClr val="accent1"/>
            </a:solidFill>
            <a:ln>
              <a:noFill/>
            </a:ln>
            <a:effectLst/>
          </c:spPr>
          <c:invertIfNegative val="0"/>
          <c:dLbls>
            <c:delete val="1"/>
          </c:dLbls>
          <c:cat>
            <c:strRef>
              <c:f>'[08 资金整理、统分、各板块分析、绩效目标等.xlsx]得分表图'!$AA$2:$AA$6</c:f>
              <c:strCache>
                <c:ptCount val="5"/>
                <c:pt idx="0">
                  <c:v>投入</c:v>
                </c:pt>
                <c:pt idx="1">
                  <c:v>过程</c:v>
                </c:pt>
                <c:pt idx="2">
                  <c:v>产出</c:v>
                </c:pt>
                <c:pt idx="3">
                  <c:v>效益</c:v>
                </c:pt>
                <c:pt idx="4">
                  <c:v>合计</c:v>
                </c:pt>
              </c:strCache>
            </c:strRef>
          </c:cat>
          <c:val>
            <c:numRef>
              <c:f>'[08 资金整理、统分、各板块分析、绩效目标等.xlsx]得分表图'!$AC$2:$AC$6</c:f>
              <c:numCache>
                <c:formatCode>#,##0.00_ </c:formatCode>
                <c:ptCount val="5"/>
                <c:pt idx="0">
                  <c:v>16</c:v>
                </c:pt>
                <c:pt idx="1">
                  <c:v>19.84</c:v>
                </c:pt>
                <c:pt idx="2">
                  <c:v>24.63</c:v>
                </c:pt>
                <c:pt idx="3">
                  <c:v>18</c:v>
                </c:pt>
                <c:pt idx="4">
                  <c:v>78.47</c:v>
                </c:pt>
              </c:numCache>
            </c:numRef>
          </c:val>
        </c:ser>
        <c:dLbls>
          <c:showLegendKey val="0"/>
          <c:showVal val="0"/>
          <c:showCatName val="0"/>
          <c:showSerName val="0"/>
          <c:showPercent val="0"/>
          <c:showBubbleSize val="0"/>
        </c:dLbls>
        <c:gapWidth val="219"/>
        <c:overlap val="-27"/>
        <c:axId val="729001543"/>
        <c:axId val="651530356"/>
      </c:barChart>
      <c:lineChart>
        <c:grouping val="standard"/>
        <c:varyColors val="0"/>
        <c:ser>
          <c:idx val="2"/>
          <c:order val="2"/>
          <c:tx>
            <c:strRef>
              <c:f>'[08 资金整理、统分、各板块分析、绩效目标等.xlsx]得分表图'!$AD$1</c:f>
              <c:strCache>
                <c:ptCount val="1"/>
                <c:pt idx="0">
                  <c:v>得分率</c:v>
                </c:pt>
              </c:strCache>
            </c:strRef>
          </c:tx>
          <c:spPr>
            <a:ln w="28575" cap="rnd">
              <a:solidFill>
                <a:schemeClr val="accent1">
                  <a:tint val="65000"/>
                </a:schemeClr>
              </a:solidFill>
              <a:round/>
            </a:ln>
            <a:effectLst/>
          </c:spPr>
          <c:marker>
            <c:symbol val="circle"/>
            <c:size val="5"/>
            <c:spPr>
              <a:solidFill>
                <a:schemeClr val="accent1">
                  <a:tint val="65000"/>
                </a:schemeClr>
              </a:solidFill>
              <a:ln w="9525">
                <a:solidFill>
                  <a:schemeClr val="accent1">
                    <a:tint val="65000"/>
                  </a:schemeClr>
                </a:solidFill>
              </a:ln>
              <a:effectLst/>
            </c:spPr>
          </c:marker>
          <c:dLbls>
            <c:delete val="1"/>
          </c:dLbls>
          <c:cat>
            <c:strRef>
              <c:f>'[08 资金整理、统分、各板块分析、绩效目标等.xlsx]得分表图'!$AA$2:$AA$6</c:f>
              <c:strCache>
                <c:ptCount val="5"/>
                <c:pt idx="0">
                  <c:v>投入</c:v>
                </c:pt>
                <c:pt idx="1">
                  <c:v>过程</c:v>
                </c:pt>
                <c:pt idx="2">
                  <c:v>产出</c:v>
                </c:pt>
                <c:pt idx="3">
                  <c:v>效益</c:v>
                </c:pt>
                <c:pt idx="4">
                  <c:v>合计</c:v>
                </c:pt>
              </c:strCache>
            </c:strRef>
          </c:cat>
          <c:val>
            <c:numRef>
              <c:f>'[08 资金整理、统分、各板块分析、绩效目标等.xlsx]得分表图'!$AD$2:$AD$6</c:f>
              <c:numCache>
                <c:formatCode>0.00%</c:formatCode>
                <c:ptCount val="5"/>
                <c:pt idx="0">
                  <c:v>0.8</c:v>
                </c:pt>
                <c:pt idx="1">
                  <c:v>0.992</c:v>
                </c:pt>
                <c:pt idx="2">
                  <c:v>0.821</c:v>
                </c:pt>
                <c:pt idx="3">
                  <c:v>0.6</c:v>
                </c:pt>
                <c:pt idx="4">
                  <c:v>0.7847</c:v>
                </c:pt>
              </c:numCache>
            </c:numRef>
          </c:val>
          <c:smooth val="0"/>
        </c:ser>
        <c:dLbls>
          <c:showLegendKey val="0"/>
          <c:showVal val="0"/>
          <c:showCatName val="0"/>
          <c:showSerName val="0"/>
          <c:showPercent val="0"/>
          <c:showBubbleSize val="0"/>
        </c:dLbls>
        <c:marker val="1"/>
        <c:smooth val="0"/>
        <c:axId val="794883815"/>
        <c:axId val="710837473"/>
      </c:lineChart>
      <c:catAx>
        <c:axId val="72900154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1530356"/>
        <c:crosses val="autoZero"/>
        <c:auto val="1"/>
        <c:lblAlgn val="ctr"/>
        <c:lblOffset val="100"/>
        <c:noMultiLvlLbl val="0"/>
      </c:catAx>
      <c:valAx>
        <c:axId val="651530356"/>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9001543"/>
        <c:crosses val="autoZero"/>
        <c:crossBetween val="between"/>
      </c:valAx>
      <c:catAx>
        <c:axId val="794883815"/>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0837473"/>
        <c:crosses val="autoZero"/>
        <c:auto val="1"/>
        <c:lblAlgn val="ctr"/>
        <c:lblOffset val="100"/>
        <c:noMultiLvlLbl val="0"/>
      </c:catAx>
      <c:valAx>
        <c:axId val="710837473"/>
        <c:scaling>
          <c:orientation val="minMax"/>
        </c:scaling>
        <c:delete val="0"/>
        <c:axPos val="r"/>
        <c:numFmt formatCode="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4883815"/>
        <c:crosses val="max"/>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5">
  <a:schemeClr val="accent5"/>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Reversed" id="25">
  <a:schemeClr val="accent5"/>
</cs:colorStyle>
</file>

<file path=word/charts/colors6.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E33725-AB8A-4A75-8A03-61DA2AE0BAD0}">
  <ds:schemaRefs/>
</ds:datastoreItem>
</file>

<file path=docProps/app.xml><?xml version="1.0" encoding="utf-8"?>
<Properties xmlns="http://schemas.openxmlformats.org/officeDocument/2006/extended-properties" xmlns:vt="http://schemas.openxmlformats.org/officeDocument/2006/docPropsVTypes">
  <Template>Normal.dotm</Template>
  <Company>中山大学</Company>
  <Pages>36</Pages>
  <Words>14352</Words>
  <Characters>15791</Characters>
  <Lines>160</Lines>
  <Paragraphs>45</Paragraphs>
  <TotalTime>26</TotalTime>
  <ScaleCrop>false</ScaleCrop>
  <LinksUpToDate>false</LinksUpToDate>
  <CharactersWithSpaces>15885</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2022-09-30T09:14:00Z</dcterms:created>
  <dc:creator>啦啦啦</dc:creator>
  <cp:lastModifiedBy>何艳</cp:lastModifiedBy>
  <cp:lastPrinted>2022-09-28T08:30:00Z</cp:lastPrinted>
  <dcterms:modified xsi:type="dcterms:W3CDTF">2023-01-18T09:04:06Z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6B4F73FC77D542318F20F42C33478161</vt:lpwstr>
  </property>
  <property fmtid="{D5CDD505-2E9C-101B-9397-08002B2CF9AE}" pid="4" name="ribbonExt">
    <vt:lpwstr>{"WPSExtOfficeTab":{"OnGetEnabled":false,"OnGetVisible":false}}</vt:lpwstr>
  </property>
</Properties>
</file>