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adjustRightInd w:val="0"/>
        <w:jc w:val="center"/>
        <w:rPr>
          <w:rFonts w:eastAsia="黑体" w:cs="Times New Roman"/>
          <w:b/>
          <w:bCs/>
          <w:kern w:val="0"/>
          <w:sz w:val="30"/>
          <w:szCs w:val="32"/>
        </w:rPr>
      </w:pPr>
      <w:bookmarkStart w:id="0" w:name="_Toc75536356"/>
    </w:p>
    <w:p>
      <w:pPr>
        <w:widowControl/>
        <w:adjustRightInd w:val="0"/>
        <w:jc w:val="center"/>
        <w:rPr>
          <w:rFonts w:eastAsia="黑体" w:cs="Times New Roman"/>
          <w:b/>
          <w:bCs/>
          <w:kern w:val="0"/>
          <w:sz w:val="30"/>
          <w:szCs w:val="32"/>
        </w:rPr>
      </w:pPr>
    </w:p>
    <w:p>
      <w:pPr>
        <w:widowControl/>
        <w:adjustRightInd w:val="0"/>
        <w:jc w:val="center"/>
        <w:rPr>
          <w:rFonts w:eastAsia="黑体" w:cs="Times New Roman"/>
          <w:b/>
          <w:bCs/>
          <w:kern w:val="0"/>
          <w:sz w:val="30"/>
          <w:szCs w:val="32"/>
        </w:rPr>
      </w:pPr>
    </w:p>
    <w:p>
      <w:pPr>
        <w:widowControl/>
        <w:adjustRightInd w:val="0"/>
        <w:jc w:val="center"/>
        <w:outlineLvl w:val="0"/>
        <w:rPr>
          <w:rFonts w:ascii="方正小标宋简体" w:hAnsi="方正小标宋简体" w:eastAsia="方正小标宋简体" w:cs="方正小标宋简体"/>
          <w:b/>
          <w:bCs/>
          <w:spacing w:val="20"/>
          <w:sz w:val="60"/>
          <w:szCs w:val="60"/>
        </w:rPr>
      </w:pPr>
      <w:r>
        <w:rPr>
          <w:rFonts w:hint="eastAsia" w:ascii="方正小标宋简体" w:hAnsi="方正小标宋简体" w:eastAsia="方正小标宋简体" w:cs="方正小标宋简体"/>
          <w:b/>
          <w:bCs/>
          <w:spacing w:val="20"/>
          <w:sz w:val="60"/>
          <w:szCs w:val="60"/>
        </w:rPr>
        <w:t>韶关市区武江饮用水水源</w:t>
      </w:r>
    </w:p>
    <w:p>
      <w:pPr>
        <w:widowControl/>
        <w:adjustRightInd w:val="0"/>
        <w:jc w:val="center"/>
        <w:outlineLvl w:val="0"/>
        <w:rPr>
          <w:rFonts w:ascii="方正小标宋简体" w:hAnsi="方正小标宋简体" w:eastAsia="方正小标宋简体" w:cs="方正小标宋简体"/>
          <w:spacing w:val="20"/>
          <w:kern w:val="0"/>
          <w:sz w:val="60"/>
          <w:szCs w:val="60"/>
        </w:rPr>
      </w:pPr>
      <w:r>
        <w:rPr>
          <w:rFonts w:hint="eastAsia" w:ascii="方正小标宋简体" w:hAnsi="方正小标宋简体" w:eastAsia="方正小标宋简体" w:cs="方正小标宋简体"/>
          <w:b/>
          <w:bCs/>
          <w:spacing w:val="20"/>
          <w:sz w:val="60"/>
          <w:szCs w:val="60"/>
        </w:rPr>
        <w:t>保护区调整方案</w:t>
      </w:r>
    </w:p>
    <w:p>
      <w:pPr>
        <w:widowControl/>
        <w:adjustRightInd w:val="0"/>
        <w:jc w:val="center"/>
        <w:rPr>
          <w:rFonts w:cs="Times New Roman"/>
          <w:spacing w:val="20"/>
          <w:kern w:val="0"/>
          <w:sz w:val="24"/>
          <w:szCs w:val="24"/>
        </w:rPr>
      </w:pPr>
    </w:p>
    <w:p>
      <w:pPr>
        <w:widowControl/>
        <w:adjustRightInd w:val="0"/>
        <w:jc w:val="center"/>
        <w:rPr>
          <w:rFonts w:cs="Times New Roman"/>
          <w:spacing w:val="20"/>
          <w:kern w:val="0"/>
          <w:sz w:val="24"/>
          <w:szCs w:val="24"/>
        </w:rPr>
      </w:pPr>
    </w:p>
    <w:p>
      <w:pPr>
        <w:widowControl/>
        <w:adjustRightInd w:val="0"/>
        <w:jc w:val="center"/>
        <w:rPr>
          <w:rFonts w:cs="Times New Roman"/>
          <w:spacing w:val="20"/>
          <w:kern w:val="0"/>
          <w:sz w:val="24"/>
          <w:szCs w:val="24"/>
        </w:rPr>
      </w:pPr>
    </w:p>
    <w:p>
      <w:pPr>
        <w:widowControl/>
        <w:adjustRightInd w:val="0"/>
        <w:jc w:val="center"/>
        <w:rPr>
          <w:rFonts w:cs="Times New Roman"/>
          <w:spacing w:val="20"/>
          <w:kern w:val="0"/>
          <w:sz w:val="24"/>
          <w:szCs w:val="24"/>
        </w:rPr>
      </w:pPr>
    </w:p>
    <w:p>
      <w:pPr>
        <w:widowControl/>
        <w:adjustRightInd w:val="0"/>
        <w:jc w:val="center"/>
        <w:rPr>
          <w:rFonts w:cs="Times New Roman"/>
          <w:spacing w:val="20"/>
          <w:kern w:val="0"/>
          <w:sz w:val="24"/>
          <w:szCs w:val="24"/>
        </w:rPr>
      </w:pPr>
    </w:p>
    <w:p>
      <w:pPr>
        <w:widowControl/>
        <w:adjustRightInd w:val="0"/>
        <w:jc w:val="center"/>
        <w:rPr>
          <w:rFonts w:cs="Times New Roman"/>
          <w:spacing w:val="20"/>
          <w:kern w:val="0"/>
          <w:sz w:val="24"/>
          <w:szCs w:val="24"/>
        </w:rPr>
      </w:pPr>
    </w:p>
    <w:p>
      <w:pPr>
        <w:widowControl/>
        <w:adjustRightInd w:val="0"/>
        <w:jc w:val="center"/>
        <w:rPr>
          <w:rFonts w:cs="Times New Roman"/>
          <w:spacing w:val="20"/>
          <w:kern w:val="0"/>
          <w:sz w:val="24"/>
          <w:szCs w:val="24"/>
        </w:rPr>
      </w:pPr>
    </w:p>
    <w:p>
      <w:pPr>
        <w:widowControl/>
        <w:adjustRightInd w:val="0"/>
        <w:jc w:val="center"/>
        <w:rPr>
          <w:rFonts w:cs="Times New Roman"/>
          <w:spacing w:val="20"/>
          <w:kern w:val="0"/>
          <w:sz w:val="24"/>
          <w:szCs w:val="24"/>
        </w:rPr>
      </w:pPr>
    </w:p>
    <w:p>
      <w:pPr>
        <w:widowControl/>
        <w:adjustRightInd w:val="0"/>
        <w:jc w:val="center"/>
        <w:rPr>
          <w:rFonts w:cs="Times New Roman"/>
          <w:spacing w:val="20"/>
          <w:kern w:val="0"/>
          <w:sz w:val="24"/>
          <w:szCs w:val="24"/>
        </w:rPr>
      </w:pPr>
    </w:p>
    <w:p>
      <w:pPr>
        <w:widowControl/>
        <w:adjustRightInd w:val="0"/>
        <w:jc w:val="center"/>
        <w:rPr>
          <w:rFonts w:cs="Times New Roman"/>
          <w:spacing w:val="20"/>
          <w:kern w:val="0"/>
          <w:sz w:val="24"/>
          <w:szCs w:val="24"/>
        </w:rPr>
      </w:pPr>
    </w:p>
    <w:p>
      <w:pPr>
        <w:pStyle w:val="2"/>
        <w:ind w:left="560"/>
      </w:pPr>
    </w:p>
    <w:p>
      <w:pPr>
        <w:adjustRightInd w:val="0"/>
        <w:spacing w:before="38" w:beforeLines="10"/>
        <w:jc w:val="center"/>
        <w:outlineLvl w:val="0"/>
        <w:rPr>
          <w:rFonts w:ascii="方正小标宋简体" w:hAnsi="方正小标宋简体" w:eastAsia="方正小标宋简体" w:cs="方正小标宋简体"/>
          <w:bCs/>
          <w:spacing w:val="28"/>
          <w:kern w:val="0"/>
          <w:sz w:val="36"/>
          <w:szCs w:val="36"/>
        </w:rPr>
      </w:pPr>
    </w:p>
    <w:p>
      <w:pPr>
        <w:adjustRightInd w:val="0"/>
        <w:spacing w:before="38" w:beforeLines="10"/>
        <w:jc w:val="center"/>
        <w:outlineLvl w:val="0"/>
        <w:rPr>
          <w:rFonts w:ascii="方正小标宋简体" w:hAnsi="方正小标宋简体" w:eastAsia="方正小标宋简体" w:cs="方正小标宋简体"/>
          <w:bCs/>
          <w:spacing w:val="28"/>
          <w:kern w:val="0"/>
          <w:sz w:val="36"/>
          <w:szCs w:val="36"/>
        </w:rPr>
      </w:pPr>
    </w:p>
    <w:p>
      <w:pPr>
        <w:adjustRightInd w:val="0"/>
        <w:spacing w:before="38" w:beforeLines="10"/>
        <w:jc w:val="center"/>
        <w:outlineLvl w:val="0"/>
        <w:rPr>
          <w:rFonts w:ascii="方正小标宋简体" w:hAnsi="方正小标宋简体" w:eastAsia="方正小标宋简体" w:cs="方正小标宋简体"/>
          <w:bCs/>
          <w:spacing w:val="28"/>
          <w:kern w:val="0"/>
          <w:sz w:val="36"/>
          <w:szCs w:val="36"/>
        </w:rPr>
      </w:pPr>
      <w:r>
        <w:rPr>
          <w:rFonts w:hint="eastAsia" w:ascii="方正小标宋简体" w:hAnsi="方正小标宋简体" w:eastAsia="方正小标宋简体" w:cs="方正小标宋简体"/>
          <w:bCs/>
          <w:spacing w:val="28"/>
          <w:kern w:val="0"/>
          <w:sz w:val="36"/>
          <w:szCs w:val="36"/>
        </w:rPr>
        <w:t>二Ο二三年三月</w:t>
      </w:r>
    </w:p>
    <w:p>
      <w:pPr>
        <w:ind w:firstLine="560" w:firstLineChars="200"/>
        <w:sectPr>
          <w:headerReference r:id="rId4" w:type="first"/>
          <w:footerReference r:id="rId6" w:type="first"/>
          <w:headerReference r:id="rId3" w:type="default"/>
          <w:footerReference r:id="rId5" w:type="default"/>
          <w:pgSz w:w="11906" w:h="16838"/>
          <w:pgMar w:top="1440" w:right="1800" w:bottom="1440" w:left="1800" w:header="851" w:footer="992" w:gutter="0"/>
          <w:pgNumType w:start="0"/>
          <w:cols w:space="425" w:num="1"/>
          <w:titlePg/>
          <w:docGrid w:type="lines" w:linePitch="381" w:charSpace="0"/>
        </w:sectPr>
      </w:pPr>
    </w:p>
    <w:p>
      <w:pPr>
        <w:jc w:val="center"/>
        <w:outlineLvl w:val="0"/>
        <w:rPr>
          <w:rFonts w:ascii="方正小标宋简体" w:hAnsi="方正小标宋简体" w:eastAsia="方正小标宋简体" w:cs="方正小标宋简体"/>
          <w:b/>
          <w:bCs/>
          <w:spacing w:val="20"/>
          <w:sz w:val="44"/>
          <w:szCs w:val="44"/>
        </w:rPr>
      </w:pPr>
      <w:r>
        <w:rPr>
          <w:rFonts w:hint="eastAsia" w:ascii="方正小标宋简体" w:hAnsi="方正小标宋简体" w:eastAsia="方正小标宋简体" w:cs="方正小标宋简体"/>
          <w:b/>
          <w:bCs/>
          <w:spacing w:val="20"/>
          <w:sz w:val="44"/>
          <w:szCs w:val="44"/>
        </w:rPr>
        <w:t>韶关市区武江饮用水水源保护区</w:t>
      </w:r>
    </w:p>
    <w:p>
      <w:pPr>
        <w:jc w:val="center"/>
        <w:outlineLvl w:val="0"/>
        <w:rPr>
          <w:sz w:val="44"/>
          <w:szCs w:val="44"/>
        </w:rPr>
      </w:pPr>
      <w:r>
        <w:rPr>
          <w:rFonts w:hint="eastAsia" w:ascii="方正小标宋简体" w:hAnsi="方正小标宋简体" w:eastAsia="方正小标宋简体" w:cs="方正小标宋简体"/>
          <w:b/>
          <w:bCs/>
          <w:spacing w:val="20"/>
          <w:sz w:val="44"/>
          <w:szCs w:val="44"/>
        </w:rPr>
        <w:t>调整方案</w:t>
      </w:r>
    </w:p>
    <w:p/>
    <w:p>
      <w:pPr>
        <w:adjustRightInd w:val="0"/>
        <w:snapToGrid w:val="0"/>
        <w:spacing w:line="600" w:lineRule="exact"/>
        <w:outlineLvl w:val="0"/>
        <w:rPr>
          <w:rFonts w:eastAsia="黑体" w:cs="Times New Roman"/>
          <w:color w:val="000000"/>
          <w:sz w:val="32"/>
          <w:szCs w:val="32"/>
          <w:shd w:val="clear" w:color="auto" w:fill="FFFFFF"/>
        </w:rPr>
      </w:pPr>
      <w:r>
        <w:rPr>
          <w:rFonts w:hint="eastAsia" w:eastAsia="黑体" w:cs="Times New Roman"/>
          <w:color w:val="000000"/>
          <w:sz w:val="32"/>
          <w:szCs w:val="32"/>
          <w:shd w:val="clear" w:color="auto" w:fill="FFFFFF"/>
        </w:rPr>
        <w:t>一、水源地基本情况</w:t>
      </w:r>
    </w:p>
    <w:p>
      <w:pPr>
        <w:spacing w:line="600" w:lineRule="exact"/>
        <w:ind w:firstLine="602" w:firstLineChars="200"/>
        <w:outlineLvl w:val="1"/>
        <w:rPr>
          <w:rFonts w:eastAsia="仿宋" w:cs="Times New Roman"/>
          <w:b/>
          <w:bCs/>
          <w:sz w:val="30"/>
          <w:szCs w:val="30"/>
        </w:rPr>
      </w:pPr>
      <w:r>
        <w:rPr>
          <w:rFonts w:hint="eastAsia" w:eastAsia="仿宋" w:cs="Times New Roman"/>
          <w:b/>
          <w:bCs/>
          <w:sz w:val="30"/>
          <w:szCs w:val="30"/>
        </w:rPr>
        <w:t>（一）武江饮用水水源地</w:t>
      </w:r>
    </w:p>
    <w:p>
      <w:pPr>
        <w:spacing w:line="600" w:lineRule="exact"/>
        <w:ind w:firstLine="600" w:firstLineChars="200"/>
        <w:rPr>
          <w:rFonts w:eastAsia="仿宋" w:cs="Times New Roman"/>
          <w:sz w:val="30"/>
          <w:szCs w:val="30"/>
        </w:rPr>
      </w:pPr>
      <w:r>
        <w:rPr>
          <w:rFonts w:hint="eastAsia" w:eastAsia="仿宋" w:cs="Times New Roman"/>
          <w:sz w:val="30"/>
          <w:szCs w:val="30"/>
        </w:rPr>
        <w:t>武江是北江流域的一级支流，发源于湖南省临武县三峰岭，流经湖南省的临武县、宜章县、郴县、桂阳、汝城等五县和广东省的乐昌、乳源、曲江、韶关市区，于韶关市区沙洲尾注入北江。武江全河长260km，流域面积7097km</w:t>
      </w:r>
      <w:r>
        <w:rPr>
          <w:rFonts w:hint="eastAsia" w:eastAsia="仿宋" w:cs="Times New Roman"/>
          <w:sz w:val="30"/>
          <w:szCs w:val="30"/>
          <w:vertAlign w:val="superscript"/>
        </w:rPr>
        <w:t>2</w:t>
      </w:r>
      <w:r>
        <w:rPr>
          <w:rFonts w:hint="eastAsia" w:eastAsia="仿宋" w:cs="Times New Roman"/>
          <w:sz w:val="30"/>
          <w:szCs w:val="30"/>
        </w:rPr>
        <w:t>（其中湖南境内河长92km，流域面积3480km</w:t>
      </w:r>
      <w:r>
        <w:rPr>
          <w:rFonts w:hint="eastAsia" w:eastAsia="仿宋" w:cs="Times New Roman"/>
          <w:sz w:val="30"/>
          <w:szCs w:val="30"/>
          <w:vertAlign w:val="superscript"/>
        </w:rPr>
        <w:t>2</w:t>
      </w:r>
      <w:r>
        <w:rPr>
          <w:rFonts w:hint="eastAsia" w:eastAsia="仿宋" w:cs="Times New Roman"/>
          <w:sz w:val="30"/>
          <w:szCs w:val="30"/>
        </w:rPr>
        <w:t>）河床平均坡降0.91‰，总落差123m。</w:t>
      </w:r>
    </w:p>
    <w:p>
      <w:pPr>
        <w:spacing w:line="600" w:lineRule="exact"/>
        <w:ind w:firstLine="600" w:firstLineChars="200"/>
        <w:rPr>
          <w:rFonts w:eastAsia="仿宋" w:cs="Times New Roman"/>
          <w:sz w:val="30"/>
          <w:szCs w:val="30"/>
        </w:rPr>
      </w:pPr>
      <w:r>
        <w:rPr>
          <w:rFonts w:hint="eastAsia" w:eastAsia="仿宋" w:cs="Times New Roman"/>
          <w:sz w:val="30"/>
          <w:szCs w:val="30"/>
        </w:rPr>
        <w:t>武江多年平均河川径流量61.2亿m</w:t>
      </w:r>
      <w:r>
        <w:rPr>
          <w:rFonts w:hint="eastAsia" w:eastAsia="仿宋" w:cs="Times New Roman"/>
          <w:sz w:val="30"/>
          <w:szCs w:val="30"/>
          <w:vertAlign w:val="superscript"/>
        </w:rPr>
        <w:t>3</w:t>
      </w:r>
      <w:r>
        <w:rPr>
          <w:rFonts w:hint="eastAsia" w:eastAsia="仿宋" w:cs="Times New Roman"/>
          <w:sz w:val="30"/>
          <w:szCs w:val="30"/>
        </w:rPr>
        <w:t>，其中过境水量22.5亿m</w:t>
      </w:r>
      <w:r>
        <w:rPr>
          <w:rFonts w:hint="eastAsia" w:eastAsia="仿宋" w:cs="Times New Roman"/>
          <w:sz w:val="30"/>
          <w:szCs w:val="30"/>
          <w:vertAlign w:val="superscript"/>
        </w:rPr>
        <w:t>3</w:t>
      </w:r>
      <w:r>
        <w:rPr>
          <w:rFonts w:hint="eastAsia" w:eastAsia="仿宋" w:cs="Times New Roman"/>
          <w:sz w:val="30"/>
          <w:szCs w:val="30"/>
        </w:rPr>
        <w:t>，枯水年（P=90%）为32.4亿m</w:t>
      </w:r>
      <w:r>
        <w:rPr>
          <w:rFonts w:hint="eastAsia" w:eastAsia="仿宋" w:cs="Times New Roman"/>
          <w:sz w:val="30"/>
          <w:szCs w:val="30"/>
          <w:vertAlign w:val="superscript"/>
        </w:rPr>
        <w:t>3</w:t>
      </w:r>
      <w:r>
        <w:rPr>
          <w:rFonts w:hint="eastAsia" w:eastAsia="仿宋" w:cs="Times New Roman"/>
          <w:sz w:val="30"/>
          <w:szCs w:val="30"/>
        </w:rPr>
        <w:t>，最小年径流量为22.6亿m</w:t>
      </w:r>
      <w:r>
        <w:rPr>
          <w:rFonts w:hint="eastAsia" w:eastAsia="仿宋" w:cs="Times New Roman"/>
          <w:sz w:val="30"/>
          <w:szCs w:val="30"/>
          <w:vertAlign w:val="superscript"/>
        </w:rPr>
        <w:t>3</w:t>
      </w:r>
      <w:r>
        <w:rPr>
          <w:rFonts w:hint="eastAsia" w:eastAsia="仿宋" w:cs="Times New Roman"/>
          <w:sz w:val="30"/>
          <w:szCs w:val="30"/>
        </w:rPr>
        <w:t>，本地多年平均浅层地下水为7.92亿m</w:t>
      </w:r>
      <w:r>
        <w:rPr>
          <w:rFonts w:hint="eastAsia" w:eastAsia="仿宋" w:cs="Times New Roman"/>
          <w:sz w:val="30"/>
          <w:szCs w:val="30"/>
          <w:vertAlign w:val="superscript"/>
        </w:rPr>
        <w:t>3</w:t>
      </w:r>
      <w:r>
        <w:rPr>
          <w:rFonts w:hint="eastAsia" w:eastAsia="仿宋" w:cs="Times New Roman"/>
          <w:sz w:val="30"/>
          <w:szCs w:val="30"/>
        </w:rPr>
        <w:t>，最枯流量为9.49m</w:t>
      </w:r>
      <w:r>
        <w:rPr>
          <w:rFonts w:hint="eastAsia" w:eastAsia="仿宋" w:cs="Times New Roman"/>
          <w:sz w:val="30"/>
          <w:szCs w:val="30"/>
          <w:vertAlign w:val="superscript"/>
        </w:rPr>
        <w:t>3</w:t>
      </w:r>
      <w:r>
        <w:rPr>
          <w:rFonts w:hint="eastAsia" w:eastAsia="仿宋" w:cs="Times New Roman"/>
          <w:sz w:val="30"/>
          <w:szCs w:val="30"/>
        </w:rPr>
        <w:t>/s（出现于2004年）。</w:t>
      </w:r>
    </w:p>
    <w:p>
      <w:pPr>
        <w:spacing w:line="600" w:lineRule="exact"/>
        <w:ind w:firstLine="600" w:firstLineChars="200"/>
        <w:rPr>
          <w:rFonts w:hint="eastAsia" w:eastAsia="仿宋" w:cs="Times New Roman"/>
          <w:sz w:val="30"/>
          <w:szCs w:val="30"/>
          <w:lang w:eastAsia="zh-CN"/>
        </w:rPr>
      </w:pPr>
      <w:r>
        <w:rPr>
          <w:rFonts w:hint="eastAsia" w:eastAsia="仿宋" w:cs="Times New Roman"/>
          <w:sz w:val="30"/>
          <w:szCs w:val="30"/>
        </w:rPr>
        <w:t>韶关市区武江饮用水水源保护区于1998年省政府批复划定，2018年因取水口上移，供水格局发生变化，对武江水源保护区进行调整。2021年8月韶关市区南水供水工程通水运行后，韶关市区（武江区、浈江区）供水水源调整为乳源县南水水库，曲江区供水水源是苍村水库饮用水水源，武江饮用水水源作为备用水源</w:t>
      </w:r>
      <w:r>
        <w:rPr>
          <w:rFonts w:hint="eastAsia" w:eastAsia="仿宋" w:cs="Times New Roman"/>
          <w:sz w:val="30"/>
          <w:szCs w:val="30"/>
          <w:lang w:eastAsia="zh-CN"/>
        </w:rPr>
        <w:t>，</w:t>
      </w:r>
      <w:r>
        <w:rPr>
          <w:rFonts w:hint="eastAsia" w:eastAsia="仿宋" w:cs="Times New Roman"/>
          <w:sz w:val="30"/>
          <w:szCs w:val="30"/>
        </w:rPr>
        <w:t>形成了湖库河流联网的安全供水格局。韶关市市辖的武江、浈江两区城市现状（2023年）供水由韶关市水务投资集团有限公司承担市中心区（包括浈江区和武江区）的供水任务，供水区域东至浈江区大塘路口，西至武江区龙归镇，南与曲江城区连通，北至浈江区犁市镇，目前帽子峰水厂、西河一水厂已停止供水，主要由韶州自来水厂（含原西河二水厂）和五里亭水厂供水，其供水能力达到45万m</w:t>
      </w:r>
      <w:r>
        <w:rPr>
          <w:rFonts w:hint="eastAsia" w:eastAsia="仿宋" w:cs="Times New Roman"/>
          <w:sz w:val="30"/>
          <w:szCs w:val="30"/>
          <w:vertAlign w:val="superscript"/>
        </w:rPr>
        <w:t>3</w:t>
      </w:r>
      <w:r>
        <w:rPr>
          <w:rFonts w:hint="eastAsia" w:eastAsia="仿宋" w:cs="Times New Roman"/>
          <w:sz w:val="30"/>
          <w:szCs w:val="30"/>
        </w:rPr>
        <w:t>/d，满足整个城区用水需求</w:t>
      </w:r>
      <w:r>
        <w:rPr>
          <w:rFonts w:hint="eastAsia" w:eastAsia="仿宋" w:cs="Times New Roman"/>
          <w:sz w:val="30"/>
          <w:szCs w:val="30"/>
          <w:lang w:eastAsia="zh-CN"/>
        </w:rPr>
        <w:t>。</w:t>
      </w:r>
    </w:p>
    <w:p>
      <w:pPr>
        <w:spacing w:line="600" w:lineRule="exact"/>
        <w:ind w:firstLine="602" w:firstLineChars="200"/>
        <w:outlineLvl w:val="1"/>
        <w:rPr>
          <w:rFonts w:eastAsia="仿宋" w:cs="Times New Roman"/>
          <w:b/>
          <w:bCs/>
          <w:sz w:val="30"/>
          <w:szCs w:val="30"/>
        </w:rPr>
      </w:pPr>
      <w:r>
        <w:rPr>
          <w:rFonts w:hint="eastAsia" w:eastAsia="仿宋" w:cs="Times New Roman"/>
          <w:b/>
          <w:bCs/>
          <w:sz w:val="30"/>
          <w:szCs w:val="30"/>
        </w:rPr>
        <w:t>（二）韶关丹霞机场高速公路工程基本情况</w:t>
      </w:r>
    </w:p>
    <w:p>
      <w:pPr>
        <w:spacing w:line="600" w:lineRule="exact"/>
        <w:ind w:firstLine="600" w:firstLineChars="200"/>
        <w:rPr>
          <w:rFonts w:eastAsia="仿宋" w:cs="Times New Roman"/>
          <w:sz w:val="30"/>
          <w:szCs w:val="30"/>
        </w:rPr>
      </w:pPr>
      <w:r>
        <w:rPr>
          <w:rFonts w:hint="eastAsia" w:eastAsia="仿宋" w:cs="Times New Roman"/>
          <w:sz w:val="30"/>
          <w:szCs w:val="30"/>
        </w:rPr>
        <w:t>韶关丹霞机场高速公路工程（以下简称“机场高速”）起于韶关市区朝阳路与移山路交叉口附近，沿碧亭路、县道X313走廊往西北方向前进，于糖寮互通上韶关北环高速，共线至重阳镇九联村附近，设置互通立交后往北新建高速公路，终于丹霞机场，打通了一条韶关市区直达机场的高等级公路运输通道。机场高速起点接入韶关市区城市主干路网，终点直接连通机场航站楼集散通道，项目建成后能够大大缩短韶关市区至机场行程时间，并使得丹霞机场客货源有条件快速流入区域高速公路网络，实现高效集疏运，从而进一步扩大机场辐射范围。</w:t>
      </w:r>
    </w:p>
    <w:p>
      <w:pPr>
        <w:spacing w:line="600" w:lineRule="exact"/>
        <w:ind w:firstLine="600" w:firstLineChars="200"/>
        <w:rPr>
          <w:rFonts w:eastAsia="仿宋" w:cs="Times New Roman"/>
          <w:sz w:val="30"/>
          <w:szCs w:val="30"/>
        </w:rPr>
      </w:pPr>
      <w:r>
        <w:rPr>
          <w:rFonts w:hint="eastAsia" w:eastAsia="仿宋" w:cs="Times New Roman"/>
          <w:sz w:val="30"/>
          <w:szCs w:val="30"/>
        </w:rPr>
        <w:t>目前机场高速已纳入《韶关市综合立体交通网规划》、《韶关市综合交通运输“十四五”发展规划》及《广东省高速公路网规划（2020年-2035年）》。根据《广东省发展改革委关于印发广东省2022年重点建设前期预备项目增补计划的通知》（粤发改重点函〔2022〕1432 号），机场高速已列入广东省2022年重点建设前期项目。韶关丹霞机场高速公路工程广东省交通规划设计研究院集团股份有限公司编制的《韶关丹霞机场高速公路工程穿越韶关市武江饮用水源一级保护区路线方案唯一性论证报告》已于2023年1月13日通过了韶关市交通运输局组织的专家评审，并经广东省交通运输厅同意，充分说明了机场高速路线走向的唯一性。</w:t>
      </w:r>
    </w:p>
    <w:p>
      <w:pPr>
        <w:spacing w:line="600" w:lineRule="exact"/>
        <w:ind w:firstLine="600" w:firstLineChars="200"/>
        <w:rPr>
          <w:rFonts w:eastAsia="仿宋" w:cs="Times New Roman"/>
          <w:sz w:val="30"/>
          <w:szCs w:val="30"/>
        </w:rPr>
      </w:pPr>
      <w:r>
        <w:rPr>
          <w:rFonts w:hint="eastAsia" w:eastAsia="仿宋" w:cs="Times New Roman"/>
          <w:sz w:val="30"/>
          <w:szCs w:val="30"/>
        </w:rPr>
        <w:t>机场高速需要穿越韶关市区武江饮用水源一级保护区，穿越长度约115米。根据《中华人民共和国水污染防治法》，禁止在饮用水水源一级保护区内新建、改建、扩建与供水设施和保护水源无关的建设项目，机场高速的建设与规定冲突。唯一性线路确实无法避让饮用水源保护区，依据《关于进一步加强我省饮用水源保护区和生态严控区保护工作的会议纪要》（广东省政府[2014]17号）文件要求，在确保护武江饮用水源水质不受影响的前提下，有必要尽快调整武江饮用水源保护区范围，推进省重点建设项目，实现高质量发展。</w:t>
      </w:r>
    </w:p>
    <w:p>
      <w:pPr>
        <w:adjustRightInd w:val="0"/>
        <w:snapToGrid w:val="0"/>
        <w:spacing w:line="600" w:lineRule="exact"/>
        <w:outlineLvl w:val="0"/>
        <w:rPr>
          <w:rFonts w:eastAsia="黑体" w:cs="Times New Roman"/>
          <w:color w:val="000000"/>
          <w:sz w:val="32"/>
          <w:szCs w:val="32"/>
          <w:shd w:val="clear" w:color="auto" w:fill="FFFFFF"/>
        </w:rPr>
      </w:pPr>
      <w:r>
        <w:rPr>
          <w:rFonts w:eastAsia="黑体" w:cs="Times New Roman"/>
          <w:color w:val="000000"/>
          <w:sz w:val="32"/>
          <w:szCs w:val="32"/>
          <w:shd w:val="clear" w:color="auto" w:fill="FFFFFF"/>
        </w:rPr>
        <w:t>二、保护区</w:t>
      </w:r>
      <w:r>
        <w:rPr>
          <w:rFonts w:hint="eastAsia" w:eastAsia="黑体" w:cs="Times New Roman"/>
          <w:color w:val="000000"/>
          <w:sz w:val="32"/>
          <w:szCs w:val="32"/>
          <w:shd w:val="clear" w:color="auto" w:fill="FFFFFF"/>
        </w:rPr>
        <w:t>调整</w:t>
      </w:r>
      <w:r>
        <w:rPr>
          <w:rFonts w:eastAsia="黑体" w:cs="Times New Roman"/>
          <w:color w:val="000000"/>
          <w:sz w:val="32"/>
          <w:szCs w:val="32"/>
          <w:shd w:val="clear" w:color="auto" w:fill="FFFFFF"/>
        </w:rPr>
        <w:t>原则</w:t>
      </w:r>
    </w:p>
    <w:p>
      <w:pPr>
        <w:spacing w:line="600" w:lineRule="exact"/>
        <w:ind w:firstLine="602" w:firstLineChars="200"/>
        <w:outlineLvl w:val="1"/>
        <w:rPr>
          <w:rFonts w:eastAsia="仿宋" w:cs="Times New Roman"/>
          <w:b/>
          <w:bCs/>
          <w:sz w:val="30"/>
          <w:szCs w:val="30"/>
        </w:rPr>
      </w:pPr>
      <w:r>
        <w:rPr>
          <w:rFonts w:hint="eastAsia" w:eastAsia="仿宋" w:cs="Times New Roman"/>
          <w:b/>
          <w:bCs/>
          <w:sz w:val="30"/>
          <w:szCs w:val="30"/>
        </w:rPr>
        <w:t>（一）坚持现状水质保护目标不变，保障供水安全的原则</w:t>
      </w:r>
    </w:p>
    <w:p>
      <w:pPr>
        <w:spacing w:line="600" w:lineRule="exact"/>
        <w:ind w:firstLine="600" w:firstLineChars="200"/>
        <w:rPr>
          <w:rFonts w:eastAsia="仿宋" w:cs="Times New Roman"/>
          <w:sz w:val="30"/>
          <w:szCs w:val="30"/>
        </w:rPr>
      </w:pPr>
      <w:r>
        <w:rPr>
          <w:rFonts w:hint="eastAsia" w:eastAsia="仿宋" w:cs="Times New Roman"/>
          <w:sz w:val="30"/>
          <w:szCs w:val="30"/>
        </w:rPr>
        <w:t>饮用水水源保护区范围调整时应重视现状饮用水源地的保护，调整以不降低饮用水源地水质目标为底线，不降低水质保护的要求，确保供水安全。</w:t>
      </w:r>
    </w:p>
    <w:p>
      <w:pPr>
        <w:spacing w:line="600" w:lineRule="exact"/>
        <w:ind w:firstLine="602" w:firstLineChars="200"/>
        <w:outlineLvl w:val="1"/>
        <w:rPr>
          <w:rFonts w:eastAsia="仿宋" w:cs="Times New Roman"/>
          <w:b/>
          <w:bCs/>
          <w:sz w:val="30"/>
          <w:szCs w:val="30"/>
        </w:rPr>
      </w:pPr>
      <w:r>
        <w:rPr>
          <w:rFonts w:hint="eastAsia" w:eastAsia="仿宋" w:cs="Times New Roman"/>
          <w:b/>
          <w:bCs/>
          <w:sz w:val="30"/>
          <w:szCs w:val="30"/>
        </w:rPr>
        <w:t>（二）坚持实事求是、慎重、稳妥的原则</w:t>
      </w:r>
    </w:p>
    <w:p>
      <w:pPr>
        <w:spacing w:line="600" w:lineRule="exact"/>
        <w:ind w:firstLine="600" w:firstLineChars="200"/>
        <w:rPr>
          <w:rFonts w:eastAsia="仿宋" w:cs="Times New Roman"/>
          <w:sz w:val="30"/>
          <w:szCs w:val="30"/>
        </w:rPr>
      </w:pPr>
      <w:r>
        <w:rPr>
          <w:rFonts w:hint="eastAsia" w:eastAsia="仿宋" w:cs="Times New Roman"/>
          <w:sz w:val="30"/>
          <w:szCs w:val="30"/>
        </w:rPr>
        <w:t>应全面、务实地调查研究和分析范围内的自然环境、社会经济、水资源及其开发利用、水环境功能区以及饮用水水源保护区的现状，分析其中存在的问题；结合机场高速穿越武江饮用水源地一级保护区的唯一路由，慎重、稳妥地提出饮用水水源保护区调整方案。</w:t>
      </w:r>
    </w:p>
    <w:p>
      <w:pPr>
        <w:spacing w:line="600" w:lineRule="exact"/>
        <w:ind w:firstLine="602" w:firstLineChars="200"/>
        <w:outlineLvl w:val="1"/>
        <w:rPr>
          <w:rFonts w:eastAsia="仿宋" w:cs="Times New Roman"/>
          <w:b/>
          <w:bCs/>
          <w:sz w:val="30"/>
          <w:szCs w:val="30"/>
        </w:rPr>
      </w:pPr>
      <w:r>
        <w:rPr>
          <w:rFonts w:hint="eastAsia" w:eastAsia="仿宋" w:cs="Times New Roman"/>
          <w:b/>
          <w:bCs/>
          <w:sz w:val="30"/>
          <w:szCs w:val="30"/>
        </w:rPr>
        <w:t>（三）坚持科学性、前瞻性和可操作性的原则</w:t>
      </w:r>
    </w:p>
    <w:p>
      <w:pPr>
        <w:spacing w:line="600" w:lineRule="exact"/>
        <w:ind w:firstLine="600" w:firstLineChars="200"/>
        <w:rPr>
          <w:rFonts w:eastAsia="仿宋" w:cs="Times New Roman"/>
          <w:sz w:val="30"/>
          <w:szCs w:val="30"/>
        </w:rPr>
      </w:pPr>
      <w:r>
        <w:rPr>
          <w:rFonts w:hint="eastAsia" w:eastAsia="仿宋" w:cs="Times New Roman"/>
          <w:sz w:val="30"/>
          <w:szCs w:val="30"/>
        </w:rPr>
        <w:t>应通过科学、严谨的分析和论证来选定最优的调整方案，调整过程要符合有关法律法规和技术规范的要求；调整方案应充分考虑到区域将来的水资源变化趋势、水资源保护要求和经济社会发展的需要，具有科学性和前瞻性；调整方案应具有很强的可操作性，饮用水水源保护区边界范围可考虑行政区边界，方便地方相关部门协调、统一管理和保护。</w:t>
      </w:r>
    </w:p>
    <w:p>
      <w:pPr>
        <w:spacing w:line="600" w:lineRule="exact"/>
        <w:ind w:firstLine="602" w:firstLineChars="200"/>
        <w:outlineLvl w:val="1"/>
        <w:rPr>
          <w:rFonts w:eastAsia="仿宋" w:cs="Times New Roman"/>
          <w:b/>
          <w:bCs/>
          <w:sz w:val="30"/>
          <w:szCs w:val="30"/>
        </w:rPr>
      </w:pPr>
      <w:r>
        <w:rPr>
          <w:rFonts w:eastAsia="仿宋" w:cs="Times New Roman"/>
          <w:b/>
          <w:bCs/>
          <w:sz w:val="30"/>
          <w:szCs w:val="30"/>
        </w:rPr>
        <w:t>（</w:t>
      </w:r>
      <w:r>
        <w:rPr>
          <w:rFonts w:hint="eastAsia" w:eastAsia="仿宋" w:cs="Times New Roman"/>
          <w:b/>
          <w:bCs/>
          <w:sz w:val="30"/>
          <w:szCs w:val="30"/>
        </w:rPr>
        <w:t>四</w:t>
      </w:r>
      <w:r>
        <w:rPr>
          <w:rFonts w:eastAsia="仿宋" w:cs="Times New Roman"/>
          <w:b/>
          <w:bCs/>
          <w:sz w:val="30"/>
          <w:szCs w:val="30"/>
        </w:rPr>
        <w:t>）坚持社会、经济、资源和环境协调统一的原则</w:t>
      </w:r>
    </w:p>
    <w:p>
      <w:pPr>
        <w:spacing w:line="600" w:lineRule="exact"/>
        <w:ind w:firstLine="600" w:firstLineChars="200"/>
        <w:rPr>
          <w:rFonts w:eastAsia="仿宋" w:cs="Times New Roman"/>
          <w:sz w:val="30"/>
          <w:szCs w:val="30"/>
        </w:rPr>
      </w:pPr>
      <w:r>
        <w:rPr>
          <w:rFonts w:eastAsia="仿宋" w:cs="Times New Roman"/>
          <w:sz w:val="30"/>
          <w:szCs w:val="30"/>
        </w:rPr>
        <w:t>饮用水水源保护区调整方案应与韶关市的经济发展总体战略、水资源开发利用以及水资源保护等规划相协调；保护优先，同时充分发挥水资源、水环境对地方经济社会发展的支撑作用，做到社会、经济、水资源和环境效益的协调、可持续发展。</w:t>
      </w:r>
    </w:p>
    <w:p>
      <w:pPr>
        <w:adjustRightInd w:val="0"/>
        <w:snapToGrid w:val="0"/>
        <w:spacing w:line="600" w:lineRule="exact"/>
        <w:outlineLvl w:val="0"/>
        <w:rPr>
          <w:rFonts w:eastAsia="黑体" w:cs="Times New Roman"/>
          <w:color w:val="000000"/>
          <w:sz w:val="32"/>
          <w:szCs w:val="32"/>
          <w:shd w:val="clear" w:color="auto" w:fill="FFFFFF"/>
        </w:rPr>
      </w:pPr>
      <w:r>
        <w:rPr>
          <w:rFonts w:hint="eastAsia" w:eastAsia="黑体" w:cs="Times New Roman"/>
          <w:color w:val="000000"/>
          <w:sz w:val="32"/>
          <w:szCs w:val="32"/>
          <w:shd w:val="clear" w:color="auto" w:fill="FFFFFF"/>
        </w:rPr>
        <w:t>三、保护区优化调整内容</w:t>
      </w:r>
    </w:p>
    <w:p>
      <w:pPr>
        <w:spacing w:line="600" w:lineRule="exact"/>
        <w:ind w:firstLine="602" w:firstLineChars="200"/>
        <w:outlineLvl w:val="1"/>
        <w:rPr>
          <w:rFonts w:eastAsia="仿宋" w:cs="Times New Roman"/>
          <w:b/>
          <w:bCs/>
          <w:sz w:val="30"/>
          <w:szCs w:val="30"/>
        </w:rPr>
      </w:pPr>
      <w:r>
        <w:rPr>
          <w:rFonts w:hint="eastAsia" w:eastAsia="仿宋" w:cs="Times New Roman"/>
          <w:b/>
          <w:bCs/>
          <w:sz w:val="30"/>
          <w:szCs w:val="30"/>
        </w:rPr>
        <w:t>（一）调整前保护区范围</w:t>
      </w:r>
    </w:p>
    <w:p>
      <w:pPr>
        <w:spacing w:line="600" w:lineRule="exact"/>
        <w:ind w:firstLine="600" w:firstLineChars="200"/>
        <w:rPr>
          <w:rFonts w:eastAsia="仿宋" w:cs="Times New Roman"/>
          <w:sz w:val="30"/>
          <w:szCs w:val="30"/>
        </w:rPr>
      </w:pPr>
      <w:r>
        <w:rPr>
          <w:rFonts w:hint="eastAsia" w:eastAsia="仿宋" w:cs="Times New Roman"/>
          <w:sz w:val="30"/>
          <w:szCs w:val="30"/>
        </w:rPr>
        <w:t>1、</w:t>
      </w:r>
      <w:r>
        <w:rPr>
          <w:rFonts w:eastAsia="仿宋" w:cs="Times New Roman"/>
          <w:sz w:val="30"/>
          <w:szCs w:val="30"/>
        </w:rPr>
        <w:t>一级保护区</w:t>
      </w:r>
    </w:p>
    <w:p>
      <w:pPr>
        <w:spacing w:line="600" w:lineRule="exact"/>
        <w:ind w:firstLine="600" w:firstLineChars="200"/>
        <w:rPr>
          <w:rFonts w:eastAsia="仿宋" w:cs="Times New Roman"/>
          <w:sz w:val="30"/>
          <w:szCs w:val="30"/>
        </w:rPr>
      </w:pPr>
      <w:r>
        <w:rPr>
          <w:rFonts w:hint="eastAsia" w:eastAsia="仿宋" w:cs="Times New Roman"/>
          <w:sz w:val="30"/>
          <w:szCs w:val="30"/>
        </w:rPr>
        <w:t>水域：取水口下游100米至靖村长3.4公里河段除航道外的水域范围，以及汇入该河段的支流从汇入口上溯200米的水域范围。</w:t>
      </w:r>
    </w:p>
    <w:p>
      <w:pPr>
        <w:spacing w:line="600" w:lineRule="exact"/>
        <w:ind w:firstLine="600" w:firstLineChars="200"/>
        <w:rPr>
          <w:rFonts w:eastAsia="仿宋" w:cs="Times New Roman"/>
          <w:sz w:val="30"/>
          <w:szCs w:val="30"/>
        </w:rPr>
      </w:pPr>
      <w:r>
        <w:rPr>
          <w:rFonts w:hint="eastAsia" w:eastAsia="仿宋" w:cs="Times New Roman"/>
          <w:sz w:val="30"/>
          <w:szCs w:val="30"/>
        </w:rPr>
        <w:t>陆域：相应一级保护区水域的两岸正常岸线向陆纵深50米内的陆域，有防洪堤河段至防洪堤迎水面，包括江心岛</w:t>
      </w:r>
    </w:p>
    <w:p>
      <w:pPr>
        <w:spacing w:line="600" w:lineRule="exact"/>
        <w:ind w:firstLine="600" w:firstLineChars="200"/>
        <w:rPr>
          <w:rFonts w:eastAsia="仿宋" w:cs="Times New Roman"/>
          <w:sz w:val="30"/>
          <w:szCs w:val="30"/>
        </w:rPr>
      </w:pPr>
      <w:r>
        <w:rPr>
          <w:rFonts w:hint="eastAsia" w:eastAsia="仿宋" w:cs="Times New Roman"/>
          <w:sz w:val="30"/>
          <w:szCs w:val="30"/>
        </w:rPr>
        <w:t>一级保护区面积：</w:t>
      </w:r>
      <w:r>
        <w:rPr>
          <w:rFonts w:eastAsia="仿宋" w:cs="Times New Roman"/>
          <w:sz w:val="30"/>
          <w:szCs w:val="30"/>
        </w:rPr>
        <w:t xml:space="preserve">1.64 </w:t>
      </w:r>
      <w:r>
        <w:rPr>
          <w:rFonts w:hint="eastAsia" w:eastAsia="仿宋" w:cs="Times New Roman"/>
          <w:sz w:val="30"/>
          <w:szCs w:val="30"/>
        </w:rPr>
        <w:t>km</w:t>
      </w:r>
      <w:r>
        <w:rPr>
          <w:rFonts w:hint="eastAsia" w:eastAsia="仿宋" w:cs="Times New Roman"/>
          <w:sz w:val="30"/>
          <w:szCs w:val="30"/>
          <w:vertAlign w:val="superscript"/>
        </w:rPr>
        <w:t>2</w:t>
      </w:r>
      <w:r>
        <w:rPr>
          <w:rFonts w:hint="eastAsia" w:eastAsia="仿宋" w:cs="Times New Roman"/>
          <w:sz w:val="30"/>
          <w:szCs w:val="30"/>
        </w:rPr>
        <w:t>。</w:t>
      </w:r>
    </w:p>
    <w:p>
      <w:pPr>
        <w:spacing w:line="600" w:lineRule="exact"/>
        <w:ind w:firstLine="600" w:firstLineChars="200"/>
        <w:rPr>
          <w:rFonts w:eastAsia="仿宋" w:cs="Times New Roman"/>
          <w:sz w:val="30"/>
          <w:szCs w:val="30"/>
        </w:rPr>
      </w:pPr>
      <w:r>
        <w:rPr>
          <w:rFonts w:hint="eastAsia" w:eastAsia="仿宋" w:cs="Times New Roman"/>
          <w:sz w:val="30"/>
          <w:szCs w:val="30"/>
        </w:rPr>
        <w:t>2、二级保护区</w:t>
      </w:r>
    </w:p>
    <w:p>
      <w:pPr>
        <w:spacing w:line="600" w:lineRule="exact"/>
        <w:ind w:firstLine="600" w:firstLineChars="200"/>
        <w:rPr>
          <w:rFonts w:eastAsia="仿宋" w:cs="Times New Roman"/>
          <w:sz w:val="30"/>
          <w:szCs w:val="30"/>
        </w:rPr>
      </w:pPr>
      <w:r>
        <w:rPr>
          <w:rFonts w:hint="eastAsia" w:eastAsia="仿宋" w:cs="Times New Roman"/>
          <w:sz w:val="30"/>
          <w:szCs w:val="30"/>
        </w:rPr>
        <w:t>水域：一级保护区水域上边界上溯至犁市长5.3公里的河段，一级保护区水域下边界下溯200米的河段，以及汇入该河段的支流从汇入口上溯1000米的水域范围。</w:t>
      </w:r>
    </w:p>
    <w:p>
      <w:pPr>
        <w:spacing w:line="600" w:lineRule="exact"/>
        <w:ind w:firstLine="600" w:firstLineChars="200"/>
        <w:rPr>
          <w:rFonts w:eastAsia="仿宋" w:cs="Times New Roman"/>
          <w:sz w:val="30"/>
          <w:szCs w:val="30"/>
        </w:rPr>
      </w:pPr>
      <w:r>
        <w:rPr>
          <w:rFonts w:hint="eastAsia" w:eastAsia="仿宋" w:cs="Times New Roman"/>
          <w:sz w:val="30"/>
          <w:szCs w:val="30"/>
        </w:rPr>
        <w:t>陆域：相应二级保护区水域的两岸正常岸线向陆纵深1000米内不超过第一重山山脊线的陆域汇水范围，有防洪堤（含路堤）河段至防洪堤背水面，包括江心岛；十里亭大桥段至靖村河段一级保护区水域的两岸正常岸线向陆纵深1000米内的汇水范围，不包括一级保护区范围和控制线以东的区域。</w:t>
      </w:r>
    </w:p>
    <w:p>
      <w:pPr>
        <w:spacing w:line="600" w:lineRule="exact"/>
        <w:ind w:firstLine="600" w:firstLineChars="200"/>
        <w:rPr>
          <w:rFonts w:eastAsia="仿宋" w:cs="Times New Roman"/>
          <w:sz w:val="30"/>
          <w:szCs w:val="30"/>
        </w:rPr>
      </w:pPr>
      <w:r>
        <w:rPr>
          <w:rFonts w:hint="eastAsia" w:eastAsia="仿宋" w:cs="Times New Roman"/>
          <w:sz w:val="30"/>
          <w:szCs w:val="30"/>
        </w:rPr>
        <w:t>二级保护区面积：</w:t>
      </w:r>
      <w:r>
        <w:rPr>
          <w:rFonts w:eastAsia="仿宋" w:cs="Times New Roman"/>
          <w:sz w:val="30"/>
          <w:szCs w:val="30"/>
        </w:rPr>
        <w:t>9.00</w:t>
      </w:r>
      <w:r>
        <w:rPr>
          <w:rFonts w:hint="eastAsia" w:eastAsia="仿宋" w:cs="Times New Roman"/>
          <w:sz w:val="30"/>
          <w:szCs w:val="30"/>
        </w:rPr>
        <w:t>km</w:t>
      </w:r>
      <w:r>
        <w:rPr>
          <w:rFonts w:hint="eastAsia" w:eastAsia="仿宋" w:cs="Times New Roman"/>
          <w:sz w:val="30"/>
          <w:szCs w:val="30"/>
          <w:vertAlign w:val="superscript"/>
        </w:rPr>
        <w:t>2</w:t>
      </w:r>
      <w:r>
        <w:rPr>
          <w:rFonts w:hint="eastAsia" w:eastAsia="仿宋" w:cs="Times New Roman"/>
          <w:sz w:val="30"/>
          <w:szCs w:val="30"/>
        </w:rPr>
        <w:t>。</w:t>
      </w:r>
    </w:p>
    <w:p>
      <w:pPr>
        <w:spacing w:line="600" w:lineRule="exact"/>
        <w:ind w:firstLine="600" w:firstLineChars="200"/>
        <w:rPr>
          <w:rFonts w:eastAsia="仿宋" w:cs="Times New Roman"/>
          <w:sz w:val="30"/>
          <w:szCs w:val="30"/>
        </w:rPr>
      </w:pPr>
      <w:r>
        <w:rPr>
          <w:rFonts w:hint="eastAsia" w:eastAsia="仿宋" w:cs="Times New Roman"/>
          <w:sz w:val="30"/>
          <w:szCs w:val="30"/>
        </w:rPr>
        <w:t>3、准保护区</w:t>
      </w:r>
    </w:p>
    <w:p>
      <w:pPr>
        <w:spacing w:line="600" w:lineRule="exact"/>
        <w:ind w:firstLine="600" w:firstLineChars="200"/>
        <w:rPr>
          <w:rFonts w:eastAsia="仿宋" w:cs="Times New Roman"/>
          <w:sz w:val="30"/>
          <w:szCs w:val="30"/>
        </w:rPr>
      </w:pPr>
      <w:r>
        <w:rPr>
          <w:rFonts w:hint="eastAsia" w:eastAsia="仿宋" w:cs="Times New Roman"/>
          <w:sz w:val="30"/>
          <w:szCs w:val="30"/>
        </w:rPr>
        <w:t>水域：二级保护区上边界上溯至乐昌长43公里的河段，以及汇入该河段的支流从汇入口上溯1000米的水域范围。</w:t>
      </w:r>
    </w:p>
    <w:p>
      <w:pPr>
        <w:spacing w:line="600" w:lineRule="exact"/>
        <w:ind w:firstLine="600" w:firstLineChars="200"/>
        <w:rPr>
          <w:rFonts w:eastAsia="仿宋" w:cs="Times New Roman"/>
          <w:sz w:val="30"/>
          <w:szCs w:val="30"/>
        </w:rPr>
      </w:pPr>
      <w:r>
        <w:rPr>
          <w:rFonts w:hint="eastAsia" w:eastAsia="仿宋" w:cs="Times New Roman"/>
          <w:sz w:val="30"/>
          <w:szCs w:val="30"/>
        </w:rPr>
        <w:t>陆域：相应准保护区水域的两岸正常岸线向陆纵深500米不超过第一重山山脊线的陆域集雨范围，包括江心岛。</w:t>
      </w:r>
    </w:p>
    <w:p>
      <w:pPr>
        <w:spacing w:line="600" w:lineRule="exact"/>
        <w:ind w:firstLine="600" w:firstLineChars="200"/>
        <w:rPr>
          <w:rFonts w:eastAsia="仿宋" w:cs="Times New Roman"/>
          <w:sz w:val="30"/>
          <w:szCs w:val="30"/>
        </w:rPr>
      </w:pPr>
      <w:r>
        <w:rPr>
          <w:rFonts w:hint="eastAsia" w:eastAsia="仿宋" w:cs="Times New Roman"/>
          <w:sz w:val="30"/>
          <w:szCs w:val="30"/>
        </w:rPr>
        <w:t>准保护区面积：</w:t>
      </w:r>
      <w:r>
        <w:rPr>
          <w:rFonts w:eastAsia="仿宋" w:cs="Times New Roman"/>
          <w:sz w:val="30"/>
          <w:szCs w:val="30"/>
        </w:rPr>
        <w:t>66.95</w:t>
      </w:r>
      <w:r>
        <w:rPr>
          <w:rFonts w:hint="eastAsia" w:eastAsia="仿宋" w:cs="Times New Roman"/>
          <w:sz w:val="30"/>
          <w:szCs w:val="30"/>
        </w:rPr>
        <w:t xml:space="preserve"> km</w:t>
      </w:r>
      <w:r>
        <w:rPr>
          <w:rFonts w:hint="eastAsia" w:eastAsia="仿宋" w:cs="Times New Roman"/>
          <w:sz w:val="30"/>
          <w:szCs w:val="30"/>
          <w:vertAlign w:val="superscript"/>
        </w:rPr>
        <w:t>2</w:t>
      </w:r>
      <w:r>
        <w:rPr>
          <w:rFonts w:hint="eastAsia" w:eastAsia="仿宋" w:cs="Times New Roman"/>
          <w:sz w:val="30"/>
          <w:szCs w:val="30"/>
        </w:rPr>
        <w:t>。</w:t>
      </w:r>
    </w:p>
    <w:p>
      <w:pPr>
        <w:spacing w:line="600" w:lineRule="exact"/>
        <w:ind w:firstLine="560" w:firstLineChars="200"/>
      </w:pPr>
      <w:r>
        <w:rPr>
          <w:rFonts w:hint="eastAsia"/>
        </w:rPr>
        <w:t>调整前保护区划分范围见附图1。</w:t>
      </w:r>
    </w:p>
    <w:p>
      <w:pPr>
        <w:spacing w:line="600" w:lineRule="exact"/>
        <w:ind w:firstLine="602" w:firstLineChars="200"/>
        <w:outlineLvl w:val="1"/>
        <w:rPr>
          <w:rFonts w:eastAsia="仿宋" w:cs="Times New Roman"/>
          <w:b/>
          <w:bCs/>
          <w:sz w:val="30"/>
          <w:szCs w:val="30"/>
        </w:rPr>
      </w:pPr>
      <w:r>
        <w:rPr>
          <w:rFonts w:hint="eastAsia" w:eastAsia="仿宋" w:cs="Times New Roman"/>
          <w:b/>
          <w:bCs/>
          <w:sz w:val="30"/>
          <w:szCs w:val="30"/>
        </w:rPr>
        <w:t>（二）调整内容</w:t>
      </w:r>
    </w:p>
    <w:p>
      <w:pPr>
        <w:spacing w:line="600" w:lineRule="exact"/>
        <w:ind w:firstLine="600" w:firstLineChars="200"/>
        <w:rPr>
          <w:rFonts w:eastAsia="仿宋" w:cs="Times New Roman"/>
          <w:sz w:val="30"/>
          <w:szCs w:val="30"/>
        </w:rPr>
      </w:pPr>
      <w:r>
        <w:rPr>
          <w:rFonts w:hint="eastAsia" w:eastAsia="仿宋" w:cs="Times New Roman"/>
          <w:sz w:val="30"/>
          <w:szCs w:val="30"/>
        </w:rPr>
        <w:t>结合南水水库向市区供水的实际情况，市区供水格局发生变化，南水水库作为市区（浈江区、武江区）的主要供水水源，韶关市区武江饮用水源地作为备用水源地，水质稳定达标且污染趋势下降的情况，对准保护区范围进行调整，同时结合韶关丹霞机场高速工程穿越韶关市武江饮用水源一级保护区唯一路由走向，根据周边道路等固定地标的建设情况和相关技术规范、河堤和截污管网建设情况提出调整方案。保护区面积减少</w:t>
      </w:r>
      <w:r>
        <w:rPr>
          <w:rFonts w:eastAsia="仿宋" w:cs="Times New Roman"/>
          <w:sz w:val="30"/>
          <w:szCs w:val="30"/>
        </w:rPr>
        <w:t>47.4</w:t>
      </w:r>
      <w:r>
        <w:rPr>
          <w:rFonts w:hint="eastAsia" w:eastAsia="仿宋" w:cs="Times New Roman"/>
          <w:sz w:val="30"/>
          <w:szCs w:val="30"/>
        </w:rPr>
        <w:t>km</w:t>
      </w:r>
      <w:r>
        <w:rPr>
          <w:rFonts w:hint="eastAsia" w:eastAsia="仿宋" w:cs="Times New Roman"/>
          <w:sz w:val="30"/>
          <w:szCs w:val="30"/>
          <w:vertAlign w:val="superscript"/>
        </w:rPr>
        <w:t>2</w:t>
      </w:r>
      <w:r>
        <w:rPr>
          <w:rFonts w:hint="eastAsia" w:eastAsia="仿宋" w:cs="Times New Roman"/>
          <w:sz w:val="30"/>
          <w:szCs w:val="30"/>
        </w:rPr>
        <w:t>，其中一级保护区减少0</w:t>
      </w:r>
      <w:r>
        <w:rPr>
          <w:rFonts w:eastAsia="仿宋" w:cs="Times New Roman"/>
          <w:sz w:val="30"/>
          <w:szCs w:val="30"/>
        </w:rPr>
        <w:t>.03</w:t>
      </w:r>
      <w:r>
        <w:rPr>
          <w:rFonts w:hint="eastAsia" w:eastAsia="仿宋" w:cs="Times New Roman"/>
          <w:sz w:val="30"/>
          <w:szCs w:val="30"/>
        </w:rPr>
        <w:t>km</w:t>
      </w:r>
      <w:r>
        <w:rPr>
          <w:rFonts w:hint="eastAsia" w:eastAsia="仿宋" w:cs="Times New Roman"/>
          <w:sz w:val="30"/>
          <w:szCs w:val="30"/>
          <w:vertAlign w:val="superscript"/>
        </w:rPr>
        <w:t>2</w:t>
      </w:r>
      <w:r>
        <w:rPr>
          <w:rFonts w:hint="eastAsia" w:eastAsia="仿宋" w:cs="Times New Roman"/>
          <w:sz w:val="30"/>
          <w:szCs w:val="30"/>
        </w:rPr>
        <w:t>，二级保护区减少</w:t>
      </w:r>
      <w:r>
        <w:rPr>
          <w:rFonts w:eastAsia="仿宋" w:cs="Times New Roman"/>
          <w:sz w:val="30"/>
          <w:szCs w:val="30"/>
        </w:rPr>
        <w:t xml:space="preserve">0.70 </w:t>
      </w:r>
      <w:r>
        <w:rPr>
          <w:rFonts w:hint="eastAsia" w:eastAsia="仿宋" w:cs="Times New Roman"/>
          <w:sz w:val="30"/>
          <w:szCs w:val="30"/>
        </w:rPr>
        <w:t>km</w:t>
      </w:r>
      <w:r>
        <w:rPr>
          <w:rFonts w:hint="eastAsia" w:eastAsia="仿宋" w:cs="Times New Roman"/>
          <w:sz w:val="30"/>
          <w:szCs w:val="30"/>
          <w:vertAlign w:val="superscript"/>
        </w:rPr>
        <w:t>2</w:t>
      </w:r>
      <w:r>
        <w:rPr>
          <w:rFonts w:hint="eastAsia" w:eastAsia="仿宋" w:cs="Times New Roman"/>
          <w:sz w:val="30"/>
          <w:szCs w:val="30"/>
        </w:rPr>
        <w:t>，准保护区减少</w:t>
      </w:r>
      <w:r>
        <w:rPr>
          <w:rFonts w:eastAsia="仿宋" w:cs="Times New Roman"/>
          <w:sz w:val="30"/>
          <w:szCs w:val="30"/>
        </w:rPr>
        <w:t>46.67</w:t>
      </w:r>
      <w:r>
        <w:rPr>
          <w:rFonts w:hint="eastAsia" w:eastAsia="仿宋" w:cs="Times New Roman"/>
          <w:sz w:val="30"/>
          <w:szCs w:val="30"/>
        </w:rPr>
        <w:t>km</w:t>
      </w:r>
      <w:r>
        <w:rPr>
          <w:rFonts w:hint="eastAsia" w:eastAsia="仿宋" w:cs="Times New Roman"/>
          <w:sz w:val="30"/>
          <w:szCs w:val="30"/>
          <w:vertAlign w:val="superscript"/>
        </w:rPr>
        <w:t>2</w:t>
      </w:r>
      <w:r>
        <w:rPr>
          <w:rFonts w:hint="eastAsia" w:eastAsia="仿宋" w:cs="Times New Roman"/>
          <w:sz w:val="30"/>
          <w:szCs w:val="30"/>
        </w:rPr>
        <w:t>。</w:t>
      </w:r>
    </w:p>
    <w:p>
      <w:pPr>
        <w:spacing w:line="600" w:lineRule="exact"/>
        <w:ind w:firstLine="600" w:firstLineChars="200"/>
        <w:rPr>
          <w:sz w:val="30"/>
          <w:szCs w:val="30"/>
        </w:rPr>
      </w:pPr>
      <w:r>
        <w:rPr>
          <w:rFonts w:hint="eastAsia"/>
          <w:sz w:val="30"/>
          <w:szCs w:val="30"/>
        </w:rPr>
        <w:t>保护区调整前后对比见</w:t>
      </w:r>
      <w:r>
        <w:rPr>
          <w:sz w:val="30"/>
          <w:szCs w:val="30"/>
        </w:rPr>
        <w:fldChar w:fldCharType="begin"/>
      </w:r>
      <w:r>
        <w:rPr>
          <w:sz w:val="30"/>
          <w:szCs w:val="30"/>
        </w:rPr>
        <w:instrText xml:space="preserve"> </w:instrText>
      </w:r>
      <w:r>
        <w:rPr>
          <w:rFonts w:hint="eastAsia"/>
          <w:sz w:val="30"/>
          <w:szCs w:val="30"/>
        </w:rPr>
        <w:instrText xml:space="preserve">REF _Ref102742342 \h</w:instrText>
      </w:r>
      <w:r>
        <w:rPr>
          <w:sz w:val="30"/>
          <w:szCs w:val="30"/>
        </w:rPr>
        <w:instrText xml:space="preserve">  \* MERGEFORMAT </w:instrText>
      </w:r>
      <w:r>
        <w:rPr>
          <w:sz w:val="30"/>
          <w:szCs w:val="30"/>
        </w:rPr>
        <w:fldChar w:fldCharType="separate"/>
      </w:r>
      <w:r>
        <w:rPr>
          <w:rFonts w:hint="eastAsia"/>
          <w:sz w:val="30"/>
          <w:szCs w:val="30"/>
        </w:rPr>
        <w:t>附表</w:t>
      </w:r>
      <w:r>
        <w:rPr>
          <w:sz w:val="30"/>
          <w:szCs w:val="30"/>
        </w:rPr>
        <w:t>1</w:t>
      </w:r>
      <w:r>
        <w:rPr>
          <w:sz w:val="30"/>
          <w:szCs w:val="30"/>
        </w:rPr>
        <w:fldChar w:fldCharType="end"/>
      </w:r>
      <w:r>
        <w:rPr>
          <w:rFonts w:hint="eastAsia"/>
          <w:sz w:val="30"/>
          <w:szCs w:val="30"/>
        </w:rPr>
        <w:t>。</w:t>
      </w:r>
    </w:p>
    <w:p>
      <w:pPr>
        <w:spacing w:line="600" w:lineRule="exact"/>
        <w:ind w:firstLine="602" w:firstLineChars="200"/>
        <w:outlineLvl w:val="1"/>
        <w:rPr>
          <w:rFonts w:eastAsia="仿宋" w:cs="Times New Roman"/>
          <w:b/>
          <w:bCs/>
          <w:sz w:val="30"/>
          <w:szCs w:val="30"/>
        </w:rPr>
      </w:pPr>
      <w:r>
        <w:rPr>
          <w:rFonts w:hint="eastAsia" w:eastAsia="仿宋" w:cs="Times New Roman"/>
          <w:b/>
          <w:bCs/>
          <w:sz w:val="30"/>
          <w:szCs w:val="30"/>
        </w:rPr>
        <w:t>（三）调整后保护区范围</w:t>
      </w:r>
    </w:p>
    <w:bookmarkEnd w:id="0"/>
    <w:p>
      <w:pPr>
        <w:spacing w:line="600" w:lineRule="exact"/>
        <w:ind w:firstLine="600" w:firstLineChars="200"/>
        <w:rPr>
          <w:rFonts w:eastAsia="仿宋" w:cs="Times New Roman"/>
          <w:sz w:val="30"/>
          <w:szCs w:val="30"/>
        </w:rPr>
      </w:pPr>
      <w:r>
        <w:rPr>
          <w:rFonts w:hint="eastAsia" w:eastAsia="仿宋" w:cs="Times New Roman"/>
          <w:sz w:val="30"/>
          <w:szCs w:val="30"/>
        </w:rPr>
        <w:t>1、一级保护区</w:t>
      </w:r>
    </w:p>
    <w:p>
      <w:pPr>
        <w:spacing w:line="600" w:lineRule="exact"/>
        <w:ind w:firstLine="600" w:firstLineChars="200"/>
        <w:rPr>
          <w:rFonts w:eastAsia="仿宋" w:cs="Times New Roman"/>
          <w:sz w:val="30"/>
          <w:szCs w:val="30"/>
        </w:rPr>
      </w:pPr>
      <w:r>
        <w:rPr>
          <w:rFonts w:hint="eastAsia" w:eastAsia="仿宋" w:cs="Times New Roman"/>
          <w:sz w:val="30"/>
          <w:szCs w:val="30"/>
        </w:rPr>
        <w:t>水域：取水口下游100米至靖村长3.4公里河段除航道外的水域范围，以及汇入该河段的支流从汇入口上溯50米的水域范围。</w:t>
      </w:r>
    </w:p>
    <w:p>
      <w:pPr>
        <w:spacing w:line="600" w:lineRule="exact"/>
        <w:ind w:firstLine="600" w:firstLineChars="200"/>
        <w:rPr>
          <w:rFonts w:eastAsia="仿宋" w:cs="Times New Roman"/>
          <w:sz w:val="30"/>
          <w:szCs w:val="30"/>
        </w:rPr>
      </w:pPr>
      <w:r>
        <w:rPr>
          <w:rFonts w:hint="eastAsia" w:eastAsia="仿宋" w:cs="Times New Roman"/>
          <w:sz w:val="30"/>
          <w:szCs w:val="30"/>
        </w:rPr>
        <w:t>陆域：相应一级保护区水域的两岸正常岸线向陆纵深50米内的陆域，有防洪堤河段至防洪堤迎水面，包括江心岛。</w:t>
      </w:r>
    </w:p>
    <w:p>
      <w:pPr>
        <w:spacing w:line="600" w:lineRule="exact"/>
        <w:ind w:firstLine="600" w:firstLineChars="200"/>
        <w:rPr>
          <w:rFonts w:eastAsia="仿宋" w:cs="Times New Roman"/>
          <w:sz w:val="30"/>
          <w:szCs w:val="30"/>
        </w:rPr>
      </w:pPr>
      <w:r>
        <w:rPr>
          <w:rFonts w:hint="eastAsia" w:eastAsia="仿宋" w:cs="Times New Roman"/>
          <w:sz w:val="30"/>
          <w:szCs w:val="30"/>
        </w:rPr>
        <w:t>一级保护区面积：</w:t>
      </w:r>
      <w:r>
        <w:rPr>
          <w:rFonts w:eastAsia="仿宋" w:cs="Times New Roman"/>
          <w:sz w:val="30"/>
          <w:szCs w:val="30"/>
        </w:rPr>
        <w:t xml:space="preserve">1.61 </w:t>
      </w:r>
      <w:r>
        <w:rPr>
          <w:rFonts w:hint="eastAsia" w:eastAsia="仿宋" w:cs="Times New Roman"/>
          <w:sz w:val="30"/>
          <w:szCs w:val="30"/>
        </w:rPr>
        <w:t>km</w:t>
      </w:r>
      <w:r>
        <w:rPr>
          <w:rFonts w:hint="eastAsia" w:eastAsia="仿宋" w:cs="Times New Roman"/>
          <w:sz w:val="30"/>
          <w:szCs w:val="30"/>
          <w:vertAlign w:val="superscript"/>
        </w:rPr>
        <w:t>2</w:t>
      </w:r>
      <w:r>
        <w:rPr>
          <w:rFonts w:hint="eastAsia" w:eastAsia="仿宋" w:cs="Times New Roman"/>
          <w:sz w:val="30"/>
          <w:szCs w:val="30"/>
        </w:rPr>
        <w:t>。</w:t>
      </w:r>
    </w:p>
    <w:p>
      <w:pPr>
        <w:spacing w:line="600" w:lineRule="exact"/>
        <w:ind w:firstLine="600" w:firstLineChars="200"/>
        <w:rPr>
          <w:rFonts w:eastAsia="仿宋" w:cs="Times New Roman"/>
          <w:sz w:val="30"/>
          <w:szCs w:val="30"/>
        </w:rPr>
      </w:pPr>
      <w:r>
        <w:rPr>
          <w:rFonts w:hint="eastAsia" w:eastAsia="仿宋" w:cs="Times New Roman"/>
          <w:sz w:val="30"/>
          <w:szCs w:val="30"/>
        </w:rPr>
        <w:t>2、二级保护区</w:t>
      </w:r>
    </w:p>
    <w:p>
      <w:pPr>
        <w:spacing w:line="600" w:lineRule="exact"/>
        <w:ind w:firstLine="600" w:firstLineChars="200"/>
        <w:rPr>
          <w:rFonts w:eastAsia="仿宋" w:cs="Times New Roman"/>
          <w:sz w:val="30"/>
          <w:szCs w:val="30"/>
        </w:rPr>
      </w:pPr>
      <w:r>
        <w:rPr>
          <w:rFonts w:hint="eastAsia" w:eastAsia="仿宋" w:cs="Times New Roman"/>
          <w:sz w:val="30"/>
          <w:szCs w:val="30"/>
        </w:rPr>
        <w:t>水域：一级保护区水域上边界上溯至犁市长5.3公里的河段，一级保护区水域下边界下溯200米的河段，汇入该河段的支流从汇入口上溯1000米以及一级保护区支流水域上边界上溯1000米的水域范围。</w:t>
      </w:r>
    </w:p>
    <w:p>
      <w:pPr>
        <w:spacing w:line="600" w:lineRule="exact"/>
        <w:ind w:firstLine="600" w:firstLineChars="200"/>
        <w:rPr>
          <w:rFonts w:eastAsia="仿宋" w:cs="Times New Roman"/>
          <w:sz w:val="30"/>
          <w:szCs w:val="30"/>
        </w:rPr>
      </w:pPr>
      <w:r>
        <w:rPr>
          <w:rFonts w:hint="eastAsia" w:eastAsia="仿宋" w:cs="Times New Roman"/>
          <w:sz w:val="30"/>
          <w:szCs w:val="30"/>
        </w:rPr>
        <w:t>陆域：靖村至犁市河段二级保护区水域的两岸正常岸线向陆纵深1000米内不超过第一重山山脊线的陆域汇水范围，有防洪堤（含路堤）河段至防洪堤背水面，包括江心岛；十里亭大桥段至靖村河段一级保护区水域的两岸正常岸线向陆纵深1000米内不超过分水岭的陆域汇水范围，不包括一级保护区范围和控制线以东的区域（详见备注）。</w:t>
      </w:r>
      <w:r>
        <w:rPr>
          <w:rFonts w:eastAsia="仿宋" w:cs="Times New Roman"/>
          <w:sz w:val="30"/>
          <w:szCs w:val="30"/>
        </w:rPr>
        <w:t xml:space="preserve"> </w:t>
      </w:r>
    </w:p>
    <w:p>
      <w:pPr>
        <w:spacing w:line="600" w:lineRule="exact"/>
        <w:ind w:firstLine="600" w:firstLineChars="200"/>
        <w:rPr>
          <w:rFonts w:eastAsia="仿宋" w:cs="Times New Roman"/>
          <w:sz w:val="30"/>
          <w:szCs w:val="30"/>
        </w:rPr>
      </w:pPr>
      <w:r>
        <w:rPr>
          <w:rFonts w:hint="eastAsia" w:eastAsia="仿宋" w:cs="Times New Roman"/>
          <w:sz w:val="30"/>
          <w:szCs w:val="30"/>
        </w:rPr>
        <w:t>二级保护区面积：</w:t>
      </w:r>
      <w:r>
        <w:rPr>
          <w:rFonts w:eastAsia="仿宋" w:cs="Times New Roman"/>
          <w:sz w:val="30"/>
          <w:szCs w:val="30"/>
        </w:rPr>
        <w:t>8.30</w:t>
      </w:r>
      <w:r>
        <w:rPr>
          <w:rFonts w:hint="eastAsia" w:eastAsia="仿宋" w:cs="Times New Roman"/>
          <w:sz w:val="30"/>
          <w:szCs w:val="30"/>
        </w:rPr>
        <w:t>km</w:t>
      </w:r>
      <w:r>
        <w:rPr>
          <w:rFonts w:hint="eastAsia" w:eastAsia="仿宋" w:cs="Times New Roman"/>
          <w:sz w:val="30"/>
          <w:szCs w:val="30"/>
          <w:vertAlign w:val="superscript"/>
        </w:rPr>
        <w:t>2</w:t>
      </w:r>
      <w:r>
        <w:rPr>
          <w:rFonts w:hint="eastAsia" w:eastAsia="仿宋" w:cs="Times New Roman"/>
          <w:sz w:val="30"/>
          <w:szCs w:val="30"/>
        </w:rPr>
        <w:t>。</w:t>
      </w:r>
    </w:p>
    <w:p>
      <w:pPr>
        <w:spacing w:line="600" w:lineRule="exact"/>
        <w:ind w:firstLine="600" w:firstLineChars="200"/>
        <w:rPr>
          <w:rFonts w:eastAsia="仿宋" w:cs="Times New Roman"/>
          <w:sz w:val="30"/>
          <w:szCs w:val="30"/>
        </w:rPr>
      </w:pPr>
      <w:r>
        <w:rPr>
          <w:rFonts w:hint="eastAsia" w:eastAsia="仿宋" w:cs="Times New Roman"/>
          <w:sz w:val="30"/>
          <w:szCs w:val="30"/>
        </w:rPr>
        <w:t>3、准保护区</w:t>
      </w:r>
    </w:p>
    <w:p>
      <w:pPr>
        <w:spacing w:line="600" w:lineRule="exact"/>
        <w:ind w:firstLine="600" w:firstLineChars="200"/>
        <w:rPr>
          <w:rFonts w:eastAsia="仿宋" w:cs="Times New Roman"/>
          <w:sz w:val="30"/>
          <w:szCs w:val="30"/>
        </w:rPr>
      </w:pPr>
      <w:r>
        <w:rPr>
          <w:rFonts w:hint="eastAsia" w:eastAsia="仿宋" w:cs="Times New Roman"/>
          <w:sz w:val="30"/>
          <w:szCs w:val="30"/>
        </w:rPr>
        <w:t>水域：二级保护区水域上边界上溯至塘头水电站长15.4公里河段的水域范围。</w:t>
      </w:r>
    </w:p>
    <w:p>
      <w:pPr>
        <w:spacing w:line="600" w:lineRule="exact"/>
        <w:ind w:firstLine="600" w:firstLineChars="200"/>
        <w:rPr>
          <w:rFonts w:eastAsia="仿宋" w:cs="Times New Roman"/>
          <w:sz w:val="30"/>
          <w:szCs w:val="30"/>
        </w:rPr>
      </w:pPr>
      <w:r>
        <w:rPr>
          <w:rFonts w:hint="eastAsia" w:eastAsia="仿宋" w:cs="Times New Roman"/>
          <w:sz w:val="30"/>
          <w:szCs w:val="30"/>
        </w:rPr>
        <w:t>陆域：相应准保护区水域的两岸正常岸线向陆纵深500米不超过第一重山山脊线的陆域集雨范围，包括江心岛。</w:t>
      </w:r>
    </w:p>
    <w:p>
      <w:pPr>
        <w:spacing w:line="600" w:lineRule="exact"/>
        <w:ind w:firstLine="600" w:firstLineChars="200"/>
        <w:rPr>
          <w:rFonts w:eastAsia="仿宋" w:cs="Times New Roman"/>
          <w:sz w:val="30"/>
          <w:szCs w:val="30"/>
        </w:rPr>
      </w:pPr>
      <w:r>
        <w:rPr>
          <w:rFonts w:hint="eastAsia" w:eastAsia="仿宋" w:cs="Times New Roman"/>
          <w:sz w:val="30"/>
          <w:szCs w:val="30"/>
        </w:rPr>
        <w:t>准保护区面积：</w:t>
      </w:r>
      <w:r>
        <w:rPr>
          <w:rFonts w:eastAsia="仿宋" w:cs="Times New Roman"/>
          <w:sz w:val="30"/>
          <w:szCs w:val="30"/>
        </w:rPr>
        <w:t>20.28</w:t>
      </w:r>
      <w:r>
        <w:rPr>
          <w:rFonts w:hint="eastAsia" w:eastAsia="仿宋" w:cs="Times New Roman"/>
          <w:sz w:val="30"/>
          <w:szCs w:val="30"/>
        </w:rPr>
        <w:t>km</w:t>
      </w:r>
      <w:r>
        <w:rPr>
          <w:rFonts w:hint="eastAsia" w:eastAsia="仿宋" w:cs="Times New Roman"/>
          <w:sz w:val="30"/>
          <w:szCs w:val="30"/>
          <w:vertAlign w:val="superscript"/>
        </w:rPr>
        <w:t>2</w:t>
      </w:r>
      <w:r>
        <w:rPr>
          <w:rFonts w:hint="eastAsia" w:eastAsia="仿宋" w:cs="Times New Roman"/>
          <w:sz w:val="30"/>
          <w:szCs w:val="30"/>
        </w:rPr>
        <w:t>。</w:t>
      </w:r>
    </w:p>
    <w:p>
      <w:pPr>
        <w:pStyle w:val="2"/>
        <w:ind w:left="560"/>
        <w:rPr>
          <w:sz w:val="30"/>
          <w:szCs w:val="30"/>
        </w:rPr>
      </w:pPr>
      <w:r>
        <w:rPr>
          <w:rFonts w:hint="eastAsia"/>
          <w:sz w:val="30"/>
          <w:szCs w:val="30"/>
        </w:rPr>
        <w:t>调整后保护区划分范围见附图2~附图</w:t>
      </w:r>
      <w:r>
        <w:rPr>
          <w:sz w:val="30"/>
          <w:szCs w:val="30"/>
        </w:rPr>
        <w:t>5</w:t>
      </w:r>
      <w:r>
        <w:rPr>
          <w:rFonts w:hint="eastAsia"/>
          <w:sz w:val="30"/>
          <w:szCs w:val="30"/>
        </w:rPr>
        <w:t>。</w:t>
      </w:r>
    </w:p>
    <w:p>
      <w:pPr>
        <w:adjustRightInd w:val="0"/>
        <w:snapToGrid w:val="0"/>
        <w:spacing w:line="600" w:lineRule="exact"/>
        <w:outlineLvl w:val="0"/>
      </w:pPr>
      <w:r>
        <w:rPr>
          <w:rFonts w:hint="eastAsia" w:eastAsia="黑体" w:cs="Times New Roman"/>
          <w:color w:val="000000"/>
          <w:sz w:val="32"/>
          <w:szCs w:val="32"/>
          <w:shd w:val="clear" w:color="auto" w:fill="FFFFFF"/>
        </w:rPr>
        <w:t>四</w:t>
      </w:r>
      <w:r>
        <w:rPr>
          <w:rFonts w:eastAsia="黑体" w:cs="Times New Roman"/>
          <w:color w:val="000000"/>
          <w:sz w:val="32"/>
          <w:szCs w:val="32"/>
          <w:shd w:val="clear" w:color="auto" w:fill="FFFFFF"/>
        </w:rPr>
        <w:t>、调整后建设管理</w:t>
      </w:r>
    </w:p>
    <w:p>
      <w:pPr>
        <w:spacing w:line="600" w:lineRule="exact"/>
        <w:ind w:firstLine="600" w:firstLineChars="200"/>
        <w:rPr>
          <w:rFonts w:cs="Times New Roman"/>
          <w:smallCaps/>
          <w:sz w:val="30"/>
          <w:szCs w:val="30"/>
        </w:rPr>
      </w:pPr>
      <w:r>
        <w:rPr>
          <w:rFonts w:hint="eastAsia" w:cs="Times New Roman"/>
          <w:sz w:val="30"/>
          <w:szCs w:val="30"/>
        </w:rPr>
        <w:t>韶关市区武江</w:t>
      </w:r>
      <w:r>
        <w:rPr>
          <w:rFonts w:cs="Times New Roman"/>
          <w:sz w:val="30"/>
          <w:szCs w:val="30"/>
        </w:rPr>
        <w:t>饮用水水源保护区</w:t>
      </w:r>
      <w:r>
        <w:rPr>
          <w:rFonts w:hint="eastAsia" w:cs="Times New Roman"/>
          <w:sz w:val="30"/>
          <w:szCs w:val="30"/>
        </w:rPr>
        <w:t>优化调整后，属地政府须持续完善水源保护区环境保护措施建设。具体包括以下六个方面内容：</w:t>
      </w:r>
    </w:p>
    <w:p>
      <w:pPr>
        <w:spacing w:line="600" w:lineRule="exact"/>
        <w:ind w:firstLine="602" w:firstLineChars="200"/>
        <w:outlineLvl w:val="1"/>
        <w:rPr>
          <w:rFonts w:ascii="楷体_GB2312" w:hAnsi="楷体_GB2312" w:eastAsia="楷体_GB2312" w:cs="楷体_GB2312"/>
          <w:b/>
          <w:sz w:val="30"/>
          <w:szCs w:val="30"/>
        </w:rPr>
      </w:pPr>
      <w:r>
        <w:rPr>
          <w:rFonts w:hint="eastAsia" w:ascii="楷体_GB2312" w:hAnsi="楷体_GB2312" w:eastAsia="楷体_GB2312" w:cs="楷体_GB2312"/>
          <w:b/>
          <w:sz w:val="30"/>
          <w:szCs w:val="30"/>
        </w:rPr>
        <w:t>1、隔离防护等规范化建设措施</w:t>
      </w:r>
    </w:p>
    <w:p>
      <w:pPr>
        <w:spacing w:line="600" w:lineRule="exact"/>
        <w:ind w:firstLine="600" w:firstLineChars="200"/>
        <w:rPr>
          <w:rFonts w:cs="Times New Roman"/>
          <w:sz w:val="30"/>
          <w:szCs w:val="30"/>
        </w:rPr>
      </w:pPr>
      <w:r>
        <w:rPr>
          <w:rFonts w:hint="eastAsia" w:cs="Times New Roman"/>
          <w:sz w:val="30"/>
          <w:szCs w:val="30"/>
        </w:rPr>
        <w:t>武江水源保护区调整后，新设置界碑、交通警示牌、宣传牌及修复隔离网等。</w:t>
      </w:r>
    </w:p>
    <w:p>
      <w:pPr>
        <w:spacing w:line="600" w:lineRule="exact"/>
        <w:ind w:firstLine="602" w:firstLineChars="200"/>
        <w:outlineLvl w:val="1"/>
        <w:rPr>
          <w:rFonts w:ascii="楷体_GB2312" w:hAnsi="楷体_GB2312" w:eastAsia="楷体_GB2312" w:cs="楷体_GB2312"/>
          <w:b/>
          <w:sz w:val="30"/>
          <w:szCs w:val="30"/>
        </w:rPr>
      </w:pPr>
      <w:r>
        <w:rPr>
          <w:rFonts w:hint="eastAsia" w:ascii="楷体_GB2312" w:hAnsi="楷体_GB2312" w:eastAsia="楷体_GB2312" w:cs="楷体_GB2312"/>
          <w:b/>
          <w:sz w:val="30"/>
          <w:szCs w:val="30"/>
        </w:rPr>
        <w:t>2、水环境综合治理和生态修复措施</w:t>
      </w:r>
    </w:p>
    <w:p>
      <w:pPr>
        <w:spacing w:line="600" w:lineRule="exact"/>
        <w:ind w:firstLine="600" w:firstLineChars="200"/>
        <w:rPr>
          <w:rFonts w:cs="Times New Roman"/>
          <w:sz w:val="30"/>
          <w:szCs w:val="30"/>
        </w:rPr>
      </w:pPr>
      <w:r>
        <w:rPr>
          <w:rFonts w:hint="eastAsia" w:cs="Times New Roman"/>
          <w:sz w:val="30"/>
          <w:szCs w:val="30"/>
        </w:rPr>
        <w:t>加快补齐重点断面流域治理短板。开展武江支流犁市段生态环境系统保护修复工程、武江支流十里亭段生态环境系统保护修复工程及武江支流（沙山水和田心水）流域水环境综合整治项目等。</w:t>
      </w:r>
    </w:p>
    <w:p>
      <w:pPr>
        <w:spacing w:line="600" w:lineRule="exact"/>
        <w:ind w:firstLine="602" w:firstLineChars="200"/>
        <w:outlineLvl w:val="1"/>
        <w:rPr>
          <w:rFonts w:ascii="楷体_GB2312" w:hAnsi="楷体_GB2312" w:eastAsia="楷体_GB2312" w:cs="楷体_GB2312"/>
          <w:b/>
          <w:sz w:val="30"/>
          <w:szCs w:val="30"/>
        </w:rPr>
      </w:pPr>
      <w:r>
        <w:rPr>
          <w:rFonts w:ascii="楷体_GB2312" w:hAnsi="楷体_GB2312" w:eastAsia="楷体_GB2312" w:cs="楷体_GB2312"/>
          <w:b/>
          <w:sz w:val="30"/>
          <w:szCs w:val="30"/>
        </w:rPr>
        <w:t>3</w:t>
      </w:r>
      <w:r>
        <w:rPr>
          <w:rFonts w:hint="eastAsia" w:ascii="楷体_GB2312" w:hAnsi="楷体_GB2312" w:eastAsia="楷体_GB2312" w:cs="楷体_GB2312"/>
          <w:b/>
          <w:sz w:val="30"/>
          <w:szCs w:val="30"/>
        </w:rPr>
        <w:t>、农村面源整治措施</w:t>
      </w:r>
    </w:p>
    <w:p>
      <w:pPr>
        <w:spacing w:line="600" w:lineRule="exact"/>
        <w:ind w:firstLine="600" w:firstLineChars="200"/>
        <w:rPr>
          <w:rFonts w:cs="Times New Roman"/>
          <w:sz w:val="30"/>
          <w:szCs w:val="30"/>
        </w:rPr>
      </w:pPr>
      <w:r>
        <w:rPr>
          <w:rFonts w:hint="eastAsia" w:cs="Times New Roman"/>
          <w:sz w:val="30"/>
          <w:szCs w:val="30"/>
        </w:rPr>
        <w:t>推进武江农村面源整治工程，通过实施畜禽养殖规范化建设、截污管网建设等工程，减轻流域部分河段水污染负荷，确保主要江河水库水质长期稳定达标。实施化肥、农药减量化行动。</w:t>
      </w:r>
    </w:p>
    <w:p>
      <w:pPr>
        <w:spacing w:line="600" w:lineRule="exact"/>
        <w:ind w:firstLine="602" w:firstLineChars="200"/>
        <w:outlineLvl w:val="1"/>
        <w:rPr>
          <w:rFonts w:ascii="楷体_GB2312" w:hAnsi="楷体_GB2312" w:eastAsia="楷体_GB2312" w:cs="楷体_GB2312"/>
          <w:b/>
          <w:sz w:val="30"/>
          <w:szCs w:val="30"/>
        </w:rPr>
      </w:pPr>
      <w:r>
        <w:rPr>
          <w:rFonts w:ascii="楷体_GB2312" w:hAnsi="楷体_GB2312" w:eastAsia="楷体_GB2312" w:cs="楷体_GB2312"/>
          <w:b/>
          <w:sz w:val="30"/>
          <w:szCs w:val="30"/>
        </w:rPr>
        <w:t>4</w:t>
      </w:r>
      <w:r>
        <w:rPr>
          <w:rFonts w:hint="eastAsia" w:ascii="楷体_GB2312" w:hAnsi="楷体_GB2312" w:eastAsia="楷体_GB2312" w:cs="楷体_GB2312"/>
          <w:b/>
          <w:sz w:val="30"/>
          <w:szCs w:val="30"/>
        </w:rPr>
        <w:t>、交通穿越风险防范措施</w:t>
      </w:r>
    </w:p>
    <w:p>
      <w:pPr>
        <w:spacing w:line="600" w:lineRule="exact"/>
        <w:ind w:firstLine="600" w:firstLineChars="200"/>
        <w:rPr>
          <w:rFonts w:cs="Times New Roman"/>
          <w:sz w:val="30"/>
          <w:szCs w:val="30"/>
        </w:rPr>
      </w:pPr>
      <w:r>
        <w:rPr>
          <w:rFonts w:hint="eastAsia" w:cs="Times New Roman"/>
          <w:sz w:val="30"/>
          <w:szCs w:val="30"/>
        </w:rPr>
        <w:t>（1）对于保护区内大桥的防护栏提高至最高等级SS级，采用加强型墙式护栏，护栏高度1.1m。并设置防落网以防止抛投物品坠入河中污染水体，对于保护区路基路段采用连续防渗边沟。在保护区内桥梁与隧道两端设置减速带，减缓车速降低环境风险事故发生概率。</w:t>
      </w:r>
    </w:p>
    <w:p>
      <w:pPr>
        <w:spacing w:line="600" w:lineRule="exact"/>
        <w:ind w:firstLine="600" w:firstLineChars="200"/>
        <w:rPr>
          <w:rFonts w:cs="Times New Roman"/>
          <w:sz w:val="30"/>
          <w:szCs w:val="30"/>
        </w:rPr>
      </w:pPr>
      <w:r>
        <w:rPr>
          <w:rFonts w:hint="eastAsia" w:cs="Times New Roman"/>
          <w:sz w:val="30"/>
          <w:szCs w:val="30"/>
        </w:rPr>
        <w:t>（2）保护区内路段设置桥面径流收集系统和事故应急池。避免泄漏的危险化学品、消防废水以及路面雨水径流直接流入河流。</w:t>
      </w:r>
    </w:p>
    <w:p>
      <w:pPr>
        <w:spacing w:line="600" w:lineRule="exact"/>
        <w:ind w:firstLine="602" w:firstLineChars="200"/>
        <w:outlineLvl w:val="1"/>
        <w:rPr>
          <w:rFonts w:ascii="楷体_GB2312" w:hAnsi="楷体_GB2312" w:eastAsia="楷体_GB2312" w:cs="楷体_GB2312"/>
          <w:b/>
          <w:sz w:val="30"/>
          <w:szCs w:val="30"/>
        </w:rPr>
      </w:pPr>
      <w:r>
        <w:rPr>
          <w:rFonts w:ascii="楷体_GB2312" w:hAnsi="楷体_GB2312" w:eastAsia="楷体_GB2312" w:cs="楷体_GB2312"/>
          <w:b/>
          <w:sz w:val="30"/>
          <w:szCs w:val="30"/>
        </w:rPr>
        <w:t>5</w:t>
      </w:r>
      <w:r>
        <w:rPr>
          <w:rFonts w:hint="eastAsia" w:ascii="楷体_GB2312" w:hAnsi="楷体_GB2312" w:eastAsia="楷体_GB2312" w:cs="楷体_GB2312"/>
          <w:b/>
          <w:sz w:val="30"/>
          <w:szCs w:val="30"/>
        </w:rPr>
        <w:t>、饮用水源保护区突发环境事故应急能力建设</w:t>
      </w:r>
    </w:p>
    <w:p>
      <w:pPr>
        <w:spacing w:line="600" w:lineRule="exact"/>
        <w:ind w:firstLine="600" w:firstLineChars="200"/>
        <w:rPr>
          <w:rFonts w:cs="Times New Roman"/>
          <w:sz w:val="30"/>
          <w:szCs w:val="30"/>
        </w:rPr>
      </w:pPr>
      <w:r>
        <w:rPr>
          <w:rFonts w:hint="eastAsia" w:cs="Times New Roman"/>
          <w:sz w:val="30"/>
          <w:szCs w:val="30"/>
        </w:rPr>
        <w:t>（1）风险防范</w:t>
      </w:r>
    </w:p>
    <w:p>
      <w:pPr>
        <w:spacing w:line="600" w:lineRule="exact"/>
        <w:ind w:firstLine="600" w:firstLineChars="200"/>
        <w:rPr>
          <w:rFonts w:cs="Times New Roman"/>
          <w:sz w:val="30"/>
          <w:szCs w:val="30"/>
        </w:rPr>
      </w:pPr>
      <w:r>
        <w:rPr>
          <w:rFonts w:hint="eastAsia" w:cs="Times New Roman"/>
          <w:sz w:val="30"/>
          <w:szCs w:val="30"/>
        </w:rPr>
        <w:t>开展</w:t>
      </w:r>
      <w:r>
        <w:rPr>
          <w:rFonts w:hint="eastAsia" w:eastAsia="仿宋" w:cs="Times New Roman"/>
          <w:sz w:val="30"/>
          <w:szCs w:val="30"/>
        </w:rPr>
        <w:t>水源</w:t>
      </w:r>
      <w:r>
        <w:rPr>
          <w:rFonts w:hint="eastAsia" w:cs="Times New Roman"/>
          <w:sz w:val="30"/>
          <w:szCs w:val="30"/>
        </w:rPr>
        <w:t>保护区的风险源调查和风险评估，建立风险源名录并定期更新。</w:t>
      </w:r>
    </w:p>
    <w:p>
      <w:pPr>
        <w:spacing w:line="600" w:lineRule="exact"/>
        <w:ind w:firstLine="600" w:firstLineChars="200"/>
        <w:rPr>
          <w:rFonts w:cs="Times New Roman"/>
          <w:sz w:val="30"/>
          <w:szCs w:val="30"/>
        </w:rPr>
      </w:pPr>
      <w:r>
        <w:rPr>
          <w:rFonts w:hint="eastAsia" w:cs="Times New Roman"/>
          <w:sz w:val="30"/>
          <w:szCs w:val="30"/>
        </w:rPr>
        <w:t>（2）应急能力</w:t>
      </w:r>
    </w:p>
    <w:p>
      <w:pPr>
        <w:spacing w:line="600" w:lineRule="exact"/>
        <w:ind w:firstLine="600" w:firstLineChars="200"/>
        <w:rPr>
          <w:rFonts w:cs="Times New Roman"/>
          <w:sz w:val="30"/>
          <w:szCs w:val="30"/>
        </w:rPr>
      </w:pPr>
      <w:r>
        <w:rPr>
          <w:rFonts w:hint="eastAsia" w:cs="Times New Roman"/>
          <w:sz w:val="30"/>
          <w:szCs w:val="30"/>
        </w:rPr>
        <w:t>①专项应急预案</w:t>
      </w:r>
    </w:p>
    <w:p>
      <w:pPr>
        <w:spacing w:line="600" w:lineRule="exact"/>
        <w:ind w:firstLine="600" w:firstLineChars="200"/>
        <w:rPr>
          <w:rFonts w:cs="Times New Roman"/>
          <w:sz w:val="30"/>
          <w:szCs w:val="30"/>
        </w:rPr>
      </w:pPr>
      <w:r>
        <w:rPr>
          <w:rFonts w:hint="eastAsia" w:cs="Times New Roman"/>
          <w:sz w:val="30"/>
          <w:szCs w:val="30"/>
        </w:rPr>
        <w:t>制定应急响应体系，做到 “一源一案”，并定期组织开展应急演练。</w:t>
      </w:r>
    </w:p>
    <w:p>
      <w:pPr>
        <w:spacing w:line="600" w:lineRule="exact"/>
        <w:ind w:firstLine="600" w:firstLineChars="200"/>
        <w:rPr>
          <w:rFonts w:cs="Times New Roman"/>
          <w:sz w:val="30"/>
          <w:szCs w:val="30"/>
        </w:rPr>
      </w:pPr>
      <w:r>
        <w:rPr>
          <w:rFonts w:hint="eastAsia" w:cs="Times New Roman"/>
          <w:sz w:val="30"/>
          <w:szCs w:val="30"/>
        </w:rPr>
        <w:t>②应急物资和工程设施</w:t>
      </w:r>
    </w:p>
    <w:p>
      <w:pPr>
        <w:spacing w:line="600" w:lineRule="exact"/>
        <w:ind w:firstLine="600" w:firstLineChars="200"/>
        <w:rPr>
          <w:rFonts w:cs="Times New Roman"/>
          <w:sz w:val="30"/>
          <w:szCs w:val="30"/>
        </w:rPr>
      </w:pPr>
      <w:r>
        <w:rPr>
          <w:rFonts w:hint="eastAsia" w:cs="Times New Roman"/>
          <w:sz w:val="30"/>
          <w:szCs w:val="30"/>
        </w:rPr>
        <w:t>针对水源地周边高风险区域设应急物资（装备）储备库及事故应急池等应急防护工程，推进保护区内跨河桥梁建设桥面</w:t>
      </w:r>
      <w:r>
        <w:rPr>
          <w:rFonts w:hint="eastAsia" w:eastAsia="仿宋" w:cs="Times New Roman"/>
          <w:sz w:val="30"/>
          <w:szCs w:val="30"/>
        </w:rPr>
        <w:t>径流</w:t>
      </w:r>
      <w:r>
        <w:rPr>
          <w:rFonts w:hint="eastAsia" w:cs="Times New Roman"/>
          <w:sz w:val="30"/>
          <w:szCs w:val="30"/>
        </w:rPr>
        <w:t>收集系统等应急防护工程。</w:t>
      </w:r>
    </w:p>
    <w:p>
      <w:pPr>
        <w:spacing w:line="600" w:lineRule="exact"/>
        <w:ind w:firstLine="600" w:firstLineChars="200"/>
        <w:rPr>
          <w:rFonts w:cs="Times New Roman"/>
          <w:sz w:val="30"/>
          <w:szCs w:val="30"/>
        </w:rPr>
      </w:pPr>
      <w:r>
        <w:rPr>
          <w:rFonts w:hint="eastAsia" w:cs="Times New Roman"/>
          <w:sz w:val="30"/>
          <w:szCs w:val="30"/>
        </w:rPr>
        <w:t>③应急</w:t>
      </w:r>
      <w:r>
        <w:rPr>
          <w:rFonts w:hint="eastAsia" w:eastAsia="仿宋" w:cs="Times New Roman"/>
          <w:sz w:val="30"/>
          <w:szCs w:val="30"/>
        </w:rPr>
        <w:t>技术</w:t>
      </w:r>
      <w:r>
        <w:rPr>
          <w:rFonts w:hint="eastAsia" w:cs="Times New Roman"/>
          <w:sz w:val="30"/>
          <w:szCs w:val="30"/>
        </w:rPr>
        <w:t>方案及专家库</w:t>
      </w:r>
    </w:p>
    <w:p>
      <w:pPr>
        <w:spacing w:line="600" w:lineRule="exact"/>
        <w:ind w:firstLine="600" w:firstLineChars="200"/>
        <w:rPr>
          <w:rFonts w:cs="Times New Roman"/>
          <w:sz w:val="30"/>
          <w:szCs w:val="30"/>
        </w:rPr>
      </w:pPr>
      <w:r>
        <w:rPr>
          <w:rFonts w:hint="eastAsia" w:cs="Times New Roman"/>
          <w:sz w:val="30"/>
          <w:szCs w:val="30"/>
        </w:rPr>
        <w:t>制定</w:t>
      </w:r>
      <w:r>
        <w:rPr>
          <w:rFonts w:hint="eastAsia" w:eastAsia="仿宋" w:cs="Times New Roman"/>
          <w:sz w:val="30"/>
          <w:szCs w:val="30"/>
        </w:rPr>
        <w:t>水源地</w:t>
      </w:r>
      <w:r>
        <w:rPr>
          <w:rFonts w:hint="eastAsia" w:cs="Times New Roman"/>
          <w:sz w:val="30"/>
          <w:szCs w:val="30"/>
        </w:rPr>
        <w:t>突发环境事件应急处置技术方案，建立为应急处置提供技术支撑的专家库，明确专家组长与成员名单信息。</w:t>
      </w:r>
    </w:p>
    <w:p>
      <w:pPr>
        <w:spacing w:line="600" w:lineRule="exact"/>
        <w:ind w:firstLine="600" w:firstLineChars="200"/>
        <w:rPr>
          <w:rFonts w:cs="Times New Roman"/>
          <w:sz w:val="30"/>
          <w:szCs w:val="30"/>
        </w:rPr>
      </w:pPr>
      <w:r>
        <w:rPr>
          <w:rFonts w:hint="eastAsia" w:cs="Times New Roman"/>
          <w:sz w:val="30"/>
          <w:szCs w:val="30"/>
        </w:rPr>
        <w:t>④应急监测能力</w:t>
      </w:r>
    </w:p>
    <w:p>
      <w:pPr>
        <w:spacing w:line="600" w:lineRule="exact"/>
        <w:ind w:firstLine="600" w:firstLineChars="200"/>
        <w:rPr>
          <w:rFonts w:cs="Times New Roman"/>
          <w:sz w:val="30"/>
          <w:szCs w:val="30"/>
        </w:rPr>
      </w:pPr>
      <w:r>
        <w:rPr>
          <w:rFonts w:hint="eastAsia" w:cs="Times New Roman"/>
          <w:sz w:val="30"/>
          <w:szCs w:val="30"/>
        </w:rPr>
        <w:t>完善</w:t>
      </w:r>
      <w:r>
        <w:rPr>
          <w:rFonts w:hint="eastAsia" w:eastAsia="仿宋" w:cs="Times New Roman"/>
          <w:sz w:val="30"/>
          <w:szCs w:val="30"/>
        </w:rPr>
        <w:t>应急</w:t>
      </w:r>
      <w:r>
        <w:rPr>
          <w:rFonts w:hint="eastAsia" w:cs="Times New Roman"/>
          <w:sz w:val="30"/>
          <w:szCs w:val="30"/>
        </w:rPr>
        <w:t>监测能力，成立应急监测领导小组，制定突发性环境污染事故应急监测工作程序，建立风险源应急监测档案，配备应急监测器材及相关防护装备等。</w:t>
      </w:r>
    </w:p>
    <w:p>
      <w:pPr>
        <w:spacing w:line="600" w:lineRule="exact"/>
        <w:ind w:firstLine="602" w:firstLineChars="200"/>
        <w:outlineLvl w:val="1"/>
        <w:rPr>
          <w:rFonts w:ascii="楷体_GB2312" w:hAnsi="楷体_GB2312" w:eastAsia="楷体_GB2312" w:cs="楷体_GB2312"/>
          <w:b/>
          <w:sz w:val="30"/>
          <w:szCs w:val="30"/>
        </w:rPr>
      </w:pPr>
      <w:r>
        <w:rPr>
          <w:rFonts w:ascii="楷体_GB2312" w:hAnsi="楷体_GB2312" w:eastAsia="楷体_GB2312" w:cs="楷体_GB2312"/>
          <w:b/>
          <w:sz w:val="30"/>
          <w:szCs w:val="30"/>
        </w:rPr>
        <w:t>6</w:t>
      </w:r>
      <w:r>
        <w:rPr>
          <w:rFonts w:hint="eastAsia" w:ascii="楷体_GB2312" w:hAnsi="楷体_GB2312" w:eastAsia="楷体_GB2312" w:cs="楷体_GB2312"/>
          <w:b/>
          <w:sz w:val="30"/>
          <w:szCs w:val="30"/>
        </w:rPr>
        <w:t>、饮用水源保护区监测能力建设工程</w:t>
      </w:r>
    </w:p>
    <w:p>
      <w:pPr>
        <w:spacing w:line="600" w:lineRule="exact"/>
        <w:ind w:firstLine="600" w:firstLineChars="200"/>
        <w:rPr>
          <w:rFonts w:cs="Times New Roman"/>
          <w:sz w:val="30"/>
          <w:szCs w:val="30"/>
        </w:rPr>
      </w:pPr>
      <w:r>
        <w:rPr>
          <w:rFonts w:hint="eastAsia" w:cs="Times New Roman"/>
          <w:sz w:val="30"/>
          <w:szCs w:val="30"/>
        </w:rPr>
        <w:t>（1）</w:t>
      </w:r>
      <w:r>
        <w:rPr>
          <w:rFonts w:hint="eastAsia" w:eastAsia="仿宋" w:cs="Times New Roman"/>
          <w:sz w:val="30"/>
          <w:szCs w:val="30"/>
        </w:rPr>
        <w:t>常规监测点</w:t>
      </w:r>
      <w:r>
        <w:rPr>
          <w:rFonts w:hint="eastAsia" w:cs="Times New Roman"/>
          <w:sz w:val="30"/>
          <w:szCs w:val="30"/>
        </w:rPr>
        <w:t>位</w:t>
      </w:r>
    </w:p>
    <w:p>
      <w:pPr>
        <w:spacing w:line="600" w:lineRule="exact"/>
        <w:ind w:firstLine="600" w:firstLineChars="200"/>
        <w:rPr>
          <w:rFonts w:cs="Times New Roman"/>
          <w:sz w:val="30"/>
          <w:szCs w:val="30"/>
        </w:rPr>
      </w:pPr>
      <w:r>
        <w:rPr>
          <w:rFonts w:hint="eastAsia" w:cs="Times New Roman"/>
          <w:sz w:val="30"/>
          <w:szCs w:val="30"/>
        </w:rPr>
        <w:t>对取水口水源进行定期采样监测，监测项目共1</w:t>
      </w:r>
      <w:r>
        <w:rPr>
          <w:rFonts w:cs="Times New Roman"/>
          <w:sz w:val="30"/>
          <w:szCs w:val="30"/>
        </w:rPr>
        <w:t>09</w:t>
      </w:r>
      <w:r>
        <w:rPr>
          <w:rFonts w:hint="eastAsia" w:cs="Times New Roman"/>
          <w:sz w:val="30"/>
          <w:szCs w:val="30"/>
        </w:rPr>
        <w:t>项。</w:t>
      </w:r>
    </w:p>
    <w:p>
      <w:pPr>
        <w:spacing w:line="600" w:lineRule="exact"/>
        <w:ind w:firstLine="600" w:firstLineChars="200"/>
        <w:rPr>
          <w:rFonts w:cs="Times New Roman"/>
          <w:sz w:val="30"/>
          <w:szCs w:val="30"/>
        </w:rPr>
      </w:pPr>
      <w:r>
        <w:rPr>
          <w:rFonts w:hint="eastAsia" w:cs="Times New Roman"/>
          <w:sz w:val="30"/>
          <w:szCs w:val="30"/>
        </w:rPr>
        <w:t>（2）</w:t>
      </w:r>
      <w:r>
        <w:rPr>
          <w:rFonts w:hint="eastAsia" w:eastAsia="仿宋" w:cs="Times New Roman"/>
          <w:sz w:val="30"/>
          <w:szCs w:val="30"/>
        </w:rPr>
        <w:t>预警</w:t>
      </w:r>
      <w:r>
        <w:rPr>
          <w:rFonts w:hint="eastAsia" w:cs="Times New Roman"/>
          <w:sz w:val="30"/>
          <w:szCs w:val="30"/>
        </w:rPr>
        <w:t>监控</w:t>
      </w:r>
    </w:p>
    <w:p>
      <w:pPr>
        <w:spacing w:line="600" w:lineRule="exact"/>
        <w:ind w:firstLine="600" w:firstLineChars="200"/>
      </w:pPr>
      <w:r>
        <w:rPr>
          <w:rFonts w:hint="eastAsia" w:cs="Times New Roman"/>
          <w:sz w:val="30"/>
          <w:szCs w:val="30"/>
        </w:rPr>
        <w:t>在</w:t>
      </w:r>
      <w:r>
        <w:rPr>
          <w:rFonts w:hint="eastAsia" w:cs="Times New Roman"/>
          <w:sz w:val="30"/>
          <w:szCs w:val="30"/>
          <w:lang w:eastAsia="zh-CN"/>
        </w:rPr>
        <w:t>武江饮用水源二级保护区犁市段设有西河水质自动站，在一级保护区取水口处设有</w:t>
      </w:r>
      <w:r>
        <w:rPr>
          <w:rFonts w:hint="eastAsia" w:cs="Times New Roman"/>
          <w:sz w:val="30"/>
          <w:szCs w:val="30"/>
        </w:rPr>
        <w:t>十里亭</w:t>
      </w:r>
      <w:r>
        <w:rPr>
          <w:rFonts w:hint="eastAsia" w:cs="Times New Roman"/>
          <w:sz w:val="30"/>
          <w:szCs w:val="30"/>
          <w:lang w:eastAsia="zh-CN"/>
        </w:rPr>
        <w:t>水质</w:t>
      </w:r>
      <w:r>
        <w:rPr>
          <w:rFonts w:hint="eastAsia" w:cs="Times New Roman"/>
          <w:sz w:val="30"/>
          <w:szCs w:val="30"/>
        </w:rPr>
        <w:t>自动站</w:t>
      </w:r>
      <w:r>
        <w:rPr>
          <w:rFonts w:hint="eastAsia" w:cs="Times New Roman"/>
          <w:sz w:val="30"/>
          <w:szCs w:val="30"/>
          <w:lang w:eastAsia="zh-CN"/>
        </w:rPr>
        <w:t>，共</w:t>
      </w:r>
      <w:r>
        <w:rPr>
          <w:rFonts w:hint="eastAsia" w:cs="Times New Roman"/>
          <w:sz w:val="30"/>
          <w:szCs w:val="30"/>
        </w:rPr>
        <w:t>设置预警监控断面</w:t>
      </w:r>
      <w:r>
        <w:rPr>
          <w:rFonts w:hint="eastAsia" w:cs="Times New Roman"/>
          <w:sz w:val="30"/>
          <w:szCs w:val="30"/>
          <w:lang w:val="en-US" w:eastAsia="zh-CN"/>
        </w:rPr>
        <w:t>2</w:t>
      </w:r>
      <w:r>
        <w:rPr>
          <w:rFonts w:hint="eastAsia" w:cs="Times New Roman"/>
          <w:sz w:val="30"/>
          <w:szCs w:val="30"/>
        </w:rPr>
        <w:t>处（水质自动监测站）。</w:t>
      </w:r>
    </w:p>
    <w:p>
      <w:pPr>
        <w:pStyle w:val="2"/>
        <w:ind w:left="560"/>
      </w:pPr>
    </w:p>
    <w:p>
      <w:pPr>
        <w:spacing w:line="600" w:lineRule="exact"/>
        <w:ind w:firstLine="560" w:firstLineChars="200"/>
        <w:rPr>
          <w:highlight w:val="yellow"/>
        </w:rPr>
        <w:sectPr>
          <w:footerReference r:id="rId7" w:type="first"/>
          <w:pgSz w:w="11906" w:h="16838"/>
          <w:pgMar w:top="1440" w:right="1800" w:bottom="1440" w:left="1800" w:header="851" w:footer="992" w:gutter="0"/>
          <w:pgNumType w:fmt="numberInDash" w:start="1"/>
          <w:cols w:space="425" w:num="1"/>
          <w:titlePg/>
          <w:docGrid w:type="lines" w:linePitch="381" w:charSpace="0"/>
        </w:sectPr>
      </w:pPr>
    </w:p>
    <w:p>
      <w:pPr>
        <w:pStyle w:val="14"/>
        <w:spacing w:line="400" w:lineRule="exact"/>
        <w:outlineLvl w:val="0"/>
        <w:rPr>
          <w:rFonts w:eastAsia="宋体" w:cs="Times New Roman"/>
          <w:bCs/>
          <w:kern w:val="0"/>
          <w:sz w:val="30"/>
          <w:szCs w:val="30"/>
          <w:lang w:bidi="ar"/>
        </w:rPr>
      </w:pPr>
      <w:bookmarkStart w:id="1" w:name="_Ref102742342"/>
      <w:r>
        <w:rPr>
          <w:rFonts w:hint="eastAsia" w:eastAsia="宋体" w:cs="Times New Roman"/>
          <w:bCs/>
          <w:kern w:val="0"/>
          <w:sz w:val="30"/>
          <w:szCs w:val="30"/>
          <w:lang w:bidi="ar"/>
        </w:rPr>
        <w:t>附表</w:t>
      </w:r>
      <w:r>
        <w:rPr>
          <w:rFonts w:eastAsia="宋体" w:cs="Times New Roman"/>
          <w:bCs/>
          <w:kern w:val="0"/>
          <w:sz w:val="30"/>
          <w:szCs w:val="30"/>
          <w:lang w:bidi="ar"/>
        </w:rPr>
        <w:fldChar w:fldCharType="begin"/>
      </w:r>
      <w:r>
        <w:rPr>
          <w:rFonts w:eastAsia="宋体" w:cs="Times New Roman"/>
          <w:bCs/>
          <w:kern w:val="0"/>
          <w:sz w:val="30"/>
          <w:szCs w:val="30"/>
          <w:lang w:bidi="ar"/>
        </w:rPr>
        <w:instrText xml:space="preserve"> SEQ </w:instrText>
      </w:r>
      <w:r>
        <w:rPr>
          <w:rFonts w:hint="eastAsia" w:eastAsia="宋体" w:cs="Times New Roman"/>
          <w:bCs/>
          <w:kern w:val="0"/>
          <w:sz w:val="30"/>
          <w:szCs w:val="30"/>
          <w:lang w:bidi="ar"/>
        </w:rPr>
        <w:instrText xml:space="preserve">表</w:instrText>
      </w:r>
      <w:r>
        <w:rPr>
          <w:rFonts w:eastAsia="宋体" w:cs="Times New Roman"/>
          <w:bCs/>
          <w:kern w:val="0"/>
          <w:sz w:val="30"/>
          <w:szCs w:val="30"/>
          <w:lang w:bidi="ar"/>
        </w:rPr>
        <w:instrText xml:space="preserve"> \* ARABIC \s 1 </w:instrText>
      </w:r>
      <w:r>
        <w:rPr>
          <w:rFonts w:eastAsia="宋体" w:cs="Times New Roman"/>
          <w:bCs/>
          <w:kern w:val="0"/>
          <w:sz w:val="30"/>
          <w:szCs w:val="30"/>
          <w:lang w:bidi="ar"/>
        </w:rPr>
        <w:fldChar w:fldCharType="separate"/>
      </w:r>
      <w:r>
        <w:rPr>
          <w:rFonts w:eastAsia="宋体" w:cs="Times New Roman"/>
          <w:bCs/>
          <w:kern w:val="0"/>
          <w:sz w:val="30"/>
          <w:szCs w:val="30"/>
          <w:lang w:bidi="ar"/>
        </w:rPr>
        <w:t>1</w:t>
      </w:r>
      <w:r>
        <w:rPr>
          <w:rFonts w:eastAsia="宋体" w:cs="Times New Roman"/>
          <w:bCs/>
          <w:kern w:val="0"/>
          <w:sz w:val="30"/>
          <w:szCs w:val="30"/>
          <w:lang w:bidi="ar"/>
        </w:rPr>
        <w:fldChar w:fldCharType="end"/>
      </w:r>
      <w:bookmarkEnd w:id="1"/>
      <w:r>
        <w:rPr>
          <w:rFonts w:eastAsia="宋体" w:cs="Times New Roman"/>
          <w:bCs/>
          <w:kern w:val="0"/>
          <w:sz w:val="30"/>
          <w:szCs w:val="30"/>
          <w:lang w:bidi="ar"/>
        </w:rPr>
        <w:t xml:space="preserve"> </w:t>
      </w:r>
      <w:r>
        <w:rPr>
          <w:rFonts w:hint="eastAsia" w:eastAsia="宋体" w:cs="Times New Roman"/>
          <w:bCs/>
          <w:kern w:val="0"/>
          <w:sz w:val="30"/>
          <w:szCs w:val="30"/>
          <w:lang w:bidi="ar"/>
        </w:rPr>
        <w:t>保护区调整前后划分范围对比</w:t>
      </w:r>
    </w:p>
    <w:tbl>
      <w:tblPr>
        <w:tblStyle w:val="24"/>
        <w:tblW w:w="209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3"/>
        <w:gridCol w:w="503"/>
        <w:gridCol w:w="616"/>
        <w:gridCol w:w="662"/>
        <w:gridCol w:w="833"/>
        <w:gridCol w:w="1979"/>
        <w:gridCol w:w="2807"/>
        <w:gridCol w:w="1000"/>
        <w:gridCol w:w="950"/>
        <w:gridCol w:w="2104"/>
        <w:gridCol w:w="3238"/>
        <w:gridCol w:w="1000"/>
        <w:gridCol w:w="2828"/>
        <w:gridCol w:w="18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5" w:hRule="atLeast"/>
        </w:trPr>
        <w:tc>
          <w:tcPr>
            <w:tcW w:w="503" w:type="dxa"/>
            <w:vMerge w:val="restart"/>
            <w:vAlign w:val="center"/>
          </w:tcPr>
          <w:p>
            <w:pPr>
              <w:jc w:val="center"/>
              <w:rPr>
                <w:rFonts w:eastAsia="宋体" w:cs="Times New Roman"/>
                <w:b/>
                <w:sz w:val="21"/>
                <w:szCs w:val="21"/>
              </w:rPr>
            </w:pPr>
            <w:r>
              <w:rPr>
                <w:rFonts w:eastAsia="宋体" w:cs="Times New Roman"/>
                <w:b/>
                <w:sz w:val="21"/>
                <w:szCs w:val="21"/>
              </w:rPr>
              <w:t>序号</w:t>
            </w:r>
          </w:p>
        </w:tc>
        <w:tc>
          <w:tcPr>
            <w:tcW w:w="503" w:type="dxa"/>
            <w:vMerge w:val="restart"/>
            <w:shd w:val="clear" w:color="auto" w:fill="auto"/>
            <w:vAlign w:val="center"/>
          </w:tcPr>
          <w:p>
            <w:pPr>
              <w:jc w:val="center"/>
              <w:rPr>
                <w:rFonts w:eastAsia="宋体" w:cs="Times New Roman"/>
                <w:b/>
                <w:sz w:val="21"/>
                <w:szCs w:val="21"/>
              </w:rPr>
            </w:pPr>
            <w:r>
              <w:rPr>
                <w:rFonts w:eastAsia="宋体" w:cs="Times New Roman"/>
                <w:b/>
                <w:sz w:val="21"/>
                <w:szCs w:val="21"/>
              </w:rPr>
              <w:t>行政区</w:t>
            </w:r>
          </w:p>
        </w:tc>
        <w:tc>
          <w:tcPr>
            <w:tcW w:w="616" w:type="dxa"/>
            <w:vMerge w:val="restart"/>
            <w:shd w:val="clear" w:color="auto" w:fill="auto"/>
            <w:vAlign w:val="center"/>
          </w:tcPr>
          <w:p>
            <w:pPr>
              <w:jc w:val="center"/>
              <w:rPr>
                <w:rFonts w:eastAsia="宋体" w:cs="Times New Roman"/>
                <w:b/>
                <w:sz w:val="21"/>
                <w:szCs w:val="21"/>
              </w:rPr>
            </w:pPr>
            <w:r>
              <w:rPr>
                <w:rFonts w:eastAsia="宋体" w:cs="Times New Roman"/>
                <w:b/>
                <w:sz w:val="21"/>
                <w:szCs w:val="21"/>
              </w:rPr>
              <w:t>水源地名称</w:t>
            </w:r>
          </w:p>
        </w:tc>
        <w:tc>
          <w:tcPr>
            <w:tcW w:w="662" w:type="dxa"/>
            <w:vMerge w:val="restart"/>
            <w:vAlign w:val="center"/>
          </w:tcPr>
          <w:p>
            <w:pPr>
              <w:jc w:val="center"/>
              <w:rPr>
                <w:rFonts w:eastAsia="宋体" w:cs="Times New Roman"/>
                <w:b/>
                <w:sz w:val="21"/>
                <w:szCs w:val="21"/>
              </w:rPr>
            </w:pPr>
            <w:r>
              <w:rPr>
                <w:rFonts w:eastAsia="宋体" w:cs="Times New Roman"/>
                <w:b/>
                <w:sz w:val="21"/>
                <w:szCs w:val="21"/>
              </w:rPr>
              <w:t>水质保护目标</w:t>
            </w:r>
          </w:p>
        </w:tc>
        <w:tc>
          <w:tcPr>
            <w:tcW w:w="6619" w:type="dxa"/>
            <w:gridSpan w:val="4"/>
            <w:shd w:val="clear" w:color="auto" w:fill="auto"/>
            <w:vAlign w:val="center"/>
          </w:tcPr>
          <w:p>
            <w:pPr>
              <w:jc w:val="center"/>
              <w:rPr>
                <w:rFonts w:eastAsia="宋体" w:cs="Times New Roman"/>
                <w:b/>
                <w:sz w:val="21"/>
                <w:szCs w:val="21"/>
              </w:rPr>
            </w:pPr>
            <w:r>
              <w:rPr>
                <w:rFonts w:eastAsia="宋体" w:cs="Times New Roman"/>
                <w:b/>
                <w:sz w:val="21"/>
                <w:szCs w:val="21"/>
              </w:rPr>
              <w:t>调整前保护区范围</w:t>
            </w:r>
          </w:p>
        </w:tc>
        <w:tc>
          <w:tcPr>
            <w:tcW w:w="7292" w:type="dxa"/>
            <w:gridSpan w:val="4"/>
            <w:vAlign w:val="center"/>
          </w:tcPr>
          <w:p>
            <w:pPr>
              <w:jc w:val="center"/>
              <w:rPr>
                <w:rFonts w:eastAsia="宋体" w:cs="Times New Roman"/>
                <w:b/>
                <w:sz w:val="21"/>
                <w:szCs w:val="21"/>
              </w:rPr>
            </w:pPr>
            <w:r>
              <w:rPr>
                <w:rFonts w:eastAsia="宋体" w:cs="Times New Roman"/>
                <w:b/>
                <w:sz w:val="21"/>
                <w:szCs w:val="21"/>
              </w:rPr>
              <w:t>调整后保护区范围</w:t>
            </w:r>
          </w:p>
        </w:tc>
        <w:tc>
          <w:tcPr>
            <w:tcW w:w="2828" w:type="dxa"/>
            <w:vMerge w:val="restart"/>
            <w:vAlign w:val="center"/>
          </w:tcPr>
          <w:p>
            <w:pPr>
              <w:jc w:val="center"/>
              <w:rPr>
                <w:rFonts w:eastAsia="宋体" w:cs="Times New Roman"/>
                <w:b/>
                <w:sz w:val="21"/>
                <w:szCs w:val="21"/>
              </w:rPr>
            </w:pPr>
            <w:r>
              <w:rPr>
                <w:rFonts w:eastAsia="宋体" w:cs="Times New Roman"/>
                <w:b/>
                <w:sz w:val="21"/>
                <w:szCs w:val="21"/>
              </w:rPr>
              <w:t>调整说明</w:t>
            </w:r>
          </w:p>
        </w:tc>
        <w:tc>
          <w:tcPr>
            <w:tcW w:w="1895" w:type="dxa"/>
            <w:vMerge w:val="restart"/>
            <w:shd w:val="clear" w:color="auto" w:fill="auto"/>
            <w:vAlign w:val="center"/>
          </w:tcPr>
          <w:p>
            <w:pPr>
              <w:jc w:val="center"/>
              <w:rPr>
                <w:rFonts w:eastAsia="宋体" w:cs="Times New Roman"/>
                <w:b/>
                <w:sz w:val="21"/>
                <w:szCs w:val="21"/>
              </w:rPr>
            </w:pPr>
            <w:r>
              <w:rPr>
                <w:rFonts w:eastAsia="宋体" w:cs="Times New Roman"/>
                <w:b/>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5" w:hRule="atLeast"/>
        </w:trPr>
        <w:tc>
          <w:tcPr>
            <w:tcW w:w="503" w:type="dxa"/>
            <w:vMerge w:val="continue"/>
            <w:vAlign w:val="center"/>
          </w:tcPr>
          <w:p>
            <w:pPr>
              <w:jc w:val="center"/>
              <w:rPr>
                <w:rFonts w:eastAsia="宋体" w:cs="Times New Roman"/>
                <w:sz w:val="21"/>
                <w:szCs w:val="21"/>
              </w:rPr>
            </w:pPr>
          </w:p>
        </w:tc>
        <w:tc>
          <w:tcPr>
            <w:tcW w:w="503" w:type="dxa"/>
            <w:vMerge w:val="continue"/>
            <w:shd w:val="clear" w:color="auto" w:fill="auto"/>
            <w:vAlign w:val="center"/>
          </w:tcPr>
          <w:p>
            <w:pPr>
              <w:jc w:val="center"/>
              <w:rPr>
                <w:rFonts w:eastAsia="宋体" w:cs="Times New Roman"/>
                <w:sz w:val="21"/>
                <w:szCs w:val="21"/>
              </w:rPr>
            </w:pPr>
          </w:p>
        </w:tc>
        <w:tc>
          <w:tcPr>
            <w:tcW w:w="616" w:type="dxa"/>
            <w:vMerge w:val="continue"/>
            <w:shd w:val="clear" w:color="auto" w:fill="auto"/>
            <w:vAlign w:val="center"/>
          </w:tcPr>
          <w:p>
            <w:pPr>
              <w:jc w:val="center"/>
              <w:rPr>
                <w:rFonts w:eastAsia="宋体" w:cs="Times New Roman"/>
                <w:sz w:val="21"/>
                <w:szCs w:val="21"/>
              </w:rPr>
            </w:pPr>
          </w:p>
        </w:tc>
        <w:tc>
          <w:tcPr>
            <w:tcW w:w="662" w:type="dxa"/>
            <w:vMerge w:val="continue"/>
            <w:vAlign w:val="center"/>
          </w:tcPr>
          <w:p>
            <w:pPr>
              <w:jc w:val="center"/>
              <w:rPr>
                <w:rFonts w:eastAsia="宋体" w:cs="Times New Roman"/>
                <w:b/>
                <w:sz w:val="21"/>
                <w:szCs w:val="21"/>
              </w:rPr>
            </w:pPr>
          </w:p>
        </w:tc>
        <w:tc>
          <w:tcPr>
            <w:tcW w:w="833" w:type="dxa"/>
            <w:shd w:val="clear" w:color="auto" w:fill="auto"/>
            <w:vAlign w:val="center"/>
          </w:tcPr>
          <w:p>
            <w:pPr>
              <w:jc w:val="center"/>
              <w:rPr>
                <w:rFonts w:eastAsia="宋体" w:cs="Times New Roman"/>
                <w:sz w:val="21"/>
                <w:szCs w:val="21"/>
              </w:rPr>
            </w:pPr>
            <w:r>
              <w:rPr>
                <w:rFonts w:eastAsia="宋体" w:cs="Times New Roman"/>
                <w:b/>
                <w:sz w:val="21"/>
                <w:szCs w:val="21"/>
              </w:rPr>
              <w:t>保护区级别</w:t>
            </w:r>
          </w:p>
        </w:tc>
        <w:tc>
          <w:tcPr>
            <w:tcW w:w="1979" w:type="dxa"/>
            <w:shd w:val="clear" w:color="auto" w:fill="auto"/>
            <w:vAlign w:val="center"/>
          </w:tcPr>
          <w:p>
            <w:pPr>
              <w:jc w:val="center"/>
              <w:rPr>
                <w:rFonts w:eastAsia="宋体" w:cs="Times New Roman"/>
                <w:b/>
                <w:sz w:val="21"/>
                <w:szCs w:val="21"/>
              </w:rPr>
            </w:pPr>
            <w:r>
              <w:rPr>
                <w:rFonts w:eastAsia="宋体" w:cs="Times New Roman"/>
                <w:b/>
                <w:sz w:val="21"/>
                <w:szCs w:val="21"/>
              </w:rPr>
              <w:t>水域</w:t>
            </w:r>
          </w:p>
        </w:tc>
        <w:tc>
          <w:tcPr>
            <w:tcW w:w="2807" w:type="dxa"/>
            <w:shd w:val="clear" w:color="auto" w:fill="auto"/>
            <w:vAlign w:val="center"/>
          </w:tcPr>
          <w:p>
            <w:pPr>
              <w:jc w:val="center"/>
              <w:rPr>
                <w:rFonts w:eastAsia="宋体" w:cs="Times New Roman"/>
                <w:b/>
                <w:sz w:val="21"/>
                <w:szCs w:val="21"/>
              </w:rPr>
            </w:pPr>
            <w:r>
              <w:rPr>
                <w:rFonts w:eastAsia="宋体" w:cs="Times New Roman"/>
                <w:b/>
                <w:sz w:val="21"/>
                <w:szCs w:val="21"/>
              </w:rPr>
              <w:t>陆域</w:t>
            </w:r>
          </w:p>
        </w:tc>
        <w:tc>
          <w:tcPr>
            <w:tcW w:w="1000" w:type="dxa"/>
            <w:shd w:val="clear" w:color="auto" w:fill="auto"/>
            <w:vAlign w:val="center"/>
          </w:tcPr>
          <w:p>
            <w:pPr>
              <w:jc w:val="center"/>
              <w:rPr>
                <w:rFonts w:eastAsia="宋体" w:cs="Times New Roman"/>
                <w:b/>
                <w:sz w:val="21"/>
                <w:szCs w:val="21"/>
              </w:rPr>
            </w:pPr>
            <w:r>
              <w:rPr>
                <w:rFonts w:eastAsia="宋体" w:cs="Times New Roman"/>
                <w:b/>
                <w:sz w:val="21"/>
                <w:szCs w:val="21"/>
              </w:rPr>
              <w:t>面积</w:t>
            </w:r>
            <w:r>
              <w:rPr>
                <w:rFonts w:eastAsia="宋体" w:cs="Times New Roman"/>
                <w:b/>
                <w:bCs/>
                <w:kern w:val="0"/>
                <w:sz w:val="21"/>
                <w:szCs w:val="21"/>
              </w:rPr>
              <w:t>（</w:t>
            </w:r>
            <w:r>
              <w:rPr>
                <w:rFonts w:eastAsia="宋体" w:cs="Times New Roman"/>
                <w:b/>
                <w:sz w:val="21"/>
                <w:szCs w:val="21"/>
              </w:rPr>
              <w:t>km</w:t>
            </w:r>
            <w:r>
              <w:rPr>
                <w:rFonts w:eastAsia="宋体" w:cs="Times New Roman"/>
                <w:b/>
                <w:sz w:val="21"/>
                <w:szCs w:val="21"/>
                <w:vertAlign w:val="superscript"/>
              </w:rPr>
              <w:t>2</w:t>
            </w:r>
            <w:r>
              <w:rPr>
                <w:rFonts w:eastAsia="宋体" w:cs="Times New Roman"/>
                <w:b/>
                <w:sz w:val="21"/>
                <w:szCs w:val="21"/>
              </w:rPr>
              <w:t>）</w:t>
            </w:r>
          </w:p>
        </w:tc>
        <w:tc>
          <w:tcPr>
            <w:tcW w:w="950" w:type="dxa"/>
            <w:vAlign w:val="center"/>
          </w:tcPr>
          <w:p>
            <w:pPr>
              <w:jc w:val="center"/>
              <w:rPr>
                <w:rFonts w:eastAsia="宋体" w:cs="Times New Roman"/>
                <w:sz w:val="21"/>
                <w:szCs w:val="21"/>
              </w:rPr>
            </w:pPr>
            <w:r>
              <w:rPr>
                <w:rFonts w:eastAsia="宋体" w:cs="Times New Roman"/>
                <w:b/>
                <w:sz w:val="21"/>
                <w:szCs w:val="21"/>
              </w:rPr>
              <w:t>保护区级别</w:t>
            </w:r>
          </w:p>
        </w:tc>
        <w:tc>
          <w:tcPr>
            <w:tcW w:w="2104" w:type="dxa"/>
            <w:shd w:val="clear" w:color="auto" w:fill="auto"/>
            <w:vAlign w:val="center"/>
          </w:tcPr>
          <w:p>
            <w:pPr>
              <w:jc w:val="center"/>
              <w:rPr>
                <w:rFonts w:eastAsia="宋体" w:cs="Times New Roman"/>
                <w:b/>
                <w:sz w:val="21"/>
                <w:szCs w:val="21"/>
              </w:rPr>
            </w:pPr>
            <w:r>
              <w:rPr>
                <w:rFonts w:eastAsia="宋体" w:cs="Times New Roman"/>
                <w:b/>
                <w:sz w:val="21"/>
                <w:szCs w:val="21"/>
              </w:rPr>
              <w:t>水域</w:t>
            </w:r>
          </w:p>
        </w:tc>
        <w:tc>
          <w:tcPr>
            <w:tcW w:w="3238" w:type="dxa"/>
            <w:shd w:val="clear" w:color="auto" w:fill="auto"/>
            <w:vAlign w:val="center"/>
          </w:tcPr>
          <w:p>
            <w:pPr>
              <w:jc w:val="center"/>
              <w:rPr>
                <w:rFonts w:eastAsia="宋体" w:cs="Times New Roman"/>
                <w:b/>
                <w:sz w:val="21"/>
                <w:szCs w:val="21"/>
              </w:rPr>
            </w:pPr>
            <w:r>
              <w:rPr>
                <w:rFonts w:eastAsia="宋体" w:cs="Times New Roman"/>
                <w:b/>
                <w:sz w:val="21"/>
                <w:szCs w:val="21"/>
              </w:rPr>
              <w:t>陆域</w:t>
            </w:r>
          </w:p>
        </w:tc>
        <w:tc>
          <w:tcPr>
            <w:tcW w:w="1000" w:type="dxa"/>
            <w:shd w:val="clear" w:color="auto" w:fill="auto"/>
            <w:vAlign w:val="center"/>
          </w:tcPr>
          <w:p>
            <w:pPr>
              <w:jc w:val="center"/>
              <w:rPr>
                <w:rFonts w:eastAsia="宋体" w:cs="Times New Roman"/>
                <w:b/>
                <w:sz w:val="21"/>
                <w:szCs w:val="21"/>
              </w:rPr>
            </w:pPr>
            <w:r>
              <w:rPr>
                <w:rFonts w:eastAsia="宋体" w:cs="Times New Roman"/>
                <w:b/>
                <w:sz w:val="21"/>
                <w:szCs w:val="21"/>
              </w:rPr>
              <w:t>面积</w:t>
            </w:r>
            <w:r>
              <w:rPr>
                <w:rFonts w:eastAsia="宋体" w:cs="Times New Roman"/>
                <w:b/>
                <w:bCs/>
                <w:kern w:val="0"/>
                <w:sz w:val="21"/>
                <w:szCs w:val="21"/>
              </w:rPr>
              <w:t>（</w:t>
            </w:r>
            <w:r>
              <w:rPr>
                <w:rFonts w:eastAsia="宋体" w:cs="Times New Roman"/>
                <w:b/>
                <w:sz w:val="21"/>
                <w:szCs w:val="21"/>
              </w:rPr>
              <w:t>km</w:t>
            </w:r>
            <w:r>
              <w:rPr>
                <w:rFonts w:eastAsia="宋体" w:cs="Times New Roman"/>
                <w:b/>
                <w:sz w:val="21"/>
                <w:szCs w:val="21"/>
                <w:vertAlign w:val="superscript"/>
              </w:rPr>
              <w:t>2</w:t>
            </w:r>
            <w:r>
              <w:rPr>
                <w:rFonts w:eastAsia="宋体" w:cs="Times New Roman"/>
                <w:b/>
                <w:sz w:val="21"/>
                <w:szCs w:val="21"/>
              </w:rPr>
              <w:t>）</w:t>
            </w:r>
          </w:p>
        </w:tc>
        <w:tc>
          <w:tcPr>
            <w:tcW w:w="2828" w:type="dxa"/>
            <w:vMerge w:val="continue"/>
            <w:vAlign w:val="center"/>
          </w:tcPr>
          <w:p>
            <w:pPr>
              <w:jc w:val="center"/>
              <w:rPr>
                <w:rFonts w:eastAsia="宋体" w:cs="Times New Roman"/>
                <w:b/>
                <w:sz w:val="21"/>
                <w:szCs w:val="21"/>
              </w:rPr>
            </w:pPr>
          </w:p>
        </w:tc>
        <w:tc>
          <w:tcPr>
            <w:tcW w:w="1895" w:type="dxa"/>
            <w:vMerge w:val="continue"/>
            <w:shd w:val="clear" w:color="auto" w:fill="auto"/>
            <w:vAlign w:val="center"/>
          </w:tcPr>
          <w:p>
            <w:pPr>
              <w:jc w:val="center"/>
              <w:rPr>
                <w:rFonts w:eastAsia="宋体" w:cs="Times New Roman"/>
                <w:b/>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03" w:type="dxa"/>
            <w:vMerge w:val="restart"/>
            <w:vAlign w:val="center"/>
          </w:tcPr>
          <w:p>
            <w:pPr>
              <w:jc w:val="center"/>
              <w:rPr>
                <w:rFonts w:eastAsia="宋体" w:cs="Times New Roman"/>
                <w:b/>
                <w:sz w:val="21"/>
                <w:szCs w:val="21"/>
              </w:rPr>
            </w:pPr>
            <w:r>
              <w:rPr>
                <w:rFonts w:eastAsia="宋体" w:cs="Times New Roman"/>
                <w:b/>
                <w:sz w:val="21"/>
                <w:szCs w:val="21"/>
              </w:rPr>
              <w:t>1</w:t>
            </w:r>
          </w:p>
        </w:tc>
        <w:tc>
          <w:tcPr>
            <w:tcW w:w="503" w:type="dxa"/>
            <w:vMerge w:val="restart"/>
            <w:shd w:val="clear" w:color="auto" w:fill="auto"/>
            <w:vAlign w:val="center"/>
          </w:tcPr>
          <w:p>
            <w:pPr>
              <w:jc w:val="center"/>
              <w:rPr>
                <w:rFonts w:eastAsia="宋体" w:cs="Times New Roman"/>
                <w:b/>
                <w:sz w:val="21"/>
                <w:szCs w:val="21"/>
              </w:rPr>
            </w:pPr>
            <w:r>
              <w:rPr>
                <w:rFonts w:eastAsia="宋体" w:cs="Times New Roman"/>
                <w:b/>
                <w:sz w:val="21"/>
                <w:szCs w:val="21"/>
              </w:rPr>
              <w:t>韶关市区</w:t>
            </w:r>
          </w:p>
        </w:tc>
        <w:tc>
          <w:tcPr>
            <w:tcW w:w="616" w:type="dxa"/>
            <w:vMerge w:val="restart"/>
            <w:shd w:val="clear" w:color="auto" w:fill="auto"/>
            <w:vAlign w:val="center"/>
          </w:tcPr>
          <w:p>
            <w:pPr>
              <w:jc w:val="center"/>
              <w:rPr>
                <w:rFonts w:eastAsia="宋体" w:cs="Times New Roman"/>
                <w:b/>
                <w:sz w:val="21"/>
                <w:szCs w:val="21"/>
              </w:rPr>
            </w:pPr>
            <w:r>
              <w:rPr>
                <w:rFonts w:eastAsia="宋体" w:cs="Times New Roman"/>
                <w:b/>
                <w:sz w:val="21"/>
                <w:szCs w:val="21"/>
              </w:rPr>
              <w:t>韶关市区武江饮用水水源地</w:t>
            </w:r>
          </w:p>
        </w:tc>
        <w:tc>
          <w:tcPr>
            <w:tcW w:w="662" w:type="dxa"/>
            <w:vAlign w:val="center"/>
          </w:tcPr>
          <w:p>
            <w:pPr>
              <w:jc w:val="center"/>
              <w:rPr>
                <w:rFonts w:eastAsia="宋体" w:cs="Times New Roman"/>
                <w:sz w:val="21"/>
                <w:szCs w:val="21"/>
              </w:rPr>
            </w:pPr>
            <w:r>
              <w:rPr>
                <w:rFonts w:eastAsia="宋体" w:cs="Times New Roman"/>
                <w:sz w:val="21"/>
                <w:szCs w:val="21"/>
              </w:rPr>
              <w:t>Ⅱ类</w:t>
            </w:r>
          </w:p>
        </w:tc>
        <w:tc>
          <w:tcPr>
            <w:tcW w:w="833" w:type="dxa"/>
            <w:shd w:val="clear" w:color="auto" w:fill="auto"/>
            <w:vAlign w:val="center"/>
          </w:tcPr>
          <w:p>
            <w:pPr>
              <w:jc w:val="center"/>
              <w:rPr>
                <w:rFonts w:eastAsia="宋体" w:cs="Times New Roman"/>
                <w:sz w:val="21"/>
                <w:szCs w:val="21"/>
              </w:rPr>
            </w:pPr>
            <w:r>
              <w:rPr>
                <w:rFonts w:eastAsia="宋体" w:cs="Times New Roman"/>
                <w:sz w:val="21"/>
                <w:szCs w:val="21"/>
              </w:rPr>
              <w:t>一级保护区</w:t>
            </w:r>
          </w:p>
        </w:tc>
        <w:tc>
          <w:tcPr>
            <w:tcW w:w="1979" w:type="dxa"/>
            <w:shd w:val="clear" w:color="auto" w:fill="auto"/>
            <w:vAlign w:val="center"/>
          </w:tcPr>
          <w:p>
            <w:pPr>
              <w:pStyle w:val="43"/>
              <w:spacing w:before="0" w:beforeLines="0" w:after="0" w:afterLines="0"/>
              <w:ind w:firstLine="0" w:firstLineChars="0"/>
              <w:jc w:val="center"/>
              <w:rPr>
                <w:rFonts w:ascii="Times New Roman" w:hAnsi="Times New Roman" w:cs="Times New Roman"/>
                <w:color w:val="auto"/>
                <w:sz w:val="21"/>
                <w:szCs w:val="21"/>
              </w:rPr>
            </w:pPr>
            <w:r>
              <w:rPr>
                <w:rFonts w:ascii="Times New Roman" w:hAnsi="Times New Roman" w:cs="Times New Roman"/>
                <w:color w:val="auto"/>
                <w:sz w:val="21"/>
                <w:szCs w:val="21"/>
              </w:rPr>
              <w:t>取水口下游100米至靖村长3.4公里河段除航道外的水域范围，以及汇入该河段的支流从汇入口上溯200米的水域范围。</w:t>
            </w:r>
          </w:p>
        </w:tc>
        <w:tc>
          <w:tcPr>
            <w:tcW w:w="2807" w:type="dxa"/>
            <w:shd w:val="clear" w:color="auto" w:fill="auto"/>
            <w:vAlign w:val="center"/>
          </w:tcPr>
          <w:p>
            <w:pPr>
              <w:pStyle w:val="43"/>
              <w:spacing w:before="0" w:beforeLines="0" w:after="0" w:afterLines="0"/>
              <w:ind w:firstLine="0" w:firstLineChars="0"/>
              <w:jc w:val="center"/>
              <w:rPr>
                <w:rFonts w:ascii="Times New Roman" w:hAnsi="Times New Roman" w:cs="Times New Roman"/>
                <w:color w:val="auto"/>
                <w:sz w:val="21"/>
                <w:szCs w:val="21"/>
              </w:rPr>
            </w:pPr>
            <w:r>
              <w:rPr>
                <w:rFonts w:ascii="Times New Roman" w:hAnsi="Times New Roman" w:cs="Times New Roman"/>
                <w:color w:val="auto"/>
                <w:sz w:val="21"/>
                <w:szCs w:val="21"/>
              </w:rPr>
              <w:t>相应一级保护区水域的两岸正常岸线向陆纵深50米内的陆域，有防洪堤河段至防洪堤迎水面，包括江心岛。</w:t>
            </w:r>
          </w:p>
        </w:tc>
        <w:tc>
          <w:tcPr>
            <w:tcW w:w="1000" w:type="dxa"/>
            <w:shd w:val="clear" w:color="auto" w:fill="auto"/>
            <w:vAlign w:val="center"/>
          </w:tcPr>
          <w:p>
            <w:pPr>
              <w:jc w:val="center"/>
              <w:rPr>
                <w:rFonts w:eastAsia="宋体" w:cs="Times New Roman"/>
                <w:bCs/>
                <w:sz w:val="21"/>
                <w:szCs w:val="21"/>
              </w:rPr>
            </w:pPr>
            <w:r>
              <w:rPr>
                <w:rFonts w:eastAsia="宋体" w:cs="Times New Roman"/>
                <w:sz w:val="21"/>
                <w:szCs w:val="21"/>
              </w:rPr>
              <w:t xml:space="preserve">1.64 </w:t>
            </w:r>
          </w:p>
        </w:tc>
        <w:tc>
          <w:tcPr>
            <w:tcW w:w="950" w:type="dxa"/>
            <w:vAlign w:val="center"/>
          </w:tcPr>
          <w:p>
            <w:pPr>
              <w:jc w:val="center"/>
              <w:rPr>
                <w:rFonts w:eastAsia="宋体" w:cs="Times New Roman"/>
                <w:sz w:val="21"/>
                <w:szCs w:val="21"/>
              </w:rPr>
            </w:pPr>
            <w:r>
              <w:rPr>
                <w:rFonts w:eastAsia="宋体" w:cs="Times New Roman"/>
                <w:sz w:val="21"/>
                <w:szCs w:val="21"/>
              </w:rPr>
              <w:t>一级保护区</w:t>
            </w:r>
          </w:p>
        </w:tc>
        <w:tc>
          <w:tcPr>
            <w:tcW w:w="2104" w:type="dxa"/>
            <w:shd w:val="clear" w:color="auto" w:fill="auto"/>
            <w:vAlign w:val="center"/>
          </w:tcPr>
          <w:p>
            <w:pPr>
              <w:pStyle w:val="43"/>
              <w:spacing w:before="0" w:beforeLines="0" w:after="0" w:afterLines="0"/>
              <w:ind w:firstLine="0" w:firstLineChars="0"/>
              <w:jc w:val="center"/>
              <w:rPr>
                <w:rFonts w:ascii="Times New Roman" w:hAnsi="Times New Roman" w:cs="Times New Roman"/>
                <w:color w:val="auto"/>
                <w:sz w:val="21"/>
                <w:szCs w:val="21"/>
              </w:rPr>
            </w:pPr>
            <w:r>
              <w:rPr>
                <w:rFonts w:ascii="Times New Roman" w:hAnsi="Times New Roman" w:cs="Times New Roman"/>
                <w:color w:val="auto"/>
                <w:sz w:val="21"/>
                <w:szCs w:val="21"/>
              </w:rPr>
              <w:t>取水口下游100米至靖村长3.4公里河段除航道外的水域范围，</w:t>
            </w:r>
            <w:r>
              <w:rPr>
                <w:rFonts w:ascii="Times New Roman" w:hAnsi="Times New Roman" w:cs="Times New Roman"/>
                <w:b/>
                <w:color w:val="auto"/>
                <w:sz w:val="21"/>
                <w:szCs w:val="21"/>
              </w:rPr>
              <w:t>以及汇入该河段的支流从汇入口上溯50米的水域范围</w:t>
            </w:r>
            <w:r>
              <w:rPr>
                <w:rFonts w:ascii="Times New Roman" w:hAnsi="Times New Roman" w:cs="Times New Roman"/>
                <w:color w:val="auto"/>
                <w:sz w:val="21"/>
                <w:szCs w:val="21"/>
              </w:rPr>
              <w:t>。</w:t>
            </w:r>
          </w:p>
        </w:tc>
        <w:tc>
          <w:tcPr>
            <w:tcW w:w="3238" w:type="dxa"/>
            <w:shd w:val="clear" w:color="auto" w:fill="auto"/>
            <w:vAlign w:val="center"/>
          </w:tcPr>
          <w:p>
            <w:pPr>
              <w:pStyle w:val="43"/>
              <w:spacing w:before="0" w:beforeLines="0" w:after="0" w:afterLines="0"/>
              <w:ind w:firstLine="0" w:firstLineChars="0"/>
              <w:jc w:val="center"/>
              <w:rPr>
                <w:rFonts w:ascii="Times New Roman" w:hAnsi="Times New Roman" w:cs="Times New Roman"/>
                <w:color w:val="auto"/>
                <w:sz w:val="21"/>
                <w:szCs w:val="21"/>
              </w:rPr>
            </w:pPr>
            <w:r>
              <w:rPr>
                <w:rFonts w:ascii="Times New Roman" w:hAnsi="Times New Roman" w:cs="Times New Roman"/>
                <w:color w:val="auto"/>
                <w:sz w:val="21"/>
                <w:szCs w:val="21"/>
              </w:rPr>
              <w:t>相应一级保护区水域的两岸正常岸线向陆纵深50米内的陆域，有防洪堤河段至防洪堤迎水面，包括江心岛。</w:t>
            </w:r>
          </w:p>
        </w:tc>
        <w:tc>
          <w:tcPr>
            <w:tcW w:w="1000" w:type="dxa"/>
            <w:shd w:val="clear" w:color="auto" w:fill="auto"/>
            <w:vAlign w:val="center"/>
          </w:tcPr>
          <w:p>
            <w:pPr>
              <w:jc w:val="center"/>
              <w:rPr>
                <w:rFonts w:eastAsia="宋体" w:cs="Times New Roman"/>
                <w:sz w:val="21"/>
                <w:szCs w:val="21"/>
              </w:rPr>
            </w:pPr>
            <w:r>
              <w:rPr>
                <w:rFonts w:eastAsia="宋体" w:cs="Times New Roman"/>
                <w:sz w:val="21"/>
                <w:szCs w:val="21"/>
              </w:rPr>
              <w:t xml:space="preserve">1.61 </w:t>
            </w:r>
          </w:p>
        </w:tc>
        <w:tc>
          <w:tcPr>
            <w:tcW w:w="2828" w:type="dxa"/>
            <w:vMerge w:val="restart"/>
            <w:vAlign w:val="center"/>
          </w:tcPr>
          <w:p>
            <w:pPr>
              <w:pStyle w:val="43"/>
              <w:spacing w:before="0" w:beforeLines="0" w:after="0" w:afterLines="0"/>
              <w:ind w:firstLine="0" w:firstLineChars="0"/>
              <w:jc w:val="center"/>
              <w:rPr>
                <w:rFonts w:ascii="Times New Roman" w:hAnsi="Times New Roman" w:cs="Times New Roman"/>
                <w:color w:val="auto"/>
                <w:sz w:val="21"/>
                <w:szCs w:val="21"/>
              </w:rPr>
            </w:pPr>
            <w:r>
              <w:rPr>
                <w:rFonts w:ascii="Times New Roman" w:hAnsi="Times New Roman" w:cs="Times New Roman"/>
                <w:color w:val="auto"/>
                <w:sz w:val="21"/>
                <w:szCs w:val="21"/>
              </w:rPr>
              <w:t>根据《关于进一步加强我省饮用水源保护区和生态严控区保护工作的会议纪要》“调整涉及区域须限定在最小范围之内”要求，结合韶关丹霞机场高速公路工程穿越武江的唯一路由，将武江一级保护区中汇入该河段的支流从汇入口上溯200米的水域范围调整为上溯50米，根据一级保护区水域调整情况调整相应的陆域范围；同时考虑铁路路基和分水岭等实际情况，对二级保护区陆域范围进行校核。结合市区供水格局变化情况，为更有针对性的对饮用水源进行保护，调整准保护区范围。规范了相关表述。</w:t>
            </w:r>
          </w:p>
        </w:tc>
        <w:tc>
          <w:tcPr>
            <w:tcW w:w="1895" w:type="dxa"/>
            <w:vMerge w:val="restart"/>
            <w:shd w:val="clear" w:color="auto" w:fill="auto"/>
            <w:vAlign w:val="center"/>
          </w:tcPr>
          <w:p>
            <w:pPr>
              <w:jc w:val="center"/>
              <w:rPr>
                <w:rFonts w:eastAsia="宋体" w:cs="Times New Roman"/>
                <w:sz w:val="21"/>
                <w:szCs w:val="21"/>
              </w:rPr>
            </w:pPr>
            <w:r>
              <w:rPr>
                <w:rFonts w:eastAsia="宋体" w:cs="Times New Roman"/>
                <w:sz w:val="21"/>
                <w:szCs w:val="21"/>
              </w:rPr>
              <w:t>6个控制点坐标分别为：L1：24.8505° N，113.5408° E；L2：24.8443° N，113.5410°E；L3：24.8335° N，113.5374°E；L4：24.8331° N，113.5390°E；L5：24.8255° N，113.5400°E；L6：24.8252° N，113.5419°E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03" w:type="dxa"/>
            <w:vMerge w:val="continue"/>
            <w:vAlign w:val="center"/>
          </w:tcPr>
          <w:p>
            <w:pPr>
              <w:jc w:val="center"/>
              <w:rPr>
                <w:rFonts w:eastAsia="宋体" w:cs="Times New Roman"/>
                <w:b/>
                <w:sz w:val="21"/>
                <w:szCs w:val="21"/>
              </w:rPr>
            </w:pPr>
          </w:p>
        </w:tc>
        <w:tc>
          <w:tcPr>
            <w:tcW w:w="503" w:type="dxa"/>
            <w:vMerge w:val="continue"/>
            <w:shd w:val="clear" w:color="auto" w:fill="auto"/>
            <w:vAlign w:val="center"/>
          </w:tcPr>
          <w:p>
            <w:pPr>
              <w:jc w:val="center"/>
              <w:rPr>
                <w:rFonts w:eastAsia="宋体" w:cs="Times New Roman"/>
                <w:b/>
                <w:sz w:val="21"/>
                <w:szCs w:val="21"/>
              </w:rPr>
            </w:pPr>
          </w:p>
        </w:tc>
        <w:tc>
          <w:tcPr>
            <w:tcW w:w="616" w:type="dxa"/>
            <w:vMerge w:val="continue"/>
            <w:shd w:val="clear" w:color="auto" w:fill="auto"/>
            <w:vAlign w:val="center"/>
          </w:tcPr>
          <w:p>
            <w:pPr>
              <w:jc w:val="center"/>
              <w:rPr>
                <w:rFonts w:eastAsia="宋体" w:cs="Times New Roman"/>
                <w:b/>
                <w:sz w:val="21"/>
                <w:szCs w:val="21"/>
              </w:rPr>
            </w:pPr>
          </w:p>
        </w:tc>
        <w:tc>
          <w:tcPr>
            <w:tcW w:w="662" w:type="dxa"/>
            <w:vAlign w:val="center"/>
          </w:tcPr>
          <w:p>
            <w:pPr>
              <w:jc w:val="center"/>
              <w:rPr>
                <w:rFonts w:eastAsia="宋体" w:cs="Times New Roman"/>
                <w:sz w:val="21"/>
                <w:szCs w:val="21"/>
              </w:rPr>
            </w:pPr>
            <w:r>
              <w:rPr>
                <w:rFonts w:eastAsia="宋体" w:cs="Times New Roman"/>
                <w:sz w:val="21"/>
                <w:szCs w:val="21"/>
              </w:rPr>
              <w:t>Ⅱ类</w:t>
            </w:r>
          </w:p>
        </w:tc>
        <w:tc>
          <w:tcPr>
            <w:tcW w:w="833" w:type="dxa"/>
            <w:shd w:val="clear" w:color="auto" w:fill="auto"/>
            <w:vAlign w:val="center"/>
          </w:tcPr>
          <w:p>
            <w:pPr>
              <w:jc w:val="center"/>
              <w:rPr>
                <w:rFonts w:eastAsia="宋体" w:cs="Times New Roman"/>
                <w:sz w:val="21"/>
                <w:szCs w:val="21"/>
              </w:rPr>
            </w:pPr>
            <w:r>
              <w:rPr>
                <w:rFonts w:eastAsia="宋体" w:cs="Times New Roman"/>
                <w:sz w:val="21"/>
                <w:szCs w:val="21"/>
              </w:rPr>
              <w:t>二级保护区</w:t>
            </w:r>
          </w:p>
        </w:tc>
        <w:tc>
          <w:tcPr>
            <w:tcW w:w="1979" w:type="dxa"/>
            <w:shd w:val="clear" w:color="auto" w:fill="auto"/>
            <w:vAlign w:val="center"/>
          </w:tcPr>
          <w:p>
            <w:pPr>
              <w:pStyle w:val="43"/>
              <w:spacing w:before="0" w:beforeLines="0" w:after="0" w:afterLines="0"/>
              <w:ind w:firstLine="0" w:firstLineChars="0"/>
              <w:jc w:val="center"/>
              <w:rPr>
                <w:rFonts w:ascii="Times New Roman" w:hAnsi="Times New Roman" w:cs="Times New Roman"/>
                <w:color w:val="auto"/>
                <w:sz w:val="21"/>
                <w:szCs w:val="21"/>
              </w:rPr>
            </w:pPr>
            <w:r>
              <w:rPr>
                <w:rFonts w:ascii="Times New Roman" w:hAnsi="Times New Roman" w:cs="Times New Roman"/>
                <w:color w:val="auto"/>
                <w:sz w:val="21"/>
                <w:szCs w:val="21"/>
              </w:rPr>
              <w:t>一级保护区水域上边界上溯至犁市长5.3公里的河段，一级保护区水域下边界下溯200米的河段，以及汇入该河段的支流从汇入口上溯1000米的水域范围。</w:t>
            </w:r>
          </w:p>
        </w:tc>
        <w:tc>
          <w:tcPr>
            <w:tcW w:w="2807" w:type="dxa"/>
            <w:shd w:val="clear" w:color="auto" w:fill="auto"/>
            <w:vAlign w:val="center"/>
          </w:tcPr>
          <w:p>
            <w:pPr>
              <w:pStyle w:val="43"/>
              <w:spacing w:before="0" w:beforeLines="0" w:after="0" w:afterLines="0"/>
              <w:ind w:firstLine="0" w:firstLineChars="0"/>
              <w:jc w:val="center"/>
              <w:rPr>
                <w:rFonts w:ascii="Times New Roman" w:hAnsi="Times New Roman" w:cs="Times New Roman"/>
                <w:color w:val="auto"/>
                <w:sz w:val="21"/>
                <w:szCs w:val="21"/>
              </w:rPr>
            </w:pPr>
            <w:r>
              <w:rPr>
                <w:rFonts w:ascii="Times New Roman" w:hAnsi="Times New Roman" w:cs="Times New Roman"/>
                <w:color w:val="auto"/>
                <w:sz w:val="21"/>
                <w:szCs w:val="21"/>
              </w:rPr>
              <w:t>相应二级保护区水域的两岸正常岸线向陆纵深1000米内不超过第一重山山脊线的陆域汇水范围，有防洪堤（含路堤）河段至防洪堤背水面，包括江心岛；十里亭大桥段至靖村河段一级保护区水域的两岸正常岸线向陆纵深1000米内的汇水范围，不包括一级保护区范围和控制线以东的区域（详见备注）。</w:t>
            </w:r>
          </w:p>
        </w:tc>
        <w:tc>
          <w:tcPr>
            <w:tcW w:w="1000" w:type="dxa"/>
            <w:shd w:val="clear" w:color="auto" w:fill="auto"/>
            <w:vAlign w:val="center"/>
          </w:tcPr>
          <w:p>
            <w:pPr>
              <w:jc w:val="center"/>
              <w:rPr>
                <w:rFonts w:eastAsia="宋体" w:cs="Times New Roman"/>
                <w:sz w:val="21"/>
                <w:szCs w:val="21"/>
              </w:rPr>
            </w:pPr>
            <w:r>
              <w:rPr>
                <w:rFonts w:eastAsia="宋体" w:cs="Times New Roman"/>
                <w:sz w:val="21"/>
                <w:szCs w:val="21"/>
              </w:rPr>
              <w:t>9.00</w:t>
            </w:r>
          </w:p>
        </w:tc>
        <w:tc>
          <w:tcPr>
            <w:tcW w:w="950" w:type="dxa"/>
            <w:vAlign w:val="center"/>
          </w:tcPr>
          <w:p>
            <w:pPr>
              <w:jc w:val="center"/>
              <w:rPr>
                <w:rFonts w:eastAsia="宋体" w:cs="Times New Roman"/>
                <w:sz w:val="21"/>
                <w:szCs w:val="21"/>
              </w:rPr>
            </w:pPr>
            <w:r>
              <w:rPr>
                <w:rFonts w:eastAsia="宋体" w:cs="Times New Roman"/>
                <w:sz w:val="21"/>
                <w:szCs w:val="21"/>
              </w:rPr>
              <w:t>二级保护区</w:t>
            </w:r>
          </w:p>
        </w:tc>
        <w:tc>
          <w:tcPr>
            <w:tcW w:w="2104" w:type="dxa"/>
            <w:shd w:val="clear" w:color="auto" w:fill="auto"/>
            <w:vAlign w:val="center"/>
          </w:tcPr>
          <w:p>
            <w:pPr>
              <w:pStyle w:val="43"/>
              <w:spacing w:before="0" w:beforeLines="0" w:after="0" w:afterLines="0"/>
              <w:ind w:firstLine="0" w:firstLineChars="0"/>
              <w:jc w:val="center"/>
              <w:rPr>
                <w:rFonts w:ascii="Times New Roman" w:hAnsi="Times New Roman" w:cs="Times New Roman"/>
                <w:color w:val="auto"/>
                <w:sz w:val="21"/>
                <w:szCs w:val="21"/>
              </w:rPr>
            </w:pPr>
            <w:r>
              <w:rPr>
                <w:rFonts w:ascii="Times New Roman" w:hAnsi="Times New Roman" w:cs="Times New Roman"/>
                <w:color w:val="auto"/>
                <w:sz w:val="21"/>
                <w:szCs w:val="21"/>
              </w:rPr>
              <w:t>一级保护区水域上边界上溯至犁市长5.3公里的河段，一级保护区水域下边界下溯200米的河段，汇入该河段的支流从汇入口上溯1000米</w:t>
            </w:r>
            <w:r>
              <w:rPr>
                <w:rFonts w:ascii="Times New Roman" w:hAnsi="Times New Roman" w:cs="Times New Roman"/>
                <w:b/>
                <w:color w:val="auto"/>
                <w:sz w:val="21"/>
                <w:szCs w:val="21"/>
              </w:rPr>
              <w:t>以及一级保护区支流水域上边界上溯1000米的水域范围</w:t>
            </w:r>
            <w:r>
              <w:rPr>
                <w:rFonts w:ascii="Times New Roman" w:hAnsi="Times New Roman" w:cs="Times New Roman"/>
                <w:color w:val="auto"/>
                <w:sz w:val="21"/>
                <w:szCs w:val="21"/>
              </w:rPr>
              <w:t>。</w:t>
            </w:r>
          </w:p>
        </w:tc>
        <w:tc>
          <w:tcPr>
            <w:tcW w:w="3238" w:type="dxa"/>
            <w:shd w:val="clear" w:color="auto" w:fill="auto"/>
            <w:vAlign w:val="center"/>
          </w:tcPr>
          <w:p>
            <w:pPr>
              <w:pStyle w:val="43"/>
              <w:spacing w:before="0" w:beforeLines="0" w:after="0" w:afterLines="0"/>
              <w:ind w:firstLine="0" w:firstLineChars="0"/>
              <w:jc w:val="center"/>
              <w:rPr>
                <w:rFonts w:ascii="Times New Roman" w:hAnsi="Times New Roman" w:cs="Times New Roman"/>
                <w:b/>
                <w:color w:val="auto"/>
                <w:sz w:val="21"/>
                <w:szCs w:val="21"/>
              </w:rPr>
            </w:pPr>
            <w:r>
              <w:rPr>
                <w:rFonts w:ascii="Times New Roman" w:hAnsi="Times New Roman" w:cs="Times New Roman"/>
                <w:b/>
                <w:color w:val="auto"/>
                <w:sz w:val="21"/>
                <w:szCs w:val="21"/>
              </w:rPr>
              <w:t>靖村至犁市河段二级保护区水域的两岸正常岸线向陆纵深1000米内不超过第一重山山脊线的陆域汇水范围，有防洪堤（含路堤）河段至防洪堤背水面，包括江心岛；十里亭大桥段至靖村河段一级保护区水域的两岸正常岸线向陆纵深1000米内不超过分水岭的陆域汇水范围，不包括一级保护区范围和控制线以东的区域（详见备注）。</w:t>
            </w:r>
          </w:p>
        </w:tc>
        <w:tc>
          <w:tcPr>
            <w:tcW w:w="1000" w:type="dxa"/>
            <w:shd w:val="clear" w:color="auto" w:fill="auto"/>
            <w:vAlign w:val="center"/>
          </w:tcPr>
          <w:p>
            <w:pPr>
              <w:jc w:val="center"/>
              <w:rPr>
                <w:rFonts w:eastAsia="宋体" w:cs="Times New Roman"/>
                <w:sz w:val="21"/>
                <w:szCs w:val="21"/>
              </w:rPr>
            </w:pPr>
            <w:r>
              <w:rPr>
                <w:rFonts w:eastAsia="宋体" w:cs="Times New Roman"/>
                <w:sz w:val="21"/>
                <w:szCs w:val="21"/>
              </w:rPr>
              <w:t>8.30</w:t>
            </w:r>
          </w:p>
        </w:tc>
        <w:tc>
          <w:tcPr>
            <w:tcW w:w="2828" w:type="dxa"/>
            <w:vMerge w:val="continue"/>
            <w:vAlign w:val="center"/>
          </w:tcPr>
          <w:p>
            <w:pPr>
              <w:pStyle w:val="43"/>
              <w:spacing w:before="0" w:beforeLines="0" w:after="0" w:afterLines="0"/>
              <w:ind w:firstLine="0" w:firstLineChars="0"/>
              <w:jc w:val="center"/>
              <w:rPr>
                <w:rFonts w:ascii="Times New Roman" w:hAnsi="Times New Roman" w:cs="Times New Roman"/>
                <w:color w:val="auto"/>
                <w:sz w:val="21"/>
                <w:szCs w:val="21"/>
              </w:rPr>
            </w:pPr>
          </w:p>
        </w:tc>
        <w:tc>
          <w:tcPr>
            <w:tcW w:w="1895" w:type="dxa"/>
            <w:vMerge w:val="continue"/>
            <w:shd w:val="clear" w:color="auto" w:fill="auto"/>
            <w:vAlign w:val="center"/>
          </w:tcPr>
          <w:p>
            <w:pPr>
              <w:jc w:val="center"/>
              <w:rPr>
                <w:rFonts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03" w:type="dxa"/>
            <w:vMerge w:val="continue"/>
            <w:vAlign w:val="center"/>
          </w:tcPr>
          <w:p>
            <w:pPr>
              <w:jc w:val="center"/>
              <w:rPr>
                <w:rFonts w:eastAsia="宋体" w:cs="Times New Roman"/>
                <w:b/>
                <w:sz w:val="21"/>
                <w:szCs w:val="21"/>
              </w:rPr>
            </w:pPr>
          </w:p>
        </w:tc>
        <w:tc>
          <w:tcPr>
            <w:tcW w:w="503" w:type="dxa"/>
            <w:vMerge w:val="continue"/>
            <w:shd w:val="clear" w:color="auto" w:fill="auto"/>
            <w:vAlign w:val="center"/>
          </w:tcPr>
          <w:p>
            <w:pPr>
              <w:jc w:val="center"/>
              <w:rPr>
                <w:rFonts w:eastAsia="宋体" w:cs="Times New Roman"/>
                <w:b/>
                <w:sz w:val="21"/>
                <w:szCs w:val="21"/>
              </w:rPr>
            </w:pPr>
          </w:p>
        </w:tc>
        <w:tc>
          <w:tcPr>
            <w:tcW w:w="616" w:type="dxa"/>
            <w:vMerge w:val="continue"/>
            <w:shd w:val="clear" w:color="auto" w:fill="auto"/>
            <w:vAlign w:val="center"/>
          </w:tcPr>
          <w:p>
            <w:pPr>
              <w:jc w:val="center"/>
              <w:rPr>
                <w:rFonts w:eastAsia="宋体" w:cs="Times New Roman"/>
                <w:b/>
                <w:sz w:val="21"/>
                <w:szCs w:val="21"/>
              </w:rPr>
            </w:pPr>
          </w:p>
        </w:tc>
        <w:tc>
          <w:tcPr>
            <w:tcW w:w="662" w:type="dxa"/>
            <w:vAlign w:val="center"/>
          </w:tcPr>
          <w:p>
            <w:pPr>
              <w:jc w:val="center"/>
              <w:rPr>
                <w:rFonts w:eastAsia="宋体" w:cs="Times New Roman"/>
                <w:sz w:val="21"/>
                <w:szCs w:val="21"/>
              </w:rPr>
            </w:pPr>
            <w:r>
              <w:rPr>
                <w:rFonts w:eastAsia="宋体" w:cs="Times New Roman"/>
                <w:sz w:val="21"/>
                <w:szCs w:val="21"/>
              </w:rPr>
              <w:t>Ⅲ类</w:t>
            </w:r>
          </w:p>
        </w:tc>
        <w:tc>
          <w:tcPr>
            <w:tcW w:w="833" w:type="dxa"/>
            <w:shd w:val="clear" w:color="auto" w:fill="auto"/>
            <w:vAlign w:val="center"/>
          </w:tcPr>
          <w:p>
            <w:pPr>
              <w:jc w:val="center"/>
              <w:rPr>
                <w:rFonts w:eastAsia="宋体" w:cs="Times New Roman"/>
                <w:sz w:val="21"/>
                <w:szCs w:val="21"/>
              </w:rPr>
            </w:pPr>
            <w:r>
              <w:rPr>
                <w:rFonts w:eastAsia="宋体" w:cs="Times New Roman"/>
                <w:sz w:val="21"/>
                <w:szCs w:val="21"/>
              </w:rPr>
              <w:t>准保护区</w:t>
            </w:r>
          </w:p>
        </w:tc>
        <w:tc>
          <w:tcPr>
            <w:tcW w:w="1979" w:type="dxa"/>
            <w:shd w:val="clear" w:color="auto" w:fill="auto"/>
            <w:vAlign w:val="center"/>
          </w:tcPr>
          <w:p>
            <w:pPr>
              <w:pStyle w:val="43"/>
              <w:spacing w:before="0" w:beforeLines="0" w:after="0" w:afterLines="0"/>
              <w:ind w:firstLine="0" w:firstLineChars="0"/>
              <w:jc w:val="center"/>
              <w:rPr>
                <w:rFonts w:ascii="Times New Roman" w:hAnsi="Times New Roman" w:cs="Times New Roman"/>
                <w:color w:val="auto"/>
                <w:sz w:val="21"/>
                <w:szCs w:val="21"/>
              </w:rPr>
            </w:pPr>
            <w:r>
              <w:rPr>
                <w:rFonts w:ascii="Times New Roman" w:hAnsi="Times New Roman" w:cs="Times New Roman"/>
                <w:color w:val="auto"/>
                <w:sz w:val="21"/>
                <w:szCs w:val="21"/>
              </w:rPr>
              <w:t>二级保护区上边界上溯至乐昌长43公里的河段，以及汇入该河段的支流从汇入口上溯1000米的水域范围。</w:t>
            </w:r>
          </w:p>
        </w:tc>
        <w:tc>
          <w:tcPr>
            <w:tcW w:w="2807" w:type="dxa"/>
            <w:shd w:val="clear" w:color="auto" w:fill="auto"/>
            <w:vAlign w:val="center"/>
          </w:tcPr>
          <w:p>
            <w:pPr>
              <w:pStyle w:val="43"/>
              <w:spacing w:before="0" w:beforeLines="0" w:after="0" w:afterLines="0"/>
              <w:ind w:firstLine="0" w:firstLineChars="0"/>
              <w:jc w:val="center"/>
              <w:rPr>
                <w:rFonts w:ascii="Times New Roman" w:hAnsi="Times New Roman" w:cs="Times New Roman"/>
                <w:color w:val="auto"/>
                <w:sz w:val="21"/>
                <w:szCs w:val="21"/>
              </w:rPr>
            </w:pPr>
            <w:r>
              <w:rPr>
                <w:rFonts w:ascii="Times New Roman" w:hAnsi="Times New Roman" w:cs="Times New Roman"/>
                <w:color w:val="auto"/>
                <w:sz w:val="21"/>
                <w:szCs w:val="21"/>
              </w:rPr>
              <w:t>相应准保护区水域的两岸正常岸线向陆纵深500米不超过第一重山山脊线的陆域集雨范围，包括江心岛。</w:t>
            </w:r>
          </w:p>
        </w:tc>
        <w:tc>
          <w:tcPr>
            <w:tcW w:w="1000" w:type="dxa"/>
            <w:shd w:val="clear" w:color="auto" w:fill="auto"/>
            <w:vAlign w:val="center"/>
          </w:tcPr>
          <w:p>
            <w:pPr>
              <w:jc w:val="center"/>
              <w:rPr>
                <w:rFonts w:eastAsia="宋体" w:cs="Times New Roman"/>
                <w:sz w:val="21"/>
                <w:szCs w:val="21"/>
              </w:rPr>
            </w:pPr>
            <w:r>
              <w:rPr>
                <w:rFonts w:eastAsia="宋体" w:cs="Times New Roman"/>
                <w:sz w:val="21"/>
                <w:szCs w:val="21"/>
              </w:rPr>
              <w:t>66.95</w:t>
            </w:r>
          </w:p>
        </w:tc>
        <w:tc>
          <w:tcPr>
            <w:tcW w:w="950" w:type="dxa"/>
            <w:vAlign w:val="center"/>
          </w:tcPr>
          <w:p>
            <w:pPr>
              <w:jc w:val="center"/>
              <w:rPr>
                <w:rFonts w:eastAsia="宋体" w:cs="Times New Roman"/>
                <w:sz w:val="21"/>
                <w:szCs w:val="21"/>
              </w:rPr>
            </w:pPr>
            <w:r>
              <w:rPr>
                <w:rFonts w:eastAsia="宋体" w:cs="Times New Roman"/>
                <w:sz w:val="21"/>
                <w:szCs w:val="21"/>
              </w:rPr>
              <w:t>准保护区</w:t>
            </w:r>
          </w:p>
        </w:tc>
        <w:tc>
          <w:tcPr>
            <w:tcW w:w="2104" w:type="dxa"/>
            <w:shd w:val="clear" w:color="auto" w:fill="auto"/>
            <w:vAlign w:val="center"/>
          </w:tcPr>
          <w:p>
            <w:pPr>
              <w:pStyle w:val="43"/>
              <w:spacing w:before="0" w:beforeLines="0" w:after="0" w:afterLines="0"/>
              <w:ind w:firstLine="0" w:firstLineChars="0"/>
              <w:jc w:val="center"/>
              <w:rPr>
                <w:rFonts w:ascii="Times New Roman" w:hAnsi="Times New Roman" w:cs="Times New Roman"/>
                <w:b/>
                <w:color w:val="auto"/>
                <w:sz w:val="21"/>
                <w:szCs w:val="21"/>
              </w:rPr>
            </w:pPr>
            <w:r>
              <w:rPr>
                <w:rFonts w:ascii="Times New Roman" w:hAnsi="Times New Roman" w:cs="Times New Roman"/>
                <w:b/>
                <w:color w:val="auto"/>
                <w:sz w:val="21"/>
                <w:szCs w:val="21"/>
              </w:rPr>
              <w:t>二级保护区水域上边界上溯至塘头水电站长15.4公里河段的水域范围。</w:t>
            </w:r>
          </w:p>
        </w:tc>
        <w:tc>
          <w:tcPr>
            <w:tcW w:w="3238" w:type="dxa"/>
            <w:shd w:val="clear" w:color="auto" w:fill="auto"/>
            <w:vAlign w:val="center"/>
          </w:tcPr>
          <w:p>
            <w:pPr>
              <w:pStyle w:val="43"/>
              <w:spacing w:before="0" w:beforeLines="0" w:after="0" w:afterLines="0"/>
              <w:ind w:firstLine="0" w:firstLineChars="0"/>
              <w:jc w:val="center"/>
              <w:rPr>
                <w:rFonts w:ascii="Times New Roman" w:hAnsi="Times New Roman" w:cs="Times New Roman"/>
                <w:color w:val="auto"/>
                <w:sz w:val="21"/>
                <w:szCs w:val="21"/>
              </w:rPr>
            </w:pPr>
            <w:r>
              <w:rPr>
                <w:rFonts w:ascii="Times New Roman" w:hAnsi="Times New Roman" w:cs="Times New Roman"/>
                <w:color w:val="auto"/>
                <w:sz w:val="21"/>
                <w:szCs w:val="21"/>
              </w:rPr>
              <w:t>相应准保护区水域的两岸正常岸线向陆纵深500米不超过第一重山山脊线的陆域集雨范围，包括江心岛。</w:t>
            </w:r>
          </w:p>
        </w:tc>
        <w:tc>
          <w:tcPr>
            <w:tcW w:w="1000" w:type="dxa"/>
            <w:shd w:val="clear" w:color="auto" w:fill="auto"/>
            <w:vAlign w:val="center"/>
          </w:tcPr>
          <w:p>
            <w:pPr>
              <w:jc w:val="center"/>
              <w:rPr>
                <w:rFonts w:eastAsia="宋体" w:cs="Times New Roman"/>
                <w:sz w:val="21"/>
                <w:szCs w:val="21"/>
              </w:rPr>
            </w:pPr>
            <w:r>
              <w:rPr>
                <w:rFonts w:eastAsia="宋体" w:cs="Times New Roman"/>
                <w:sz w:val="21"/>
                <w:szCs w:val="21"/>
              </w:rPr>
              <w:t>20.28</w:t>
            </w:r>
          </w:p>
        </w:tc>
        <w:tc>
          <w:tcPr>
            <w:tcW w:w="2828" w:type="dxa"/>
            <w:vMerge w:val="continue"/>
            <w:vAlign w:val="center"/>
          </w:tcPr>
          <w:p>
            <w:pPr>
              <w:pStyle w:val="43"/>
              <w:spacing w:before="0" w:beforeLines="0" w:after="0" w:afterLines="0"/>
              <w:ind w:firstLine="0" w:firstLineChars="0"/>
              <w:jc w:val="center"/>
              <w:rPr>
                <w:rFonts w:ascii="Times New Roman" w:hAnsi="Times New Roman" w:cs="Times New Roman"/>
                <w:color w:val="auto"/>
                <w:sz w:val="21"/>
                <w:szCs w:val="21"/>
              </w:rPr>
            </w:pPr>
          </w:p>
        </w:tc>
        <w:tc>
          <w:tcPr>
            <w:tcW w:w="1895" w:type="dxa"/>
            <w:vMerge w:val="continue"/>
            <w:shd w:val="clear" w:color="auto" w:fill="auto"/>
            <w:vAlign w:val="center"/>
          </w:tcPr>
          <w:p>
            <w:pPr>
              <w:jc w:val="center"/>
              <w:rPr>
                <w:rFonts w:eastAsia="宋体" w:cs="Times New Roman"/>
                <w:sz w:val="21"/>
                <w:szCs w:val="21"/>
              </w:rPr>
            </w:pPr>
          </w:p>
        </w:tc>
      </w:tr>
    </w:tbl>
    <w:p>
      <w:pPr>
        <w:pStyle w:val="2"/>
        <w:ind w:left="560"/>
        <w:rPr>
          <w:highlight w:val="yellow"/>
        </w:rPr>
        <w:sectPr>
          <w:pgSz w:w="23808" w:h="16840" w:orient="landscape"/>
          <w:pgMar w:top="1797" w:right="1440" w:bottom="1797" w:left="1440" w:header="851" w:footer="992" w:gutter="0"/>
          <w:pgNumType w:fmt="numberInDash"/>
          <w:cols w:space="425" w:num="1"/>
          <w:titlePg/>
          <w:docGrid w:type="linesAndChars" w:linePitch="381" w:charSpace="0"/>
        </w:sectPr>
      </w:pPr>
    </w:p>
    <w:p>
      <w:pPr>
        <w:jc w:val="center"/>
      </w:pPr>
      <w:r>
        <w:drawing>
          <wp:inline distT="0" distB="0" distL="0" distR="0">
            <wp:extent cx="11697335" cy="7907655"/>
            <wp:effectExtent l="0" t="0" r="0" b="0"/>
            <wp:docPr id="201" name="图片 201" descr="C:\Users\lx\AppData\Local\Temp\360zip$Temp\360$2\武江水源保护区范围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C:\Users\lx\AppData\Local\Temp\360zip$Temp\360$2\武江水源保护区范围图.jpg"/>
                    <pic:cNvPicPr>
                      <a:picLocks noChangeAspect="1" noChangeArrowheads="1"/>
                    </pic:cNvPicPr>
                  </pic:nvPicPr>
                  <pic:blipFill>
                    <a:blip r:embed="rId12" cstate="print">
                      <a:extLst>
                        <a:ext uri="{28A0092B-C50C-407E-A947-70E740481C1C}">
                          <a14:useLocalDpi xmlns:a14="http://schemas.microsoft.com/office/drawing/2010/main" val="0"/>
                        </a:ext>
                      </a:extLst>
                    </a:blip>
                    <a:srcRect t="4679" r="206"/>
                    <a:stretch>
                      <a:fillRect/>
                    </a:stretch>
                  </pic:blipFill>
                  <pic:spPr>
                    <a:xfrm>
                      <a:off x="0" y="0"/>
                      <a:ext cx="11701474" cy="7910713"/>
                    </a:xfrm>
                    <a:prstGeom prst="rect">
                      <a:avLst/>
                    </a:prstGeom>
                    <a:noFill/>
                    <a:ln>
                      <a:noFill/>
                    </a:ln>
                  </pic:spPr>
                </pic:pic>
              </a:graphicData>
            </a:graphic>
          </wp:inline>
        </w:drawing>
      </w:r>
      <w:bookmarkStart w:id="2" w:name="_GoBack"/>
      <w:bookmarkEnd w:id="2"/>
    </w:p>
    <w:p>
      <w:pPr>
        <w:pStyle w:val="2"/>
        <w:ind w:left="560"/>
        <w:jc w:val="center"/>
        <w:outlineLvl w:val="0"/>
      </w:pPr>
      <w:r>
        <w:rPr>
          <w:rFonts w:hint="eastAsia"/>
          <w:b/>
          <w:sz w:val="24"/>
        </w:rPr>
        <w:t>附图1</w:t>
      </w:r>
      <w:r>
        <w:rPr>
          <w:b/>
          <w:sz w:val="24"/>
        </w:rPr>
        <w:t xml:space="preserve"> </w:t>
      </w:r>
      <w:r>
        <w:rPr>
          <w:rFonts w:hint="eastAsia"/>
          <w:b/>
          <w:sz w:val="24"/>
        </w:rPr>
        <w:t>调整前保护区划分范围图</w:t>
      </w:r>
    </w:p>
    <w:p>
      <w:pPr>
        <w:jc w:val="center"/>
        <w:rPr>
          <w:highlight w:val="yellow"/>
        </w:rPr>
        <w:sectPr>
          <w:footerReference r:id="rId8" w:type="first"/>
          <w:pgSz w:w="23808" w:h="16840" w:orient="landscape"/>
          <w:pgMar w:top="1418" w:right="1418" w:bottom="1418" w:left="1418" w:header="851" w:footer="992" w:gutter="0"/>
          <w:cols w:space="425" w:num="1"/>
          <w:titlePg/>
          <w:docGrid w:type="lines" w:linePitch="381" w:charSpace="0"/>
        </w:sectPr>
      </w:pPr>
    </w:p>
    <w:p>
      <w:pPr>
        <w:jc w:val="center"/>
      </w:pPr>
      <w:r>
        <w:rPr>
          <w:rFonts w:cs="Times New Roman"/>
        </w:rPr>
        <w:drawing>
          <wp:inline distT="0" distB="0" distL="0" distR="0">
            <wp:extent cx="11356975" cy="7734300"/>
            <wp:effectExtent l="0" t="0" r="0" b="0"/>
            <wp:docPr id="5" name="图片 5" descr="D:\360MoveData\Users\lx\Desktop\武江水源保护区调整推荐方案范围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360MoveData\Users\lx\Desktop\武江水源保护区调整推荐方案范围图.jpg"/>
                    <pic:cNvPicPr>
                      <a:picLocks noChangeAspect="1" noChangeArrowheads="1"/>
                    </pic:cNvPicPr>
                  </pic:nvPicPr>
                  <pic:blipFill>
                    <a:blip r:embed="rId13" cstate="print">
                      <a:extLst>
                        <a:ext uri="{28A0092B-C50C-407E-A947-70E740481C1C}">
                          <a14:useLocalDpi xmlns:a14="http://schemas.microsoft.com/office/drawing/2010/main" val="0"/>
                        </a:ext>
                      </a:extLst>
                    </a:blip>
                    <a:srcRect t="4767" r="1123"/>
                    <a:stretch>
                      <a:fillRect/>
                    </a:stretch>
                  </pic:blipFill>
                  <pic:spPr>
                    <a:xfrm>
                      <a:off x="0" y="0"/>
                      <a:ext cx="11358368" cy="7735123"/>
                    </a:xfrm>
                    <a:prstGeom prst="rect">
                      <a:avLst/>
                    </a:prstGeom>
                    <a:noFill/>
                    <a:ln>
                      <a:noFill/>
                    </a:ln>
                  </pic:spPr>
                </pic:pic>
              </a:graphicData>
            </a:graphic>
          </wp:inline>
        </w:drawing>
      </w:r>
    </w:p>
    <w:p>
      <w:pPr>
        <w:jc w:val="center"/>
        <w:outlineLvl w:val="0"/>
        <w:rPr>
          <w:b/>
          <w:sz w:val="24"/>
        </w:rPr>
      </w:pPr>
      <w:r>
        <w:rPr>
          <w:rFonts w:hint="eastAsia"/>
          <w:b/>
          <w:sz w:val="24"/>
        </w:rPr>
        <w:t>附图2</w:t>
      </w:r>
      <w:r>
        <w:rPr>
          <w:b/>
          <w:sz w:val="24"/>
        </w:rPr>
        <w:t xml:space="preserve"> </w:t>
      </w:r>
      <w:r>
        <w:rPr>
          <w:rFonts w:hint="eastAsia"/>
          <w:b/>
          <w:sz w:val="24"/>
        </w:rPr>
        <w:t>本次调整后保护区划分范围图</w:t>
      </w:r>
    </w:p>
    <w:p>
      <w:pPr>
        <w:jc w:val="center"/>
        <w:rPr>
          <w:b/>
          <w:sz w:val="24"/>
          <w:highlight w:val="yellow"/>
        </w:rPr>
        <w:sectPr>
          <w:footerReference r:id="rId9" w:type="first"/>
          <w:pgSz w:w="23811" w:h="16838" w:orient="landscape"/>
          <w:pgMar w:top="1418" w:right="1418" w:bottom="1418" w:left="1418" w:header="851" w:footer="992" w:gutter="0"/>
          <w:cols w:space="425" w:num="1"/>
          <w:titlePg/>
          <w:docGrid w:type="lines" w:linePitch="381" w:charSpace="0"/>
        </w:sectPr>
      </w:pPr>
    </w:p>
    <w:p>
      <w:pPr>
        <w:jc w:val="center"/>
        <w:rPr>
          <w:b/>
          <w:sz w:val="24"/>
        </w:rPr>
      </w:pPr>
      <w:r>
        <w:rPr>
          <w:b/>
          <w:sz w:val="24"/>
        </w:rPr>
        <w:drawing>
          <wp:inline distT="0" distB="0" distL="0" distR="0">
            <wp:extent cx="11696700" cy="7887970"/>
            <wp:effectExtent l="0" t="0" r="0" b="0"/>
            <wp:docPr id="2" name="图片 2" descr="D:\韶科项目-c\项目资料\2017年项目-至今\14-资金申报\202106饮用水源地资金申报\机场高速调整\图件\推荐方案\武江水源保护区调整推荐方案局部放大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韶科项目-c\项目资料\2017年项目-至今\14-资金申报\202106饮用水源地资金申报\机场高速调整\图件\推荐方案\武江水源保护区调整推荐方案局部放大图1.jpg"/>
                    <pic:cNvPicPr>
                      <a:picLocks noChangeAspect="1" noChangeArrowheads="1"/>
                    </pic:cNvPicPr>
                  </pic:nvPicPr>
                  <pic:blipFill>
                    <a:blip r:embed="rId14">
                      <a:extLst>
                        <a:ext uri="{28A0092B-C50C-407E-A947-70E740481C1C}">
                          <a14:useLocalDpi xmlns:a14="http://schemas.microsoft.com/office/drawing/2010/main" val="0"/>
                        </a:ext>
                      </a:extLst>
                    </a:blip>
                    <a:srcRect l="1" t="4690" r="-4"/>
                    <a:stretch>
                      <a:fillRect/>
                    </a:stretch>
                  </pic:blipFill>
                  <pic:spPr>
                    <a:xfrm>
                      <a:off x="0" y="0"/>
                      <a:ext cx="11699409" cy="7890229"/>
                    </a:xfrm>
                    <a:prstGeom prst="rect">
                      <a:avLst/>
                    </a:prstGeom>
                    <a:noFill/>
                    <a:ln>
                      <a:noFill/>
                    </a:ln>
                  </pic:spPr>
                </pic:pic>
              </a:graphicData>
            </a:graphic>
          </wp:inline>
        </w:drawing>
      </w:r>
    </w:p>
    <w:p>
      <w:pPr>
        <w:jc w:val="center"/>
        <w:outlineLvl w:val="0"/>
        <w:rPr>
          <w:b/>
          <w:sz w:val="24"/>
        </w:rPr>
      </w:pPr>
      <w:r>
        <w:rPr>
          <w:rFonts w:hint="eastAsia"/>
          <w:b/>
          <w:sz w:val="24"/>
        </w:rPr>
        <w:t>附图</w:t>
      </w:r>
      <w:r>
        <w:rPr>
          <w:b/>
          <w:sz w:val="24"/>
        </w:rPr>
        <w:t xml:space="preserve">3 </w:t>
      </w:r>
      <w:r>
        <w:rPr>
          <w:rFonts w:hint="eastAsia"/>
          <w:b/>
          <w:sz w:val="24"/>
        </w:rPr>
        <w:t>本次调整后保护区划分范围局部放大图</w:t>
      </w:r>
    </w:p>
    <w:p>
      <w:pPr>
        <w:jc w:val="center"/>
        <w:rPr>
          <w:b/>
          <w:sz w:val="24"/>
        </w:rPr>
      </w:pPr>
      <w:r>
        <w:rPr>
          <w:b/>
          <w:sz w:val="24"/>
        </w:rPr>
        <w:drawing>
          <wp:inline distT="0" distB="0" distL="0" distR="0">
            <wp:extent cx="11774805" cy="7947660"/>
            <wp:effectExtent l="0" t="0" r="0" b="0"/>
            <wp:docPr id="3" name="图片 3" descr="D:\韶科项目-c\项目资料\2017年项目-至今\14-资金申报\202106饮用水源地资金申报\机场高速调整\图件\推荐方案\武江水源保护区调整推荐方案局部放大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韶科项目-c\项目资料\2017年项目-至今\14-资金申报\202106饮用水源地资金申报\机场高速调整\图件\推荐方案\武江水源保护区调整推荐方案局部放大图2.jpg"/>
                    <pic:cNvPicPr>
                      <a:picLocks noChangeAspect="1" noChangeArrowheads="1"/>
                    </pic:cNvPicPr>
                  </pic:nvPicPr>
                  <pic:blipFill>
                    <a:blip r:embed="rId15">
                      <a:extLst>
                        <a:ext uri="{28A0092B-C50C-407E-A947-70E740481C1C}">
                          <a14:useLocalDpi xmlns:a14="http://schemas.microsoft.com/office/drawing/2010/main" val="0"/>
                        </a:ext>
                      </a:extLst>
                    </a:blip>
                    <a:srcRect t="4854" r="251"/>
                    <a:stretch>
                      <a:fillRect/>
                    </a:stretch>
                  </pic:blipFill>
                  <pic:spPr>
                    <a:xfrm>
                      <a:off x="0" y="0"/>
                      <a:ext cx="11779656" cy="7950921"/>
                    </a:xfrm>
                    <a:prstGeom prst="rect">
                      <a:avLst/>
                    </a:prstGeom>
                    <a:noFill/>
                    <a:ln>
                      <a:noFill/>
                    </a:ln>
                  </pic:spPr>
                </pic:pic>
              </a:graphicData>
            </a:graphic>
          </wp:inline>
        </w:drawing>
      </w:r>
    </w:p>
    <w:p>
      <w:pPr>
        <w:jc w:val="center"/>
        <w:outlineLvl w:val="0"/>
        <w:rPr>
          <w:b/>
          <w:sz w:val="24"/>
        </w:rPr>
      </w:pPr>
      <w:r>
        <w:rPr>
          <w:rFonts w:hint="eastAsia"/>
          <w:b/>
          <w:sz w:val="24"/>
        </w:rPr>
        <w:t>附图</w:t>
      </w:r>
      <w:r>
        <w:rPr>
          <w:b/>
          <w:sz w:val="24"/>
        </w:rPr>
        <w:t xml:space="preserve">4 </w:t>
      </w:r>
      <w:r>
        <w:rPr>
          <w:rFonts w:hint="eastAsia"/>
          <w:b/>
          <w:sz w:val="24"/>
        </w:rPr>
        <w:t>本次调整后保护区划分范围局部放大图</w:t>
      </w:r>
    </w:p>
    <w:p>
      <w:pPr>
        <w:pStyle w:val="2"/>
        <w:ind w:left="560"/>
        <w:jc w:val="center"/>
      </w:pPr>
      <w:r>
        <w:drawing>
          <wp:inline distT="0" distB="0" distL="0" distR="0">
            <wp:extent cx="11576050" cy="7823835"/>
            <wp:effectExtent l="0" t="0" r="6350" b="5715"/>
            <wp:docPr id="4" name="图片 4" descr="D:\韶科项目-c\项目资料\2017年项目-至今\14-资金申报\202106饮用水源地资金申报\机场高速调整\图件\推荐方案\武江水源保护区调整推荐方案局部放大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韶科项目-c\项目资料\2017年项目-至今\14-资金申报\202106饮用水源地资金申报\机场高速调整\图件\推荐方案\武江水源保护区调整推荐方案局部放大图3.jpg"/>
                    <pic:cNvPicPr>
                      <a:picLocks noChangeAspect="1" noChangeArrowheads="1"/>
                    </pic:cNvPicPr>
                  </pic:nvPicPr>
                  <pic:blipFill>
                    <a:blip r:embed="rId16">
                      <a:extLst>
                        <a:ext uri="{28A0092B-C50C-407E-A947-70E740481C1C}">
                          <a14:useLocalDpi xmlns:a14="http://schemas.microsoft.com/office/drawing/2010/main" val="0"/>
                        </a:ext>
                      </a:extLst>
                    </a:blip>
                    <a:srcRect t="4927" r="458"/>
                    <a:stretch>
                      <a:fillRect/>
                    </a:stretch>
                  </pic:blipFill>
                  <pic:spPr>
                    <a:xfrm>
                      <a:off x="0" y="0"/>
                      <a:ext cx="11579721" cy="7826235"/>
                    </a:xfrm>
                    <a:prstGeom prst="rect">
                      <a:avLst/>
                    </a:prstGeom>
                    <a:noFill/>
                    <a:ln>
                      <a:noFill/>
                    </a:ln>
                  </pic:spPr>
                </pic:pic>
              </a:graphicData>
            </a:graphic>
          </wp:inline>
        </w:drawing>
      </w:r>
    </w:p>
    <w:p>
      <w:pPr>
        <w:jc w:val="center"/>
        <w:outlineLvl w:val="0"/>
        <w:rPr>
          <w:b/>
          <w:sz w:val="24"/>
        </w:rPr>
      </w:pPr>
      <w:r>
        <w:rPr>
          <w:rFonts w:hint="eastAsia"/>
          <w:b/>
          <w:sz w:val="24"/>
        </w:rPr>
        <w:t>附图</w:t>
      </w:r>
      <w:r>
        <w:rPr>
          <w:b/>
          <w:sz w:val="24"/>
        </w:rPr>
        <w:t xml:space="preserve">5 </w:t>
      </w:r>
      <w:r>
        <w:rPr>
          <w:rFonts w:hint="eastAsia"/>
          <w:b/>
          <w:sz w:val="24"/>
        </w:rPr>
        <w:t>本次调整后保护区划分范围局部放大图</w:t>
      </w:r>
    </w:p>
    <w:sectPr>
      <w:footerReference r:id="rId10" w:type="first"/>
      <w:pgSz w:w="23811" w:h="16838" w:orient="landscape"/>
      <w:pgMar w:top="1418" w:right="1440" w:bottom="1418" w:left="1440" w:header="851" w:footer="992" w:gutter="0"/>
      <w:cols w:space="425" w:num="1"/>
      <w:titlePg/>
      <w:docGrid w:type="lines" w:linePitch="381"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Calibri Light">
    <w:altName w:val="Calibri"/>
    <w:panose1 w:val="020F0302020204030204"/>
    <w:charset w:val="00"/>
    <w:family w:val="swiss"/>
    <w:pitch w:val="default"/>
    <w:sig w:usb0="00000000" w:usb1="00000000" w:usb2="00000009" w:usb3="00000000" w:csb0="000001FF" w:csb1="00000000"/>
  </w:font>
  <w:font w:name="方正小标宋简体">
    <w:panose1 w:val="03000509000000000000"/>
    <w:charset w:val="86"/>
    <w:family w:val="script"/>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267612133"/>
    </w:sdtPr>
    <w:sdtEndPr>
      <w:rPr>
        <w:sz w:val="24"/>
        <w:szCs w:val="24"/>
      </w:rPr>
    </w:sdtEndPr>
    <w:sdtContent>
      <w:p>
        <w:pPr>
          <w:pStyle w:val="17"/>
          <w:jc w:val="center"/>
          <w:rPr>
            <w:sz w:val="24"/>
            <w:szCs w:val="24"/>
          </w:rPr>
        </w:pPr>
        <w:r>
          <w:rPr>
            <w:sz w:val="24"/>
            <w:szCs w:val="24"/>
          </w:rPr>
          <w:fldChar w:fldCharType="begin"/>
        </w:r>
        <w:r>
          <w:rPr>
            <w:sz w:val="24"/>
            <w:szCs w:val="24"/>
          </w:rPr>
          <w:instrText xml:space="preserve">PAGE   \* MERGEFORMAT</w:instrText>
        </w:r>
        <w:r>
          <w:rPr>
            <w:sz w:val="24"/>
            <w:szCs w:val="24"/>
          </w:rPr>
          <w:fldChar w:fldCharType="separate"/>
        </w:r>
        <w:r>
          <w:rPr>
            <w:sz w:val="24"/>
            <w:szCs w:val="24"/>
            <w:lang w:val="zh-CN"/>
          </w:rPr>
          <w:t>15</w:t>
        </w:r>
        <w:r>
          <w:rPr>
            <w:sz w:val="24"/>
            <w:szCs w:val="24"/>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591120295"/>
      <w:showingPlcHdr/>
    </w:sdtPr>
    <w:sdtEndPr>
      <w:rPr>
        <w:sz w:val="24"/>
        <w:szCs w:val="24"/>
      </w:rPr>
    </w:sdtEndPr>
    <w:sdtContent>
      <w:p>
        <w:pPr>
          <w:pStyle w:val="17"/>
          <w:jc w:val="center"/>
          <w:rPr>
            <w:sz w:val="24"/>
            <w:szCs w:val="24"/>
          </w:rPr>
        </w:pPr>
      </w:p>
    </w:sdtContent>
  </w:sdt>
  <w:p>
    <w:pPr>
      <w:pStyle w:val="1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78139307"/>
    </w:sdtPr>
    <w:sdtEndPr>
      <w:rPr>
        <w:sz w:val="24"/>
        <w:szCs w:val="24"/>
      </w:rPr>
    </w:sdtEndPr>
    <w:sdtContent>
      <w:p>
        <w:pPr>
          <w:pStyle w:val="17"/>
          <w:jc w:val="center"/>
          <w:rPr>
            <w:sz w:val="24"/>
            <w:szCs w:val="24"/>
          </w:rPr>
        </w:pPr>
        <w:r>
          <w:rPr>
            <w:sz w:val="24"/>
            <w:szCs w:val="24"/>
          </w:rPr>
          <w:fldChar w:fldCharType="begin"/>
        </w:r>
        <w:r>
          <w:rPr>
            <w:sz w:val="24"/>
            <w:szCs w:val="24"/>
          </w:rPr>
          <w:instrText xml:space="preserve">PAGE   \* MERGEFORMAT</w:instrText>
        </w:r>
        <w:r>
          <w:rPr>
            <w:sz w:val="24"/>
            <w:szCs w:val="24"/>
          </w:rPr>
          <w:fldChar w:fldCharType="separate"/>
        </w:r>
        <w:r>
          <w:rPr>
            <w:sz w:val="24"/>
            <w:szCs w:val="24"/>
            <w:lang w:val="zh-CN"/>
          </w:rPr>
          <w:t>-</w:t>
        </w:r>
        <w:r>
          <w:rPr>
            <w:sz w:val="24"/>
            <w:szCs w:val="24"/>
          </w:rPr>
          <w:t xml:space="preserve"> 10 -</w:t>
        </w:r>
        <w:r>
          <w:rPr>
            <w:sz w:val="24"/>
            <w:szCs w:val="24"/>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616748317"/>
    </w:sdtPr>
    <w:sdtEndPr>
      <w:rPr>
        <w:sz w:val="24"/>
        <w:szCs w:val="24"/>
      </w:rPr>
    </w:sdtEndPr>
    <w:sdtContent>
      <w:p>
        <w:pPr>
          <w:pStyle w:val="17"/>
          <w:jc w:val="center"/>
          <w:rPr>
            <w:sz w:val="24"/>
            <w:szCs w:val="24"/>
          </w:rPr>
        </w:pPr>
        <w:r>
          <w:rPr>
            <w:sz w:val="24"/>
            <w:szCs w:val="24"/>
          </w:rPr>
          <w:t xml:space="preserve">- </w:t>
        </w:r>
        <w:r>
          <w:rPr>
            <w:rFonts w:hint="eastAsia"/>
            <w:sz w:val="24"/>
            <w:szCs w:val="24"/>
          </w:rPr>
          <w:t>9</w:t>
        </w:r>
        <w:r>
          <w:rPr>
            <w:sz w:val="24"/>
            <w:szCs w:val="24"/>
          </w:rPr>
          <w:t xml:space="preserve"> -</w:t>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6176961"/>
    </w:sdtPr>
    <w:sdtEndPr>
      <w:rPr>
        <w:sz w:val="24"/>
        <w:szCs w:val="24"/>
      </w:rPr>
    </w:sdtEndPr>
    <w:sdtContent>
      <w:p>
        <w:pPr>
          <w:pStyle w:val="17"/>
          <w:jc w:val="center"/>
          <w:rPr>
            <w:sz w:val="24"/>
            <w:szCs w:val="24"/>
          </w:rPr>
        </w:pPr>
        <w:r>
          <w:rPr>
            <w:sz w:val="24"/>
            <w:szCs w:val="24"/>
          </w:rPr>
          <w:t xml:space="preserve">- </w:t>
        </w:r>
        <w:r>
          <w:rPr>
            <w:rFonts w:hint="eastAsia"/>
            <w:sz w:val="24"/>
            <w:szCs w:val="24"/>
          </w:rPr>
          <w:t>10</w:t>
        </w:r>
        <w:r>
          <w:rPr>
            <w:sz w:val="24"/>
            <w:szCs w:val="24"/>
          </w:rPr>
          <w:t xml:space="preserve"> -</w:t>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98752592"/>
    </w:sdtPr>
    <w:sdtEndPr>
      <w:rPr>
        <w:sz w:val="24"/>
        <w:szCs w:val="24"/>
      </w:rPr>
    </w:sdtEndPr>
    <w:sdtContent>
      <w:p>
        <w:pPr>
          <w:pStyle w:val="17"/>
          <w:jc w:val="center"/>
          <w:rPr>
            <w:sz w:val="24"/>
            <w:szCs w:val="24"/>
          </w:rPr>
        </w:pPr>
        <w:r>
          <w:rPr>
            <w:sz w:val="24"/>
            <w:szCs w:val="24"/>
          </w:rPr>
          <w:t xml:space="preserve">- </w:t>
        </w:r>
        <w:r>
          <w:rPr>
            <w:rFonts w:hint="eastAsia"/>
            <w:sz w:val="24"/>
            <w:szCs w:val="24"/>
          </w:rPr>
          <w:t>12</w:t>
        </w:r>
        <w:r>
          <w:rPr>
            <w:sz w:val="24"/>
            <w:szCs w:val="24"/>
          </w:rPr>
          <w:t xml:space="preserve"> -</w:t>
        </w: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BC3454"/>
    <w:multiLevelType w:val="multilevel"/>
    <w:tmpl w:val="10BC3454"/>
    <w:lvl w:ilvl="0" w:tentative="0">
      <w:start w:val="1"/>
      <w:numFmt w:val="decimal"/>
      <w:lvlText w:val="%1."/>
      <w:lvlJc w:val="left"/>
      <w:pPr>
        <w:ind w:left="425" w:hanging="425"/>
      </w:pPr>
    </w:lvl>
    <w:lvl w:ilvl="1" w:tentative="0">
      <w:start w:val="1"/>
      <w:numFmt w:val="decimal"/>
      <w:pStyle w:val="4"/>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1">
    <w:nsid w:val="1F0E0C58"/>
    <w:multiLevelType w:val="multilevel"/>
    <w:tmpl w:val="1F0E0C58"/>
    <w:lvl w:ilvl="0" w:tentative="0">
      <w:start w:val="1"/>
      <w:numFmt w:val="decimal"/>
      <w:lvlText w:val="%1"/>
      <w:lvlJc w:val="left"/>
      <w:pPr>
        <w:ind w:left="432" w:hanging="432"/>
      </w:pPr>
      <w:rPr>
        <w:rFonts w:hint="eastAsia"/>
        <w:kern w:val="28"/>
      </w:rPr>
    </w:lvl>
    <w:lvl w:ilvl="1" w:tentative="0">
      <w:start w:val="1"/>
      <w:numFmt w:val="decimal"/>
      <w:lvlText w:val="%1.%2"/>
      <w:lvlJc w:val="left"/>
      <w:pPr>
        <w:ind w:left="576" w:hanging="576"/>
      </w:pPr>
      <w:rPr>
        <w:rFonts w:hint="eastAsia" w:ascii="Times New Roman" w:hAnsi="Times New Roman"/>
      </w:rPr>
    </w:lvl>
    <w:lvl w:ilvl="2" w:tentative="0">
      <w:start w:val="1"/>
      <w:numFmt w:val="decimal"/>
      <w:pStyle w:val="5"/>
      <w:lvlText w:val="%1.%2.%3"/>
      <w:lvlJc w:val="left"/>
      <w:pPr>
        <w:ind w:left="720" w:hanging="720"/>
      </w:pPr>
      <w:rPr>
        <w:rFonts w:hint="eastAsia"/>
      </w:rPr>
    </w:lvl>
    <w:lvl w:ilvl="3" w:tentative="0">
      <w:start w:val="1"/>
      <w:numFmt w:val="decimal"/>
      <w:pStyle w:val="6"/>
      <w:lvlText w:val="%1.%2.%3.%4"/>
      <w:lvlJc w:val="left"/>
      <w:pPr>
        <w:ind w:left="864" w:hanging="864"/>
      </w:pPr>
      <w:rPr>
        <w:rFonts w:hint="eastAsia" w:ascii="Times New Roman" w:hAnsi="Times New Roman"/>
      </w:rPr>
    </w:lvl>
    <w:lvl w:ilvl="4" w:tentative="0">
      <w:start w:val="1"/>
      <w:numFmt w:val="decimal"/>
      <w:pStyle w:val="7"/>
      <w:lvlText w:val="%1.%2.%3.%4.%5"/>
      <w:lvlJc w:val="left"/>
      <w:pPr>
        <w:ind w:left="1008" w:hanging="1008"/>
      </w:pPr>
      <w:rPr>
        <w:rFonts w:hint="eastAsia"/>
      </w:rPr>
    </w:lvl>
    <w:lvl w:ilvl="5" w:tentative="0">
      <w:start w:val="1"/>
      <w:numFmt w:val="decimal"/>
      <w:pStyle w:val="8"/>
      <w:lvlText w:val="%1.%2.%3.%4.%5.%6"/>
      <w:lvlJc w:val="left"/>
      <w:pPr>
        <w:ind w:left="1152" w:hanging="1152"/>
      </w:pPr>
      <w:rPr>
        <w:rFonts w:hint="eastAsia"/>
      </w:rPr>
    </w:lvl>
    <w:lvl w:ilvl="6" w:tentative="0">
      <w:start w:val="1"/>
      <w:numFmt w:val="decimal"/>
      <w:pStyle w:val="9"/>
      <w:lvlText w:val="%1.%2.%3.%4.%5.%6.%7"/>
      <w:lvlJc w:val="left"/>
      <w:pPr>
        <w:ind w:left="1296" w:hanging="1296"/>
      </w:pPr>
      <w:rPr>
        <w:rFonts w:hint="eastAsia"/>
      </w:rPr>
    </w:lvl>
    <w:lvl w:ilvl="7" w:tentative="0">
      <w:start w:val="1"/>
      <w:numFmt w:val="decimal"/>
      <w:pStyle w:val="10"/>
      <w:lvlText w:val="%1.%2.%3.%4.%5.%6.%7.%8"/>
      <w:lvlJc w:val="left"/>
      <w:pPr>
        <w:ind w:left="1440" w:hanging="1440"/>
      </w:pPr>
      <w:rPr>
        <w:rFonts w:hint="eastAsia"/>
      </w:rPr>
    </w:lvl>
    <w:lvl w:ilvl="8" w:tentative="0">
      <w:start w:val="1"/>
      <w:numFmt w:val="decimal"/>
      <w:pStyle w:val="11"/>
      <w:lvlText w:val="%1.%2.%3.%4.%5.%6.%7.%8.%9"/>
      <w:lvlJc w:val="left"/>
      <w:pPr>
        <w:ind w:left="1584" w:hanging="1584"/>
      </w:pPr>
      <w:rPr>
        <w:rFonts w:hint="eastAsia"/>
      </w:rPr>
    </w:lvl>
  </w:abstractNum>
  <w:abstractNum w:abstractNumId="2">
    <w:nsid w:val="54BB649D"/>
    <w:multiLevelType w:val="multilevel"/>
    <w:tmpl w:val="54BB649D"/>
    <w:lvl w:ilvl="0" w:tentative="0">
      <w:start w:val="1"/>
      <w:numFmt w:val="decimal"/>
      <w:pStyle w:val="3"/>
      <w:lvlText w:val="%1."/>
      <w:lvlJc w:val="left"/>
      <w:pPr>
        <w:ind w:left="425" w:hanging="425"/>
      </w:pPr>
    </w:lvl>
    <w:lvl w:ilvl="1" w:tentative="0">
      <w:start w:val="1"/>
      <w:numFmt w:val="decimal"/>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oNotDisplayPageBoundaries w:val="1"/>
  <w:bordersDoNotSurroundHeader w:val="1"/>
  <w:bordersDoNotSurroundFooter w:val="1"/>
  <w:documentProtection w:enforcement="0"/>
  <w:defaultTabStop w:val="420"/>
  <w:drawingGridHorizontalSpacing w:val="140"/>
  <w:drawingGridVerticalSpacing w:val="381"/>
  <w:displayHorizontalDrawingGridEvery w:val="2"/>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77B6"/>
    <w:rsid w:val="000117B9"/>
    <w:rsid w:val="00015BBE"/>
    <w:rsid w:val="00020671"/>
    <w:rsid w:val="00021638"/>
    <w:rsid w:val="00021A99"/>
    <w:rsid w:val="00023FCB"/>
    <w:rsid w:val="00027EC5"/>
    <w:rsid w:val="000556B2"/>
    <w:rsid w:val="00074FD5"/>
    <w:rsid w:val="00082D69"/>
    <w:rsid w:val="00087B52"/>
    <w:rsid w:val="00096AF3"/>
    <w:rsid w:val="000A303C"/>
    <w:rsid w:val="000A5DAC"/>
    <w:rsid w:val="000B033A"/>
    <w:rsid w:val="000B3DFD"/>
    <w:rsid w:val="000C233D"/>
    <w:rsid w:val="000D68C2"/>
    <w:rsid w:val="000D721C"/>
    <w:rsid w:val="000E089D"/>
    <w:rsid w:val="0011351A"/>
    <w:rsid w:val="001243BF"/>
    <w:rsid w:val="00125622"/>
    <w:rsid w:val="00140310"/>
    <w:rsid w:val="0017111F"/>
    <w:rsid w:val="001730C6"/>
    <w:rsid w:val="00177859"/>
    <w:rsid w:val="00181624"/>
    <w:rsid w:val="001A2E26"/>
    <w:rsid w:val="001A6084"/>
    <w:rsid w:val="001A7C5F"/>
    <w:rsid w:val="001C36FE"/>
    <w:rsid w:val="001D22EA"/>
    <w:rsid w:val="001D4640"/>
    <w:rsid w:val="001E27A8"/>
    <w:rsid w:val="001F4EB2"/>
    <w:rsid w:val="001F5ECA"/>
    <w:rsid w:val="0021532C"/>
    <w:rsid w:val="002208D1"/>
    <w:rsid w:val="00222029"/>
    <w:rsid w:val="00225648"/>
    <w:rsid w:val="002327CA"/>
    <w:rsid w:val="0024338F"/>
    <w:rsid w:val="002566D5"/>
    <w:rsid w:val="00264ED7"/>
    <w:rsid w:val="0028481E"/>
    <w:rsid w:val="002953ED"/>
    <w:rsid w:val="002A0437"/>
    <w:rsid w:val="002A7E52"/>
    <w:rsid w:val="002B59A7"/>
    <w:rsid w:val="002C1CC9"/>
    <w:rsid w:val="002C7CD1"/>
    <w:rsid w:val="002D1FD0"/>
    <w:rsid w:val="002D21DA"/>
    <w:rsid w:val="002E7339"/>
    <w:rsid w:val="002F6CAD"/>
    <w:rsid w:val="00302048"/>
    <w:rsid w:val="0030270F"/>
    <w:rsid w:val="0030342D"/>
    <w:rsid w:val="0030724F"/>
    <w:rsid w:val="00312A59"/>
    <w:rsid w:val="00315CA2"/>
    <w:rsid w:val="00322D84"/>
    <w:rsid w:val="00326E36"/>
    <w:rsid w:val="00326FC9"/>
    <w:rsid w:val="00332916"/>
    <w:rsid w:val="003358EC"/>
    <w:rsid w:val="00353C53"/>
    <w:rsid w:val="00362CD6"/>
    <w:rsid w:val="00363BB6"/>
    <w:rsid w:val="00372F2E"/>
    <w:rsid w:val="003930D6"/>
    <w:rsid w:val="003B4E52"/>
    <w:rsid w:val="003C238D"/>
    <w:rsid w:val="003C6F29"/>
    <w:rsid w:val="003D5072"/>
    <w:rsid w:val="003F518B"/>
    <w:rsid w:val="00400F97"/>
    <w:rsid w:val="00407FF8"/>
    <w:rsid w:val="00414173"/>
    <w:rsid w:val="004208DE"/>
    <w:rsid w:val="004209B8"/>
    <w:rsid w:val="00433A8E"/>
    <w:rsid w:val="00433FD8"/>
    <w:rsid w:val="00434D2B"/>
    <w:rsid w:val="0043798E"/>
    <w:rsid w:val="00440E55"/>
    <w:rsid w:val="00465D54"/>
    <w:rsid w:val="004721D3"/>
    <w:rsid w:val="0047393C"/>
    <w:rsid w:val="0047579E"/>
    <w:rsid w:val="004761C8"/>
    <w:rsid w:val="0048001C"/>
    <w:rsid w:val="00497F38"/>
    <w:rsid w:val="004B1E20"/>
    <w:rsid w:val="004C638B"/>
    <w:rsid w:val="004D1CBE"/>
    <w:rsid w:val="004D3B21"/>
    <w:rsid w:val="004F46F0"/>
    <w:rsid w:val="004F5988"/>
    <w:rsid w:val="004F76F5"/>
    <w:rsid w:val="004F7A0C"/>
    <w:rsid w:val="00500AFF"/>
    <w:rsid w:val="00507A8D"/>
    <w:rsid w:val="005112DB"/>
    <w:rsid w:val="00515F98"/>
    <w:rsid w:val="005458ED"/>
    <w:rsid w:val="00554BE2"/>
    <w:rsid w:val="00577105"/>
    <w:rsid w:val="0059285F"/>
    <w:rsid w:val="005972AE"/>
    <w:rsid w:val="005A31C9"/>
    <w:rsid w:val="005A620A"/>
    <w:rsid w:val="005B1609"/>
    <w:rsid w:val="005B2AAA"/>
    <w:rsid w:val="005B55A9"/>
    <w:rsid w:val="005B7523"/>
    <w:rsid w:val="005C06C1"/>
    <w:rsid w:val="005D350E"/>
    <w:rsid w:val="005D434C"/>
    <w:rsid w:val="005D55EF"/>
    <w:rsid w:val="005E09C6"/>
    <w:rsid w:val="005E6AEB"/>
    <w:rsid w:val="005E7B39"/>
    <w:rsid w:val="00600AAB"/>
    <w:rsid w:val="00603F1C"/>
    <w:rsid w:val="00620EE8"/>
    <w:rsid w:val="006344B0"/>
    <w:rsid w:val="006434F6"/>
    <w:rsid w:val="006459D5"/>
    <w:rsid w:val="00661FD8"/>
    <w:rsid w:val="00682C90"/>
    <w:rsid w:val="006906C6"/>
    <w:rsid w:val="006921EB"/>
    <w:rsid w:val="006B6A5D"/>
    <w:rsid w:val="006C1CA3"/>
    <w:rsid w:val="006D038D"/>
    <w:rsid w:val="006D4743"/>
    <w:rsid w:val="006E7A34"/>
    <w:rsid w:val="006F3663"/>
    <w:rsid w:val="007010D0"/>
    <w:rsid w:val="0070370E"/>
    <w:rsid w:val="007039F8"/>
    <w:rsid w:val="00705B5B"/>
    <w:rsid w:val="007072EC"/>
    <w:rsid w:val="00711B08"/>
    <w:rsid w:val="00725D00"/>
    <w:rsid w:val="00732D9E"/>
    <w:rsid w:val="00735987"/>
    <w:rsid w:val="00790200"/>
    <w:rsid w:val="007A35F7"/>
    <w:rsid w:val="007A3D39"/>
    <w:rsid w:val="007C3E15"/>
    <w:rsid w:val="007D3632"/>
    <w:rsid w:val="007D4FE0"/>
    <w:rsid w:val="007E5C3C"/>
    <w:rsid w:val="007F5A7F"/>
    <w:rsid w:val="00800DD4"/>
    <w:rsid w:val="008078BB"/>
    <w:rsid w:val="00817E03"/>
    <w:rsid w:val="00823D49"/>
    <w:rsid w:val="008241C1"/>
    <w:rsid w:val="00841701"/>
    <w:rsid w:val="00861CD7"/>
    <w:rsid w:val="008621C3"/>
    <w:rsid w:val="00876DA2"/>
    <w:rsid w:val="00885FEC"/>
    <w:rsid w:val="00891EEB"/>
    <w:rsid w:val="008A3444"/>
    <w:rsid w:val="008B5BFA"/>
    <w:rsid w:val="008B746E"/>
    <w:rsid w:val="008E6454"/>
    <w:rsid w:val="008F4117"/>
    <w:rsid w:val="008F4902"/>
    <w:rsid w:val="009034AB"/>
    <w:rsid w:val="00903D37"/>
    <w:rsid w:val="009066A7"/>
    <w:rsid w:val="009101FF"/>
    <w:rsid w:val="009146B7"/>
    <w:rsid w:val="009179A5"/>
    <w:rsid w:val="00960525"/>
    <w:rsid w:val="00972801"/>
    <w:rsid w:val="00974D7B"/>
    <w:rsid w:val="009836C0"/>
    <w:rsid w:val="00994B3A"/>
    <w:rsid w:val="009A06A6"/>
    <w:rsid w:val="009A30FA"/>
    <w:rsid w:val="009A5F92"/>
    <w:rsid w:val="009B09B1"/>
    <w:rsid w:val="009C1839"/>
    <w:rsid w:val="009C778D"/>
    <w:rsid w:val="009C78EC"/>
    <w:rsid w:val="009E22A6"/>
    <w:rsid w:val="00A004BA"/>
    <w:rsid w:val="00A02643"/>
    <w:rsid w:val="00A07F8C"/>
    <w:rsid w:val="00A109A1"/>
    <w:rsid w:val="00A21242"/>
    <w:rsid w:val="00A27B56"/>
    <w:rsid w:val="00A40059"/>
    <w:rsid w:val="00A46582"/>
    <w:rsid w:val="00A51D4D"/>
    <w:rsid w:val="00A53B96"/>
    <w:rsid w:val="00A54C61"/>
    <w:rsid w:val="00A63307"/>
    <w:rsid w:val="00A63A13"/>
    <w:rsid w:val="00A978C9"/>
    <w:rsid w:val="00AB15DA"/>
    <w:rsid w:val="00AC3868"/>
    <w:rsid w:val="00AC5B3E"/>
    <w:rsid w:val="00AD582C"/>
    <w:rsid w:val="00AD7142"/>
    <w:rsid w:val="00AE2BF5"/>
    <w:rsid w:val="00AE6371"/>
    <w:rsid w:val="00AF4A8E"/>
    <w:rsid w:val="00AF5FC3"/>
    <w:rsid w:val="00B077B6"/>
    <w:rsid w:val="00B07C5F"/>
    <w:rsid w:val="00B31ED2"/>
    <w:rsid w:val="00B36B0A"/>
    <w:rsid w:val="00B37D69"/>
    <w:rsid w:val="00B47F2F"/>
    <w:rsid w:val="00B678D4"/>
    <w:rsid w:val="00B74FF8"/>
    <w:rsid w:val="00B7540A"/>
    <w:rsid w:val="00B7541E"/>
    <w:rsid w:val="00B7574B"/>
    <w:rsid w:val="00B840C0"/>
    <w:rsid w:val="00B85076"/>
    <w:rsid w:val="00B87686"/>
    <w:rsid w:val="00BA7CBD"/>
    <w:rsid w:val="00BE5A00"/>
    <w:rsid w:val="00BF7A3D"/>
    <w:rsid w:val="00C009E5"/>
    <w:rsid w:val="00C054EE"/>
    <w:rsid w:val="00C15D9F"/>
    <w:rsid w:val="00C563BB"/>
    <w:rsid w:val="00C7740B"/>
    <w:rsid w:val="00C9630E"/>
    <w:rsid w:val="00CD2971"/>
    <w:rsid w:val="00CD57BB"/>
    <w:rsid w:val="00CE67DD"/>
    <w:rsid w:val="00CF1D22"/>
    <w:rsid w:val="00CF346E"/>
    <w:rsid w:val="00CF7A10"/>
    <w:rsid w:val="00D11A9E"/>
    <w:rsid w:val="00D162D4"/>
    <w:rsid w:val="00D2568E"/>
    <w:rsid w:val="00D32440"/>
    <w:rsid w:val="00D429EB"/>
    <w:rsid w:val="00D45896"/>
    <w:rsid w:val="00D53570"/>
    <w:rsid w:val="00D56E60"/>
    <w:rsid w:val="00D62935"/>
    <w:rsid w:val="00DA3301"/>
    <w:rsid w:val="00DA3EA7"/>
    <w:rsid w:val="00DB6B0F"/>
    <w:rsid w:val="00DC074A"/>
    <w:rsid w:val="00DD4524"/>
    <w:rsid w:val="00DE3C69"/>
    <w:rsid w:val="00DE7BB7"/>
    <w:rsid w:val="00E03642"/>
    <w:rsid w:val="00E200A8"/>
    <w:rsid w:val="00E260D5"/>
    <w:rsid w:val="00E5552B"/>
    <w:rsid w:val="00E7446D"/>
    <w:rsid w:val="00E8099E"/>
    <w:rsid w:val="00E96F4A"/>
    <w:rsid w:val="00EA18DA"/>
    <w:rsid w:val="00EC3958"/>
    <w:rsid w:val="00EC56B8"/>
    <w:rsid w:val="00EE2F25"/>
    <w:rsid w:val="00EE46F1"/>
    <w:rsid w:val="00F26C1B"/>
    <w:rsid w:val="00F518EC"/>
    <w:rsid w:val="00F54208"/>
    <w:rsid w:val="00F5788E"/>
    <w:rsid w:val="00F80D4B"/>
    <w:rsid w:val="00F835EE"/>
    <w:rsid w:val="00FA3AE5"/>
    <w:rsid w:val="00FB34F3"/>
    <w:rsid w:val="00FB5E2A"/>
    <w:rsid w:val="00FB6573"/>
    <w:rsid w:val="00FC73F1"/>
    <w:rsid w:val="00FF2B37"/>
    <w:rsid w:val="00FF3A94"/>
    <w:rsid w:val="151970A3"/>
    <w:rsid w:val="151C16D9"/>
    <w:rsid w:val="1EF3214E"/>
    <w:rsid w:val="23BE7D58"/>
    <w:rsid w:val="28B2634E"/>
    <w:rsid w:val="33C063B4"/>
    <w:rsid w:val="34B14098"/>
    <w:rsid w:val="35B07C9C"/>
    <w:rsid w:val="3B8E327D"/>
    <w:rsid w:val="3E7F77E4"/>
    <w:rsid w:val="40B53EC6"/>
    <w:rsid w:val="43C67102"/>
    <w:rsid w:val="476C415B"/>
    <w:rsid w:val="483E0C4A"/>
    <w:rsid w:val="50380AF8"/>
    <w:rsid w:val="52722239"/>
    <w:rsid w:val="57104FC1"/>
    <w:rsid w:val="5DFF9F86"/>
    <w:rsid w:val="5F3A4A0E"/>
    <w:rsid w:val="60647F0E"/>
    <w:rsid w:val="6A38266A"/>
    <w:rsid w:val="6D8E338D"/>
    <w:rsid w:val="6FEE7466"/>
    <w:rsid w:val="7354056C"/>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jc w:val="both"/>
    </w:pPr>
    <w:rPr>
      <w:rFonts w:ascii="Times New Roman" w:hAnsi="Times New Roman" w:eastAsia="仿宋_GB2312" w:cstheme="minorBidi"/>
      <w:kern w:val="2"/>
      <w:sz w:val="28"/>
      <w:szCs w:val="22"/>
      <w:lang w:val="en-US" w:eastAsia="zh-CN" w:bidi="ar-SA"/>
    </w:rPr>
  </w:style>
  <w:style w:type="paragraph" w:styleId="3">
    <w:name w:val="heading 1"/>
    <w:basedOn w:val="1"/>
    <w:next w:val="1"/>
    <w:link w:val="25"/>
    <w:qFormat/>
    <w:uiPriority w:val="9"/>
    <w:pPr>
      <w:keepNext/>
      <w:keepLines/>
      <w:numPr>
        <w:ilvl w:val="0"/>
        <w:numId w:val="1"/>
      </w:numPr>
      <w:outlineLvl w:val="0"/>
    </w:pPr>
    <w:rPr>
      <w:rFonts w:cs="Times New Roman"/>
      <w:b/>
      <w:bCs/>
      <w:kern w:val="44"/>
      <w:szCs w:val="28"/>
    </w:rPr>
  </w:style>
  <w:style w:type="paragraph" w:styleId="4">
    <w:name w:val="heading 2"/>
    <w:basedOn w:val="1"/>
    <w:next w:val="1"/>
    <w:link w:val="26"/>
    <w:unhideWhenUsed/>
    <w:qFormat/>
    <w:uiPriority w:val="9"/>
    <w:pPr>
      <w:keepNext/>
      <w:keepLines/>
      <w:numPr>
        <w:ilvl w:val="1"/>
        <w:numId w:val="2"/>
      </w:numPr>
      <w:outlineLvl w:val="1"/>
    </w:pPr>
    <w:rPr>
      <w:b/>
      <w:bCs/>
      <w:szCs w:val="32"/>
    </w:rPr>
  </w:style>
  <w:style w:type="paragraph" w:styleId="5">
    <w:name w:val="heading 3"/>
    <w:basedOn w:val="1"/>
    <w:next w:val="1"/>
    <w:link w:val="27"/>
    <w:unhideWhenUsed/>
    <w:qFormat/>
    <w:uiPriority w:val="9"/>
    <w:pPr>
      <w:keepNext/>
      <w:keepLines/>
      <w:numPr>
        <w:ilvl w:val="2"/>
        <w:numId w:val="3"/>
      </w:numPr>
      <w:outlineLvl w:val="2"/>
    </w:pPr>
    <w:rPr>
      <w:rFonts w:eastAsia="仿宋"/>
      <w:b/>
      <w:bCs/>
      <w:szCs w:val="32"/>
    </w:rPr>
  </w:style>
  <w:style w:type="paragraph" w:styleId="6">
    <w:name w:val="heading 4"/>
    <w:basedOn w:val="1"/>
    <w:next w:val="1"/>
    <w:link w:val="28"/>
    <w:unhideWhenUsed/>
    <w:qFormat/>
    <w:uiPriority w:val="9"/>
    <w:pPr>
      <w:keepNext/>
      <w:keepLines/>
      <w:numPr>
        <w:ilvl w:val="3"/>
        <w:numId w:val="3"/>
      </w:numPr>
      <w:spacing w:before="120" w:after="120" w:line="377" w:lineRule="auto"/>
      <w:outlineLvl w:val="3"/>
    </w:pPr>
    <w:rPr>
      <w:rFonts w:asciiTheme="majorHAnsi" w:hAnsiTheme="majorHAnsi" w:eastAsiaTheme="majorEastAsia" w:cstheme="majorBidi"/>
      <w:b/>
      <w:bCs/>
      <w:szCs w:val="28"/>
    </w:rPr>
  </w:style>
  <w:style w:type="paragraph" w:styleId="7">
    <w:name w:val="heading 5"/>
    <w:basedOn w:val="1"/>
    <w:next w:val="1"/>
    <w:link w:val="29"/>
    <w:unhideWhenUsed/>
    <w:qFormat/>
    <w:uiPriority w:val="9"/>
    <w:pPr>
      <w:keepNext/>
      <w:keepLines/>
      <w:numPr>
        <w:ilvl w:val="4"/>
        <w:numId w:val="3"/>
      </w:numPr>
      <w:spacing w:before="280" w:after="290" w:line="376" w:lineRule="auto"/>
      <w:outlineLvl w:val="4"/>
    </w:pPr>
    <w:rPr>
      <w:rFonts w:eastAsia="仿宋"/>
      <w:b/>
      <w:bCs/>
      <w:szCs w:val="28"/>
    </w:rPr>
  </w:style>
  <w:style w:type="paragraph" w:styleId="8">
    <w:name w:val="heading 6"/>
    <w:basedOn w:val="1"/>
    <w:next w:val="1"/>
    <w:link w:val="30"/>
    <w:semiHidden/>
    <w:unhideWhenUsed/>
    <w:qFormat/>
    <w:uiPriority w:val="9"/>
    <w:pPr>
      <w:keepNext/>
      <w:keepLines/>
      <w:numPr>
        <w:ilvl w:val="5"/>
        <w:numId w:val="3"/>
      </w:numPr>
      <w:spacing w:before="240" w:after="64" w:line="320" w:lineRule="auto"/>
      <w:outlineLvl w:val="5"/>
    </w:pPr>
    <w:rPr>
      <w:rFonts w:asciiTheme="majorHAnsi" w:hAnsiTheme="majorHAnsi" w:eastAsiaTheme="majorEastAsia" w:cstheme="majorBidi"/>
      <w:b/>
      <w:bCs/>
      <w:szCs w:val="24"/>
    </w:rPr>
  </w:style>
  <w:style w:type="paragraph" w:styleId="9">
    <w:name w:val="heading 7"/>
    <w:basedOn w:val="1"/>
    <w:next w:val="1"/>
    <w:link w:val="31"/>
    <w:semiHidden/>
    <w:unhideWhenUsed/>
    <w:qFormat/>
    <w:uiPriority w:val="9"/>
    <w:pPr>
      <w:keepNext/>
      <w:keepLines/>
      <w:numPr>
        <w:ilvl w:val="6"/>
        <w:numId w:val="3"/>
      </w:numPr>
      <w:spacing w:before="240" w:after="64" w:line="320" w:lineRule="auto"/>
      <w:outlineLvl w:val="6"/>
    </w:pPr>
    <w:rPr>
      <w:rFonts w:eastAsia="仿宋"/>
      <w:b/>
      <w:bCs/>
      <w:szCs w:val="24"/>
    </w:rPr>
  </w:style>
  <w:style w:type="paragraph" w:styleId="10">
    <w:name w:val="heading 8"/>
    <w:basedOn w:val="1"/>
    <w:next w:val="1"/>
    <w:link w:val="32"/>
    <w:semiHidden/>
    <w:unhideWhenUsed/>
    <w:qFormat/>
    <w:uiPriority w:val="9"/>
    <w:pPr>
      <w:keepNext/>
      <w:keepLines/>
      <w:numPr>
        <w:ilvl w:val="7"/>
        <w:numId w:val="3"/>
      </w:numPr>
      <w:spacing w:before="240" w:after="64" w:line="320" w:lineRule="auto"/>
      <w:outlineLvl w:val="7"/>
    </w:pPr>
    <w:rPr>
      <w:rFonts w:asciiTheme="majorHAnsi" w:hAnsiTheme="majorHAnsi" w:eastAsiaTheme="majorEastAsia" w:cstheme="majorBidi"/>
      <w:szCs w:val="24"/>
    </w:rPr>
  </w:style>
  <w:style w:type="paragraph" w:styleId="11">
    <w:name w:val="heading 9"/>
    <w:basedOn w:val="1"/>
    <w:next w:val="1"/>
    <w:link w:val="33"/>
    <w:semiHidden/>
    <w:unhideWhenUsed/>
    <w:qFormat/>
    <w:uiPriority w:val="9"/>
    <w:pPr>
      <w:keepNext/>
      <w:keepLines/>
      <w:numPr>
        <w:ilvl w:val="8"/>
        <w:numId w:val="3"/>
      </w:numPr>
      <w:spacing w:before="240" w:after="64" w:line="320" w:lineRule="auto"/>
      <w:outlineLvl w:val="8"/>
    </w:pPr>
    <w:rPr>
      <w:rFonts w:asciiTheme="majorHAnsi" w:hAnsiTheme="majorHAnsi" w:eastAsiaTheme="majorEastAsia" w:cstheme="majorBidi"/>
      <w:szCs w:val="21"/>
    </w:rPr>
  </w:style>
  <w:style w:type="character" w:default="1" w:styleId="21">
    <w:name w:val="Default Paragraph Font"/>
    <w:semiHidden/>
    <w:unhideWhenUsed/>
    <w:qFormat/>
    <w:uiPriority w:val="1"/>
  </w:style>
  <w:style w:type="table" w:default="1" w:styleId="24">
    <w:name w:val="Normal Table"/>
    <w:semiHidden/>
    <w:unhideWhenUsed/>
    <w:qFormat/>
    <w:uiPriority w:val="99"/>
    <w:tblPr>
      <w:tblLayout w:type="fixed"/>
      <w:tblCellMar>
        <w:top w:w="0" w:type="dxa"/>
        <w:left w:w="108" w:type="dxa"/>
        <w:bottom w:w="0" w:type="dxa"/>
        <w:right w:w="108" w:type="dxa"/>
      </w:tblCellMar>
    </w:tblPr>
  </w:style>
  <w:style w:type="paragraph" w:styleId="2">
    <w:name w:val="toc 2"/>
    <w:basedOn w:val="1"/>
    <w:next w:val="1"/>
    <w:unhideWhenUsed/>
    <w:qFormat/>
    <w:uiPriority w:val="39"/>
    <w:pPr>
      <w:ind w:left="420" w:leftChars="200"/>
    </w:pPr>
  </w:style>
  <w:style w:type="paragraph" w:styleId="12">
    <w:name w:val="annotation subject"/>
    <w:basedOn w:val="13"/>
    <w:next w:val="13"/>
    <w:link w:val="41"/>
    <w:semiHidden/>
    <w:unhideWhenUsed/>
    <w:qFormat/>
    <w:uiPriority w:val="99"/>
    <w:rPr>
      <w:b/>
      <w:bCs/>
    </w:rPr>
  </w:style>
  <w:style w:type="paragraph" w:styleId="13">
    <w:name w:val="annotation text"/>
    <w:basedOn w:val="1"/>
    <w:link w:val="40"/>
    <w:semiHidden/>
    <w:unhideWhenUsed/>
    <w:qFormat/>
    <w:uiPriority w:val="99"/>
    <w:pPr>
      <w:jc w:val="left"/>
    </w:pPr>
  </w:style>
  <w:style w:type="paragraph" w:styleId="14">
    <w:name w:val="caption"/>
    <w:basedOn w:val="1"/>
    <w:next w:val="1"/>
    <w:unhideWhenUsed/>
    <w:qFormat/>
    <w:uiPriority w:val="35"/>
    <w:pPr>
      <w:jc w:val="center"/>
    </w:pPr>
    <w:rPr>
      <w:rFonts w:cstheme="majorBidi"/>
      <w:b/>
      <w:sz w:val="24"/>
      <w:szCs w:val="20"/>
    </w:rPr>
  </w:style>
  <w:style w:type="paragraph" w:styleId="15">
    <w:name w:val="toc 3"/>
    <w:basedOn w:val="1"/>
    <w:next w:val="1"/>
    <w:unhideWhenUsed/>
    <w:qFormat/>
    <w:uiPriority w:val="39"/>
    <w:pPr>
      <w:ind w:left="840" w:leftChars="400"/>
    </w:pPr>
  </w:style>
  <w:style w:type="paragraph" w:styleId="16">
    <w:name w:val="Balloon Text"/>
    <w:basedOn w:val="1"/>
    <w:link w:val="39"/>
    <w:semiHidden/>
    <w:unhideWhenUsed/>
    <w:qFormat/>
    <w:uiPriority w:val="99"/>
    <w:pPr>
      <w:spacing w:line="240" w:lineRule="auto"/>
    </w:pPr>
    <w:rPr>
      <w:sz w:val="18"/>
      <w:szCs w:val="18"/>
    </w:rPr>
  </w:style>
  <w:style w:type="paragraph" w:styleId="17">
    <w:name w:val="footer"/>
    <w:basedOn w:val="1"/>
    <w:link w:val="38"/>
    <w:unhideWhenUsed/>
    <w:qFormat/>
    <w:uiPriority w:val="99"/>
    <w:pPr>
      <w:tabs>
        <w:tab w:val="center" w:pos="4153"/>
        <w:tab w:val="right" w:pos="8306"/>
      </w:tabs>
      <w:snapToGrid w:val="0"/>
      <w:jc w:val="left"/>
    </w:pPr>
    <w:rPr>
      <w:sz w:val="18"/>
      <w:szCs w:val="18"/>
    </w:rPr>
  </w:style>
  <w:style w:type="paragraph" w:styleId="18">
    <w:name w:val="header"/>
    <w:basedOn w:val="1"/>
    <w:link w:val="37"/>
    <w:unhideWhenUsed/>
    <w:qFormat/>
    <w:uiPriority w:val="99"/>
    <w:pPr>
      <w:pBdr>
        <w:bottom w:val="single" w:color="auto" w:sz="6" w:space="1"/>
      </w:pBdr>
      <w:tabs>
        <w:tab w:val="center" w:pos="4153"/>
        <w:tab w:val="right" w:pos="8306"/>
      </w:tabs>
      <w:snapToGrid w:val="0"/>
      <w:jc w:val="center"/>
    </w:pPr>
    <w:rPr>
      <w:sz w:val="18"/>
      <w:szCs w:val="18"/>
    </w:rPr>
  </w:style>
  <w:style w:type="paragraph" w:styleId="19">
    <w:name w:val="toc 1"/>
    <w:basedOn w:val="1"/>
    <w:next w:val="1"/>
    <w:unhideWhenUsed/>
    <w:qFormat/>
    <w:uiPriority w:val="39"/>
  </w:style>
  <w:style w:type="paragraph" w:styleId="20">
    <w:name w:val="Body Text 2"/>
    <w:basedOn w:val="1"/>
    <w:link w:val="42"/>
    <w:qFormat/>
    <w:uiPriority w:val="0"/>
    <w:pPr>
      <w:spacing w:after="120" w:line="480" w:lineRule="auto"/>
      <w:ind w:right="-376" w:rightChars="-376"/>
    </w:pPr>
    <w:rPr>
      <w:rFonts w:eastAsia="宋体" w:cs="Times New Roman"/>
      <w:sz w:val="21"/>
      <w:szCs w:val="20"/>
    </w:rPr>
  </w:style>
  <w:style w:type="character" w:styleId="22">
    <w:name w:val="Hyperlink"/>
    <w:basedOn w:val="21"/>
    <w:unhideWhenUsed/>
    <w:qFormat/>
    <w:uiPriority w:val="99"/>
    <w:rPr>
      <w:color w:val="0563C1" w:themeColor="hyperlink"/>
      <w:u w:val="single"/>
      <w14:textFill>
        <w14:solidFill>
          <w14:schemeClr w14:val="hlink"/>
        </w14:solidFill>
      </w14:textFill>
    </w:rPr>
  </w:style>
  <w:style w:type="character" w:styleId="23">
    <w:name w:val="annotation reference"/>
    <w:basedOn w:val="21"/>
    <w:semiHidden/>
    <w:unhideWhenUsed/>
    <w:qFormat/>
    <w:uiPriority w:val="99"/>
    <w:rPr>
      <w:sz w:val="21"/>
      <w:szCs w:val="21"/>
    </w:rPr>
  </w:style>
  <w:style w:type="character" w:customStyle="1" w:styleId="25">
    <w:name w:val="标题 1 字符"/>
    <w:basedOn w:val="21"/>
    <w:link w:val="3"/>
    <w:qFormat/>
    <w:uiPriority w:val="9"/>
    <w:rPr>
      <w:rFonts w:eastAsia="仿宋_GB2312"/>
      <w:b/>
      <w:bCs/>
      <w:kern w:val="44"/>
      <w:sz w:val="28"/>
      <w:szCs w:val="28"/>
    </w:rPr>
  </w:style>
  <w:style w:type="character" w:customStyle="1" w:styleId="26">
    <w:name w:val="标题 2 字符"/>
    <w:link w:val="4"/>
    <w:qFormat/>
    <w:uiPriority w:val="9"/>
    <w:rPr>
      <w:rFonts w:eastAsia="仿宋_GB2312" w:cstheme="minorBidi"/>
      <w:b/>
      <w:bCs/>
      <w:kern w:val="2"/>
      <w:sz w:val="28"/>
      <w:szCs w:val="32"/>
    </w:rPr>
  </w:style>
  <w:style w:type="character" w:customStyle="1" w:styleId="27">
    <w:name w:val="标题 3 字符"/>
    <w:basedOn w:val="21"/>
    <w:link w:val="5"/>
    <w:qFormat/>
    <w:uiPriority w:val="9"/>
    <w:rPr>
      <w:rFonts w:ascii="Times New Roman" w:hAnsi="Times New Roman" w:eastAsia="仿宋"/>
      <w:b/>
      <w:bCs/>
      <w:sz w:val="28"/>
      <w:szCs w:val="32"/>
    </w:rPr>
  </w:style>
  <w:style w:type="character" w:customStyle="1" w:styleId="28">
    <w:name w:val="标题 4 字符"/>
    <w:basedOn w:val="21"/>
    <w:link w:val="6"/>
    <w:qFormat/>
    <w:uiPriority w:val="9"/>
    <w:rPr>
      <w:rFonts w:asciiTheme="majorHAnsi" w:hAnsiTheme="majorHAnsi" w:eastAsiaTheme="majorEastAsia" w:cstheme="majorBidi"/>
      <w:b/>
      <w:bCs/>
      <w:sz w:val="28"/>
      <w:szCs w:val="28"/>
    </w:rPr>
  </w:style>
  <w:style w:type="character" w:customStyle="1" w:styleId="29">
    <w:name w:val="标题 5 字符"/>
    <w:basedOn w:val="21"/>
    <w:link w:val="7"/>
    <w:qFormat/>
    <w:uiPriority w:val="9"/>
    <w:rPr>
      <w:rFonts w:ascii="Times New Roman" w:hAnsi="Times New Roman" w:eastAsia="仿宋"/>
      <w:b/>
      <w:bCs/>
      <w:sz w:val="28"/>
      <w:szCs w:val="28"/>
    </w:rPr>
  </w:style>
  <w:style w:type="character" w:customStyle="1" w:styleId="30">
    <w:name w:val="标题 6 字符"/>
    <w:basedOn w:val="21"/>
    <w:link w:val="8"/>
    <w:semiHidden/>
    <w:qFormat/>
    <w:uiPriority w:val="9"/>
    <w:rPr>
      <w:rFonts w:asciiTheme="majorHAnsi" w:hAnsiTheme="majorHAnsi" w:eastAsiaTheme="majorEastAsia" w:cstheme="majorBidi"/>
      <w:b/>
      <w:bCs/>
      <w:sz w:val="28"/>
      <w:szCs w:val="24"/>
    </w:rPr>
  </w:style>
  <w:style w:type="character" w:customStyle="1" w:styleId="31">
    <w:name w:val="标题 7 字符"/>
    <w:basedOn w:val="21"/>
    <w:link w:val="9"/>
    <w:semiHidden/>
    <w:qFormat/>
    <w:uiPriority w:val="9"/>
    <w:rPr>
      <w:rFonts w:ascii="Times New Roman" w:hAnsi="Times New Roman" w:eastAsia="仿宋"/>
      <w:b/>
      <w:bCs/>
      <w:sz w:val="28"/>
      <w:szCs w:val="24"/>
    </w:rPr>
  </w:style>
  <w:style w:type="character" w:customStyle="1" w:styleId="32">
    <w:name w:val="标题 8 字符"/>
    <w:basedOn w:val="21"/>
    <w:link w:val="10"/>
    <w:semiHidden/>
    <w:qFormat/>
    <w:uiPriority w:val="9"/>
    <w:rPr>
      <w:rFonts w:asciiTheme="majorHAnsi" w:hAnsiTheme="majorHAnsi" w:eastAsiaTheme="majorEastAsia" w:cstheme="majorBidi"/>
      <w:sz w:val="28"/>
      <w:szCs w:val="24"/>
    </w:rPr>
  </w:style>
  <w:style w:type="character" w:customStyle="1" w:styleId="33">
    <w:name w:val="标题 9 字符"/>
    <w:basedOn w:val="21"/>
    <w:link w:val="11"/>
    <w:semiHidden/>
    <w:qFormat/>
    <w:uiPriority w:val="9"/>
    <w:rPr>
      <w:rFonts w:asciiTheme="majorHAnsi" w:hAnsiTheme="majorHAnsi" w:eastAsiaTheme="majorEastAsia" w:cstheme="majorBidi"/>
      <w:szCs w:val="21"/>
    </w:rPr>
  </w:style>
  <w:style w:type="paragraph" w:customStyle="1" w:styleId="34">
    <w:name w:val="方案正文"/>
    <w:basedOn w:val="1"/>
    <w:qFormat/>
    <w:uiPriority w:val="0"/>
    <w:pPr>
      <w:ind w:firstLine="608"/>
    </w:pPr>
    <w:rPr>
      <w:rFonts w:eastAsia="仿宋" w:cs="Times New Roman"/>
      <w:bCs/>
      <w:color w:val="000000"/>
      <w:spacing w:val="6"/>
      <w:szCs w:val="24"/>
    </w:rPr>
  </w:style>
  <w:style w:type="paragraph" w:styleId="35">
    <w:name w:val="List Paragraph"/>
    <w:basedOn w:val="1"/>
    <w:qFormat/>
    <w:uiPriority w:val="34"/>
    <w:pPr>
      <w:ind w:firstLine="420" w:firstLineChars="200"/>
    </w:pPr>
  </w:style>
  <w:style w:type="paragraph" w:customStyle="1" w:styleId="36">
    <w:name w:val="TOC 标题1"/>
    <w:basedOn w:val="3"/>
    <w:next w:val="1"/>
    <w:unhideWhenUsed/>
    <w:qFormat/>
    <w:uiPriority w:val="39"/>
    <w:pPr>
      <w:widowControl/>
      <w:numPr>
        <w:numId w:val="0"/>
      </w:numPr>
      <w:spacing w:before="240" w:line="259" w:lineRule="auto"/>
      <w:jc w:val="left"/>
      <w:outlineLvl w:val="9"/>
    </w:pPr>
    <w:rPr>
      <w:rFonts w:asciiTheme="majorHAnsi" w:hAnsiTheme="majorHAnsi" w:eastAsiaTheme="majorEastAsia" w:cstheme="majorBidi"/>
      <w:b w:val="0"/>
      <w:bCs w:val="0"/>
      <w:color w:val="2E75B6" w:themeColor="accent1" w:themeShade="BF"/>
      <w:kern w:val="0"/>
      <w:sz w:val="32"/>
      <w:szCs w:val="32"/>
    </w:rPr>
  </w:style>
  <w:style w:type="character" w:customStyle="1" w:styleId="37">
    <w:name w:val="页眉 字符"/>
    <w:basedOn w:val="21"/>
    <w:link w:val="18"/>
    <w:qFormat/>
    <w:uiPriority w:val="99"/>
    <w:rPr>
      <w:rFonts w:ascii="Times New Roman" w:hAnsi="Times New Roman" w:eastAsia="仿宋_GB2312"/>
      <w:sz w:val="18"/>
      <w:szCs w:val="18"/>
    </w:rPr>
  </w:style>
  <w:style w:type="character" w:customStyle="1" w:styleId="38">
    <w:name w:val="页脚 字符"/>
    <w:basedOn w:val="21"/>
    <w:link w:val="17"/>
    <w:qFormat/>
    <w:uiPriority w:val="99"/>
    <w:rPr>
      <w:rFonts w:ascii="Times New Roman" w:hAnsi="Times New Roman" w:eastAsia="仿宋_GB2312"/>
      <w:sz w:val="18"/>
      <w:szCs w:val="18"/>
    </w:rPr>
  </w:style>
  <w:style w:type="character" w:customStyle="1" w:styleId="39">
    <w:name w:val="批注框文本 字符"/>
    <w:basedOn w:val="21"/>
    <w:link w:val="16"/>
    <w:semiHidden/>
    <w:qFormat/>
    <w:uiPriority w:val="99"/>
    <w:rPr>
      <w:rFonts w:eastAsia="仿宋_GB2312" w:cstheme="minorBidi"/>
      <w:kern w:val="2"/>
      <w:sz w:val="18"/>
      <w:szCs w:val="18"/>
    </w:rPr>
  </w:style>
  <w:style w:type="character" w:customStyle="1" w:styleId="40">
    <w:name w:val="批注文字 字符"/>
    <w:basedOn w:val="21"/>
    <w:link w:val="13"/>
    <w:semiHidden/>
    <w:qFormat/>
    <w:uiPriority w:val="99"/>
    <w:rPr>
      <w:rFonts w:eastAsia="仿宋_GB2312" w:cstheme="minorBidi"/>
      <w:kern w:val="2"/>
      <w:sz w:val="28"/>
      <w:szCs w:val="22"/>
    </w:rPr>
  </w:style>
  <w:style w:type="character" w:customStyle="1" w:styleId="41">
    <w:name w:val="批注主题 字符"/>
    <w:basedOn w:val="40"/>
    <w:link w:val="12"/>
    <w:semiHidden/>
    <w:qFormat/>
    <w:uiPriority w:val="99"/>
    <w:rPr>
      <w:rFonts w:eastAsia="仿宋_GB2312" w:cstheme="minorBidi"/>
      <w:b/>
      <w:bCs/>
      <w:kern w:val="2"/>
      <w:sz w:val="28"/>
      <w:szCs w:val="22"/>
    </w:rPr>
  </w:style>
  <w:style w:type="character" w:customStyle="1" w:styleId="42">
    <w:name w:val="正文文本 2 字符"/>
    <w:basedOn w:val="21"/>
    <w:link w:val="20"/>
    <w:qFormat/>
    <w:uiPriority w:val="0"/>
    <w:rPr>
      <w:kern w:val="2"/>
      <w:sz w:val="21"/>
    </w:rPr>
  </w:style>
  <w:style w:type="paragraph" w:customStyle="1" w:styleId="43">
    <w:name w:val="样式 五号 非加粗 黑色 居中"/>
    <w:basedOn w:val="1"/>
    <w:semiHidden/>
    <w:qFormat/>
    <w:uiPriority w:val="0"/>
    <w:pPr>
      <w:widowControl/>
      <w:spacing w:before="300" w:beforeLines="300" w:after="300" w:afterLines="300" w:line="240" w:lineRule="auto"/>
      <w:ind w:firstLine="150" w:firstLineChars="150"/>
      <w:jc w:val="left"/>
    </w:pPr>
    <w:rPr>
      <w:rFonts w:ascii="宋体" w:hAnsi="宋体" w:eastAsia="宋体" w:cs="宋体"/>
      <w:color w:val="000000"/>
      <w:kern w:val="0"/>
      <w:sz w:val="24"/>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customXml" Target="../customXml/item2.xml"/><Relationship Id="rId18" Type="http://schemas.openxmlformats.org/officeDocument/2006/relationships/numbering" Target="numbering.xml"/><Relationship Id="rId17" Type="http://schemas.openxmlformats.org/officeDocument/2006/relationships/customXml" Target="../customXml/item1.xml"/><Relationship Id="rId16" Type="http://schemas.openxmlformats.org/officeDocument/2006/relationships/image" Target="media/image5.jpeg"/><Relationship Id="rId15" Type="http://schemas.openxmlformats.org/officeDocument/2006/relationships/image" Target="media/image4.jpeg"/><Relationship Id="rId14" Type="http://schemas.openxmlformats.org/officeDocument/2006/relationships/image" Target="media/image3.jpeg"/><Relationship Id="rId13" Type="http://schemas.openxmlformats.org/officeDocument/2006/relationships/image" Target="media/image2.jpeg"/><Relationship Id="rId12" Type="http://schemas.openxmlformats.org/officeDocument/2006/relationships/image" Target="media/image1.jpeg"/><Relationship Id="rId11" Type="http://schemas.openxmlformats.org/officeDocument/2006/relationships/theme" Target="theme/theme1.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93ABCBD-76E4-41AA-8F57-73E72CAF8D5A}">
  <ds:schemaRefs/>
</ds:datastoreItem>
</file>

<file path=docProps/app.xml><?xml version="1.0" encoding="utf-8"?>
<Properties xmlns="http://schemas.openxmlformats.org/officeDocument/2006/extended-properties" xmlns:vt="http://schemas.openxmlformats.org/officeDocument/2006/docPropsVTypes">
  <Template>Normal</Template>
  <Pages>16</Pages>
  <Words>888</Words>
  <Characters>5066</Characters>
  <Lines>42</Lines>
  <Paragraphs>11</Paragraphs>
  <TotalTime>14</TotalTime>
  <ScaleCrop>false</ScaleCrop>
  <LinksUpToDate>false</LinksUpToDate>
  <CharactersWithSpaces>5943</CharactersWithSpaces>
  <Application>WPS Office_10.8.2.7098_F1E327BC-269C-435d-A152-05C5408002CA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2023-03-06T02:45:00Z</dcterms:created>
  <dc:creator>Administrator</dc:creator>
  <cp:lastModifiedBy>sss</cp:lastModifiedBy>
  <dcterms:modified xsi:type="dcterms:W3CDTF">2023-03-31T01:39:13Z</dcterms:modified>
  <cp:revision>32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2052-10.8.2.7098</vt:lpwstr>
  </property>
  <property fmtid="{D5CDD505-2E9C-101B-9397-08002B2CF9AE}" pid="3" name="ICV">
    <vt:lpwstr>C129ED83F53B4D82BFCFB05359E3A853</vt:lpwstr>
  </property>
  <property fmtid="{D5CDD505-2E9C-101B-9397-08002B2CF9AE}" pid="4" name="ribbonExt">
    <vt:lpwstr>{"WPSExtOfficeTab":{"OnGetEnabled":false,"OnGetVisible":false}}</vt:lpwstr>
  </property>
</Properties>
</file>