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283" w:leftChars="-135" w:right="-340" w:rightChars="-162"/>
        <w:jc w:val="center"/>
        <w:rPr>
          <w:rFonts w:hint="eastAsia" w:ascii="方正小标宋简体" w:hAnsi="方正小标宋简体" w:eastAsia="方正小标宋简体" w:cs="方正小标宋简体"/>
          <w:b w:val="0"/>
          <w:bCs/>
          <w:sz w:val="44"/>
          <w:szCs w:val="44"/>
          <w:highlight w:val="none"/>
        </w:rPr>
      </w:pPr>
      <w:r>
        <w:rPr>
          <w:rFonts w:hint="eastAsia" w:ascii="方正小标宋简体" w:hAnsi="方正小标宋简体" w:eastAsia="方正小标宋简体" w:cs="方正小标宋简体"/>
          <w:b w:val="0"/>
          <w:bCs/>
          <w:sz w:val="44"/>
          <w:szCs w:val="44"/>
          <w:highlight w:val="none"/>
        </w:rPr>
        <w:t>《韶关历史文化名城保护规划修编</w:t>
      </w:r>
    </w:p>
    <w:p>
      <w:pPr>
        <w:ind w:left="-283" w:leftChars="-135" w:right="-340" w:rightChars="-162"/>
        <w:jc w:val="center"/>
        <w:rPr>
          <w:rFonts w:hint="eastAsia" w:ascii="方正小标宋简体" w:hAnsi="方正小标宋简体" w:eastAsia="方正小标宋简体" w:cs="方正小标宋简体"/>
          <w:b w:val="0"/>
          <w:bCs/>
          <w:sz w:val="44"/>
          <w:szCs w:val="44"/>
          <w:highlight w:val="none"/>
          <w:lang w:eastAsia="zh-CN"/>
        </w:rPr>
      </w:pPr>
      <w:r>
        <w:rPr>
          <w:rFonts w:hint="eastAsia" w:ascii="方正小标宋简体" w:hAnsi="方正小标宋简体" w:eastAsia="方正小标宋简体" w:cs="方正小标宋简体"/>
          <w:b w:val="0"/>
          <w:bCs/>
          <w:sz w:val="44"/>
          <w:szCs w:val="44"/>
          <w:highlight w:val="none"/>
        </w:rPr>
        <w:t>（2021-2035年）》</w:t>
      </w:r>
      <w:r>
        <w:rPr>
          <w:rFonts w:hint="eastAsia" w:ascii="方正小标宋简体" w:hAnsi="方正小标宋简体" w:eastAsia="方正小标宋简体" w:cs="方正小标宋简体"/>
          <w:b w:val="0"/>
          <w:bCs/>
          <w:sz w:val="44"/>
          <w:szCs w:val="44"/>
          <w:highlight w:val="none"/>
          <w:lang w:eastAsia="zh-CN"/>
        </w:rPr>
        <w:t>（草案）</w:t>
      </w:r>
    </w:p>
    <w:p>
      <w:pPr>
        <w:ind w:left="-283" w:leftChars="-135" w:right="-197" w:rightChars="-94"/>
        <w:jc w:val="center"/>
        <w:rPr>
          <w:rFonts w:hint="eastAsia" w:ascii="方正小标宋简体" w:hAnsi="方正小标宋简体" w:eastAsia="方正小标宋简体" w:cs="方正小标宋简体"/>
          <w:b w:val="0"/>
          <w:bCs/>
          <w:sz w:val="44"/>
          <w:szCs w:val="44"/>
          <w:highlight w:val="none"/>
          <w:lang w:eastAsia="zh-CN"/>
        </w:rPr>
      </w:pPr>
    </w:p>
    <w:p>
      <w:pPr>
        <w:adjustRightInd w:val="0"/>
        <w:snapToGrid w:val="0"/>
        <w:spacing w:line="360" w:lineRule="auto"/>
        <w:ind w:firstLine="640" w:firstLineChars="200"/>
        <w:rPr>
          <w:rFonts w:hint="eastAsia" w:ascii="黑体" w:hAnsi="黑体" w:eastAsia="黑体" w:cs="黑体"/>
          <w:b w:val="0"/>
          <w:bCs/>
          <w:sz w:val="32"/>
          <w:szCs w:val="24"/>
          <w:highlight w:val="none"/>
        </w:rPr>
      </w:pPr>
      <w:r>
        <w:rPr>
          <w:rFonts w:hint="eastAsia" w:ascii="黑体" w:hAnsi="黑体" w:eastAsia="黑体" w:cs="黑体"/>
          <w:b w:val="0"/>
          <w:bCs/>
          <w:sz w:val="32"/>
          <w:szCs w:val="24"/>
          <w:highlight w:val="none"/>
        </w:rPr>
        <w:t>一、规划范围</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本规划范围与《韶关市国土空间总体规划（2020-2035年）》相一致，为韶关市域范围，总面积约18412.66平方公里。</w:t>
      </w:r>
    </w:p>
    <w:p>
      <w:pPr>
        <w:adjustRightInd w:val="0"/>
        <w:snapToGrid w:val="0"/>
        <w:spacing w:line="360" w:lineRule="auto"/>
        <w:ind w:firstLine="560" w:firstLineChars="200"/>
        <w:rPr>
          <w:highlight w:val="none"/>
        </w:rPr>
      </w:pPr>
      <w:r>
        <w:rPr>
          <w:rFonts w:hint="eastAsia" w:ascii="仿宋_GB2312" w:eastAsia="仿宋_GB2312"/>
          <w:sz w:val="28"/>
          <w:szCs w:val="24"/>
          <w:highlight w:val="none"/>
        </w:rPr>
        <w:t>重点范围为历史城区，即小岛片区。面积约2.07平方公里。</w:t>
      </w:r>
    </w:p>
    <w:p>
      <w:pPr>
        <w:adjustRightInd w:val="0"/>
        <w:snapToGrid w:val="0"/>
        <w:spacing w:line="360" w:lineRule="auto"/>
        <w:ind w:firstLine="640" w:firstLineChars="200"/>
        <w:rPr>
          <w:rFonts w:hint="eastAsia" w:ascii="黑体" w:hAnsi="黑体" w:eastAsia="黑体" w:cs="黑体"/>
          <w:b w:val="0"/>
          <w:bCs/>
          <w:sz w:val="32"/>
          <w:szCs w:val="24"/>
          <w:highlight w:val="none"/>
        </w:rPr>
      </w:pPr>
      <w:r>
        <w:rPr>
          <w:rFonts w:hint="eastAsia" w:ascii="黑体" w:hAnsi="黑体" w:eastAsia="黑体" w:cs="黑体"/>
          <w:b w:val="0"/>
          <w:bCs/>
          <w:sz w:val="32"/>
          <w:szCs w:val="24"/>
          <w:highlight w:val="none"/>
        </w:rPr>
        <w:t>二、规划期限</w:t>
      </w:r>
    </w:p>
    <w:p>
      <w:pPr>
        <w:adjustRightInd w:val="0"/>
        <w:snapToGrid w:val="0"/>
        <w:spacing w:line="360" w:lineRule="auto"/>
        <w:ind w:firstLine="560" w:firstLineChars="200"/>
        <w:rPr>
          <w:highlight w:val="none"/>
        </w:rPr>
      </w:pPr>
      <w:r>
        <w:rPr>
          <w:rFonts w:hint="eastAsia" w:ascii="仿宋_GB2312" w:eastAsia="仿宋_GB2312"/>
          <w:sz w:val="28"/>
          <w:szCs w:val="24"/>
          <w:highlight w:val="none"/>
        </w:rPr>
        <w:t>本次规划期限与《韶关市国土空间总体规划（2020-2035年）》相衔接，为2021至2035年，其中近期至2025年，远期至2035年。</w:t>
      </w:r>
    </w:p>
    <w:p>
      <w:pPr>
        <w:adjustRightInd w:val="0"/>
        <w:snapToGrid w:val="0"/>
        <w:spacing w:line="360" w:lineRule="auto"/>
        <w:ind w:firstLine="640" w:firstLineChars="200"/>
        <w:rPr>
          <w:rFonts w:hint="eastAsia" w:ascii="黑体" w:hAnsi="黑体" w:eastAsia="黑体" w:cs="黑体"/>
          <w:b w:val="0"/>
          <w:bCs/>
          <w:sz w:val="32"/>
          <w:szCs w:val="24"/>
          <w:highlight w:val="none"/>
        </w:rPr>
      </w:pPr>
      <w:r>
        <w:rPr>
          <w:rFonts w:hint="eastAsia" w:ascii="黑体" w:hAnsi="黑体" w:eastAsia="黑体" w:cs="黑体"/>
          <w:b w:val="0"/>
          <w:bCs/>
          <w:sz w:val="32"/>
          <w:szCs w:val="24"/>
          <w:highlight w:val="none"/>
        </w:rPr>
        <w:t>三、规划原则</w:t>
      </w:r>
    </w:p>
    <w:p>
      <w:pPr>
        <w:adjustRightInd w:val="0"/>
        <w:snapToGrid w:val="0"/>
        <w:spacing w:line="360" w:lineRule="auto"/>
        <w:ind w:firstLine="560" w:firstLineChars="200"/>
        <w:rPr>
          <w:rFonts w:hint="eastAsia" w:ascii="仿宋_GB2312" w:eastAsia="仿宋_GB2312"/>
          <w:sz w:val="28"/>
          <w:szCs w:val="24"/>
          <w:highlight w:val="none"/>
        </w:rPr>
      </w:pPr>
      <w:r>
        <w:rPr>
          <w:rFonts w:hint="eastAsia" w:ascii="仿宋_GB2312" w:eastAsia="仿宋_GB2312"/>
          <w:sz w:val="28"/>
          <w:szCs w:val="24"/>
          <w:highlight w:val="none"/>
          <w:lang w:val="en-US" w:eastAsia="zh-CN"/>
        </w:rPr>
        <w:t>1</w:t>
      </w:r>
      <w:r>
        <w:rPr>
          <w:rFonts w:hint="eastAsia" w:ascii="仿宋_GB2312" w:eastAsia="仿宋_GB2312"/>
          <w:sz w:val="28"/>
          <w:szCs w:val="24"/>
          <w:highlight w:val="none"/>
        </w:rPr>
        <w:t>、保护遗产本体</w:t>
      </w:r>
      <w:r>
        <w:rPr>
          <w:rFonts w:hint="eastAsia" w:ascii="仿宋_GB2312" w:eastAsia="仿宋_GB2312"/>
          <w:sz w:val="28"/>
          <w:szCs w:val="24"/>
          <w:highlight w:val="none"/>
          <w:lang w:val="en-US" w:eastAsia="zh-CN"/>
        </w:rPr>
        <w:t>及周边</w:t>
      </w:r>
      <w:r>
        <w:rPr>
          <w:rFonts w:hint="eastAsia" w:ascii="仿宋_GB2312" w:eastAsia="仿宋_GB2312"/>
          <w:sz w:val="28"/>
          <w:szCs w:val="24"/>
          <w:highlight w:val="none"/>
        </w:rPr>
        <w:t>环境真实性、完整性和可持续性</w:t>
      </w:r>
      <w:r>
        <w:rPr>
          <w:rFonts w:hint="eastAsia" w:ascii="仿宋_GB2312" w:eastAsia="仿宋_GB2312"/>
          <w:sz w:val="28"/>
          <w:szCs w:val="24"/>
          <w:highlight w:val="none"/>
          <w:lang w:val="en-US" w:eastAsia="zh-CN"/>
        </w:rPr>
        <w:t>的</w:t>
      </w:r>
      <w:r>
        <w:rPr>
          <w:rFonts w:hint="eastAsia" w:ascii="仿宋_GB2312" w:eastAsia="仿宋_GB2312"/>
          <w:sz w:val="28"/>
          <w:szCs w:val="24"/>
          <w:highlight w:val="none"/>
        </w:rPr>
        <w:t>原则；</w:t>
      </w:r>
    </w:p>
    <w:p>
      <w:pPr>
        <w:adjustRightInd w:val="0"/>
        <w:snapToGrid w:val="0"/>
        <w:spacing w:line="360" w:lineRule="auto"/>
        <w:ind w:firstLine="560" w:firstLineChars="200"/>
        <w:rPr>
          <w:rFonts w:hint="eastAsia" w:ascii="仿宋_GB2312" w:eastAsia="仿宋_GB2312"/>
          <w:sz w:val="28"/>
          <w:szCs w:val="24"/>
          <w:highlight w:val="none"/>
          <w:lang w:val="en-US" w:eastAsia="zh-CN"/>
        </w:rPr>
      </w:pPr>
      <w:r>
        <w:rPr>
          <w:rFonts w:hint="eastAsia" w:ascii="仿宋_GB2312" w:eastAsia="仿宋_GB2312"/>
          <w:sz w:val="28"/>
          <w:szCs w:val="24"/>
          <w:highlight w:val="none"/>
          <w:lang w:val="en-US" w:eastAsia="zh-CN"/>
        </w:rPr>
        <w:t>2、</w:t>
      </w:r>
      <w:r>
        <w:rPr>
          <w:rFonts w:hint="eastAsia" w:ascii="仿宋_GB2312" w:eastAsia="仿宋_GB2312"/>
          <w:sz w:val="28"/>
          <w:szCs w:val="24"/>
          <w:highlight w:val="none"/>
        </w:rPr>
        <w:t>科学保护、依法保护、公众参与的原则；</w:t>
      </w:r>
    </w:p>
    <w:p>
      <w:pPr>
        <w:adjustRightInd w:val="0"/>
        <w:snapToGrid w:val="0"/>
        <w:spacing w:line="360" w:lineRule="auto"/>
        <w:ind w:firstLine="560" w:firstLineChars="200"/>
        <w:rPr>
          <w:rFonts w:ascii="仿宋_GB2312" w:eastAsia="仿宋_GB2312"/>
          <w:sz w:val="28"/>
          <w:szCs w:val="24"/>
          <w:highlight w:val="none"/>
        </w:rPr>
      </w:pPr>
      <w:r>
        <w:rPr>
          <w:rFonts w:ascii="仿宋_GB2312" w:eastAsia="仿宋_GB2312"/>
          <w:sz w:val="28"/>
          <w:szCs w:val="24"/>
          <w:highlight w:val="none"/>
        </w:rPr>
        <w:t>3</w:t>
      </w:r>
      <w:r>
        <w:rPr>
          <w:rFonts w:hint="eastAsia" w:ascii="仿宋_GB2312" w:eastAsia="仿宋_GB2312"/>
          <w:sz w:val="28"/>
          <w:szCs w:val="24"/>
          <w:highlight w:val="none"/>
        </w:rPr>
        <w:t>、合理利用、传承发展的原则；</w:t>
      </w:r>
    </w:p>
    <w:p>
      <w:pPr>
        <w:adjustRightInd w:val="0"/>
        <w:snapToGrid w:val="0"/>
        <w:spacing w:line="360" w:lineRule="auto"/>
        <w:ind w:firstLine="560" w:firstLineChars="200"/>
        <w:rPr>
          <w:rFonts w:ascii="仿宋_GB2312" w:eastAsia="仿宋_GB2312"/>
          <w:sz w:val="28"/>
          <w:szCs w:val="24"/>
          <w:highlight w:val="none"/>
        </w:rPr>
      </w:pPr>
      <w:r>
        <w:rPr>
          <w:rFonts w:ascii="仿宋_GB2312" w:eastAsia="仿宋_GB2312"/>
          <w:sz w:val="28"/>
          <w:szCs w:val="24"/>
          <w:highlight w:val="none"/>
        </w:rPr>
        <w:t>4</w:t>
      </w:r>
      <w:r>
        <w:rPr>
          <w:rFonts w:hint="eastAsia" w:ascii="仿宋_GB2312" w:eastAsia="仿宋_GB2312"/>
          <w:sz w:val="28"/>
          <w:szCs w:val="24"/>
          <w:highlight w:val="none"/>
        </w:rPr>
        <w:t>、物质文化遗产与非物质文化遗产相结合的原则；</w:t>
      </w:r>
    </w:p>
    <w:p>
      <w:pPr>
        <w:adjustRightInd w:val="0"/>
        <w:snapToGrid w:val="0"/>
        <w:spacing w:line="360" w:lineRule="auto"/>
        <w:ind w:firstLine="560" w:firstLineChars="200"/>
        <w:rPr>
          <w:highlight w:val="none"/>
        </w:rPr>
      </w:pPr>
      <w:r>
        <w:rPr>
          <w:rFonts w:ascii="仿宋_GB2312" w:eastAsia="仿宋_GB2312"/>
          <w:sz w:val="28"/>
          <w:szCs w:val="24"/>
          <w:highlight w:val="none"/>
        </w:rPr>
        <w:t>5</w:t>
      </w:r>
      <w:r>
        <w:rPr>
          <w:rFonts w:hint="eastAsia" w:ascii="仿宋_GB2312" w:eastAsia="仿宋_GB2312"/>
          <w:sz w:val="28"/>
          <w:szCs w:val="24"/>
          <w:highlight w:val="none"/>
        </w:rPr>
        <w:t>、改善人居环境，促进经济、社会协调发展的原则。</w:t>
      </w:r>
    </w:p>
    <w:p>
      <w:pPr>
        <w:adjustRightInd w:val="0"/>
        <w:snapToGrid w:val="0"/>
        <w:spacing w:line="360" w:lineRule="auto"/>
        <w:ind w:firstLine="640" w:firstLineChars="200"/>
        <w:rPr>
          <w:rFonts w:hint="eastAsia" w:ascii="黑体" w:hAnsi="黑体" w:eastAsia="黑体" w:cs="黑体"/>
          <w:b w:val="0"/>
          <w:bCs/>
          <w:sz w:val="32"/>
          <w:szCs w:val="24"/>
          <w:highlight w:val="none"/>
        </w:rPr>
      </w:pPr>
      <w:r>
        <w:rPr>
          <w:rFonts w:hint="eastAsia" w:ascii="黑体" w:hAnsi="黑体" w:eastAsia="黑体" w:cs="黑体"/>
          <w:b w:val="0"/>
          <w:bCs/>
          <w:sz w:val="32"/>
          <w:szCs w:val="24"/>
          <w:highlight w:val="none"/>
        </w:rPr>
        <w:t>四、名城价值与特色</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在现行名城保护规划确定的历史文化价值和城市特色的基础上，进一步挖掘补充、深化完善、整合提炼，形成韶关的六项历史文化价值和四项历史文化特色，为申报国家历史文化名城奠定基础。</w:t>
      </w:r>
    </w:p>
    <w:p>
      <w:pPr>
        <w:adjustRightInd w:val="0"/>
        <w:snapToGrid w:val="0"/>
        <w:spacing w:line="360" w:lineRule="auto"/>
        <w:ind w:firstLine="562" w:firstLineChars="200"/>
        <w:rPr>
          <w:rFonts w:ascii="仿宋_GB2312" w:eastAsia="仿宋_GB2312"/>
          <w:b/>
          <w:bCs/>
          <w:sz w:val="28"/>
          <w:szCs w:val="24"/>
          <w:highlight w:val="none"/>
        </w:rPr>
      </w:pPr>
      <w:r>
        <w:rPr>
          <w:rFonts w:ascii="仿宋_GB2312" w:eastAsia="仿宋_GB2312"/>
          <w:b/>
          <w:bCs/>
          <w:sz w:val="28"/>
          <w:szCs w:val="24"/>
          <w:highlight w:val="none"/>
        </w:rPr>
        <w:t>1</w:t>
      </w:r>
      <w:r>
        <w:rPr>
          <w:rFonts w:hint="eastAsia" w:ascii="仿宋_GB2312" w:eastAsia="仿宋_GB2312"/>
          <w:b/>
          <w:bCs/>
          <w:sz w:val="28"/>
          <w:szCs w:val="24"/>
          <w:highlight w:val="none"/>
        </w:rPr>
        <w:t>、历史文化价值</w:t>
      </w:r>
    </w:p>
    <w:p>
      <w:pPr>
        <w:numPr>
          <w:ilvl w:val="0"/>
          <w:numId w:val="1"/>
        </w:numPr>
        <w:adjustRightInd w:val="0"/>
        <w:snapToGrid w:val="0"/>
        <w:spacing w:line="360" w:lineRule="auto"/>
        <w:ind w:firstLine="562" w:firstLineChars="200"/>
        <w:rPr>
          <w:rFonts w:ascii="仿宋_GB2312" w:eastAsia="仿宋_GB2312"/>
          <w:b/>
          <w:bCs/>
          <w:sz w:val="28"/>
          <w:szCs w:val="24"/>
          <w:highlight w:val="none"/>
        </w:rPr>
      </w:pPr>
      <w:r>
        <w:rPr>
          <w:rFonts w:hint="eastAsia" w:ascii="仿宋_GB2312" w:eastAsia="仿宋_GB2312"/>
          <w:b/>
          <w:bCs/>
          <w:sz w:val="28"/>
          <w:szCs w:val="24"/>
          <w:highlight w:val="none"/>
        </w:rPr>
        <w:t>岭南文化的重要发祥地之一，孕育特色鲜明的“韶文化”</w:t>
      </w:r>
    </w:p>
    <w:p>
      <w:pPr>
        <w:adjustRightInd w:val="0"/>
        <w:snapToGrid w:val="0"/>
        <w:spacing w:line="360" w:lineRule="auto"/>
        <w:ind w:firstLine="560" w:firstLineChars="200"/>
        <w:rPr>
          <w:rFonts w:hint="eastAsia" w:ascii="仿宋_GB2312" w:eastAsia="仿宋_GB2312"/>
          <w:sz w:val="28"/>
          <w:szCs w:val="24"/>
          <w:highlight w:val="none"/>
        </w:rPr>
      </w:pPr>
      <w:r>
        <w:rPr>
          <w:rFonts w:hint="eastAsia" w:ascii="仿宋_GB2312" w:eastAsia="仿宋_GB2312"/>
          <w:sz w:val="28"/>
          <w:szCs w:val="24"/>
          <w:highlight w:val="none"/>
        </w:rPr>
        <w:t>体现为：马坝人遗址填补了华南人类进化系统上的空白</w:t>
      </w:r>
      <w:r>
        <w:rPr>
          <w:rFonts w:hint="eastAsia" w:ascii="仿宋_GB2312" w:eastAsia="仿宋_GB2312"/>
          <w:sz w:val="28"/>
          <w:szCs w:val="24"/>
          <w:highlight w:val="none"/>
          <w:lang w:eastAsia="zh-CN"/>
        </w:rPr>
        <w:t>，</w:t>
      </w:r>
      <w:r>
        <w:rPr>
          <w:rFonts w:hint="eastAsia" w:ascii="仿宋_GB2312" w:eastAsia="仿宋_GB2312"/>
          <w:sz w:val="28"/>
          <w:szCs w:val="24"/>
          <w:highlight w:val="none"/>
        </w:rPr>
        <w:t>佐证了在旧石器时代中期韶关就是岭南地区早期人类生活与生产的发祥地之一；石峡遗址是岭南地区重要的新石器时代晚期遗址，佐证了韶关是岭南地区人类较早“已跨入了文明门槛”的重要文明发祥地之一，此外，曲江、乐昌、始兴等地发现的大量小型青铜器是广东青铜文化最早的确证；</w:t>
      </w:r>
    </w:p>
    <w:p>
      <w:pPr>
        <w:adjustRightInd w:val="0"/>
        <w:snapToGrid w:val="0"/>
        <w:spacing w:line="360" w:lineRule="auto"/>
        <w:ind w:firstLine="560" w:firstLineChars="200"/>
        <w:rPr>
          <w:rFonts w:hint="eastAsia" w:ascii="仿宋_GB2312" w:eastAsia="仿宋_GB2312"/>
          <w:sz w:val="28"/>
          <w:szCs w:val="24"/>
          <w:highlight w:val="none"/>
        </w:rPr>
      </w:pPr>
      <w:r>
        <w:rPr>
          <w:rFonts w:hint="eastAsia" w:ascii="仿宋_GB2312" w:eastAsia="仿宋_GB2312"/>
          <w:sz w:val="28"/>
          <w:szCs w:val="24"/>
          <w:highlight w:val="none"/>
        </w:rPr>
        <w:t>韶关因舜帝南巡奏“韶乐”而得名，独具特色的“韶文化”，成为岭南文化在粤北地区的标志性文化；以“韶石”为代表的丹霞红岩自然美和以善美和合为核心精神的韶乐人文美在韶关有机结合，韶乐、韶石、韶州</w:t>
      </w:r>
      <w:r>
        <w:rPr>
          <w:rFonts w:hint="eastAsia" w:ascii="仿宋_GB2312" w:eastAsia="仿宋_GB2312"/>
          <w:sz w:val="28"/>
          <w:szCs w:val="24"/>
          <w:highlight w:val="none"/>
          <w:lang w:val="en-US" w:eastAsia="zh-CN"/>
        </w:rPr>
        <w:t>成为地区</w:t>
      </w:r>
      <w:r>
        <w:rPr>
          <w:rFonts w:hint="eastAsia" w:ascii="仿宋_GB2312" w:eastAsia="仿宋_GB2312"/>
          <w:sz w:val="28"/>
          <w:szCs w:val="24"/>
          <w:highlight w:val="none"/>
        </w:rPr>
        <w:t>文化标识；</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韶关是佛教文化向海内外传播的南禅圣地、中国禅宗哲学思想诞生地、世界禅宗文化传播起点，禅宗六祖惠能在韶关曹溪弘法三十六年，真身永久留藏在南华禅寺</w:t>
      </w:r>
      <w:r>
        <w:rPr>
          <w:rFonts w:hint="eastAsia" w:ascii="仿宋_GB2312" w:eastAsia="仿宋_GB2312"/>
          <w:sz w:val="28"/>
          <w:szCs w:val="24"/>
          <w:highlight w:val="none"/>
          <w:lang w:eastAsia="zh-CN"/>
        </w:rPr>
        <w:t>，</w:t>
      </w:r>
      <w:r>
        <w:rPr>
          <w:rFonts w:hint="eastAsia" w:ascii="仿宋_GB2312" w:eastAsia="仿宋_GB2312"/>
          <w:sz w:val="28"/>
          <w:szCs w:val="24"/>
          <w:highlight w:val="none"/>
        </w:rPr>
        <w:t>禅宗在韶关完成传法制度改革，由一脉单传的“单头弘法”转为一代多传的“多头并弘”，加速了禅宗思想的弘扬传播；</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历史上韶关是客家、广府文化与土著文化频繁交融区域，我国内地客家人四大聚集地之一，也是广府人、客家人的“开基”之地，遍布城乡的各姓氏宗祠是韶关作为我国内地客家人四大聚集地区之一的有力见证，四角楼形制和以满堂客家大围、东湖坪村围屋为代表的客家建筑体现客家先民以血缘为纽带聚族而居的社会组织方式；</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历代韶关人才辈出，名人荟萃，张九龄、余靖、廖燕被誉为韶关乃至广东历史上三座文化高峰，是岭南教育、科举、文献重镇。</w:t>
      </w:r>
    </w:p>
    <w:p>
      <w:pPr>
        <w:numPr>
          <w:ilvl w:val="0"/>
          <w:numId w:val="1"/>
        </w:numPr>
        <w:adjustRightInd w:val="0"/>
        <w:snapToGrid w:val="0"/>
        <w:spacing w:line="360" w:lineRule="auto"/>
        <w:ind w:firstLine="562"/>
        <w:rPr>
          <w:rFonts w:ascii="仿宋_GB2312" w:eastAsia="仿宋_GB2312"/>
          <w:b/>
          <w:bCs/>
          <w:sz w:val="28"/>
          <w:szCs w:val="24"/>
          <w:highlight w:val="none"/>
        </w:rPr>
      </w:pPr>
      <w:r>
        <w:rPr>
          <w:rFonts w:hint="eastAsia" w:ascii="仿宋_GB2312" w:eastAsia="仿宋_GB2312"/>
          <w:b/>
          <w:bCs/>
          <w:sz w:val="28"/>
          <w:szCs w:val="24"/>
          <w:highlight w:val="none"/>
        </w:rPr>
        <w:t>南北交流传播的重要枢纽，古时华南最大的内陆税关</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体现为:韶关是中原人进入岭南第一站，秦时设立“三关”，即湟溪关、阳山关、横浦关（后世“梅关”），凭险扼守入粤门户；</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明清时期设有遇仙桥税关、太平桥税关和北门税关（旱关）三大税关，是一座“三关把城、商贾云集”，“舟车辐辏、踵接肩摩”的繁华商贸都城，见证韶州因税关而得名“韶关”的光辉历程；</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韶关历来是中原与岭南、中国内陆与海外经济文化交流的主要窗口和重要通道，长期以来境内的梅关古道、乌迳古道、西京古道成为连接南北交通的咽喉要道；</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两汉时期开始韶关就是以广州（番禺）为起点的海上丝绸之路的后方重要的中转站，明清伴随着广州“一口通商”政策的施行，韶关作为北江主要的交通枢纽，成就了“韶州”两千多年来在广东省的重要商贸城（南岭物质集散中心）的历史地位。</w:t>
      </w:r>
    </w:p>
    <w:p>
      <w:pPr>
        <w:numPr>
          <w:ilvl w:val="0"/>
          <w:numId w:val="1"/>
        </w:numPr>
        <w:adjustRightInd w:val="0"/>
        <w:snapToGrid w:val="0"/>
        <w:spacing w:line="360" w:lineRule="auto"/>
        <w:ind w:firstLine="562" w:firstLineChars="200"/>
        <w:rPr>
          <w:rFonts w:ascii="仿宋_GB2312" w:eastAsia="仿宋_GB2312"/>
          <w:b/>
          <w:bCs/>
          <w:sz w:val="28"/>
          <w:szCs w:val="24"/>
          <w:highlight w:val="none"/>
        </w:rPr>
      </w:pPr>
      <w:r>
        <w:rPr>
          <w:rFonts w:hint="eastAsia" w:ascii="仿宋_GB2312" w:eastAsia="仿宋_GB2312"/>
          <w:b/>
          <w:bCs/>
          <w:sz w:val="28"/>
          <w:szCs w:val="24"/>
          <w:highlight w:val="none"/>
        </w:rPr>
        <w:t>广东政治军事格局变化的重要见证地，有光荣革命传统的红色热土。</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体现为：以韶州府署和曲江县署等军政管辖机构为代表的行政遗址是韶关作为粤北地区稳定千年的政治都城的有力见证；</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两次北伐战争的出师地与大本营佐证了韶关近代成为广东民主革命活动的重要地区，当时全国范围内属于较早开始近代化建设的一批市政改良先锋城市佐证了韶关是中国近代城市规划布局与制度建设的实践地；</w:t>
      </w:r>
    </w:p>
    <w:p>
      <w:pPr>
        <w:adjustRightInd w:val="0"/>
        <w:snapToGrid w:val="0"/>
        <w:spacing w:line="360" w:lineRule="auto"/>
        <w:ind w:firstLine="560" w:firstLineChars="200"/>
        <w:rPr>
          <w:rFonts w:ascii="仿宋_GB2312" w:eastAsia="仿宋_GB2312"/>
          <w:sz w:val="24"/>
          <w:szCs w:val="24"/>
          <w:highlight w:val="none"/>
        </w:rPr>
      </w:pPr>
      <w:r>
        <w:rPr>
          <w:rFonts w:hint="eastAsia" w:ascii="仿宋_GB2312" w:eastAsia="仿宋_GB2312"/>
          <w:sz w:val="28"/>
          <w:szCs w:val="24"/>
          <w:highlight w:val="none"/>
        </w:rPr>
        <w:t>中国共产党领导下的“坪石大捷”、水口战役、双峰寨保卫战、三年游击战让星星之火开始燎原，长征红军途径南雄、仁化、乐昌三地，南昌起义南下广东、东江纵队北上部队挺进粤北都在韶关留下遗址遗迹等，佐证了</w:t>
      </w:r>
      <w:r>
        <w:rPr>
          <w:rFonts w:ascii="仿宋_GB2312" w:eastAsia="仿宋_GB2312"/>
          <w:sz w:val="28"/>
          <w:szCs w:val="24"/>
          <w:highlight w:val="none"/>
        </w:rPr>
        <w:t>韶关是</w:t>
      </w:r>
      <w:r>
        <w:rPr>
          <w:rFonts w:hint="eastAsia" w:ascii="仿宋_GB2312" w:eastAsia="仿宋_GB2312"/>
          <w:sz w:val="28"/>
          <w:szCs w:val="24"/>
          <w:highlight w:val="none"/>
        </w:rPr>
        <w:t>粤赣湘“红三角”之一，此外，抗日时期，韶关成为战时省会和广东政治、经济、文化和军事中心，广东抗战的大后方。</w:t>
      </w:r>
    </w:p>
    <w:p>
      <w:pPr>
        <w:numPr>
          <w:ilvl w:val="0"/>
          <w:numId w:val="1"/>
        </w:numPr>
        <w:adjustRightInd w:val="0"/>
        <w:snapToGrid w:val="0"/>
        <w:spacing w:line="360" w:lineRule="auto"/>
        <w:ind w:firstLine="562"/>
        <w:rPr>
          <w:rFonts w:ascii="仿宋_GB2312" w:eastAsia="仿宋_GB2312"/>
          <w:b/>
          <w:bCs/>
          <w:sz w:val="28"/>
          <w:szCs w:val="24"/>
          <w:highlight w:val="none"/>
        </w:rPr>
      </w:pPr>
      <w:r>
        <w:rPr>
          <w:rFonts w:hint="eastAsia" w:ascii="仿宋_GB2312" w:eastAsia="仿宋_GB2312"/>
          <w:b/>
          <w:bCs/>
          <w:sz w:val="28"/>
          <w:szCs w:val="24"/>
          <w:highlight w:val="none"/>
        </w:rPr>
        <w:t>近现代古今一脉、矿冶悠久的经济重镇，岭南山水城市依托资源发展的典型代表</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体现为：依托南岭山脉的金属矿藏和资源禀赋，以岑水铜场为首的韶州铜冶和以永通钱监为主的铸币产业发展居于宋代全国首列，佐证了韶关成为中国古代冶铸矿业中心；</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民国时期，成为中国首批成制式飞机制造地，标志着近代机械工业在韶关的兴起；</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新中国建立后，建成全国第一座土法铀水冶厂，为我国第一颗原子弹的研制提供重要的铀材料，此后，先后建成水轮机厂、齿轮厂、油泵油嘴厂、柴油机厂、韶关冶炼厂、七四五矿等企业，都佐证了韶关为全国工业体系的建设传送源源不断的技术支持。</w:t>
      </w:r>
    </w:p>
    <w:p>
      <w:pPr>
        <w:numPr>
          <w:ilvl w:val="0"/>
          <w:numId w:val="1"/>
        </w:numPr>
        <w:adjustRightInd w:val="0"/>
        <w:snapToGrid w:val="0"/>
        <w:spacing w:line="360" w:lineRule="auto"/>
        <w:ind w:firstLine="562" w:firstLineChars="200"/>
        <w:rPr>
          <w:rFonts w:ascii="仿宋_GB2312" w:eastAsia="仿宋_GB2312"/>
          <w:b/>
          <w:bCs/>
          <w:sz w:val="28"/>
          <w:szCs w:val="24"/>
          <w:highlight w:val="none"/>
        </w:rPr>
      </w:pPr>
      <w:r>
        <w:rPr>
          <w:rFonts w:hint="eastAsia" w:ascii="仿宋_GB2312" w:eastAsia="仿宋_GB2312"/>
          <w:b/>
          <w:bCs/>
          <w:sz w:val="28"/>
          <w:szCs w:val="24"/>
          <w:highlight w:val="none"/>
        </w:rPr>
        <w:t>古代多民族交流融合的岭南古城，海外瑶族的祖居地</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体现为：韶关地区是多民族聚居的地区、广东省少数民族主要聚居区之一，世居少数民族为瑶族和畲族；</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南岭无山不有瑶”，乳源瑶族自治县是瑶族的主要分布地区之一,也是历史上瑶族迁徙过程中的重要聚集地和海外瑶族的祖居地，号称世界过山瑶之乡，迄今仍保存有瑶族盘王节、瑶族刺绣、瑶族民歌等国家级非物质文化遗产。</w:t>
      </w:r>
    </w:p>
    <w:p>
      <w:pPr>
        <w:numPr>
          <w:ilvl w:val="0"/>
          <w:numId w:val="1"/>
        </w:numPr>
        <w:adjustRightInd w:val="0"/>
        <w:snapToGrid w:val="0"/>
        <w:spacing w:line="360" w:lineRule="auto"/>
        <w:ind w:firstLine="562"/>
        <w:rPr>
          <w:rFonts w:ascii="仿宋_GB2312" w:eastAsia="仿宋_GB2312"/>
          <w:b/>
          <w:bCs/>
          <w:sz w:val="28"/>
          <w:szCs w:val="24"/>
          <w:highlight w:val="none"/>
        </w:rPr>
      </w:pPr>
      <w:r>
        <w:rPr>
          <w:rFonts w:hint="eastAsia" w:ascii="仿宋_GB2312" w:eastAsia="仿宋_GB2312"/>
          <w:b/>
          <w:bCs/>
          <w:sz w:val="28"/>
          <w:szCs w:val="24"/>
          <w:highlight w:val="none"/>
        </w:rPr>
        <w:t>华南独特地理景观的孕育地，自然景观、人文传说交相辉映的岭南名郡</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体现在：</w:t>
      </w:r>
      <w:r>
        <w:rPr>
          <w:rFonts w:hint="eastAsia" w:ascii="仿宋_GB2312" w:eastAsia="仿宋_GB2312"/>
          <w:sz w:val="28"/>
          <w:szCs w:val="24"/>
          <w:highlight w:val="none"/>
          <w:lang w:val="en-US" w:eastAsia="zh-CN"/>
        </w:rPr>
        <w:t>韶关是</w:t>
      </w:r>
      <w:r>
        <w:rPr>
          <w:rFonts w:hint="eastAsia" w:ascii="仿宋_GB2312" w:eastAsia="仿宋_GB2312"/>
          <w:sz w:val="28"/>
          <w:szCs w:val="24"/>
          <w:highlight w:val="none"/>
        </w:rPr>
        <w:t>全国首批六个生态文明建设试点地区之一、车八岭国家级自然保护区晋级为世界生物圈保护区、南岭国家公园是广东最大的生物物种基因库、国家重点生态功能区；</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丹霞山一带以独特的红岩地貌举世闻名，成为世界自然遗产，既是中国典型的“丹霞地貌”所在地和命名地，也是中国自然地理与生态环境复杂性与多样性的生动佐证；</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韶关具有丰富的地方人文资源，集名山、大江、古城于一身，清代曲江二十四景佐证了古韶州历史悠久的名胜古迹和风光秀丽的山水景色、</w:t>
      </w:r>
      <w:bookmarkStart w:id="0" w:name="_GoBack"/>
      <w:bookmarkEnd w:id="0"/>
      <w:r>
        <w:rPr>
          <w:rFonts w:hint="eastAsia" w:ascii="仿宋_GB2312" w:eastAsia="仿宋_GB2312"/>
          <w:sz w:val="28"/>
          <w:szCs w:val="24"/>
          <w:highlight w:val="none"/>
        </w:rPr>
        <w:t>“古虞名郡”的美誉。</w:t>
      </w:r>
    </w:p>
    <w:p>
      <w:pPr>
        <w:adjustRightInd w:val="0"/>
        <w:snapToGrid w:val="0"/>
        <w:spacing w:line="360" w:lineRule="auto"/>
        <w:ind w:firstLine="562" w:firstLineChars="200"/>
        <w:rPr>
          <w:rFonts w:ascii="仿宋_GB2312" w:eastAsia="仿宋_GB2312"/>
          <w:b/>
          <w:sz w:val="28"/>
          <w:szCs w:val="24"/>
          <w:highlight w:val="none"/>
        </w:rPr>
      </w:pPr>
      <w:r>
        <w:rPr>
          <w:rFonts w:hint="eastAsia" w:ascii="仿宋_GB2312" w:eastAsia="仿宋_GB2312"/>
          <w:b/>
          <w:sz w:val="28"/>
          <w:szCs w:val="24"/>
          <w:highlight w:val="none"/>
        </w:rPr>
        <w:t>2、名城特色</w:t>
      </w:r>
    </w:p>
    <w:p>
      <w:pPr>
        <w:adjustRightInd w:val="0"/>
        <w:snapToGrid w:val="0"/>
        <w:spacing w:line="360" w:lineRule="auto"/>
        <w:ind w:firstLine="562" w:firstLineChars="200"/>
        <w:rPr>
          <w:rFonts w:ascii="仿宋_GB2312" w:eastAsia="仿宋_GB2312"/>
          <w:b/>
          <w:sz w:val="28"/>
          <w:szCs w:val="24"/>
          <w:highlight w:val="none"/>
        </w:rPr>
      </w:pPr>
      <w:r>
        <w:rPr>
          <w:rFonts w:hint="eastAsia" w:ascii="仿宋_GB2312" w:eastAsia="仿宋_GB2312"/>
          <w:b/>
          <w:sz w:val="28"/>
          <w:szCs w:val="24"/>
          <w:highlight w:val="none"/>
        </w:rPr>
        <w:t>（1）“三脉汇聚，三江汇流”的山川形胜</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南岭山脉中大庾岭、瑶山、滑石山三列弧形山系成为城市自然大背景，浈江、武江和北江三条河流穿插在城野之间，成为山城交融的中间要素，韶州府城、南雄、始兴和乐昌等许多重要城镇和村落沿河流两岸发展。</w:t>
      </w:r>
    </w:p>
    <w:p>
      <w:pPr>
        <w:adjustRightInd w:val="0"/>
        <w:snapToGrid w:val="0"/>
        <w:spacing w:line="360" w:lineRule="auto"/>
        <w:ind w:firstLine="562" w:firstLineChars="200"/>
        <w:rPr>
          <w:rFonts w:ascii="仿宋_GB2312" w:eastAsia="仿宋_GB2312"/>
          <w:b/>
          <w:sz w:val="28"/>
          <w:szCs w:val="24"/>
          <w:highlight w:val="none"/>
        </w:rPr>
      </w:pPr>
      <w:r>
        <w:rPr>
          <w:rFonts w:hint="eastAsia" w:ascii="仿宋_GB2312" w:eastAsia="仿宋_GB2312"/>
          <w:b/>
          <w:sz w:val="28"/>
          <w:szCs w:val="24"/>
          <w:highlight w:val="none"/>
        </w:rPr>
        <w:t>（2）“三江六岸、城山呼应”的城址环境</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韶关城区三山围绕，三江淌过，形成独特的“三山三江六岸”的形态。韶关城内的主要街巷与城门、山体间都存在对应关系，形成视线通廊。韶关古城主轴基本与南北向山体（皇岗山-帽子山-莲花山）连成直线。</w:t>
      </w:r>
    </w:p>
    <w:p>
      <w:pPr>
        <w:adjustRightInd w:val="0"/>
        <w:snapToGrid w:val="0"/>
        <w:spacing w:line="360" w:lineRule="auto"/>
        <w:ind w:firstLine="562" w:firstLineChars="200"/>
        <w:rPr>
          <w:rFonts w:ascii="仿宋_GB2312" w:eastAsia="仿宋_GB2312"/>
          <w:b/>
          <w:sz w:val="28"/>
          <w:szCs w:val="24"/>
          <w:highlight w:val="none"/>
        </w:rPr>
      </w:pPr>
      <w:r>
        <w:rPr>
          <w:rFonts w:hint="eastAsia" w:ascii="仿宋_GB2312" w:eastAsia="仿宋_GB2312"/>
          <w:b/>
          <w:sz w:val="28"/>
          <w:szCs w:val="24"/>
          <w:highlight w:val="none"/>
        </w:rPr>
        <w:t>（3）“一城八门，一纵十横”的古城格局肌理</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韶关古城共有八个城门，城门的设置和兴废与军事、交通及商贸需求紧密联系。中部街巷以风度路为骨架、鱼骨状不对称分布，形成“一纵十横”的传统城市街巷肌理。城内重要建筑之间、街坊尺度及城市轴线尺度存在着典型的尺度模数关系，充分体现了韶州古城的传统城市结构。</w:t>
      </w:r>
    </w:p>
    <w:p>
      <w:pPr>
        <w:adjustRightInd w:val="0"/>
        <w:snapToGrid w:val="0"/>
        <w:spacing w:line="360" w:lineRule="auto"/>
        <w:ind w:firstLine="562" w:firstLineChars="200"/>
        <w:rPr>
          <w:rFonts w:ascii="仿宋_GB2312" w:eastAsia="仿宋_GB2312"/>
          <w:b/>
          <w:sz w:val="28"/>
          <w:szCs w:val="24"/>
          <w:highlight w:val="none"/>
        </w:rPr>
      </w:pPr>
      <w:r>
        <w:rPr>
          <w:rFonts w:hint="eastAsia" w:ascii="仿宋_GB2312" w:eastAsia="仿宋_GB2312"/>
          <w:b/>
          <w:sz w:val="28"/>
          <w:szCs w:val="24"/>
          <w:highlight w:val="none"/>
        </w:rPr>
        <w:t>（4）“多元融合，风格多样”的建筑风貌</w:t>
      </w:r>
    </w:p>
    <w:p>
      <w:pPr>
        <w:adjustRightInd w:val="0"/>
        <w:snapToGrid w:val="0"/>
        <w:spacing w:line="360" w:lineRule="auto"/>
        <w:ind w:firstLine="560" w:firstLineChars="200"/>
        <w:rPr>
          <w:highlight w:val="none"/>
        </w:rPr>
      </w:pPr>
      <w:r>
        <w:rPr>
          <w:rFonts w:hint="eastAsia" w:ascii="仿宋_GB2312" w:eastAsia="仿宋_GB2312"/>
          <w:sz w:val="28"/>
          <w:szCs w:val="24"/>
          <w:highlight w:val="none"/>
        </w:rPr>
        <w:t>韶关在建筑形制上受到江西、湖南、广西等相邻地域的文化影响，而呈现多元的建筑风格，以客家建筑风格和广府建筑风格为主，兼具少数民族（主要为瑶族）的建筑风格以及中西合璧的骑楼风格。</w:t>
      </w:r>
    </w:p>
    <w:p>
      <w:pPr>
        <w:adjustRightInd w:val="0"/>
        <w:snapToGrid w:val="0"/>
        <w:spacing w:line="360" w:lineRule="auto"/>
        <w:ind w:firstLine="640" w:firstLineChars="200"/>
        <w:rPr>
          <w:rFonts w:hint="eastAsia" w:ascii="黑体" w:hAnsi="黑体" w:eastAsia="黑体" w:cs="黑体"/>
          <w:b w:val="0"/>
          <w:bCs/>
          <w:sz w:val="32"/>
          <w:szCs w:val="24"/>
          <w:highlight w:val="none"/>
        </w:rPr>
      </w:pPr>
      <w:r>
        <w:rPr>
          <w:rFonts w:hint="eastAsia" w:ascii="黑体" w:hAnsi="黑体" w:eastAsia="黑体" w:cs="黑体"/>
          <w:b w:val="0"/>
          <w:bCs/>
          <w:sz w:val="32"/>
          <w:szCs w:val="24"/>
          <w:highlight w:val="none"/>
        </w:rPr>
        <w:t>五、保护体系</w:t>
      </w:r>
    </w:p>
    <w:p>
      <w:pPr>
        <w:adjustRightInd w:val="0"/>
        <w:snapToGrid w:val="0"/>
        <w:spacing w:line="360" w:lineRule="auto"/>
        <w:ind w:firstLine="560" w:firstLineChars="200"/>
        <w:rPr>
          <w:highlight w:val="none"/>
        </w:rPr>
      </w:pPr>
      <w:r>
        <w:rPr>
          <w:rFonts w:hint="eastAsia" w:ascii="仿宋_GB2312" w:eastAsia="仿宋_GB2312"/>
          <w:sz w:val="28"/>
          <w:szCs w:val="24"/>
          <w:highlight w:val="none"/>
        </w:rPr>
        <w:t>以历史文化价值为引领，全面保护物质文化遗产、非物质文化遗产及其他文化遗产，形成7个层面的规划内容，分别为市域层面，历史城区层面，历史文化名镇名村、传统村落层面，历史文化街区与历史文化风貌区层面，文物古迹层面，非物质文化遗产层面，其他文化遗产层面。</w:t>
      </w:r>
    </w:p>
    <w:p>
      <w:pPr>
        <w:adjustRightInd w:val="0"/>
        <w:snapToGrid w:val="0"/>
        <w:spacing w:line="360" w:lineRule="auto"/>
        <w:ind w:firstLine="640" w:firstLineChars="200"/>
        <w:rPr>
          <w:rFonts w:hint="eastAsia" w:ascii="黑体" w:hAnsi="黑体" w:eastAsia="黑体" w:cs="黑体"/>
          <w:b w:val="0"/>
          <w:bCs/>
          <w:sz w:val="32"/>
          <w:szCs w:val="24"/>
          <w:highlight w:val="none"/>
        </w:rPr>
      </w:pPr>
      <w:r>
        <w:rPr>
          <w:rFonts w:hint="eastAsia" w:ascii="黑体" w:hAnsi="黑体" w:eastAsia="黑体" w:cs="黑体"/>
          <w:b w:val="0"/>
          <w:bCs/>
          <w:sz w:val="32"/>
          <w:szCs w:val="24"/>
          <w:highlight w:val="none"/>
        </w:rPr>
        <w:t>六、市域整体保护</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保护韶关市域“十里青山盘古道，三江碧波拥韶城”的“山-水-道-村-城”历史文化空间结构。</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“山”指韶关自北向南分布的三列弧形山系，分别为大庾岭、瑶山、滑石山。</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“水”指浈江、武江、北江三江及其他大小支流、河湖水系。</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“道”指梅关古道、乌迳古道和西京古道三条重要的线性历史文化遗产。</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“村”指历史文化名村、传统村落。</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“城”指韶关历史城区。</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基于名城价值特色，结合国家的法律法规和标准规范，为韶关构建全时空、全要素、物质与非物质相结合的新时期名城保护传承体系，涵盖市域范围内的山川形胜、文物古迹、名城名镇名村与传统村落、非物质文化遗产，历史城区的城址环境、历史格局、景观风貌以及历史文化街区、历史风貌区等历史地段。</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通过各类保护要素的名录梳理摸清历史文化家底，分类提出保护管控措施，构建市域层面整体保护和传承的历史文化展示体系，留住属于韶关的乡愁记忆。韶关名城保护传承体系的保护要素和保护内容详见下表。</w:t>
      </w:r>
    </w:p>
    <w:p>
      <w:pPr>
        <w:adjustRightInd w:val="0"/>
        <w:snapToGrid w:val="0"/>
        <w:rPr>
          <w:rFonts w:ascii="仿宋_GB2312" w:eastAsia="仿宋_GB2312"/>
          <w:sz w:val="28"/>
          <w:szCs w:val="24"/>
          <w:highlight w:val="none"/>
        </w:rPr>
      </w:pPr>
      <w:r>
        <w:rPr>
          <w:rFonts w:ascii="仿宋_GB2312" w:eastAsia="仿宋_GB2312"/>
          <w:sz w:val="28"/>
          <w:szCs w:val="24"/>
          <w:highlight w:val="none"/>
        </w:rPr>
        <w:drawing>
          <wp:inline distT="0" distB="0" distL="0" distR="0">
            <wp:extent cx="5274310" cy="4644390"/>
            <wp:effectExtent l="0" t="0" r="2540" b="381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a:xfrm>
                      <a:off x="0" y="0"/>
                      <a:ext cx="5274310" cy="4644970"/>
                    </a:xfrm>
                    <a:prstGeom prst="rect">
                      <a:avLst/>
                    </a:prstGeom>
                    <a:noFill/>
                  </pic:spPr>
                </pic:pic>
              </a:graphicData>
            </a:graphic>
          </wp:inline>
        </w:drawing>
      </w:r>
    </w:p>
    <w:p>
      <w:pPr>
        <w:pStyle w:val="20"/>
        <w:rPr>
          <w:highlight w:val="none"/>
        </w:rPr>
      </w:pPr>
      <w:r>
        <w:rPr>
          <w:rFonts w:hint="eastAsia"/>
          <w:highlight w:val="none"/>
        </w:rPr>
        <w:t>市域历史文化保护结构图</w:t>
      </w:r>
    </w:p>
    <w:p>
      <w:pPr>
        <w:pStyle w:val="20"/>
        <w:rPr>
          <w:highlight w:val="none"/>
        </w:rPr>
      </w:pPr>
    </w:p>
    <w:p>
      <w:pPr>
        <w:rPr>
          <w:highlight w:val="none"/>
        </w:rPr>
      </w:pPr>
      <w:r>
        <w:rPr>
          <w:rFonts w:hint="eastAsia"/>
          <w:highlight w:val="none"/>
        </w:rPr>
        <w:br w:type="page"/>
      </w:r>
    </w:p>
    <w:p>
      <w:pPr>
        <w:pStyle w:val="20"/>
        <w:rPr>
          <w:highlight w:val="none"/>
        </w:rPr>
      </w:pPr>
      <w:r>
        <w:rPr>
          <w:rFonts w:hint="eastAsia"/>
          <w:highlight w:val="none"/>
        </w:rPr>
        <w:t>表 韶关历史文化名城保护内容一览表</w:t>
      </w:r>
    </w:p>
    <w:tbl>
      <w:tblPr>
        <w:tblStyle w:val="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8"/>
        <w:gridCol w:w="747"/>
        <w:gridCol w:w="1893"/>
        <w:gridCol w:w="53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blHeader/>
        </w:trPr>
        <w:tc>
          <w:tcPr>
            <w:tcW w:w="327" w:type="pct"/>
            <w:shd w:val="clear" w:color="auto" w:fill="D9D9D9"/>
            <w:noWrap/>
            <w:vAlign w:val="center"/>
          </w:tcPr>
          <w:p>
            <w:pPr>
              <w:spacing w:line="300" w:lineRule="exact"/>
              <w:ind w:left="-105" w:leftChars="-50" w:right="-105" w:rightChars="-50"/>
              <w:jc w:val="center"/>
              <w:rPr>
                <w:rFonts w:ascii="微软雅黑" w:hAnsi="微软雅黑" w:eastAsia="宋体" w:cs="宋体"/>
                <w:b/>
                <w:sz w:val="24"/>
                <w:szCs w:val="24"/>
                <w:highlight w:val="none"/>
              </w:rPr>
            </w:pPr>
            <w:r>
              <w:rPr>
                <w:rFonts w:hint="eastAsia" w:ascii="微软雅黑" w:hAnsi="微软雅黑" w:eastAsia="宋体" w:cs="宋体"/>
                <w:b/>
                <w:sz w:val="24"/>
                <w:szCs w:val="24"/>
                <w:highlight w:val="none"/>
              </w:rPr>
              <w:t>要素类别</w:t>
            </w:r>
          </w:p>
        </w:tc>
        <w:tc>
          <w:tcPr>
            <w:tcW w:w="1549" w:type="pct"/>
            <w:gridSpan w:val="2"/>
            <w:shd w:val="clear" w:color="auto" w:fill="D9D9D9"/>
            <w:noWrap/>
            <w:vAlign w:val="center"/>
          </w:tcPr>
          <w:p>
            <w:pPr>
              <w:spacing w:line="300" w:lineRule="exact"/>
              <w:jc w:val="center"/>
              <w:rPr>
                <w:rFonts w:ascii="微软雅黑" w:hAnsi="微软雅黑" w:eastAsia="宋体" w:cs="宋体"/>
                <w:b/>
                <w:sz w:val="24"/>
                <w:szCs w:val="24"/>
                <w:highlight w:val="none"/>
              </w:rPr>
            </w:pPr>
            <w:r>
              <w:rPr>
                <w:rFonts w:hint="eastAsia" w:ascii="微软雅黑" w:hAnsi="微软雅黑" w:eastAsia="宋体" w:cs="宋体"/>
                <w:b/>
                <w:sz w:val="24"/>
                <w:szCs w:val="24"/>
                <w:highlight w:val="none"/>
              </w:rPr>
              <w:t>要素名称</w:t>
            </w:r>
          </w:p>
        </w:tc>
        <w:tc>
          <w:tcPr>
            <w:tcW w:w="3123" w:type="pct"/>
            <w:shd w:val="clear" w:color="auto" w:fill="D9D9D9"/>
            <w:vAlign w:val="center"/>
          </w:tcPr>
          <w:p>
            <w:pPr>
              <w:spacing w:line="300" w:lineRule="exact"/>
              <w:jc w:val="center"/>
              <w:rPr>
                <w:rFonts w:ascii="微软雅黑" w:hAnsi="微软雅黑" w:eastAsia="宋体" w:cs="宋体"/>
                <w:b/>
                <w:sz w:val="24"/>
                <w:szCs w:val="24"/>
                <w:highlight w:val="none"/>
              </w:rPr>
            </w:pPr>
            <w:r>
              <w:rPr>
                <w:rFonts w:hint="eastAsia" w:ascii="微软雅黑" w:hAnsi="微软雅黑" w:eastAsia="宋体" w:cs="宋体"/>
                <w:b/>
                <w:sz w:val="24"/>
                <w:szCs w:val="24"/>
                <w:highlight w:val="none"/>
              </w:rPr>
              <w:t>具体内容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5" w:hRule="atLeast"/>
        </w:trPr>
        <w:tc>
          <w:tcPr>
            <w:tcW w:w="327" w:type="pct"/>
            <w:vMerge w:val="restart"/>
            <w:shd w:val="clear" w:color="auto" w:fill="auto"/>
            <w:vAlign w:val="center"/>
          </w:tcPr>
          <w:p>
            <w:pPr>
              <w:widowControl/>
              <w:jc w:val="center"/>
              <w:rPr>
                <w:rFonts w:ascii="宋体" w:hAnsi="宋体" w:eastAsia="宋体" w:cs="宋体"/>
                <w:kern w:val="0"/>
                <w:sz w:val="24"/>
                <w:szCs w:val="24"/>
                <w:highlight w:val="none"/>
              </w:rPr>
            </w:pPr>
            <w:r>
              <w:rPr>
                <w:rFonts w:hint="eastAsia" w:ascii="宋体" w:hAnsi="宋体" w:eastAsia="宋体" w:cs="宋体"/>
                <w:kern w:val="0"/>
                <w:sz w:val="24"/>
                <w:szCs w:val="24"/>
                <w:highlight w:val="none"/>
              </w:rPr>
              <w:t>自然环境</w:t>
            </w:r>
          </w:p>
        </w:tc>
        <w:tc>
          <w:tcPr>
            <w:tcW w:w="1549" w:type="pct"/>
            <w:gridSpan w:val="2"/>
            <w:shd w:val="clear" w:color="auto" w:fill="auto"/>
            <w:vAlign w:val="center"/>
          </w:tcPr>
          <w:p>
            <w:pPr>
              <w:widowControl/>
              <w:jc w:val="center"/>
              <w:rPr>
                <w:rFonts w:ascii="宋体" w:hAnsi="宋体" w:eastAsia="宋体" w:cs="宋体"/>
                <w:kern w:val="0"/>
                <w:sz w:val="24"/>
                <w:szCs w:val="24"/>
                <w:highlight w:val="none"/>
              </w:rPr>
            </w:pPr>
            <w:r>
              <w:rPr>
                <w:rFonts w:hint="eastAsia" w:ascii="宋体" w:hAnsi="宋体" w:eastAsia="宋体" w:cs="宋体"/>
                <w:kern w:val="0"/>
                <w:sz w:val="24"/>
                <w:szCs w:val="24"/>
                <w:highlight w:val="none"/>
              </w:rPr>
              <w:t>山体山脉</w:t>
            </w:r>
          </w:p>
        </w:tc>
        <w:tc>
          <w:tcPr>
            <w:tcW w:w="3123" w:type="pct"/>
            <w:shd w:val="clear" w:color="auto" w:fill="auto"/>
            <w:vAlign w:val="center"/>
          </w:tcPr>
          <w:p>
            <w:pPr>
              <w:widowControl/>
              <w:rPr>
                <w:rFonts w:ascii="宋体" w:hAnsi="宋体" w:eastAsia="宋体" w:cs="宋体"/>
                <w:kern w:val="0"/>
                <w:sz w:val="24"/>
                <w:szCs w:val="24"/>
                <w:highlight w:val="none"/>
              </w:rPr>
            </w:pPr>
            <w:r>
              <w:rPr>
                <w:rFonts w:hint="eastAsia" w:ascii="宋体" w:hAnsi="宋体" w:eastAsia="宋体" w:cs="宋体"/>
                <w:kern w:val="0"/>
                <w:sz w:val="24"/>
                <w:szCs w:val="24"/>
                <w:highlight w:val="none"/>
              </w:rPr>
              <w:t>主要为大庾岭，瑶山、大东山，滑石山、丹霞山、石坑崆、五指山、韶石山、南山、车八岭、南华山、梯云岭、梅岭、书堂岩、仪凤山、皇岗山、帽峰山、莲花岭、芙蓉山、天子岭、云髻山、天平架、猴岩、青云山、白石岭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5" w:hRule="atLeast"/>
        </w:trPr>
        <w:tc>
          <w:tcPr>
            <w:tcW w:w="327" w:type="pct"/>
            <w:vMerge w:val="continue"/>
            <w:vAlign w:val="center"/>
          </w:tcPr>
          <w:p>
            <w:pPr>
              <w:widowControl/>
              <w:jc w:val="left"/>
              <w:rPr>
                <w:rFonts w:ascii="宋体" w:hAnsi="宋体" w:eastAsia="宋体" w:cs="宋体"/>
                <w:kern w:val="0"/>
                <w:sz w:val="24"/>
                <w:szCs w:val="24"/>
                <w:highlight w:val="none"/>
              </w:rPr>
            </w:pPr>
          </w:p>
        </w:tc>
        <w:tc>
          <w:tcPr>
            <w:tcW w:w="1549" w:type="pct"/>
            <w:gridSpan w:val="2"/>
            <w:shd w:val="clear" w:color="auto" w:fill="auto"/>
            <w:vAlign w:val="center"/>
          </w:tcPr>
          <w:p>
            <w:pPr>
              <w:widowControl/>
              <w:jc w:val="center"/>
              <w:rPr>
                <w:rFonts w:ascii="宋体" w:hAnsi="宋体" w:eastAsia="宋体" w:cs="宋体"/>
                <w:kern w:val="0"/>
                <w:sz w:val="24"/>
                <w:szCs w:val="24"/>
                <w:highlight w:val="none"/>
              </w:rPr>
            </w:pPr>
            <w:r>
              <w:rPr>
                <w:rFonts w:hint="eastAsia" w:ascii="宋体" w:hAnsi="宋体" w:eastAsia="宋体" w:cs="宋体"/>
                <w:kern w:val="0"/>
                <w:sz w:val="24"/>
                <w:szCs w:val="24"/>
                <w:highlight w:val="none"/>
              </w:rPr>
              <w:t>江河水系</w:t>
            </w:r>
          </w:p>
        </w:tc>
        <w:tc>
          <w:tcPr>
            <w:tcW w:w="3123" w:type="pct"/>
            <w:shd w:val="clear" w:color="auto" w:fill="auto"/>
            <w:vAlign w:val="center"/>
          </w:tcPr>
          <w:p>
            <w:pPr>
              <w:widowControl/>
              <w:rPr>
                <w:rFonts w:ascii="宋体" w:hAnsi="宋体" w:eastAsia="宋体" w:cs="宋体"/>
                <w:b/>
                <w:bCs/>
                <w:kern w:val="0"/>
                <w:sz w:val="24"/>
                <w:szCs w:val="24"/>
                <w:highlight w:val="none"/>
              </w:rPr>
            </w:pPr>
            <w:r>
              <w:rPr>
                <w:rFonts w:hint="eastAsia" w:ascii="宋体" w:hAnsi="宋体" w:eastAsia="宋体" w:cs="宋体"/>
                <w:b/>
                <w:bCs/>
                <w:kern w:val="0"/>
                <w:sz w:val="24"/>
                <w:szCs w:val="24"/>
                <w:highlight w:val="none"/>
              </w:rPr>
              <w:t>主干江流：</w:t>
            </w:r>
            <w:r>
              <w:rPr>
                <w:rFonts w:hint="eastAsia" w:ascii="宋体" w:hAnsi="宋体" w:eastAsia="宋体" w:cs="宋体"/>
                <w:kern w:val="0"/>
                <w:sz w:val="24"/>
                <w:szCs w:val="24"/>
                <w:highlight w:val="none"/>
              </w:rPr>
              <w:t>浈江、武江、北江；</w:t>
            </w:r>
            <w:r>
              <w:rPr>
                <w:rFonts w:hint="eastAsia" w:ascii="宋体" w:hAnsi="宋体" w:eastAsia="宋体" w:cs="宋体"/>
                <w:kern w:val="0"/>
                <w:sz w:val="24"/>
                <w:szCs w:val="24"/>
                <w:highlight w:val="none"/>
              </w:rPr>
              <w:br w:type="textWrapping"/>
            </w:r>
            <w:r>
              <w:rPr>
                <w:rFonts w:hint="eastAsia" w:ascii="宋体" w:hAnsi="宋体" w:eastAsia="宋体" w:cs="宋体"/>
                <w:b/>
                <w:bCs/>
                <w:kern w:val="0"/>
                <w:sz w:val="24"/>
                <w:szCs w:val="24"/>
                <w:highlight w:val="none"/>
              </w:rPr>
              <w:t>江河支流：</w:t>
            </w:r>
            <w:r>
              <w:rPr>
                <w:rFonts w:hint="eastAsia" w:ascii="宋体" w:hAnsi="宋体" w:eastAsia="宋体" w:cs="宋体"/>
                <w:kern w:val="0"/>
                <w:sz w:val="24"/>
                <w:szCs w:val="24"/>
                <w:highlight w:val="none"/>
              </w:rPr>
              <w:t>滃江、南水、新丰江、锦江、墨江、灵溪水、桃江；</w:t>
            </w:r>
            <w:r>
              <w:rPr>
                <w:rFonts w:hint="eastAsia" w:ascii="宋体" w:hAnsi="宋体" w:eastAsia="宋体" w:cs="宋体"/>
                <w:kern w:val="0"/>
                <w:sz w:val="24"/>
                <w:szCs w:val="24"/>
                <w:highlight w:val="none"/>
              </w:rPr>
              <w:br w:type="textWrapping"/>
            </w:r>
            <w:r>
              <w:rPr>
                <w:rFonts w:hint="eastAsia" w:ascii="宋体" w:hAnsi="宋体" w:eastAsia="宋体" w:cs="宋体"/>
                <w:b/>
                <w:bCs/>
                <w:kern w:val="0"/>
                <w:sz w:val="24"/>
                <w:szCs w:val="24"/>
                <w:highlight w:val="none"/>
              </w:rPr>
              <w:t>大型水库：</w:t>
            </w:r>
            <w:r>
              <w:rPr>
                <w:rFonts w:hint="eastAsia" w:ascii="宋体" w:hAnsi="宋体" w:eastAsia="宋体" w:cs="宋体"/>
                <w:kern w:val="0"/>
                <w:sz w:val="24"/>
                <w:szCs w:val="24"/>
                <w:highlight w:val="none"/>
              </w:rPr>
              <w:t>岩庄水库大坝、塘洞水池、锦江、小坑、南水水库等。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 w:hRule="atLeast"/>
        </w:trPr>
        <w:tc>
          <w:tcPr>
            <w:tcW w:w="327" w:type="pct"/>
            <w:vMerge w:val="continue"/>
            <w:vAlign w:val="center"/>
          </w:tcPr>
          <w:p>
            <w:pPr>
              <w:widowControl/>
              <w:jc w:val="left"/>
              <w:rPr>
                <w:rFonts w:ascii="宋体" w:hAnsi="宋体" w:eastAsia="宋体" w:cs="宋体"/>
                <w:kern w:val="0"/>
                <w:sz w:val="24"/>
                <w:szCs w:val="24"/>
                <w:highlight w:val="none"/>
              </w:rPr>
            </w:pPr>
          </w:p>
        </w:tc>
        <w:tc>
          <w:tcPr>
            <w:tcW w:w="1549" w:type="pct"/>
            <w:gridSpan w:val="2"/>
            <w:shd w:val="clear" w:color="auto" w:fill="auto"/>
            <w:vAlign w:val="center"/>
          </w:tcPr>
          <w:p>
            <w:pPr>
              <w:widowControl/>
              <w:jc w:val="center"/>
              <w:rPr>
                <w:rFonts w:ascii="宋体" w:hAnsi="宋体" w:eastAsia="宋体" w:cs="宋体"/>
                <w:kern w:val="0"/>
                <w:sz w:val="24"/>
                <w:szCs w:val="24"/>
                <w:highlight w:val="none"/>
              </w:rPr>
            </w:pPr>
            <w:r>
              <w:rPr>
                <w:rFonts w:hint="eastAsia" w:ascii="宋体" w:hAnsi="宋体" w:eastAsia="宋体" w:cs="宋体"/>
                <w:kern w:val="0"/>
                <w:sz w:val="24"/>
                <w:szCs w:val="24"/>
                <w:highlight w:val="none"/>
              </w:rPr>
              <w:t>自然保护地</w:t>
            </w:r>
          </w:p>
        </w:tc>
        <w:tc>
          <w:tcPr>
            <w:tcW w:w="3123" w:type="pct"/>
            <w:shd w:val="clear" w:color="auto" w:fill="auto"/>
            <w:vAlign w:val="center"/>
          </w:tcPr>
          <w:p>
            <w:pPr>
              <w:widowControl/>
              <w:rPr>
                <w:rFonts w:ascii="宋体" w:hAnsi="宋体" w:eastAsia="宋体" w:cs="宋体"/>
                <w:b/>
                <w:bCs/>
                <w:kern w:val="0"/>
                <w:sz w:val="24"/>
                <w:szCs w:val="24"/>
                <w:highlight w:val="none"/>
              </w:rPr>
            </w:pPr>
            <w:r>
              <w:rPr>
                <w:rFonts w:hint="eastAsia" w:ascii="宋体" w:hAnsi="宋体" w:eastAsia="宋体" w:cs="宋体"/>
                <w:b/>
                <w:bCs/>
                <w:kern w:val="0"/>
                <w:sz w:val="24"/>
                <w:szCs w:val="24"/>
                <w:highlight w:val="none"/>
              </w:rPr>
              <w:t>自然保护区：</w:t>
            </w:r>
            <w:r>
              <w:rPr>
                <w:rFonts w:hint="eastAsia" w:ascii="宋体" w:hAnsi="宋体" w:eastAsia="宋体" w:cs="宋体"/>
                <w:kern w:val="0"/>
                <w:sz w:val="24"/>
                <w:szCs w:val="24"/>
                <w:highlight w:val="none"/>
              </w:rPr>
              <w:t>云髻山省级自然保护区、青云山省级自然保护区、沙溪省级自然保护区、粤北华南虎省级自然保护区、罗坑鳄蜥省级自然保护区、大峡谷省级自然保护区、大瑶山省级自然保护区、杨东山十二度水省级自然保护区、高坪省级自然保护区、南山省级自然保护区、小流坑-青嶂山省级自然保护区；</w:t>
            </w:r>
            <w:r>
              <w:rPr>
                <w:rFonts w:hint="eastAsia" w:ascii="宋体" w:hAnsi="宋体" w:eastAsia="宋体" w:cs="宋体"/>
                <w:kern w:val="0"/>
                <w:sz w:val="24"/>
                <w:szCs w:val="24"/>
                <w:highlight w:val="none"/>
              </w:rPr>
              <w:br w:type="textWrapping"/>
            </w:r>
            <w:r>
              <w:rPr>
                <w:rFonts w:hint="eastAsia" w:ascii="宋体" w:hAnsi="宋体" w:eastAsia="宋体" w:cs="宋体"/>
                <w:b/>
                <w:bCs/>
                <w:kern w:val="0"/>
                <w:sz w:val="24"/>
                <w:szCs w:val="24"/>
                <w:highlight w:val="none"/>
              </w:rPr>
              <w:t>森林公园：</w:t>
            </w:r>
            <w:r>
              <w:rPr>
                <w:rFonts w:hint="eastAsia" w:ascii="宋体" w:hAnsi="宋体" w:eastAsia="宋体" w:cs="宋体"/>
                <w:kern w:val="0"/>
                <w:sz w:val="24"/>
                <w:szCs w:val="24"/>
                <w:highlight w:val="none"/>
              </w:rPr>
              <w:t>韶关国家森林公园、广东小坑国家森林公园、广东南岭国家森林公园、广东天井山国家森林公园、广东仁化森林公园、广东刘家山森林公园、广东后洞森林公园、广东青云森林公园、广东帽子峰森林公园；</w:t>
            </w:r>
            <w:r>
              <w:rPr>
                <w:rFonts w:hint="eastAsia" w:ascii="宋体" w:hAnsi="宋体" w:eastAsia="宋体" w:cs="宋体"/>
                <w:kern w:val="0"/>
                <w:sz w:val="24"/>
                <w:szCs w:val="24"/>
                <w:highlight w:val="none"/>
              </w:rPr>
              <w:br w:type="textWrapping"/>
            </w:r>
            <w:r>
              <w:rPr>
                <w:rFonts w:hint="eastAsia" w:ascii="宋体" w:hAnsi="宋体" w:eastAsia="宋体" w:cs="宋体"/>
                <w:b/>
                <w:bCs/>
                <w:kern w:val="0"/>
                <w:sz w:val="24"/>
                <w:szCs w:val="24"/>
                <w:highlight w:val="none"/>
              </w:rPr>
              <w:t>湿地公园：</w:t>
            </w:r>
            <w:r>
              <w:rPr>
                <w:rFonts w:hint="eastAsia" w:ascii="宋体" w:hAnsi="宋体" w:eastAsia="宋体" w:cs="宋体"/>
                <w:kern w:val="0"/>
                <w:sz w:val="24"/>
                <w:szCs w:val="24"/>
                <w:highlight w:val="none"/>
              </w:rPr>
              <w:t>南水湖国家湿地公园、孔江国家湿地公园；</w:t>
            </w:r>
            <w:r>
              <w:rPr>
                <w:rFonts w:hint="eastAsia" w:ascii="宋体" w:hAnsi="宋体" w:eastAsia="宋体" w:cs="宋体"/>
                <w:kern w:val="0"/>
                <w:sz w:val="24"/>
                <w:szCs w:val="24"/>
                <w:highlight w:val="none"/>
              </w:rPr>
              <w:br w:type="textWrapping"/>
            </w:r>
            <w:r>
              <w:rPr>
                <w:rFonts w:hint="eastAsia" w:ascii="宋体" w:hAnsi="宋体" w:eastAsia="宋体" w:cs="宋体"/>
                <w:b/>
                <w:bCs/>
                <w:kern w:val="0"/>
                <w:sz w:val="24"/>
                <w:szCs w:val="24"/>
                <w:highlight w:val="none"/>
              </w:rPr>
              <w:t>地质公园：</w:t>
            </w:r>
            <w:r>
              <w:rPr>
                <w:rFonts w:hint="eastAsia" w:ascii="宋体" w:hAnsi="宋体" w:eastAsia="宋体" w:cs="宋体"/>
                <w:kern w:val="0"/>
                <w:sz w:val="24"/>
                <w:szCs w:val="24"/>
                <w:highlight w:val="none"/>
              </w:rPr>
              <w:t>韶关丹霞山国家地质公园；</w:t>
            </w:r>
            <w:r>
              <w:rPr>
                <w:rFonts w:hint="eastAsia" w:ascii="宋体" w:hAnsi="宋体" w:eastAsia="宋体" w:cs="宋体"/>
                <w:kern w:val="0"/>
                <w:sz w:val="24"/>
                <w:szCs w:val="24"/>
                <w:highlight w:val="none"/>
              </w:rPr>
              <w:br w:type="textWrapping"/>
            </w:r>
            <w:r>
              <w:rPr>
                <w:rFonts w:hint="eastAsia" w:ascii="宋体" w:hAnsi="宋体" w:eastAsia="宋体" w:cs="宋体"/>
                <w:b/>
                <w:bCs/>
                <w:kern w:val="0"/>
                <w:sz w:val="24"/>
                <w:szCs w:val="24"/>
                <w:highlight w:val="none"/>
              </w:rPr>
              <w:t>风景名胜区：</w:t>
            </w:r>
            <w:r>
              <w:rPr>
                <w:rFonts w:hint="eastAsia" w:ascii="宋体" w:hAnsi="宋体" w:eastAsia="宋体" w:cs="宋体"/>
                <w:kern w:val="0"/>
                <w:sz w:val="24"/>
                <w:szCs w:val="24"/>
                <w:highlight w:val="none"/>
              </w:rPr>
              <w:t>韶关丹霞山国家级风景名胜区。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2" w:hRule="atLeast"/>
        </w:trPr>
        <w:tc>
          <w:tcPr>
            <w:tcW w:w="1876" w:type="pct"/>
            <w:gridSpan w:val="3"/>
            <w:shd w:val="clear" w:color="auto" w:fill="auto"/>
            <w:vAlign w:val="center"/>
          </w:tcPr>
          <w:p>
            <w:pPr>
              <w:widowControl/>
              <w:jc w:val="center"/>
              <w:rPr>
                <w:rFonts w:ascii="宋体" w:hAnsi="宋体" w:eastAsia="宋体" w:cs="宋体"/>
                <w:kern w:val="0"/>
                <w:sz w:val="24"/>
                <w:szCs w:val="24"/>
                <w:highlight w:val="none"/>
              </w:rPr>
            </w:pPr>
            <w:r>
              <w:rPr>
                <w:rFonts w:hint="eastAsia" w:ascii="宋体" w:hAnsi="宋体" w:eastAsia="宋体" w:cs="宋体"/>
                <w:kern w:val="0"/>
                <w:sz w:val="24"/>
                <w:szCs w:val="24"/>
                <w:highlight w:val="none"/>
              </w:rPr>
              <w:t>历史城区</w:t>
            </w:r>
          </w:p>
        </w:tc>
        <w:tc>
          <w:tcPr>
            <w:tcW w:w="3123" w:type="pct"/>
            <w:shd w:val="clear" w:color="auto" w:fill="auto"/>
            <w:vAlign w:val="center"/>
          </w:tcPr>
          <w:p>
            <w:pPr>
              <w:widowControl/>
              <w:rPr>
                <w:rFonts w:ascii="宋体" w:hAnsi="宋体" w:eastAsia="宋体" w:cs="宋体"/>
                <w:kern w:val="0"/>
                <w:sz w:val="24"/>
                <w:szCs w:val="24"/>
                <w:highlight w:val="none"/>
              </w:rPr>
            </w:pPr>
            <w:r>
              <w:rPr>
                <w:rFonts w:hint="eastAsia" w:ascii="宋体" w:hAnsi="宋体" w:eastAsia="宋体" w:cs="宋体"/>
                <w:kern w:val="0"/>
                <w:sz w:val="24"/>
                <w:szCs w:val="24"/>
                <w:highlight w:val="none"/>
              </w:rPr>
              <w:t>为小岛片区，历史城区整体选址依山临水，充分体现了古代山水环境与城池建设完美融合的思想，具有很高的历史文化价值。城市营造与山水之间的空间关系是滨水城市选址的典型代表，可作为中国古代城市营造理论研究的典型范例，具有较高的科学研究价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27" w:type="pct"/>
            <w:vMerge w:val="restart"/>
            <w:shd w:val="clear" w:color="auto" w:fill="auto"/>
            <w:noWrap/>
            <w:vAlign w:val="center"/>
          </w:tcPr>
          <w:p>
            <w:pPr>
              <w:widowControl/>
              <w:jc w:val="center"/>
              <w:rPr>
                <w:rFonts w:ascii="宋体" w:hAnsi="宋体" w:eastAsia="宋体" w:cs="宋体"/>
                <w:kern w:val="0"/>
                <w:sz w:val="24"/>
                <w:szCs w:val="24"/>
                <w:highlight w:val="none"/>
              </w:rPr>
            </w:pPr>
            <w:r>
              <w:rPr>
                <w:rFonts w:hint="eastAsia" w:ascii="宋体" w:hAnsi="宋体" w:eastAsia="宋体" w:cs="宋体"/>
                <w:kern w:val="0"/>
                <w:sz w:val="24"/>
                <w:szCs w:val="24"/>
                <w:highlight w:val="none"/>
              </w:rPr>
              <w:t>历史地段</w:t>
            </w:r>
          </w:p>
        </w:tc>
        <w:tc>
          <w:tcPr>
            <w:tcW w:w="438" w:type="pct"/>
            <w:vMerge w:val="restart"/>
            <w:shd w:val="clear" w:color="auto" w:fill="auto"/>
            <w:noWrap/>
            <w:vAlign w:val="center"/>
          </w:tcPr>
          <w:p>
            <w:pPr>
              <w:widowControl/>
              <w:jc w:val="center"/>
              <w:rPr>
                <w:rFonts w:ascii="宋体" w:hAnsi="宋体" w:eastAsia="宋体" w:cs="宋体"/>
                <w:kern w:val="0"/>
                <w:sz w:val="24"/>
                <w:szCs w:val="24"/>
                <w:highlight w:val="none"/>
              </w:rPr>
            </w:pPr>
            <w:r>
              <w:rPr>
                <w:rFonts w:hint="eastAsia" w:ascii="宋体" w:hAnsi="宋体" w:eastAsia="宋体" w:cs="宋体"/>
                <w:kern w:val="0"/>
                <w:sz w:val="24"/>
                <w:szCs w:val="24"/>
                <w:highlight w:val="none"/>
              </w:rPr>
              <w:t>历史村镇（29个）</w:t>
            </w:r>
          </w:p>
        </w:tc>
        <w:tc>
          <w:tcPr>
            <w:tcW w:w="1110" w:type="pct"/>
            <w:shd w:val="clear" w:color="auto" w:fill="auto"/>
            <w:vAlign w:val="center"/>
          </w:tcPr>
          <w:p>
            <w:pPr>
              <w:widowControl/>
              <w:jc w:val="center"/>
              <w:rPr>
                <w:rFonts w:ascii="宋体" w:hAnsi="宋体" w:eastAsia="宋体" w:cs="宋体"/>
                <w:kern w:val="0"/>
                <w:sz w:val="24"/>
                <w:szCs w:val="24"/>
                <w:highlight w:val="none"/>
              </w:rPr>
            </w:pPr>
            <w:r>
              <w:rPr>
                <w:rFonts w:hint="eastAsia" w:ascii="宋体" w:hAnsi="宋体" w:eastAsia="宋体" w:cs="宋体"/>
                <w:kern w:val="0"/>
                <w:sz w:val="24"/>
                <w:szCs w:val="24"/>
                <w:highlight w:val="none"/>
              </w:rPr>
              <w:t>历史文化名镇名村（6个）</w:t>
            </w:r>
          </w:p>
        </w:tc>
        <w:tc>
          <w:tcPr>
            <w:tcW w:w="3123" w:type="pct"/>
            <w:shd w:val="clear" w:color="auto" w:fill="auto"/>
            <w:vAlign w:val="center"/>
          </w:tcPr>
          <w:p>
            <w:pPr>
              <w:widowControl/>
              <w:rPr>
                <w:rFonts w:ascii="宋体" w:hAnsi="宋体" w:eastAsia="宋体" w:cs="宋体"/>
                <w:kern w:val="0"/>
                <w:sz w:val="24"/>
                <w:szCs w:val="24"/>
                <w:highlight w:val="none"/>
              </w:rPr>
            </w:pPr>
            <w:r>
              <w:rPr>
                <w:rFonts w:hint="eastAsia" w:ascii="宋体" w:hAnsi="宋体" w:eastAsia="宋体" w:cs="宋体"/>
                <w:b/>
                <w:bCs/>
                <w:kern w:val="0"/>
                <w:sz w:val="24"/>
                <w:szCs w:val="24"/>
                <w:highlight w:val="none"/>
              </w:rPr>
              <w:t>广东省历史文化名镇（1个）：</w:t>
            </w:r>
            <w:r>
              <w:rPr>
                <w:rFonts w:hint="eastAsia" w:ascii="宋体" w:hAnsi="宋体" w:eastAsia="宋体" w:cs="宋体"/>
                <w:kern w:val="0"/>
                <w:sz w:val="24"/>
                <w:szCs w:val="24"/>
                <w:highlight w:val="none"/>
              </w:rPr>
              <w:t>南雄市珠玑镇</w:t>
            </w:r>
            <w:r>
              <w:rPr>
                <w:rFonts w:hint="eastAsia" w:ascii="宋体" w:hAnsi="宋体" w:eastAsia="宋体" w:cs="宋体"/>
                <w:kern w:val="0"/>
                <w:sz w:val="24"/>
                <w:szCs w:val="24"/>
                <w:highlight w:val="none"/>
              </w:rPr>
              <w:br w:type="textWrapping"/>
            </w:r>
            <w:r>
              <w:rPr>
                <w:rFonts w:hint="eastAsia" w:ascii="宋体" w:hAnsi="宋体" w:eastAsia="宋体" w:cs="宋体"/>
                <w:b/>
                <w:bCs/>
                <w:kern w:val="0"/>
                <w:sz w:val="24"/>
                <w:szCs w:val="24"/>
                <w:highlight w:val="none"/>
              </w:rPr>
              <w:t>中国历史文化名村（1个）：</w:t>
            </w:r>
            <w:r>
              <w:rPr>
                <w:rFonts w:hint="eastAsia" w:ascii="宋体" w:hAnsi="宋体" w:eastAsia="宋体" w:cs="宋体"/>
                <w:kern w:val="0"/>
                <w:sz w:val="24"/>
                <w:szCs w:val="24"/>
                <w:highlight w:val="none"/>
              </w:rPr>
              <w:t>仁化县石塘镇石塘村；</w:t>
            </w:r>
            <w:r>
              <w:rPr>
                <w:rFonts w:hint="eastAsia" w:ascii="宋体" w:hAnsi="宋体" w:eastAsia="宋体" w:cs="宋体"/>
                <w:kern w:val="0"/>
                <w:sz w:val="24"/>
                <w:szCs w:val="24"/>
                <w:highlight w:val="none"/>
              </w:rPr>
              <w:br w:type="textWrapping"/>
            </w:r>
            <w:r>
              <w:rPr>
                <w:rFonts w:hint="eastAsia" w:ascii="宋体" w:hAnsi="宋体" w:eastAsia="宋体" w:cs="宋体"/>
                <w:b/>
                <w:bCs/>
                <w:kern w:val="0"/>
                <w:sz w:val="24"/>
                <w:szCs w:val="24"/>
                <w:highlight w:val="none"/>
              </w:rPr>
              <w:t>广东省历史文化名村（5个）：</w:t>
            </w:r>
            <w:r>
              <w:rPr>
                <w:rFonts w:hint="eastAsia" w:ascii="宋体" w:hAnsi="宋体" w:eastAsia="宋体" w:cs="宋体"/>
                <w:kern w:val="0"/>
                <w:sz w:val="24"/>
                <w:szCs w:val="24"/>
                <w:highlight w:val="none"/>
              </w:rPr>
              <w:t>仁化县石塘镇石塘村、南雄市乌迳镇新田村、曲江区曹角湾村、翁源县江尾镇湖心坝）、韶关市乐昌市户昌山村。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327" w:type="pct"/>
            <w:vMerge w:val="continue"/>
            <w:vAlign w:val="center"/>
          </w:tcPr>
          <w:p>
            <w:pPr>
              <w:widowControl/>
              <w:jc w:val="left"/>
              <w:rPr>
                <w:rFonts w:ascii="宋体" w:hAnsi="宋体" w:eastAsia="宋体" w:cs="宋体"/>
                <w:kern w:val="0"/>
                <w:sz w:val="24"/>
                <w:szCs w:val="24"/>
                <w:highlight w:val="none"/>
              </w:rPr>
            </w:pPr>
          </w:p>
        </w:tc>
        <w:tc>
          <w:tcPr>
            <w:tcW w:w="438" w:type="pct"/>
            <w:vMerge w:val="continue"/>
            <w:vAlign w:val="center"/>
          </w:tcPr>
          <w:p>
            <w:pPr>
              <w:widowControl/>
              <w:jc w:val="left"/>
              <w:rPr>
                <w:rFonts w:ascii="宋体" w:hAnsi="宋体" w:eastAsia="宋体" w:cs="宋体"/>
                <w:kern w:val="0"/>
                <w:sz w:val="24"/>
                <w:szCs w:val="24"/>
                <w:highlight w:val="none"/>
              </w:rPr>
            </w:pPr>
          </w:p>
        </w:tc>
        <w:tc>
          <w:tcPr>
            <w:tcW w:w="1110" w:type="pct"/>
            <w:shd w:val="clear" w:color="auto" w:fill="auto"/>
            <w:vAlign w:val="center"/>
          </w:tcPr>
          <w:p>
            <w:pPr>
              <w:widowControl/>
              <w:spacing w:after="240"/>
              <w:jc w:val="center"/>
              <w:rPr>
                <w:rFonts w:ascii="宋体" w:hAnsi="宋体" w:eastAsia="宋体" w:cs="宋体"/>
                <w:kern w:val="0"/>
                <w:sz w:val="24"/>
                <w:szCs w:val="24"/>
                <w:highlight w:val="none"/>
              </w:rPr>
            </w:pPr>
            <w:r>
              <w:rPr>
                <w:rFonts w:hint="eastAsia" w:ascii="宋体" w:hAnsi="宋体" w:eastAsia="宋体" w:cs="宋体"/>
                <w:kern w:val="0"/>
                <w:sz w:val="24"/>
                <w:szCs w:val="24"/>
                <w:highlight w:val="none"/>
              </w:rPr>
              <w:t>传统村落（29个）</w:t>
            </w:r>
          </w:p>
        </w:tc>
        <w:tc>
          <w:tcPr>
            <w:tcW w:w="3123" w:type="pct"/>
            <w:shd w:val="clear" w:color="auto" w:fill="auto"/>
            <w:vAlign w:val="center"/>
          </w:tcPr>
          <w:p>
            <w:pPr>
              <w:widowControl/>
              <w:rPr>
                <w:rFonts w:ascii="宋体" w:hAnsi="宋体" w:eastAsia="宋体" w:cs="宋体"/>
                <w:kern w:val="0"/>
                <w:sz w:val="24"/>
                <w:szCs w:val="24"/>
                <w:highlight w:val="none"/>
              </w:rPr>
            </w:pPr>
            <w:r>
              <w:rPr>
                <w:rFonts w:hint="eastAsia" w:ascii="宋体" w:hAnsi="宋体" w:eastAsia="宋体" w:cs="宋体"/>
                <w:b/>
                <w:bCs/>
                <w:kern w:val="0"/>
                <w:sz w:val="24"/>
                <w:szCs w:val="24"/>
                <w:highlight w:val="none"/>
              </w:rPr>
              <w:t>中国传统村落（14个，其中3个同时是历史文化名村）：</w:t>
            </w:r>
            <w:r>
              <w:rPr>
                <w:rFonts w:hint="eastAsia" w:ascii="宋体" w:hAnsi="宋体" w:eastAsia="宋体" w:cs="宋体"/>
                <w:kern w:val="0"/>
                <w:sz w:val="24"/>
                <w:szCs w:val="24"/>
                <w:highlight w:val="none"/>
              </w:rPr>
              <w:t>仁化县石塘镇石塘村、翁源县江尾镇湖心坝村、南雄市乌迳镇新田古村、仁化县扶溪镇古夏村、始兴县城南镇周前村、仁化县城口镇恩村村恩村、乳源瑶族自治县大桥镇大桥村、乳源瑶族自治县大桥镇深源村、新丰县马头镇潭石村九栋十八井村、乐昌市梅花镇大坪村、乐昌市黄圃镇石溪村、南雄市油山镇上朔村、南雄市南亩镇鱼鲜村、韶关市南雄市百顺镇百顺村黄屋城村。</w:t>
            </w:r>
            <w:r>
              <w:rPr>
                <w:rFonts w:hint="eastAsia" w:ascii="宋体" w:hAnsi="宋体" w:eastAsia="宋体" w:cs="宋体"/>
                <w:kern w:val="0"/>
                <w:sz w:val="24"/>
                <w:szCs w:val="24"/>
                <w:highlight w:val="none"/>
              </w:rPr>
              <w:br w:type="textWrapping"/>
            </w:r>
            <w:r>
              <w:rPr>
                <w:rFonts w:hint="eastAsia" w:ascii="宋体" w:hAnsi="宋体" w:eastAsia="宋体" w:cs="宋体"/>
                <w:b/>
                <w:bCs/>
                <w:kern w:val="0"/>
                <w:sz w:val="24"/>
                <w:szCs w:val="24"/>
                <w:highlight w:val="none"/>
              </w:rPr>
              <w:t>广东省传统村落（15个，其中2个同时为历史文化名村）：</w:t>
            </w:r>
            <w:r>
              <w:rPr>
                <w:rFonts w:hint="eastAsia" w:ascii="宋体" w:hAnsi="宋体" w:eastAsia="宋体" w:cs="宋体"/>
                <w:kern w:val="0"/>
                <w:sz w:val="24"/>
                <w:szCs w:val="24"/>
                <w:highlight w:val="none"/>
              </w:rPr>
              <w:t>韶关市翁源县官渡镇楼子村、韶关市翁源县江尾镇陈屋村、韶关市翁源县江尾镇八卦围、韶关市始兴县罗坝镇白围村、韶关市始兴县罗坝镇长围村、韶关市始兴县罗坝镇廖屋村、韶关市始兴县马市镇黄塘村、韶关市始兴县太平镇东湖坪村、韶关市始兴县榏子镇满堂围、韶关市仁化县城口镇恩村大村、韶关市仁化县丹霞街道夏富村、韶关市仁化县周田镇张屋村、韶关市曲江区小坑镇曹角湾村、韶关市曲江区黄圃镇应山村、韶关乐昌市庆云镇户昌山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327" w:type="pct"/>
            <w:vMerge w:val="continue"/>
            <w:vAlign w:val="center"/>
          </w:tcPr>
          <w:p>
            <w:pPr>
              <w:widowControl/>
              <w:jc w:val="left"/>
              <w:rPr>
                <w:rFonts w:ascii="宋体" w:hAnsi="宋体" w:eastAsia="宋体" w:cs="宋体"/>
                <w:kern w:val="0"/>
                <w:sz w:val="24"/>
                <w:szCs w:val="24"/>
                <w:highlight w:val="none"/>
              </w:rPr>
            </w:pPr>
          </w:p>
        </w:tc>
        <w:tc>
          <w:tcPr>
            <w:tcW w:w="1549" w:type="pct"/>
            <w:gridSpan w:val="2"/>
            <w:shd w:val="clear" w:color="auto" w:fill="auto"/>
            <w:noWrap/>
            <w:vAlign w:val="center"/>
          </w:tcPr>
          <w:p>
            <w:pPr>
              <w:widowControl/>
              <w:jc w:val="center"/>
              <w:rPr>
                <w:rFonts w:ascii="宋体" w:hAnsi="宋体" w:eastAsia="宋体" w:cs="宋体"/>
                <w:kern w:val="0"/>
                <w:sz w:val="24"/>
                <w:szCs w:val="24"/>
                <w:highlight w:val="none"/>
              </w:rPr>
            </w:pPr>
            <w:r>
              <w:rPr>
                <w:rFonts w:hint="eastAsia" w:ascii="宋体" w:hAnsi="宋体" w:eastAsia="宋体" w:cs="宋体"/>
                <w:kern w:val="0"/>
                <w:sz w:val="24"/>
                <w:szCs w:val="24"/>
                <w:highlight w:val="none"/>
              </w:rPr>
              <w:t>历史文化街区（</w:t>
            </w:r>
            <w:r>
              <w:rPr>
                <w:rFonts w:ascii="宋体" w:hAnsi="宋体" w:eastAsia="宋体" w:cs="宋体"/>
                <w:kern w:val="0"/>
                <w:sz w:val="24"/>
                <w:szCs w:val="24"/>
                <w:highlight w:val="none"/>
              </w:rPr>
              <w:t>3</w:t>
            </w:r>
            <w:r>
              <w:rPr>
                <w:rFonts w:hint="eastAsia" w:ascii="宋体" w:hAnsi="宋体" w:eastAsia="宋体" w:cs="宋体"/>
                <w:kern w:val="0"/>
                <w:sz w:val="24"/>
                <w:szCs w:val="24"/>
                <w:highlight w:val="none"/>
              </w:rPr>
              <w:t>片）</w:t>
            </w:r>
          </w:p>
        </w:tc>
        <w:tc>
          <w:tcPr>
            <w:tcW w:w="3123" w:type="pct"/>
            <w:shd w:val="clear" w:color="auto" w:fill="auto"/>
            <w:vAlign w:val="center"/>
          </w:tcPr>
          <w:p>
            <w:pPr>
              <w:widowControl/>
              <w:rPr>
                <w:rFonts w:ascii="宋体" w:hAnsi="宋体" w:eastAsia="宋体" w:cs="宋体"/>
                <w:kern w:val="0"/>
                <w:sz w:val="24"/>
                <w:szCs w:val="24"/>
                <w:highlight w:val="none"/>
              </w:rPr>
            </w:pPr>
            <w:r>
              <w:rPr>
                <w:rFonts w:hint="eastAsia" w:ascii="宋体" w:hAnsi="宋体" w:eastAsia="宋体" w:cs="宋体"/>
                <w:kern w:val="0"/>
                <w:sz w:val="24"/>
                <w:szCs w:val="24"/>
                <w:highlight w:val="none"/>
              </w:rPr>
              <w:t>广富新街及升平路历史文化街区、白土镇历史文化街区、珠玑古巷历史文化街区。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327" w:type="pct"/>
            <w:vMerge w:val="continue"/>
            <w:vAlign w:val="center"/>
          </w:tcPr>
          <w:p>
            <w:pPr>
              <w:widowControl/>
              <w:jc w:val="left"/>
              <w:rPr>
                <w:rFonts w:ascii="宋体" w:hAnsi="宋体" w:eastAsia="宋体" w:cs="宋体"/>
                <w:kern w:val="0"/>
                <w:sz w:val="24"/>
                <w:szCs w:val="24"/>
                <w:highlight w:val="none"/>
              </w:rPr>
            </w:pPr>
          </w:p>
        </w:tc>
        <w:tc>
          <w:tcPr>
            <w:tcW w:w="1549" w:type="pct"/>
            <w:gridSpan w:val="2"/>
            <w:shd w:val="clear" w:color="auto" w:fill="auto"/>
            <w:noWrap/>
            <w:vAlign w:val="center"/>
          </w:tcPr>
          <w:p>
            <w:pPr>
              <w:widowControl/>
              <w:jc w:val="center"/>
              <w:rPr>
                <w:rFonts w:ascii="宋体" w:hAnsi="宋体" w:eastAsia="宋体" w:cs="宋体"/>
                <w:kern w:val="0"/>
                <w:sz w:val="24"/>
                <w:szCs w:val="24"/>
                <w:highlight w:val="none"/>
              </w:rPr>
            </w:pPr>
            <w:r>
              <w:rPr>
                <w:rFonts w:hint="eastAsia" w:ascii="宋体" w:hAnsi="宋体" w:eastAsia="宋体" w:cs="宋体"/>
                <w:kern w:val="0"/>
                <w:sz w:val="24"/>
                <w:szCs w:val="24"/>
                <w:highlight w:val="none"/>
              </w:rPr>
              <w:t>历史文化风貌区（</w:t>
            </w:r>
            <w:r>
              <w:rPr>
                <w:rFonts w:ascii="宋体" w:hAnsi="宋体" w:eastAsia="宋体" w:cs="宋体"/>
                <w:kern w:val="0"/>
                <w:sz w:val="24"/>
                <w:szCs w:val="24"/>
                <w:highlight w:val="none"/>
              </w:rPr>
              <w:t>1</w:t>
            </w:r>
            <w:r>
              <w:rPr>
                <w:rFonts w:hint="eastAsia" w:ascii="宋体" w:hAnsi="宋体" w:eastAsia="宋体" w:cs="宋体"/>
                <w:kern w:val="0"/>
                <w:sz w:val="24"/>
                <w:szCs w:val="24"/>
                <w:highlight w:val="none"/>
              </w:rPr>
              <w:t>片）</w:t>
            </w:r>
          </w:p>
        </w:tc>
        <w:tc>
          <w:tcPr>
            <w:tcW w:w="3123" w:type="pct"/>
            <w:shd w:val="clear" w:color="auto" w:fill="auto"/>
            <w:vAlign w:val="center"/>
          </w:tcPr>
          <w:p>
            <w:pPr>
              <w:widowControl/>
              <w:rPr>
                <w:rFonts w:ascii="宋体" w:hAnsi="宋体" w:eastAsia="宋体" w:cs="宋体"/>
                <w:kern w:val="0"/>
                <w:sz w:val="24"/>
                <w:szCs w:val="24"/>
                <w:highlight w:val="none"/>
              </w:rPr>
            </w:pPr>
            <w:r>
              <w:rPr>
                <w:rFonts w:hint="eastAsia" w:ascii="宋体" w:hAnsi="宋体" w:eastAsia="宋体" w:cs="宋体"/>
                <w:kern w:val="0"/>
                <w:sz w:val="24"/>
                <w:szCs w:val="24"/>
                <w:highlight w:val="none"/>
              </w:rPr>
              <w:t>风度北路历史文化风貌区。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rPr>
        <w:tc>
          <w:tcPr>
            <w:tcW w:w="327" w:type="pct"/>
            <w:vMerge w:val="restart"/>
            <w:shd w:val="clear" w:color="auto" w:fill="auto"/>
            <w:noWrap/>
            <w:vAlign w:val="center"/>
          </w:tcPr>
          <w:p>
            <w:pPr>
              <w:widowControl/>
              <w:jc w:val="center"/>
              <w:rPr>
                <w:rFonts w:ascii="宋体" w:hAnsi="宋体" w:eastAsia="宋体" w:cs="宋体"/>
                <w:kern w:val="0"/>
                <w:sz w:val="24"/>
                <w:szCs w:val="24"/>
                <w:highlight w:val="none"/>
              </w:rPr>
            </w:pPr>
            <w:r>
              <w:rPr>
                <w:rFonts w:hint="eastAsia" w:ascii="宋体" w:hAnsi="宋体" w:eastAsia="宋体" w:cs="宋体"/>
                <w:kern w:val="0"/>
                <w:sz w:val="24"/>
                <w:szCs w:val="24"/>
                <w:highlight w:val="none"/>
              </w:rPr>
              <w:t>文物古迹</w:t>
            </w:r>
          </w:p>
        </w:tc>
        <w:tc>
          <w:tcPr>
            <w:tcW w:w="438" w:type="pct"/>
            <w:vMerge w:val="restart"/>
            <w:shd w:val="clear" w:color="auto" w:fill="auto"/>
            <w:noWrap/>
            <w:vAlign w:val="center"/>
          </w:tcPr>
          <w:p>
            <w:pPr>
              <w:widowControl/>
              <w:jc w:val="center"/>
              <w:rPr>
                <w:rFonts w:ascii="宋体" w:hAnsi="宋体" w:eastAsia="宋体" w:cs="宋体"/>
                <w:kern w:val="0"/>
                <w:sz w:val="24"/>
                <w:szCs w:val="24"/>
                <w:highlight w:val="none"/>
              </w:rPr>
            </w:pPr>
            <w:r>
              <w:rPr>
                <w:rFonts w:hint="eastAsia" w:ascii="宋体" w:hAnsi="宋体" w:eastAsia="宋体" w:cs="宋体"/>
                <w:kern w:val="0"/>
                <w:sz w:val="24"/>
                <w:szCs w:val="24"/>
                <w:highlight w:val="none"/>
              </w:rPr>
              <w:t>文物保护单位（</w:t>
            </w:r>
            <w:r>
              <w:rPr>
                <w:rFonts w:ascii="宋体" w:hAnsi="宋体" w:eastAsia="宋体" w:cs="宋体"/>
                <w:kern w:val="0"/>
                <w:sz w:val="24"/>
                <w:szCs w:val="24"/>
                <w:highlight w:val="none"/>
              </w:rPr>
              <w:t>401</w:t>
            </w:r>
            <w:r>
              <w:rPr>
                <w:rFonts w:hint="eastAsia" w:ascii="宋体" w:hAnsi="宋体" w:eastAsia="宋体" w:cs="宋体"/>
                <w:kern w:val="0"/>
                <w:sz w:val="24"/>
                <w:szCs w:val="24"/>
                <w:highlight w:val="none"/>
              </w:rPr>
              <w:t>处）</w:t>
            </w:r>
          </w:p>
        </w:tc>
        <w:tc>
          <w:tcPr>
            <w:tcW w:w="1110" w:type="pct"/>
            <w:shd w:val="clear" w:color="auto" w:fill="auto"/>
            <w:vAlign w:val="center"/>
          </w:tcPr>
          <w:p>
            <w:pPr>
              <w:widowControl/>
              <w:jc w:val="center"/>
              <w:rPr>
                <w:rFonts w:ascii="宋体" w:hAnsi="宋体" w:eastAsia="宋体" w:cs="宋体"/>
                <w:kern w:val="0"/>
                <w:sz w:val="24"/>
                <w:szCs w:val="24"/>
                <w:highlight w:val="none"/>
              </w:rPr>
            </w:pPr>
            <w:r>
              <w:rPr>
                <w:rFonts w:hint="eastAsia" w:ascii="宋体" w:hAnsi="宋体" w:eastAsia="宋体" w:cs="宋体"/>
                <w:kern w:val="0"/>
                <w:sz w:val="24"/>
                <w:szCs w:val="24"/>
                <w:highlight w:val="none"/>
              </w:rPr>
              <w:t>全国重点文物保护单位（10处）</w:t>
            </w:r>
          </w:p>
        </w:tc>
        <w:tc>
          <w:tcPr>
            <w:tcW w:w="3123" w:type="pct"/>
            <w:shd w:val="clear" w:color="auto" w:fill="auto"/>
            <w:vAlign w:val="center"/>
          </w:tcPr>
          <w:p>
            <w:pPr>
              <w:widowControl/>
              <w:rPr>
                <w:rFonts w:ascii="宋体" w:hAnsi="宋体" w:eastAsia="宋体" w:cs="宋体"/>
                <w:kern w:val="0"/>
                <w:sz w:val="24"/>
                <w:szCs w:val="24"/>
                <w:highlight w:val="none"/>
              </w:rPr>
            </w:pPr>
            <w:r>
              <w:rPr>
                <w:rFonts w:hint="eastAsia" w:ascii="宋体" w:hAnsi="宋体" w:eastAsia="宋体" w:cs="宋体"/>
                <w:kern w:val="0"/>
                <w:sz w:val="24"/>
                <w:szCs w:val="24"/>
                <w:highlight w:val="none"/>
              </w:rPr>
              <w:t>三影塔、云龙寺塔、满堂围、南华寺、石峡遗址、双峰寨、丹霞山摩崖石刻、南粤雄关与古道、长围村围屋、乳源西京古道。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 w:hRule="atLeast"/>
        </w:trPr>
        <w:tc>
          <w:tcPr>
            <w:tcW w:w="327" w:type="pct"/>
            <w:vMerge w:val="continue"/>
            <w:vAlign w:val="center"/>
          </w:tcPr>
          <w:p>
            <w:pPr>
              <w:widowControl/>
              <w:jc w:val="left"/>
              <w:rPr>
                <w:rFonts w:ascii="宋体" w:hAnsi="宋体" w:eastAsia="宋体" w:cs="宋体"/>
                <w:kern w:val="0"/>
                <w:sz w:val="24"/>
                <w:szCs w:val="24"/>
                <w:highlight w:val="none"/>
              </w:rPr>
            </w:pPr>
          </w:p>
        </w:tc>
        <w:tc>
          <w:tcPr>
            <w:tcW w:w="438" w:type="pct"/>
            <w:vMerge w:val="continue"/>
            <w:vAlign w:val="center"/>
          </w:tcPr>
          <w:p>
            <w:pPr>
              <w:widowControl/>
              <w:jc w:val="left"/>
              <w:rPr>
                <w:rFonts w:ascii="宋体" w:hAnsi="宋体" w:eastAsia="宋体" w:cs="宋体"/>
                <w:kern w:val="0"/>
                <w:sz w:val="24"/>
                <w:szCs w:val="24"/>
                <w:highlight w:val="none"/>
              </w:rPr>
            </w:pPr>
          </w:p>
        </w:tc>
        <w:tc>
          <w:tcPr>
            <w:tcW w:w="1110" w:type="pct"/>
            <w:shd w:val="clear" w:color="auto" w:fill="auto"/>
            <w:vAlign w:val="center"/>
          </w:tcPr>
          <w:p>
            <w:pPr>
              <w:widowControl/>
              <w:jc w:val="center"/>
              <w:rPr>
                <w:rFonts w:ascii="宋体" w:hAnsi="宋体" w:eastAsia="宋体" w:cs="宋体"/>
                <w:kern w:val="0"/>
                <w:sz w:val="24"/>
                <w:szCs w:val="24"/>
                <w:highlight w:val="none"/>
              </w:rPr>
            </w:pPr>
            <w:r>
              <w:rPr>
                <w:rFonts w:hint="eastAsia" w:ascii="宋体" w:hAnsi="宋体" w:eastAsia="宋体" w:cs="宋体"/>
                <w:kern w:val="0"/>
                <w:sz w:val="24"/>
                <w:szCs w:val="24"/>
                <w:highlight w:val="none"/>
              </w:rPr>
              <w:t>省级文物保护单位（</w:t>
            </w:r>
            <w:r>
              <w:rPr>
                <w:rFonts w:ascii="宋体" w:hAnsi="宋体" w:eastAsia="宋体" w:cs="宋体"/>
                <w:kern w:val="0"/>
                <w:sz w:val="24"/>
                <w:szCs w:val="24"/>
                <w:highlight w:val="none"/>
              </w:rPr>
              <w:t>74</w:t>
            </w:r>
            <w:r>
              <w:rPr>
                <w:rFonts w:hint="eastAsia" w:ascii="宋体" w:hAnsi="宋体" w:eastAsia="宋体" w:cs="宋体"/>
                <w:kern w:val="0"/>
                <w:sz w:val="24"/>
                <w:szCs w:val="24"/>
                <w:highlight w:val="none"/>
              </w:rPr>
              <w:t>处）</w:t>
            </w:r>
          </w:p>
        </w:tc>
        <w:tc>
          <w:tcPr>
            <w:tcW w:w="3123" w:type="pct"/>
            <w:shd w:val="clear" w:color="auto" w:fill="auto"/>
            <w:vAlign w:val="center"/>
          </w:tcPr>
          <w:p>
            <w:pPr>
              <w:widowControl/>
              <w:rPr>
                <w:rFonts w:ascii="宋体" w:hAnsi="宋体" w:eastAsia="宋体" w:cs="宋体"/>
                <w:kern w:val="0"/>
                <w:sz w:val="24"/>
                <w:szCs w:val="24"/>
                <w:highlight w:val="none"/>
              </w:rPr>
            </w:pPr>
            <w:r>
              <w:rPr>
                <w:rFonts w:hint="eastAsia" w:ascii="宋体" w:hAnsi="宋体" w:eastAsia="宋体" w:cs="宋体"/>
                <w:kern w:val="0"/>
                <w:sz w:val="24"/>
                <w:szCs w:val="24"/>
                <w:highlight w:val="none"/>
              </w:rPr>
              <w:t>犁市当铺（朱德旧居）、走马岗遗址、抗日战争第七战区指挥部旧址、张九龄家族墓地、余靖墓、西水暴动旧址、仙人塔等。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 w:hRule="atLeast"/>
        </w:trPr>
        <w:tc>
          <w:tcPr>
            <w:tcW w:w="327" w:type="pct"/>
            <w:vMerge w:val="continue"/>
            <w:vAlign w:val="center"/>
          </w:tcPr>
          <w:p>
            <w:pPr>
              <w:widowControl/>
              <w:jc w:val="left"/>
              <w:rPr>
                <w:rFonts w:ascii="宋体" w:hAnsi="宋体" w:eastAsia="宋体" w:cs="宋体"/>
                <w:kern w:val="0"/>
                <w:sz w:val="24"/>
                <w:szCs w:val="24"/>
                <w:highlight w:val="none"/>
              </w:rPr>
            </w:pPr>
          </w:p>
        </w:tc>
        <w:tc>
          <w:tcPr>
            <w:tcW w:w="438" w:type="pct"/>
            <w:vMerge w:val="continue"/>
            <w:vAlign w:val="center"/>
          </w:tcPr>
          <w:p>
            <w:pPr>
              <w:widowControl/>
              <w:jc w:val="left"/>
              <w:rPr>
                <w:rFonts w:ascii="宋体" w:hAnsi="宋体" w:eastAsia="宋体" w:cs="宋体"/>
                <w:kern w:val="0"/>
                <w:sz w:val="24"/>
                <w:szCs w:val="24"/>
                <w:highlight w:val="none"/>
              </w:rPr>
            </w:pPr>
          </w:p>
        </w:tc>
        <w:tc>
          <w:tcPr>
            <w:tcW w:w="1110" w:type="pct"/>
            <w:shd w:val="clear" w:color="auto" w:fill="auto"/>
            <w:vAlign w:val="center"/>
          </w:tcPr>
          <w:p>
            <w:pPr>
              <w:widowControl/>
              <w:jc w:val="center"/>
              <w:rPr>
                <w:rFonts w:ascii="宋体" w:hAnsi="宋体" w:eastAsia="宋体" w:cs="宋体"/>
                <w:kern w:val="0"/>
                <w:sz w:val="24"/>
                <w:szCs w:val="24"/>
                <w:highlight w:val="none"/>
              </w:rPr>
            </w:pPr>
            <w:r>
              <w:rPr>
                <w:rFonts w:hint="eastAsia" w:ascii="宋体" w:hAnsi="宋体" w:eastAsia="宋体" w:cs="宋体"/>
                <w:kern w:val="0"/>
                <w:sz w:val="24"/>
                <w:szCs w:val="24"/>
                <w:highlight w:val="none"/>
              </w:rPr>
              <w:t>市县级文物保护单位（</w:t>
            </w:r>
            <w:r>
              <w:rPr>
                <w:rFonts w:ascii="宋体" w:hAnsi="宋体" w:eastAsia="宋体" w:cs="宋体"/>
                <w:kern w:val="0"/>
                <w:sz w:val="24"/>
                <w:szCs w:val="24"/>
                <w:highlight w:val="none"/>
              </w:rPr>
              <w:t>31</w:t>
            </w:r>
            <w:r>
              <w:rPr>
                <w:rFonts w:hint="eastAsia" w:ascii="宋体" w:hAnsi="宋体" w:eastAsia="宋体" w:cs="宋体"/>
                <w:kern w:val="0"/>
                <w:sz w:val="24"/>
                <w:szCs w:val="24"/>
                <w:highlight w:val="none"/>
              </w:rPr>
              <w:t>6处）</w:t>
            </w:r>
          </w:p>
        </w:tc>
        <w:tc>
          <w:tcPr>
            <w:tcW w:w="3123" w:type="pct"/>
            <w:shd w:val="clear" w:color="auto" w:fill="auto"/>
            <w:vAlign w:val="center"/>
          </w:tcPr>
          <w:p>
            <w:pPr>
              <w:widowControl/>
              <w:rPr>
                <w:rFonts w:ascii="宋体" w:hAnsi="宋体" w:eastAsia="宋体" w:cs="宋体"/>
                <w:kern w:val="0"/>
                <w:sz w:val="24"/>
                <w:szCs w:val="24"/>
                <w:highlight w:val="none"/>
              </w:rPr>
            </w:pPr>
            <w:r>
              <w:rPr>
                <w:rFonts w:hint="eastAsia" w:ascii="宋体" w:hAnsi="宋体" w:eastAsia="宋体" w:cs="宋体"/>
                <w:kern w:val="0"/>
                <w:sz w:val="24"/>
                <w:szCs w:val="24"/>
                <w:highlight w:val="none"/>
              </w:rPr>
              <w:t>广州会馆（门坊）、风采楼、帽子峰碉堡群（主峰碉堡、武城堡、定韶堡、巩北堡）、卢崇善旧居、通天塔遗址等。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 w:hRule="atLeast"/>
        </w:trPr>
        <w:tc>
          <w:tcPr>
            <w:tcW w:w="327" w:type="pct"/>
            <w:vMerge w:val="continue"/>
            <w:vAlign w:val="center"/>
          </w:tcPr>
          <w:p>
            <w:pPr>
              <w:widowControl/>
              <w:jc w:val="left"/>
              <w:rPr>
                <w:rFonts w:ascii="宋体" w:hAnsi="宋体" w:eastAsia="宋体" w:cs="宋体"/>
                <w:kern w:val="0"/>
                <w:sz w:val="24"/>
                <w:szCs w:val="24"/>
                <w:highlight w:val="none"/>
              </w:rPr>
            </w:pPr>
          </w:p>
        </w:tc>
        <w:tc>
          <w:tcPr>
            <w:tcW w:w="1549" w:type="pct"/>
            <w:gridSpan w:val="2"/>
            <w:shd w:val="clear" w:color="auto" w:fill="auto"/>
            <w:noWrap/>
            <w:vAlign w:val="center"/>
          </w:tcPr>
          <w:p>
            <w:pPr>
              <w:widowControl/>
              <w:jc w:val="center"/>
              <w:rPr>
                <w:rFonts w:ascii="宋体" w:hAnsi="宋体" w:eastAsia="宋体" w:cs="宋体"/>
                <w:kern w:val="0"/>
                <w:sz w:val="24"/>
                <w:szCs w:val="24"/>
                <w:highlight w:val="none"/>
              </w:rPr>
            </w:pPr>
            <w:r>
              <w:rPr>
                <w:rFonts w:hint="eastAsia" w:ascii="宋体" w:hAnsi="宋体" w:eastAsia="宋体" w:cs="宋体"/>
                <w:kern w:val="0"/>
                <w:sz w:val="24"/>
                <w:szCs w:val="24"/>
                <w:highlight w:val="none"/>
              </w:rPr>
              <w:t>一般不可移动文物（2536处）</w:t>
            </w:r>
          </w:p>
        </w:tc>
        <w:tc>
          <w:tcPr>
            <w:tcW w:w="3123" w:type="pct"/>
            <w:shd w:val="clear" w:color="auto" w:fill="auto"/>
            <w:vAlign w:val="center"/>
          </w:tcPr>
          <w:p>
            <w:pPr>
              <w:widowControl/>
              <w:rPr>
                <w:rFonts w:ascii="宋体" w:hAnsi="宋体" w:eastAsia="宋体" w:cs="宋体"/>
                <w:kern w:val="0"/>
                <w:sz w:val="24"/>
                <w:szCs w:val="24"/>
                <w:highlight w:val="none"/>
              </w:rPr>
            </w:pPr>
            <w:r>
              <w:rPr>
                <w:rFonts w:hint="eastAsia" w:ascii="宋体" w:hAnsi="宋体" w:eastAsia="宋体" w:cs="宋体"/>
                <w:kern w:val="0"/>
                <w:sz w:val="24"/>
                <w:szCs w:val="24"/>
                <w:highlight w:val="none"/>
              </w:rPr>
              <w:t>关帝楼码头、衡昌码头、公昌码头、李屋码头、陈江山围楼、上塞村潘氏祠堂、上坝围楼、丝茅坪遗址、基督教循道会牧师楼等。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rPr>
        <w:tc>
          <w:tcPr>
            <w:tcW w:w="327" w:type="pct"/>
            <w:vMerge w:val="continue"/>
            <w:vAlign w:val="center"/>
          </w:tcPr>
          <w:p>
            <w:pPr>
              <w:widowControl/>
              <w:jc w:val="left"/>
              <w:rPr>
                <w:rFonts w:ascii="宋体" w:hAnsi="宋体" w:eastAsia="宋体" w:cs="宋体"/>
                <w:kern w:val="0"/>
                <w:sz w:val="24"/>
                <w:szCs w:val="24"/>
                <w:highlight w:val="none"/>
              </w:rPr>
            </w:pPr>
          </w:p>
        </w:tc>
        <w:tc>
          <w:tcPr>
            <w:tcW w:w="1549" w:type="pct"/>
            <w:gridSpan w:val="2"/>
            <w:shd w:val="clear" w:color="auto" w:fill="auto"/>
            <w:noWrap/>
            <w:vAlign w:val="center"/>
          </w:tcPr>
          <w:p>
            <w:pPr>
              <w:widowControl/>
              <w:jc w:val="center"/>
              <w:rPr>
                <w:rFonts w:ascii="宋体" w:hAnsi="宋体" w:eastAsia="宋体" w:cs="宋体"/>
                <w:kern w:val="0"/>
                <w:sz w:val="24"/>
                <w:szCs w:val="24"/>
                <w:highlight w:val="none"/>
              </w:rPr>
            </w:pPr>
            <w:r>
              <w:rPr>
                <w:rFonts w:hint="eastAsia" w:ascii="宋体" w:hAnsi="宋体" w:eastAsia="宋体" w:cs="宋体"/>
                <w:kern w:val="0"/>
                <w:sz w:val="24"/>
                <w:szCs w:val="24"/>
                <w:highlight w:val="none"/>
              </w:rPr>
              <w:t>历史建筑（198处）</w:t>
            </w:r>
          </w:p>
        </w:tc>
        <w:tc>
          <w:tcPr>
            <w:tcW w:w="3123" w:type="pct"/>
            <w:shd w:val="clear" w:color="auto" w:fill="auto"/>
            <w:vAlign w:val="center"/>
          </w:tcPr>
          <w:p>
            <w:pPr>
              <w:widowControl/>
              <w:rPr>
                <w:rFonts w:ascii="宋体" w:hAnsi="宋体" w:eastAsia="宋体" w:cs="宋体"/>
                <w:kern w:val="0"/>
                <w:sz w:val="24"/>
                <w:szCs w:val="24"/>
                <w:highlight w:val="none"/>
              </w:rPr>
            </w:pPr>
            <w:r>
              <w:rPr>
                <w:rFonts w:hint="eastAsia" w:ascii="宋体" w:hAnsi="宋体" w:eastAsia="宋体" w:cs="宋体"/>
                <w:kern w:val="0"/>
                <w:sz w:val="24"/>
                <w:szCs w:val="24"/>
                <w:highlight w:val="none"/>
              </w:rPr>
              <w:t>朱谢两姓祠堂、果园村陈家祠堂、杨屋村村南杨氏祠堂、杨屋村村中杨氏祠堂、石下村尉氏祠堂、新郑屋村郑氏祠堂等。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3" w:hRule="atLeast"/>
        </w:trPr>
        <w:tc>
          <w:tcPr>
            <w:tcW w:w="327" w:type="pct"/>
            <w:vMerge w:val="continue"/>
            <w:vAlign w:val="center"/>
          </w:tcPr>
          <w:p>
            <w:pPr>
              <w:widowControl/>
              <w:jc w:val="left"/>
              <w:rPr>
                <w:rFonts w:ascii="宋体" w:hAnsi="宋体" w:eastAsia="宋体" w:cs="宋体"/>
                <w:kern w:val="0"/>
                <w:sz w:val="24"/>
                <w:szCs w:val="24"/>
                <w:highlight w:val="none"/>
              </w:rPr>
            </w:pPr>
          </w:p>
        </w:tc>
        <w:tc>
          <w:tcPr>
            <w:tcW w:w="1549" w:type="pct"/>
            <w:gridSpan w:val="2"/>
            <w:shd w:val="clear" w:color="auto" w:fill="auto"/>
            <w:noWrap/>
            <w:vAlign w:val="center"/>
          </w:tcPr>
          <w:p>
            <w:pPr>
              <w:widowControl/>
              <w:jc w:val="center"/>
              <w:rPr>
                <w:rFonts w:ascii="宋体" w:hAnsi="宋体" w:eastAsia="宋体" w:cs="宋体"/>
                <w:kern w:val="0"/>
                <w:sz w:val="24"/>
                <w:szCs w:val="24"/>
                <w:highlight w:val="none"/>
              </w:rPr>
            </w:pPr>
            <w:r>
              <w:rPr>
                <w:rFonts w:hint="eastAsia" w:ascii="宋体" w:hAnsi="宋体" w:eastAsia="宋体" w:cs="宋体"/>
                <w:kern w:val="0"/>
                <w:sz w:val="24"/>
                <w:szCs w:val="24"/>
                <w:highlight w:val="none"/>
              </w:rPr>
              <w:t>历史环境要素</w:t>
            </w:r>
          </w:p>
        </w:tc>
        <w:tc>
          <w:tcPr>
            <w:tcW w:w="3123" w:type="pct"/>
            <w:shd w:val="clear" w:color="auto" w:fill="auto"/>
            <w:vAlign w:val="center"/>
          </w:tcPr>
          <w:p>
            <w:pPr>
              <w:widowControl/>
              <w:rPr>
                <w:rFonts w:ascii="宋体" w:hAnsi="宋体" w:eastAsia="宋体" w:cs="宋体"/>
                <w:kern w:val="0"/>
                <w:sz w:val="24"/>
                <w:szCs w:val="24"/>
                <w:highlight w:val="none"/>
              </w:rPr>
            </w:pPr>
            <w:r>
              <w:rPr>
                <w:rFonts w:hint="eastAsia" w:ascii="宋体" w:hAnsi="宋体" w:eastAsia="宋体" w:cs="宋体"/>
                <w:kern w:val="0"/>
                <w:sz w:val="24"/>
                <w:szCs w:val="24"/>
                <w:highlight w:val="none"/>
              </w:rPr>
              <w:t>韶关市现存古树名木8222株，其中一级古树194株，二级古树1076株，三级古树6952株。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3" w:hRule="atLeast"/>
        </w:trPr>
        <w:tc>
          <w:tcPr>
            <w:tcW w:w="327" w:type="pct"/>
            <w:vMerge w:val="continue"/>
            <w:vAlign w:val="center"/>
          </w:tcPr>
          <w:p>
            <w:pPr>
              <w:widowControl/>
              <w:jc w:val="left"/>
              <w:rPr>
                <w:rFonts w:ascii="宋体" w:hAnsi="宋体" w:eastAsia="宋体" w:cs="宋体"/>
                <w:kern w:val="0"/>
                <w:sz w:val="24"/>
                <w:szCs w:val="24"/>
                <w:highlight w:val="none"/>
              </w:rPr>
            </w:pPr>
          </w:p>
        </w:tc>
        <w:tc>
          <w:tcPr>
            <w:tcW w:w="1549" w:type="pct"/>
            <w:gridSpan w:val="2"/>
            <w:shd w:val="clear" w:color="auto" w:fill="auto"/>
            <w:noWrap/>
            <w:vAlign w:val="center"/>
          </w:tcPr>
          <w:p>
            <w:pPr>
              <w:widowControl/>
              <w:jc w:val="center"/>
              <w:rPr>
                <w:rFonts w:ascii="宋体" w:hAnsi="宋体" w:eastAsia="宋体" w:cs="宋体"/>
                <w:kern w:val="0"/>
                <w:sz w:val="24"/>
                <w:szCs w:val="24"/>
                <w:highlight w:val="none"/>
              </w:rPr>
            </w:pPr>
            <w:r>
              <w:rPr>
                <w:rFonts w:hint="eastAsia" w:ascii="宋体" w:hAnsi="宋体" w:eastAsia="宋体" w:cs="宋体"/>
                <w:kern w:val="0"/>
                <w:sz w:val="24"/>
                <w:szCs w:val="24"/>
                <w:highlight w:val="none"/>
              </w:rPr>
              <w:t>地下埋藏区（5片）</w:t>
            </w:r>
          </w:p>
        </w:tc>
        <w:tc>
          <w:tcPr>
            <w:tcW w:w="3123" w:type="pct"/>
            <w:shd w:val="clear" w:color="auto" w:fill="auto"/>
            <w:vAlign w:val="center"/>
          </w:tcPr>
          <w:p>
            <w:pPr>
              <w:widowControl/>
              <w:rPr>
                <w:rFonts w:ascii="宋体" w:hAnsi="宋体" w:eastAsia="宋体" w:cs="宋体"/>
                <w:kern w:val="0"/>
                <w:sz w:val="24"/>
                <w:szCs w:val="24"/>
                <w:highlight w:val="none"/>
              </w:rPr>
            </w:pPr>
            <w:r>
              <w:rPr>
                <w:rFonts w:hint="eastAsia" w:ascii="宋体" w:hAnsi="宋体" w:eastAsia="宋体" w:cs="宋体"/>
                <w:kern w:val="0"/>
                <w:sz w:val="24"/>
                <w:szCs w:val="24"/>
                <w:highlight w:val="none"/>
              </w:rPr>
              <w:t>小岛埋藏区、走马岗埋藏区、西河埋藏区、龙归埋藏区、马坝埋藏区。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327" w:type="pct"/>
            <w:vMerge w:val="restart"/>
            <w:shd w:val="clear" w:color="auto" w:fill="auto"/>
            <w:noWrap/>
            <w:vAlign w:val="center"/>
          </w:tcPr>
          <w:p>
            <w:pPr>
              <w:widowControl/>
              <w:jc w:val="center"/>
              <w:rPr>
                <w:rFonts w:ascii="宋体" w:hAnsi="宋体" w:eastAsia="宋体" w:cs="宋体"/>
                <w:kern w:val="0"/>
                <w:sz w:val="24"/>
                <w:szCs w:val="24"/>
                <w:highlight w:val="none"/>
              </w:rPr>
            </w:pPr>
            <w:r>
              <w:rPr>
                <w:rFonts w:hint="eastAsia" w:ascii="宋体" w:hAnsi="宋体" w:eastAsia="宋体" w:cs="宋体"/>
                <w:kern w:val="0"/>
                <w:sz w:val="24"/>
                <w:szCs w:val="24"/>
                <w:highlight w:val="none"/>
              </w:rPr>
              <w:t>非物质文化遗产</w:t>
            </w:r>
          </w:p>
        </w:tc>
        <w:tc>
          <w:tcPr>
            <w:tcW w:w="1549" w:type="pct"/>
            <w:gridSpan w:val="2"/>
            <w:shd w:val="clear" w:color="auto" w:fill="auto"/>
            <w:noWrap/>
            <w:vAlign w:val="center"/>
          </w:tcPr>
          <w:p>
            <w:pPr>
              <w:widowControl/>
              <w:jc w:val="center"/>
              <w:rPr>
                <w:rFonts w:ascii="宋体" w:hAnsi="宋体" w:eastAsia="宋体" w:cs="宋体"/>
                <w:kern w:val="0"/>
                <w:sz w:val="24"/>
                <w:szCs w:val="24"/>
                <w:highlight w:val="none"/>
              </w:rPr>
            </w:pPr>
            <w:r>
              <w:rPr>
                <w:rFonts w:hint="eastAsia" w:ascii="宋体" w:hAnsi="宋体" w:eastAsia="宋体" w:cs="宋体"/>
                <w:kern w:val="0"/>
                <w:sz w:val="24"/>
                <w:szCs w:val="24"/>
                <w:highlight w:val="none"/>
              </w:rPr>
              <w:t>国家级非物质文化遗产（6项）</w:t>
            </w:r>
          </w:p>
        </w:tc>
        <w:tc>
          <w:tcPr>
            <w:tcW w:w="3123" w:type="pct"/>
            <w:shd w:val="clear" w:color="auto" w:fill="auto"/>
            <w:vAlign w:val="center"/>
          </w:tcPr>
          <w:p>
            <w:pPr>
              <w:widowControl/>
              <w:rPr>
                <w:rFonts w:ascii="宋体" w:hAnsi="宋体" w:eastAsia="宋体" w:cs="宋体"/>
                <w:kern w:val="0"/>
                <w:sz w:val="24"/>
                <w:szCs w:val="24"/>
                <w:highlight w:val="none"/>
              </w:rPr>
            </w:pPr>
            <w:r>
              <w:rPr>
                <w:rFonts w:hint="eastAsia" w:ascii="宋体" w:hAnsi="宋体" w:eastAsia="宋体" w:cs="宋体"/>
                <w:kern w:val="0"/>
                <w:sz w:val="24"/>
                <w:szCs w:val="24"/>
                <w:highlight w:val="none"/>
              </w:rPr>
              <w:t>瑶族盘王节、采茶戏（粤北采茶戏）、瑶族刺绣、龙舞（香火龙）、瑶族民歌、珠玑巷人南迁传说。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0" w:hRule="atLeast"/>
        </w:trPr>
        <w:tc>
          <w:tcPr>
            <w:tcW w:w="327" w:type="pct"/>
            <w:vMerge w:val="continue"/>
            <w:vAlign w:val="center"/>
          </w:tcPr>
          <w:p>
            <w:pPr>
              <w:widowControl/>
              <w:jc w:val="left"/>
              <w:rPr>
                <w:rFonts w:ascii="宋体" w:hAnsi="宋体" w:eastAsia="宋体" w:cs="宋体"/>
                <w:kern w:val="0"/>
                <w:sz w:val="24"/>
                <w:szCs w:val="24"/>
                <w:highlight w:val="none"/>
              </w:rPr>
            </w:pPr>
          </w:p>
        </w:tc>
        <w:tc>
          <w:tcPr>
            <w:tcW w:w="1549" w:type="pct"/>
            <w:gridSpan w:val="2"/>
            <w:shd w:val="clear" w:color="auto" w:fill="auto"/>
            <w:noWrap/>
            <w:vAlign w:val="center"/>
          </w:tcPr>
          <w:p>
            <w:pPr>
              <w:widowControl/>
              <w:jc w:val="center"/>
              <w:rPr>
                <w:rFonts w:ascii="宋体" w:hAnsi="宋体" w:eastAsia="宋体" w:cs="宋体"/>
                <w:kern w:val="0"/>
                <w:sz w:val="24"/>
                <w:szCs w:val="24"/>
                <w:highlight w:val="none"/>
              </w:rPr>
            </w:pPr>
            <w:r>
              <w:rPr>
                <w:rFonts w:hint="eastAsia" w:ascii="宋体" w:hAnsi="宋体" w:eastAsia="宋体" w:cs="宋体"/>
                <w:kern w:val="0"/>
                <w:sz w:val="24"/>
                <w:szCs w:val="24"/>
                <w:highlight w:val="none"/>
              </w:rPr>
              <w:t>省级非物质文化遗产（22项）</w:t>
            </w:r>
          </w:p>
        </w:tc>
        <w:tc>
          <w:tcPr>
            <w:tcW w:w="3123" w:type="pct"/>
            <w:shd w:val="clear" w:color="auto" w:fill="auto"/>
            <w:vAlign w:val="center"/>
          </w:tcPr>
          <w:p>
            <w:pPr>
              <w:widowControl/>
              <w:rPr>
                <w:rFonts w:ascii="宋体" w:hAnsi="宋体" w:eastAsia="宋体" w:cs="宋体"/>
                <w:kern w:val="0"/>
                <w:sz w:val="24"/>
                <w:szCs w:val="24"/>
                <w:highlight w:val="none"/>
              </w:rPr>
            </w:pPr>
            <w:r>
              <w:rPr>
                <w:rFonts w:hint="eastAsia" w:ascii="宋体" w:hAnsi="宋体" w:eastAsia="宋体" w:cs="宋体"/>
                <w:kern w:val="0"/>
                <w:sz w:val="24"/>
                <w:szCs w:val="24"/>
                <w:highlight w:val="none"/>
              </w:rPr>
              <w:t>南华诞庙会、舞春牛、张田饼印、九峰山歌、石塘月姐歌、狮舞（青蛙狮）、仁化土法造纸技艺、龙船歌、乐昌花鼓戏等。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0" w:hRule="atLeast"/>
        </w:trPr>
        <w:tc>
          <w:tcPr>
            <w:tcW w:w="327" w:type="pct"/>
            <w:vMerge w:val="continue"/>
            <w:vAlign w:val="center"/>
          </w:tcPr>
          <w:p>
            <w:pPr>
              <w:widowControl/>
              <w:jc w:val="left"/>
              <w:rPr>
                <w:rFonts w:ascii="宋体" w:hAnsi="宋体" w:eastAsia="宋体" w:cs="宋体"/>
                <w:kern w:val="0"/>
                <w:sz w:val="24"/>
                <w:szCs w:val="24"/>
                <w:highlight w:val="none"/>
              </w:rPr>
            </w:pPr>
          </w:p>
        </w:tc>
        <w:tc>
          <w:tcPr>
            <w:tcW w:w="1549" w:type="pct"/>
            <w:gridSpan w:val="2"/>
            <w:shd w:val="clear" w:color="auto" w:fill="auto"/>
            <w:noWrap/>
            <w:vAlign w:val="center"/>
          </w:tcPr>
          <w:p>
            <w:pPr>
              <w:widowControl/>
              <w:jc w:val="center"/>
              <w:rPr>
                <w:rFonts w:ascii="宋体" w:hAnsi="宋体" w:eastAsia="宋体" w:cs="宋体"/>
                <w:kern w:val="0"/>
                <w:sz w:val="24"/>
                <w:szCs w:val="24"/>
                <w:highlight w:val="none"/>
              </w:rPr>
            </w:pPr>
            <w:r>
              <w:rPr>
                <w:rFonts w:hint="eastAsia" w:ascii="宋体" w:hAnsi="宋体" w:eastAsia="宋体" w:cs="宋体"/>
                <w:kern w:val="0"/>
                <w:sz w:val="24"/>
                <w:szCs w:val="24"/>
                <w:highlight w:val="none"/>
              </w:rPr>
              <w:t>市级非物质文化遗产（59项）</w:t>
            </w:r>
          </w:p>
        </w:tc>
        <w:tc>
          <w:tcPr>
            <w:tcW w:w="3123" w:type="pct"/>
            <w:shd w:val="clear" w:color="auto" w:fill="auto"/>
            <w:vAlign w:val="center"/>
          </w:tcPr>
          <w:p>
            <w:pPr>
              <w:widowControl/>
              <w:rPr>
                <w:rFonts w:ascii="宋体" w:hAnsi="宋体" w:eastAsia="宋体" w:cs="宋体"/>
                <w:kern w:val="0"/>
                <w:sz w:val="24"/>
                <w:szCs w:val="24"/>
                <w:highlight w:val="none"/>
              </w:rPr>
            </w:pPr>
            <w:r>
              <w:rPr>
                <w:rFonts w:hint="eastAsia" w:ascii="宋体" w:hAnsi="宋体" w:eastAsia="宋体" w:cs="宋体"/>
                <w:kern w:val="0"/>
                <w:sz w:val="24"/>
                <w:szCs w:val="24"/>
                <w:highlight w:val="none"/>
              </w:rPr>
              <w:t>十点梅花、鹤蚌舞、双龙舞双狮、龟蚌舞、新丰担丁酒、新丰缸瓦、翁源烟火戏、南雄姓氏节、闹春牛、梅花龙、乳源瑶族传统医药等。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 w:hRule="atLeast"/>
        </w:trPr>
        <w:tc>
          <w:tcPr>
            <w:tcW w:w="327" w:type="pct"/>
            <w:vMerge w:val="restart"/>
            <w:shd w:val="clear" w:color="auto" w:fill="auto"/>
            <w:noWrap/>
            <w:vAlign w:val="center"/>
          </w:tcPr>
          <w:p>
            <w:pPr>
              <w:widowControl/>
              <w:jc w:val="center"/>
              <w:rPr>
                <w:rFonts w:ascii="宋体" w:hAnsi="宋体" w:eastAsia="宋体" w:cs="宋体"/>
                <w:kern w:val="0"/>
                <w:sz w:val="24"/>
                <w:szCs w:val="24"/>
                <w:highlight w:val="none"/>
              </w:rPr>
            </w:pPr>
            <w:r>
              <w:rPr>
                <w:rFonts w:hint="eastAsia" w:ascii="宋体" w:hAnsi="宋体" w:eastAsia="宋体" w:cs="宋体"/>
                <w:kern w:val="0"/>
                <w:sz w:val="24"/>
                <w:szCs w:val="24"/>
                <w:highlight w:val="none"/>
              </w:rPr>
              <w:t>其他物质文化遗产</w:t>
            </w:r>
          </w:p>
        </w:tc>
        <w:tc>
          <w:tcPr>
            <w:tcW w:w="438" w:type="pct"/>
            <w:shd w:val="clear" w:color="auto" w:fill="auto"/>
            <w:noWrap/>
            <w:vAlign w:val="center"/>
          </w:tcPr>
          <w:p>
            <w:pPr>
              <w:widowControl/>
              <w:jc w:val="center"/>
              <w:rPr>
                <w:rFonts w:ascii="宋体" w:hAnsi="宋体" w:eastAsia="宋体" w:cs="宋体"/>
                <w:kern w:val="0"/>
                <w:sz w:val="24"/>
                <w:szCs w:val="24"/>
                <w:highlight w:val="none"/>
              </w:rPr>
            </w:pPr>
            <w:r>
              <w:rPr>
                <w:rFonts w:hint="eastAsia" w:ascii="宋体" w:hAnsi="宋体" w:eastAsia="宋体" w:cs="宋体"/>
                <w:kern w:val="0"/>
                <w:sz w:val="24"/>
                <w:szCs w:val="24"/>
                <w:highlight w:val="none"/>
              </w:rPr>
              <w:t>线性文化遗产</w:t>
            </w:r>
          </w:p>
        </w:tc>
        <w:tc>
          <w:tcPr>
            <w:tcW w:w="1110" w:type="pct"/>
            <w:shd w:val="clear" w:color="auto" w:fill="auto"/>
            <w:vAlign w:val="center"/>
          </w:tcPr>
          <w:p>
            <w:pPr>
              <w:widowControl/>
              <w:jc w:val="left"/>
              <w:rPr>
                <w:rFonts w:ascii="宋体" w:hAnsi="宋体" w:eastAsia="宋体" w:cs="宋体"/>
                <w:kern w:val="0"/>
                <w:sz w:val="24"/>
                <w:szCs w:val="24"/>
                <w:highlight w:val="none"/>
              </w:rPr>
            </w:pPr>
            <w:r>
              <w:rPr>
                <w:rFonts w:hint="eastAsia" w:ascii="宋体" w:hAnsi="宋体" w:eastAsia="宋体" w:cs="宋体"/>
                <w:kern w:val="0"/>
                <w:sz w:val="24"/>
                <w:szCs w:val="24"/>
                <w:highlight w:val="none"/>
              </w:rPr>
              <w:t>古驿道（3条）</w:t>
            </w:r>
          </w:p>
        </w:tc>
        <w:tc>
          <w:tcPr>
            <w:tcW w:w="3123" w:type="pct"/>
            <w:shd w:val="clear" w:color="auto" w:fill="auto"/>
            <w:vAlign w:val="center"/>
          </w:tcPr>
          <w:p>
            <w:pPr>
              <w:widowControl/>
              <w:rPr>
                <w:rFonts w:ascii="宋体" w:hAnsi="宋体" w:eastAsia="宋体" w:cs="宋体"/>
                <w:kern w:val="0"/>
                <w:sz w:val="24"/>
                <w:szCs w:val="24"/>
                <w:highlight w:val="none"/>
              </w:rPr>
            </w:pPr>
            <w:r>
              <w:rPr>
                <w:rFonts w:hint="eastAsia" w:ascii="宋体" w:hAnsi="宋体" w:eastAsia="宋体" w:cs="宋体"/>
                <w:kern w:val="0"/>
                <w:sz w:val="24"/>
                <w:szCs w:val="24"/>
                <w:highlight w:val="none"/>
              </w:rPr>
              <w:t>梅关古道、乌迳古道及西京古道。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rPr>
        <w:tc>
          <w:tcPr>
            <w:tcW w:w="327" w:type="pct"/>
            <w:vMerge w:val="continue"/>
            <w:vAlign w:val="center"/>
          </w:tcPr>
          <w:p>
            <w:pPr>
              <w:widowControl/>
              <w:jc w:val="left"/>
              <w:rPr>
                <w:rFonts w:ascii="宋体" w:hAnsi="宋体" w:eastAsia="宋体" w:cs="宋体"/>
                <w:kern w:val="0"/>
                <w:sz w:val="24"/>
                <w:szCs w:val="24"/>
                <w:highlight w:val="none"/>
              </w:rPr>
            </w:pPr>
          </w:p>
        </w:tc>
        <w:tc>
          <w:tcPr>
            <w:tcW w:w="1549" w:type="pct"/>
            <w:gridSpan w:val="2"/>
            <w:shd w:val="clear" w:color="auto" w:fill="auto"/>
            <w:noWrap/>
            <w:vAlign w:val="center"/>
          </w:tcPr>
          <w:p>
            <w:pPr>
              <w:widowControl/>
              <w:jc w:val="center"/>
              <w:rPr>
                <w:rFonts w:ascii="宋体" w:hAnsi="宋体" w:eastAsia="宋体" w:cs="宋体"/>
                <w:kern w:val="0"/>
                <w:sz w:val="24"/>
                <w:szCs w:val="24"/>
                <w:highlight w:val="none"/>
              </w:rPr>
            </w:pPr>
            <w:r>
              <w:rPr>
                <w:rFonts w:hint="eastAsia" w:ascii="宋体" w:hAnsi="宋体" w:eastAsia="宋体" w:cs="宋体"/>
                <w:kern w:val="0"/>
                <w:sz w:val="24"/>
                <w:szCs w:val="24"/>
                <w:highlight w:val="none"/>
              </w:rPr>
              <w:t>不可移动革命文物（128处）、红色革命遗址（502处）</w:t>
            </w:r>
          </w:p>
        </w:tc>
        <w:tc>
          <w:tcPr>
            <w:tcW w:w="3123" w:type="pct"/>
            <w:shd w:val="clear" w:color="auto" w:fill="auto"/>
            <w:vAlign w:val="center"/>
          </w:tcPr>
          <w:p>
            <w:pPr>
              <w:widowControl/>
              <w:rPr>
                <w:rFonts w:ascii="宋体" w:hAnsi="宋体" w:eastAsia="宋体" w:cs="宋体"/>
                <w:kern w:val="0"/>
                <w:sz w:val="24"/>
                <w:szCs w:val="24"/>
                <w:highlight w:val="none"/>
              </w:rPr>
            </w:pPr>
            <w:r>
              <w:rPr>
                <w:rFonts w:hint="eastAsia" w:ascii="宋体" w:hAnsi="宋体" w:eastAsia="宋体" w:cs="宋体"/>
                <w:kern w:val="0"/>
                <w:sz w:val="24"/>
                <w:szCs w:val="24"/>
                <w:highlight w:val="none"/>
              </w:rPr>
              <w:t>双峰寨、中共广东省委、中共粤北省委机关旧址、犁市当铺、红梨渡槽、抗日战争第七战区指挥部旧址、冲下革命烈士纪念碑等。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trPr>
        <w:tc>
          <w:tcPr>
            <w:tcW w:w="327" w:type="pct"/>
            <w:vMerge w:val="continue"/>
            <w:vAlign w:val="center"/>
          </w:tcPr>
          <w:p>
            <w:pPr>
              <w:widowControl/>
              <w:jc w:val="left"/>
              <w:rPr>
                <w:rFonts w:ascii="宋体" w:hAnsi="宋体" w:eastAsia="宋体" w:cs="宋体"/>
                <w:kern w:val="0"/>
                <w:sz w:val="24"/>
                <w:szCs w:val="24"/>
                <w:highlight w:val="none"/>
              </w:rPr>
            </w:pPr>
          </w:p>
        </w:tc>
        <w:tc>
          <w:tcPr>
            <w:tcW w:w="1549" w:type="pct"/>
            <w:gridSpan w:val="2"/>
            <w:shd w:val="clear" w:color="auto" w:fill="auto"/>
            <w:noWrap/>
            <w:vAlign w:val="center"/>
          </w:tcPr>
          <w:p>
            <w:pPr>
              <w:widowControl/>
              <w:jc w:val="center"/>
              <w:rPr>
                <w:rFonts w:ascii="宋体" w:hAnsi="宋体" w:eastAsia="宋体" w:cs="宋体"/>
                <w:kern w:val="0"/>
                <w:sz w:val="24"/>
                <w:szCs w:val="24"/>
                <w:highlight w:val="none"/>
              </w:rPr>
            </w:pPr>
            <w:r>
              <w:rPr>
                <w:rFonts w:hint="eastAsia" w:ascii="宋体" w:hAnsi="宋体" w:eastAsia="宋体" w:cs="宋体"/>
                <w:kern w:val="0"/>
                <w:sz w:val="24"/>
                <w:szCs w:val="24"/>
                <w:highlight w:val="none"/>
              </w:rPr>
              <w:t>推荐工业遗产线索（3处）</w:t>
            </w:r>
          </w:p>
        </w:tc>
        <w:tc>
          <w:tcPr>
            <w:tcW w:w="3123" w:type="pct"/>
            <w:shd w:val="clear" w:color="auto" w:fill="auto"/>
            <w:vAlign w:val="center"/>
          </w:tcPr>
          <w:p>
            <w:pPr>
              <w:widowControl/>
              <w:rPr>
                <w:rFonts w:ascii="宋体" w:hAnsi="宋体" w:eastAsia="宋体" w:cs="宋体"/>
                <w:kern w:val="0"/>
                <w:sz w:val="24"/>
                <w:szCs w:val="24"/>
                <w:highlight w:val="none"/>
              </w:rPr>
            </w:pPr>
            <w:r>
              <w:rPr>
                <w:rFonts w:hint="eastAsia" w:ascii="宋体" w:hAnsi="宋体" w:eastAsia="宋体" w:cs="宋体"/>
                <w:kern w:val="0"/>
                <w:sz w:val="24"/>
                <w:szCs w:val="24"/>
                <w:highlight w:val="none"/>
              </w:rPr>
              <w:t>工农渠、澜河镇核工业七四三矿、核工业741矿工业建筑。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1" w:hRule="atLeast"/>
        </w:trPr>
        <w:tc>
          <w:tcPr>
            <w:tcW w:w="327" w:type="pct"/>
            <w:vMerge w:val="continue"/>
            <w:vAlign w:val="center"/>
          </w:tcPr>
          <w:p>
            <w:pPr>
              <w:widowControl/>
              <w:jc w:val="left"/>
              <w:rPr>
                <w:rFonts w:ascii="宋体" w:hAnsi="宋体" w:eastAsia="宋体" w:cs="宋体"/>
                <w:kern w:val="0"/>
                <w:sz w:val="24"/>
                <w:szCs w:val="24"/>
                <w:highlight w:val="none"/>
              </w:rPr>
            </w:pPr>
          </w:p>
        </w:tc>
        <w:tc>
          <w:tcPr>
            <w:tcW w:w="1549" w:type="pct"/>
            <w:gridSpan w:val="2"/>
            <w:shd w:val="clear" w:color="auto" w:fill="auto"/>
            <w:noWrap/>
            <w:vAlign w:val="center"/>
          </w:tcPr>
          <w:p>
            <w:pPr>
              <w:widowControl/>
              <w:jc w:val="center"/>
              <w:rPr>
                <w:rFonts w:ascii="宋体" w:hAnsi="宋体" w:eastAsia="宋体" w:cs="宋体"/>
                <w:kern w:val="0"/>
                <w:sz w:val="24"/>
                <w:szCs w:val="24"/>
                <w:highlight w:val="none"/>
              </w:rPr>
            </w:pPr>
            <w:r>
              <w:rPr>
                <w:rFonts w:ascii="宋体" w:hAnsi="宋体" w:eastAsia="宋体" w:cs="宋体"/>
                <w:kern w:val="0"/>
                <w:sz w:val="24"/>
                <w:szCs w:val="24"/>
                <w:highlight w:val="none"/>
              </w:rPr>
              <w:t>世界自然遗产</w:t>
            </w:r>
            <w:r>
              <w:rPr>
                <w:rFonts w:hint="eastAsia" w:ascii="宋体" w:hAnsi="宋体" w:eastAsia="宋体" w:cs="宋体"/>
                <w:kern w:val="0"/>
                <w:sz w:val="24"/>
                <w:szCs w:val="24"/>
                <w:highlight w:val="none"/>
              </w:rPr>
              <w:t>（1处）</w:t>
            </w:r>
          </w:p>
        </w:tc>
        <w:tc>
          <w:tcPr>
            <w:tcW w:w="3123" w:type="pct"/>
            <w:shd w:val="clear" w:color="auto" w:fill="auto"/>
            <w:vAlign w:val="center"/>
          </w:tcPr>
          <w:p>
            <w:pPr>
              <w:widowControl/>
              <w:rPr>
                <w:rFonts w:ascii="宋体" w:hAnsi="宋体" w:eastAsia="宋体" w:cs="宋体"/>
                <w:kern w:val="0"/>
                <w:sz w:val="24"/>
                <w:szCs w:val="24"/>
                <w:highlight w:val="none"/>
              </w:rPr>
            </w:pPr>
            <w:r>
              <w:rPr>
                <w:rFonts w:hint="eastAsia" w:ascii="宋体" w:hAnsi="宋体" w:eastAsia="宋体" w:cs="宋体"/>
                <w:kern w:val="0"/>
                <w:sz w:val="24"/>
                <w:szCs w:val="24"/>
                <w:highlight w:val="none"/>
              </w:rPr>
              <w:t>丹霞山。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327" w:type="pct"/>
            <w:vMerge w:val="continue"/>
            <w:vAlign w:val="center"/>
          </w:tcPr>
          <w:p>
            <w:pPr>
              <w:widowControl/>
              <w:jc w:val="left"/>
              <w:rPr>
                <w:rFonts w:ascii="宋体" w:hAnsi="宋体" w:eastAsia="宋体" w:cs="宋体"/>
                <w:kern w:val="0"/>
                <w:sz w:val="24"/>
                <w:szCs w:val="24"/>
                <w:highlight w:val="none"/>
              </w:rPr>
            </w:pPr>
          </w:p>
        </w:tc>
        <w:tc>
          <w:tcPr>
            <w:tcW w:w="1549" w:type="pct"/>
            <w:gridSpan w:val="2"/>
            <w:shd w:val="clear" w:color="auto" w:fill="auto"/>
            <w:noWrap/>
            <w:vAlign w:val="center"/>
          </w:tcPr>
          <w:p>
            <w:pPr>
              <w:widowControl/>
              <w:jc w:val="center"/>
              <w:rPr>
                <w:rFonts w:ascii="宋体" w:hAnsi="宋体" w:eastAsia="宋体" w:cs="宋体"/>
                <w:kern w:val="0"/>
                <w:sz w:val="24"/>
                <w:szCs w:val="24"/>
                <w:highlight w:val="none"/>
              </w:rPr>
            </w:pPr>
            <w:r>
              <w:rPr>
                <w:rFonts w:hint="eastAsia" w:ascii="宋体" w:hAnsi="宋体" w:eastAsia="宋体" w:cs="宋体"/>
                <w:kern w:val="0"/>
                <w:sz w:val="24"/>
                <w:szCs w:val="24"/>
                <w:highlight w:val="none"/>
              </w:rPr>
              <w:t>华南教育历史研学基地（2处）</w:t>
            </w:r>
          </w:p>
        </w:tc>
        <w:tc>
          <w:tcPr>
            <w:tcW w:w="3123" w:type="pct"/>
            <w:shd w:val="clear" w:color="auto" w:fill="auto"/>
            <w:vAlign w:val="center"/>
          </w:tcPr>
          <w:p>
            <w:pPr>
              <w:widowControl/>
              <w:rPr>
                <w:rFonts w:ascii="宋体" w:hAnsi="宋体" w:eastAsia="宋体" w:cs="宋体"/>
                <w:kern w:val="0"/>
                <w:sz w:val="24"/>
                <w:szCs w:val="24"/>
                <w:highlight w:val="none"/>
              </w:rPr>
            </w:pPr>
            <w:r>
              <w:rPr>
                <w:rFonts w:hint="eastAsia" w:ascii="宋体" w:hAnsi="宋体" w:eastAsia="宋体" w:cs="宋体"/>
                <w:kern w:val="0"/>
                <w:sz w:val="24"/>
                <w:szCs w:val="24"/>
                <w:highlight w:val="none"/>
              </w:rPr>
              <w:t>华南教育历史研学基地（坪石）、华南教育历史研学基地（浈江大村）。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0" w:hRule="atLeast"/>
        </w:trPr>
        <w:tc>
          <w:tcPr>
            <w:tcW w:w="327" w:type="pct"/>
            <w:vMerge w:val="continue"/>
            <w:vAlign w:val="center"/>
          </w:tcPr>
          <w:p>
            <w:pPr>
              <w:widowControl/>
              <w:jc w:val="left"/>
              <w:rPr>
                <w:rFonts w:ascii="宋体" w:hAnsi="宋体" w:eastAsia="宋体" w:cs="宋体"/>
                <w:kern w:val="0"/>
                <w:sz w:val="24"/>
                <w:szCs w:val="24"/>
                <w:highlight w:val="none"/>
              </w:rPr>
            </w:pPr>
          </w:p>
        </w:tc>
        <w:tc>
          <w:tcPr>
            <w:tcW w:w="1549" w:type="pct"/>
            <w:gridSpan w:val="2"/>
            <w:shd w:val="clear" w:color="auto" w:fill="auto"/>
            <w:noWrap/>
            <w:vAlign w:val="center"/>
          </w:tcPr>
          <w:p>
            <w:pPr>
              <w:widowControl/>
              <w:jc w:val="center"/>
              <w:rPr>
                <w:rFonts w:ascii="宋体" w:hAnsi="宋体" w:eastAsia="宋体" w:cs="宋体"/>
                <w:kern w:val="0"/>
                <w:sz w:val="24"/>
                <w:szCs w:val="24"/>
                <w:highlight w:val="none"/>
              </w:rPr>
            </w:pPr>
            <w:r>
              <w:rPr>
                <w:rFonts w:hint="eastAsia" w:ascii="宋体" w:hAnsi="宋体" w:eastAsia="宋体" w:cs="宋体"/>
                <w:kern w:val="0"/>
                <w:sz w:val="24"/>
                <w:szCs w:val="24"/>
                <w:highlight w:val="none"/>
              </w:rPr>
              <w:t>长征国家文化公园（广东段）长征文物和文化资源（91处）</w:t>
            </w:r>
          </w:p>
        </w:tc>
        <w:tc>
          <w:tcPr>
            <w:tcW w:w="3123" w:type="pct"/>
            <w:shd w:val="clear" w:color="auto" w:fill="auto"/>
            <w:vAlign w:val="center"/>
          </w:tcPr>
          <w:p>
            <w:pPr>
              <w:widowControl/>
              <w:rPr>
                <w:rFonts w:ascii="宋体" w:hAnsi="宋体" w:eastAsia="宋体" w:cs="宋体"/>
                <w:kern w:val="0"/>
                <w:sz w:val="24"/>
                <w:szCs w:val="24"/>
                <w:highlight w:val="none"/>
              </w:rPr>
            </w:pPr>
            <w:r>
              <w:rPr>
                <w:rFonts w:hint="eastAsia" w:ascii="宋体" w:hAnsi="宋体" w:eastAsia="宋体" w:cs="宋体"/>
                <w:kern w:val="0"/>
                <w:sz w:val="24"/>
                <w:szCs w:val="24"/>
                <w:highlight w:val="none"/>
              </w:rPr>
              <w:t>大王山红军长征战壕遗址、浆源红军长征战壕遗址、塘村广州会馆、雪梅祖祠——红五、红三军团驻地、红军长征宿营地旧址等。</w:t>
            </w:r>
          </w:p>
        </w:tc>
      </w:tr>
    </w:tbl>
    <w:p>
      <w:pPr>
        <w:adjustRightInd w:val="0"/>
        <w:snapToGrid w:val="0"/>
        <w:spacing w:line="360" w:lineRule="auto"/>
        <w:ind w:firstLine="560" w:firstLineChars="200"/>
        <w:rPr>
          <w:rFonts w:ascii="仿宋_GB2312" w:eastAsia="仿宋_GB2312"/>
          <w:sz w:val="28"/>
          <w:szCs w:val="24"/>
          <w:highlight w:val="none"/>
        </w:rPr>
      </w:pPr>
    </w:p>
    <w:p>
      <w:pPr>
        <w:adjustRightInd w:val="0"/>
        <w:snapToGrid w:val="0"/>
        <w:spacing w:line="360" w:lineRule="auto"/>
        <w:ind w:firstLine="640" w:firstLineChars="200"/>
        <w:rPr>
          <w:rFonts w:hint="eastAsia" w:ascii="黑体" w:hAnsi="黑体" w:eastAsia="黑体" w:cs="黑体"/>
          <w:b w:val="0"/>
          <w:bCs/>
          <w:sz w:val="32"/>
          <w:szCs w:val="24"/>
          <w:highlight w:val="none"/>
        </w:rPr>
      </w:pPr>
      <w:r>
        <w:rPr>
          <w:rFonts w:hint="eastAsia" w:ascii="黑体" w:hAnsi="黑体" w:eastAsia="黑体" w:cs="黑体"/>
          <w:b w:val="0"/>
          <w:bCs/>
          <w:sz w:val="32"/>
          <w:szCs w:val="24"/>
          <w:highlight w:val="none"/>
        </w:rPr>
        <w:t>七、历史城区的保护</w:t>
      </w:r>
    </w:p>
    <w:p>
      <w:pPr>
        <w:adjustRightInd w:val="0"/>
        <w:snapToGrid w:val="0"/>
        <w:spacing w:line="360" w:lineRule="auto"/>
        <w:ind w:firstLine="562" w:firstLineChars="200"/>
        <w:rPr>
          <w:rFonts w:ascii="仿宋_GB2312" w:eastAsia="仿宋_GB2312"/>
          <w:b/>
          <w:sz w:val="28"/>
          <w:szCs w:val="24"/>
          <w:highlight w:val="none"/>
        </w:rPr>
      </w:pPr>
      <w:r>
        <w:rPr>
          <w:rFonts w:hint="eastAsia" w:ascii="仿宋_GB2312" w:eastAsia="仿宋_GB2312"/>
          <w:b/>
          <w:sz w:val="28"/>
          <w:szCs w:val="24"/>
          <w:highlight w:val="none"/>
        </w:rPr>
        <w:t>1、明确功能定位</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韶关历史城区拥有的丰富的历史资源和深厚文化底蕴，规划将其定位</w:t>
      </w:r>
      <w:r>
        <w:rPr>
          <w:rFonts w:hint="eastAsia" w:ascii="仿宋_GB2312" w:eastAsia="仿宋_GB2312"/>
          <w:b w:val="0"/>
          <w:bCs w:val="0"/>
          <w:sz w:val="28"/>
          <w:szCs w:val="24"/>
          <w:highlight w:val="none"/>
        </w:rPr>
        <w:t>为集传统商业服务、居住生活功能于一体的魅力历史城区。</w:t>
      </w:r>
    </w:p>
    <w:p>
      <w:pPr>
        <w:adjustRightInd w:val="0"/>
        <w:snapToGrid w:val="0"/>
        <w:spacing w:line="360" w:lineRule="auto"/>
        <w:ind w:firstLine="562" w:firstLineChars="200"/>
        <w:rPr>
          <w:rFonts w:ascii="仿宋_GB2312" w:eastAsia="仿宋_GB2312"/>
          <w:b/>
          <w:sz w:val="28"/>
          <w:szCs w:val="24"/>
          <w:highlight w:val="none"/>
        </w:rPr>
      </w:pPr>
      <w:r>
        <w:rPr>
          <w:rFonts w:ascii="仿宋_GB2312" w:eastAsia="仿宋_GB2312"/>
          <w:b/>
          <w:sz w:val="28"/>
          <w:szCs w:val="24"/>
          <w:highlight w:val="none"/>
        </w:rPr>
        <w:t>2、</w:t>
      </w:r>
      <w:r>
        <w:rPr>
          <w:rFonts w:hint="eastAsia" w:ascii="仿宋_GB2312" w:eastAsia="仿宋_GB2312"/>
          <w:b/>
          <w:sz w:val="28"/>
          <w:szCs w:val="24"/>
          <w:highlight w:val="none"/>
        </w:rPr>
        <w:t>保护传统空间</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（1）保护</w:t>
      </w:r>
      <w:r>
        <w:rPr>
          <w:rFonts w:hint="eastAsia" w:ascii="仿宋_GB2312" w:eastAsia="仿宋_GB2312"/>
          <w:b/>
          <w:bCs/>
          <w:sz w:val="28"/>
          <w:szCs w:val="24"/>
          <w:highlight w:val="none"/>
        </w:rPr>
        <w:t>“六山三水、一轴两环”</w:t>
      </w:r>
      <w:r>
        <w:rPr>
          <w:rFonts w:hint="eastAsia" w:ascii="仿宋_GB2312" w:eastAsia="仿宋_GB2312"/>
          <w:sz w:val="28"/>
          <w:szCs w:val="24"/>
          <w:highlight w:val="none"/>
        </w:rPr>
        <w:t>的韶关历史城区城址环境和周边山水格局。</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六山三水：指以帽子峰、黄岗山、莲花山、老蟹山、芙蓉山、老虎岩、武江、浈江、北江为代表的古城山水形胜。其中帽子峰、莲花山、芙蓉山作为文化景观进行重点保护。</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一轴两环：“一轴”指风度路特色商业服务轴。“两环”指古城城垣轮廓展示环及升平路、广富新街、东堤横路、峰前路传统文化展示环。</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2）保护以风度路为骨架的传统城市轴线，包括北起帽峰山、南至中山公园的区域。保护传统轴线上及两侧的韶州府学宫大成殿等文物保护单位、历史建筑和传统风貌建筑群，积极普查和挖掘传统轴线两侧的连片优秀风貌建筑，并推荐申报历史建筑。保护历史文化街区现有的传统文化休闲商业氛围，鼓励非物质文化遗产进驻传统轴线。</w:t>
      </w:r>
    </w:p>
    <w:p>
      <w:pPr>
        <w:pStyle w:val="20"/>
        <w:rPr>
          <w:highlight w:val="none"/>
        </w:rPr>
      </w:pPr>
      <w:r>
        <w:rPr>
          <w:highlight w:val="none"/>
        </w:rPr>
        <w:drawing>
          <wp:inline distT="0" distB="0" distL="0" distR="0">
            <wp:extent cx="3206750" cy="3838575"/>
            <wp:effectExtent l="0" t="0" r="0" b="0"/>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5"/>
                    <a:stretch>
                      <a:fillRect/>
                    </a:stretch>
                  </pic:blipFill>
                  <pic:spPr>
                    <a:xfrm>
                      <a:off x="0" y="0"/>
                      <a:ext cx="3215975" cy="3849413"/>
                    </a:xfrm>
                    <a:prstGeom prst="rect">
                      <a:avLst/>
                    </a:prstGeom>
                  </pic:spPr>
                </pic:pic>
              </a:graphicData>
            </a:graphic>
          </wp:inline>
        </w:drawing>
      </w:r>
    </w:p>
    <w:p>
      <w:pPr>
        <w:pStyle w:val="20"/>
        <w:rPr>
          <w:highlight w:val="none"/>
        </w:rPr>
      </w:pPr>
      <w:r>
        <w:rPr>
          <w:rFonts w:hint="eastAsia"/>
          <w:highlight w:val="none"/>
        </w:rPr>
        <w:t>历史城区保护结构图</w:t>
      </w:r>
    </w:p>
    <w:p>
      <w:pPr>
        <w:adjustRightInd w:val="0"/>
        <w:snapToGrid w:val="0"/>
        <w:spacing w:line="360" w:lineRule="auto"/>
        <w:ind w:firstLine="643" w:firstLineChars="200"/>
        <w:rPr>
          <w:rFonts w:ascii="仿宋_GB2312" w:eastAsia="仿宋_GB2312"/>
          <w:b/>
          <w:sz w:val="32"/>
          <w:szCs w:val="24"/>
          <w:highlight w:val="none"/>
        </w:rPr>
      </w:pPr>
      <w:r>
        <w:rPr>
          <w:rFonts w:hint="eastAsia" w:ascii="仿宋_GB2312" w:eastAsia="仿宋_GB2312"/>
          <w:b/>
          <w:sz w:val="32"/>
          <w:szCs w:val="24"/>
          <w:highlight w:val="none"/>
        </w:rPr>
        <w:t>3、营造景观特色风貌</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1）保护以风度路为骨架的鱼骨状街巷格局，形成具有韶关传统风貌和岭南地域特点的传统街巷体系。保持一类街巷原有的走向、宽度、路面铺装及沿街建筑传统风貌不变。保持二类街巷的大致走向、平均宽度、路面铺装及沿街建筑传统风貌不变。保持三类街巷的沿街建筑传统风貌不变，经论证，因消防安全或重要基础设施、公共服务设施设置，可对三类街巷进行调整。</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2）保护历史城区内重要历史节点。强化韶州府学宫大成殿、大鉴寺、风采楼、东堤太傅庙、东堤天主堂、帽子峰等作为历史城区的历史标志物与视觉控制点。对于已消失的8座城楼，在原址设置标识牌展示相关历史信息，保护具有历史文化意义的节点空间。</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（3）保护历史城区重要开敞空间，包括帽峰公园、中山公园等具有绿化风貌特征的节点空间，保护并强化武江、浈江、北江的河流景观风貌带。</w:t>
      </w:r>
    </w:p>
    <w:p>
      <w:pPr>
        <w:adjustRightInd w:val="0"/>
        <w:snapToGrid w:val="0"/>
        <w:spacing w:line="360" w:lineRule="auto"/>
        <w:ind w:firstLine="643" w:firstLineChars="200"/>
        <w:rPr>
          <w:rFonts w:ascii="仿宋_GB2312" w:eastAsia="仿宋_GB2312"/>
          <w:b/>
          <w:sz w:val="32"/>
          <w:szCs w:val="24"/>
          <w:highlight w:val="none"/>
        </w:rPr>
      </w:pPr>
      <w:r>
        <w:rPr>
          <w:rFonts w:ascii="仿宋_GB2312" w:eastAsia="仿宋_GB2312"/>
          <w:b/>
          <w:sz w:val="32"/>
          <w:szCs w:val="24"/>
          <w:highlight w:val="none"/>
        </w:rPr>
        <w:t>4</w:t>
      </w:r>
      <w:r>
        <w:rPr>
          <w:rFonts w:hint="eastAsia" w:ascii="仿宋_GB2312" w:eastAsia="仿宋_GB2312"/>
          <w:b/>
          <w:sz w:val="32"/>
          <w:szCs w:val="24"/>
          <w:highlight w:val="none"/>
        </w:rPr>
        <w:t>、强化景观视廊控制</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（1）保护水看城、山看城、山看山的景观视廊。应重点改造武江、浈江、北江、帽子峰建筑界面，突出历史城区外轮廓的景观形象。保护帽子峰的景观界面的完整性，提高历史城区的可看性和可达性。</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（2）保护街巷景观视廊。重点保护新聚龙里、吾牙巷、井巷、宝安巷等传统街巷视廊的走向与贯通性，严格控制道路两侧的建筑高度。</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（3）保护传统建筑之间互看景观视廊，保护韶阳楼、通天塔、韶州府学宫大成殿之间的互看景观视廊。</w:t>
      </w:r>
    </w:p>
    <w:p>
      <w:pPr>
        <w:pStyle w:val="20"/>
        <w:rPr>
          <w:highlight w:val="none"/>
        </w:rPr>
      </w:pPr>
      <w:r>
        <w:rPr>
          <w:highlight w:val="none"/>
        </w:rPr>
        <w:drawing>
          <wp:inline distT="0" distB="0" distL="0" distR="0">
            <wp:extent cx="3868420" cy="4632960"/>
            <wp:effectExtent l="0" t="0" r="0" b="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6"/>
                    <a:stretch>
                      <a:fillRect/>
                    </a:stretch>
                  </pic:blipFill>
                  <pic:spPr>
                    <a:xfrm>
                      <a:off x="0" y="0"/>
                      <a:ext cx="3890883" cy="4659130"/>
                    </a:xfrm>
                    <a:prstGeom prst="rect">
                      <a:avLst/>
                    </a:prstGeom>
                  </pic:spPr>
                </pic:pic>
              </a:graphicData>
            </a:graphic>
          </wp:inline>
        </w:drawing>
      </w:r>
    </w:p>
    <w:p>
      <w:pPr>
        <w:pStyle w:val="20"/>
        <w:rPr>
          <w:rFonts w:ascii="仿宋_GB2312" w:eastAsia="仿宋_GB2312"/>
          <w:sz w:val="28"/>
          <w:szCs w:val="24"/>
          <w:highlight w:val="none"/>
        </w:rPr>
      </w:pPr>
      <w:r>
        <w:rPr>
          <w:rFonts w:hint="eastAsia"/>
          <w:highlight w:val="none"/>
        </w:rPr>
        <w:t>历史城区视廊控制图</w:t>
      </w:r>
    </w:p>
    <w:p>
      <w:pPr>
        <w:adjustRightInd w:val="0"/>
        <w:snapToGrid w:val="0"/>
        <w:spacing w:line="360" w:lineRule="auto"/>
        <w:ind w:firstLine="643" w:firstLineChars="200"/>
        <w:rPr>
          <w:rFonts w:ascii="仿宋_GB2312" w:eastAsia="仿宋_GB2312"/>
          <w:b/>
          <w:sz w:val="32"/>
          <w:szCs w:val="24"/>
          <w:highlight w:val="none"/>
        </w:rPr>
      </w:pPr>
      <w:r>
        <w:rPr>
          <w:rFonts w:hint="eastAsia" w:ascii="仿宋_GB2312" w:eastAsia="仿宋_GB2312"/>
          <w:b/>
          <w:sz w:val="32"/>
          <w:szCs w:val="24"/>
          <w:highlight w:val="none"/>
        </w:rPr>
        <w:t>5、改善环境与设施</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1）历史城区内禁止大拆大建，应实施微改造、微更新策略。在符合本规划关于文物古迹和其他文化遗产保护要求的前提下，可以对传统风貌冲突、存在安全隐患、建筑高度不符的建（构）筑物实施改建或拆除，实施周边环境的清理和设施的改善，实现与整体传统风貌相协调，传承地区文脉，延续空间特色。鼓励结合历史建筑的活化利用或旧厂房等的搬迁改造，配置公共服务设施。</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2）保留传统、特色商业，完善文化、娱乐、居住和高端商贸业职能。完善居住基础设施与公共服务设施，积极改善人居环境。改善风度北路、风度中路、风度南路沿线商业片区空间环境，积极引导商业功能向街区内部主要商业街道延伸，同时鼓励发展体现岭南文化特色的商业经营项目。适当增加城市的公园绿地和广场用地及与老城发展相关的配套市政设施用地。</w:t>
      </w:r>
    </w:p>
    <w:p>
      <w:pPr>
        <w:pStyle w:val="20"/>
        <w:rPr>
          <w:highlight w:val="none"/>
        </w:rPr>
      </w:pPr>
      <w:r>
        <w:rPr>
          <w:highlight w:val="none"/>
        </w:rPr>
        <w:drawing>
          <wp:inline distT="0" distB="0" distL="0" distR="0">
            <wp:extent cx="2226310" cy="3984625"/>
            <wp:effectExtent l="0" t="0" r="2540" b="0"/>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7"/>
                    <a:stretch>
                      <a:fillRect/>
                    </a:stretch>
                  </pic:blipFill>
                  <pic:spPr>
                    <a:xfrm>
                      <a:off x="0" y="0"/>
                      <a:ext cx="2226721" cy="3985200"/>
                    </a:xfrm>
                    <a:prstGeom prst="rect">
                      <a:avLst/>
                    </a:prstGeom>
                  </pic:spPr>
                </pic:pic>
              </a:graphicData>
            </a:graphic>
          </wp:inline>
        </w:drawing>
      </w:r>
      <w:r>
        <w:rPr>
          <w:rFonts w:hint="eastAsia"/>
          <w:highlight w:val="none"/>
        </w:rPr>
        <w:t xml:space="preserve"> </w:t>
      </w:r>
      <w:r>
        <w:rPr>
          <w:highlight w:val="none"/>
        </w:rPr>
        <w:drawing>
          <wp:inline distT="0" distB="0" distL="0" distR="0">
            <wp:extent cx="2259330" cy="3983990"/>
            <wp:effectExtent l="0" t="0" r="7620" b="0"/>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8"/>
                    <a:stretch>
                      <a:fillRect/>
                    </a:stretch>
                  </pic:blipFill>
                  <pic:spPr>
                    <a:xfrm>
                      <a:off x="0" y="0"/>
                      <a:ext cx="2273744" cy="4009406"/>
                    </a:xfrm>
                    <a:prstGeom prst="rect">
                      <a:avLst/>
                    </a:prstGeom>
                  </pic:spPr>
                </pic:pic>
              </a:graphicData>
            </a:graphic>
          </wp:inline>
        </w:drawing>
      </w:r>
    </w:p>
    <w:p>
      <w:pPr>
        <w:pStyle w:val="20"/>
        <w:rPr>
          <w:highlight w:val="none"/>
        </w:rPr>
      </w:pPr>
      <w:r>
        <w:rPr>
          <w:highlight w:val="none"/>
        </w:rPr>
        <w:t xml:space="preserve">    </w:t>
      </w:r>
      <w:r>
        <w:rPr>
          <w:rFonts w:hint="eastAsia"/>
          <w:highlight w:val="none"/>
        </w:rPr>
        <w:t xml:space="preserve"> 历史城区绿化系统规划图 </w:t>
      </w:r>
      <w:r>
        <w:rPr>
          <w:highlight w:val="none"/>
        </w:rPr>
        <w:t xml:space="preserve">    </w:t>
      </w:r>
      <w:r>
        <w:rPr>
          <w:rFonts w:hint="eastAsia"/>
          <w:highlight w:val="none"/>
        </w:rPr>
        <w:t>历史城区公共服务与市政设施规划图</w:t>
      </w:r>
    </w:p>
    <w:p>
      <w:pPr>
        <w:adjustRightInd w:val="0"/>
        <w:snapToGrid w:val="0"/>
        <w:spacing w:line="360" w:lineRule="auto"/>
        <w:ind w:firstLine="640" w:firstLineChars="200"/>
        <w:rPr>
          <w:rFonts w:hint="eastAsia" w:ascii="黑体" w:hAnsi="黑体" w:eastAsia="黑体" w:cs="黑体"/>
          <w:b w:val="0"/>
          <w:bCs/>
          <w:sz w:val="32"/>
          <w:szCs w:val="24"/>
          <w:highlight w:val="none"/>
        </w:rPr>
      </w:pPr>
      <w:r>
        <w:rPr>
          <w:rFonts w:hint="eastAsia" w:ascii="黑体" w:hAnsi="黑体" w:eastAsia="黑体" w:cs="黑体"/>
          <w:b w:val="0"/>
          <w:bCs/>
          <w:sz w:val="32"/>
          <w:szCs w:val="24"/>
          <w:highlight w:val="none"/>
        </w:rPr>
        <w:t>八、历史文化名镇名村、传统村落的保护</w:t>
      </w:r>
    </w:p>
    <w:p>
      <w:pPr>
        <w:adjustRightInd w:val="0"/>
        <w:snapToGrid w:val="0"/>
        <w:spacing w:line="360" w:lineRule="auto"/>
        <w:ind w:firstLine="562" w:firstLineChars="200"/>
        <w:rPr>
          <w:rFonts w:ascii="仿宋_GB2312" w:eastAsia="仿宋_GB2312"/>
          <w:b/>
          <w:bCs/>
          <w:sz w:val="28"/>
          <w:szCs w:val="24"/>
          <w:highlight w:val="none"/>
        </w:rPr>
      </w:pPr>
      <w:r>
        <w:rPr>
          <w:rFonts w:ascii="仿宋_GB2312" w:eastAsia="仿宋_GB2312"/>
          <w:b/>
          <w:bCs/>
          <w:sz w:val="28"/>
          <w:szCs w:val="24"/>
          <w:highlight w:val="none"/>
        </w:rPr>
        <w:t>1、历史</w:t>
      </w:r>
      <w:r>
        <w:rPr>
          <w:rFonts w:hint="eastAsia" w:ascii="仿宋_GB2312" w:eastAsia="仿宋_GB2312"/>
          <w:b/>
          <w:bCs/>
          <w:sz w:val="28"/>
          <w:szCs w:val="24"/>
          <w:highlight w:val="none"/>
        </w:rPr>
        <w:t>文化名镇</w:t>
      </w:r>
      <w:r>
        <w:rPr>
          <w:rFonts w:ascii="仿宋_GB2312" w:eastAsia="仿宋_GB2312"/>
          <w:b/>
          <w:bCs/>
          <w:sz w:val="28"/>
          <w:szCs w:val="24"/>
          <w:highlight w:val="none"/>
        </w:rPr>
        <w:t>的保护</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保护1个广东省历史文化名镇，即南雄市珠玑镇。</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（1）严格依据相关法律法规要求，开展历史文化名镇保护规划编制工作。</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2）坚持历史文化名镇的整体保护，保持传统格局、历史风貌和空间尺度，不得破坏历史文化名镇的历史肌理和传统街巷；整体保护相互依存的自然环境、历史景观与历史景观通廊；保护和展示主要历史景观界面。</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（3）完善公共服务设施、市政公用设施、农业基础设施和旅游设施，改善居民的生活环境，避免城镇空心化。</w:t>
      </w:r>
    </w:p>
    <w:p>
      <w:pPr>
        <w:adjustRightInd w:val="0"/>
        <w:snapToGrid w:val="0"/>
        <w:spacing w:line="360" w:lineRule="auto"/>
        <w:ind w:firstLine="562" w:firstLineChars="200"/>
        <w:rPr>
          <w:rFonts w:ascii="仿宋_GB2312" w:eastAsia="仿宋_GB2312"/>
          <w:b/>
          <w:bCs/>
          <w:sz w:val="28"/>
          <w:szCs w:val="24"/>
          <w:highlight w:val="none"/>
        </w:rPr>
      </w:pPr>
      <w:r>
        <w:rPr>
          <w:rFonts w:ascii="仿宋_GB2312" w:eastAsia="仿宋_GB2312"/>
          <w:b/>
          <w:bCs/>
          <w:sz w:val="28"/>
          <w:szCs w:val="24"/>
          <w:highlight w:val="none"/>
        </w:rPr>
        <w:t>2、历史</w:t>
      </w:r>
      <w:r>
        <w:rPr>
          <w:rFonts w:hint="eastAsia" w:ascii="仿宋_GB2312" w:eastAsia="仿宋_GB2312"/>
          <w:b/>
          <w:bCs/>
          <w:sz w:val="28"/>
          <w:szCs w:val="24"/>
          <w:highlight w:val="none"/>
        </w:rPr>
        <w:t>文化名村</w:t>
      </w:r>
      <w:r>
        <w:rPr>
          <w:rFonts w:ascii="仿宋_GB2312" w:eastAsia="仿宋_GB2312"/>
          <w:b/>
          <w:bCs/>
          <w:sz w:val="28"/>
          <w:szCs w:val="24"/>
          <w:highlight w:val="none"/>
        </w:rPr>
        <w:t>的保护</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保护1个中国历史文化名村，为石塘村。保护5个广东省历史文化名村，分别为石塘村（同时为中国历史文化名村）、新田村、曹角湾村、湖心坝村、户昌山村。</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（1）严格依据相关法律法规要求，开展历史文化名村保护规划编制工作。</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2）坚持历史文化名村的整体保护，完善历史文化名村的公共服务设施、市政公共设施，重视消防安全设施、排水排涝设施的建设。坚持保护与利用相结合的原则，在不破坏传统风貌的前提下，适度发展旅游业和文化产业。</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（3）确定历史文化名村的保护责任人，并向社会公布，保护责任人依法履行保护责任。历史文化资源丰富、传统格局完整、风貌特色突出的古村落所在的行政村，应积极申报为历史文化名村。</w:t>
      </w:r>
    </w:p>
    <w:p>
      <w:pPr>
        <w:adjustRightInd w:val="0"/>
        <w:snapToGrid w:val="0"/>
        <w:spacing w:line="360" w:lineRule="auto"/>
        <w:ind w:firstLine="562" w:firstLineChars="200"/>
        <w:rPr>
          <w:rFonts w:ascii="仿宋_GB2312" w:eastAsia="仿宋_GB2312"/>
          <w:b/>
          <w:bCs/>
          <w:sz w:val="28"/>
          <w:szCs w:val="24"/>
          <w:highlight w:val="none"/>
        </w:rPr>
      </w:pPr>
      <w:r>
        <w:rPr>
          <w:rFonts w:ascii="仿宋_GB2312" w:eastAsia="仿宋_GB2312"/>
          <w:b/>
          <w:bCs/>
          <w:sz w:val="28"/>
          <w:szCs w:val="24"/>
          <w:highlight w:val="none"/>
        </w:rPr>
        <w:t>3、</w:t>
      </w:r>
      <w:r>
        <w:rPr>
          <w:rFonts w:hint="eastAsia" w:ascii="仿宋_GB2312" w:eastAsia="仿宋_GB2312"/>
          <w:b/>
          <w:bCs/>
          <w:sz w:val="28"/>
          <w:szCs w:val="24"/>
          <w:highlight w:val="none"/>
        </w:rPr>
        <w:t>传统村落</w:t>
      </w:r>
      <w:r>
        <w:rPr>
          <w:rFonts w:ascii="仿宋_GB2312" w:eastAsia="仿宋_GB2312"/>
          <w:b/>
          <w:bCs/>
          <w:sz w:val="28"/>
          <w:szCs w:val="24"/>
          <w:highlight w:val="none"/>
        </w:rPr>
        <w:t>的保护</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保护</w:t>
      </w:r>
      <w:r>
        <w:rPr>
          <w:rFonts w:ascii="仿宋_GB2312" w:eastAsia="仿宋_GB2312"/>
          <w:sz w:val="28"/>
          <w:szCs w:val="24"/>
          <w:highlight w:val="none"/>
        </w:rPr>
        <w:t>14</w:t>
      </w:r>
      <w:r>
        <w:rPr>
          <w:rFonts w:hint="eastAsia" w:ascii="仿宋_GB2312" w:eastAsia="仿宋_GB2312"/>
          <w:sz w:val="28"/>
          <w:szCs w:val="24"/>
          <w:highlight w:val="none"/>
        </w:rPr>
        <w:t>个中国</w:t>
      </w:r>
      <w:r>
        <w:rPr>
          <w:rFonts w:ascii="仿宋_GB2312" w:eastAsia="仿宋_GB2312"/>
          <w:sz w:val="28"/>
          <w:szCs w:val="24"/>
          <w:highlight w:val="none"/>
        </w:rPr>
        <w:t>传统村落、15</w:t>
      </w:r>
      <w:r>
        <w:rPr>
          <w:rFonts w:hint="eastAsia" w:ascii="仿宋_GB2312" w:eastAsia="仿宋_GB2312"/>
          <w:sz w:val="28"/>
          <w:szCs w:val="24"/>
          <w:highlight w:val="none"/>
        </w:rPr>
        <w:t>个广东省传统村落。</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（1）加快推进各级传统村落保护发展规划编制。</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（2）加强传统村落的普查认定工作，将有历史保护价值的村落纳入传统村落保护名录。</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（3）历史文化资源丰富、传统格局完整、风貌特色突出的传统村落，应积极申报为历史文化名村。保护传统村落的传统格局和历史风貌。保持村落肌理、传统街巷。保留历史视廊，展现历史界面。</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（3）完善公共服务设施、市政公共设施，重视消防安全设施、排水排涝设施的建设。坚持保护与利用相结合的原则，在不破坏传统风貌的前提下，适度发展旅游业和文化产业。</w:t>
      </w:r>
    </w:p>
    <w:p>
      <w:pPr>
        <w:pStyle w:val="20"/>
        <w:rPr>
          <w:highlight w:val="none"/>
        </w:rPr>
      </w:pPr>
      <w:r>
        <w:rPr>
          <w:highlight w:val="none"/>
        </w:rPr>
        <w:drawing>
          <wp:inline distT="0" distB="0" distL="0" distR="0">
            <wp:extent cx="5274310" cy="4654550"/>
            <wp:effectExtent l="0" t="0" r="2540" b="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9"/>
                    <a:srcRect b="2488"/>
                    <a:stretch>
                      <a:fillRect/>
                    </a:stretch>
                  </pic:blipFill>
                  <pic:spPr>
                    <a:xfrm>
                      <a:off x="0" y="0"/>
                      <a:ext cx="5274310" cy="4655127"/>
                    </a:xfrm>
                    <a:prstGeom prst="rect">
                      <a:avLst/>
                    </a:prstGeom>
                    <a:ln>
                      <a:noFill/>
                    </a:ln>
                  </pic:spPr>
                </pic:pic>
              </a:graphicData>
            </a:graphic>
          </wp:inline>
        </w:drawing>
      </w:r>
    </w:p>
    <w:p>
      <w:pPr>
        <w:pStyle w:val="20"/>
        <w:rPr>
          <w:highlight w:val="none"/>
        </w:rPr>
      </w:pPr>
      <w:r>
        <w:rPr>
          <w:rFonts w:hint="eastAsia"/>
          <w:highlight w:val="none"/>
        </w:rPr>
        <w:t>韶关市历史文化名镇名村及传统村落保护规划图</w:t>
      </w:r>
    </w:p>
    <w:p>
      <w:pPr>
        <w:adjustRightInd w:val="0"/>
        <w:snapToGrid w:val="0"/>
        <w:spacing w:line="360" w:lineRule="auto"/>
        <w:ind w:firstLine="640" w:firstLineChars="200"/>
        <w:rPr>
          <w:rFonts w:hint="eastAsia" w:ascii="黑体" w:hAnsi="黑体" w:eastAsia="黑体" w:cs="黑体"/>
          <w:b w:val="0"/>
          <w:bCs/>
          <w:sz w:val="32"/>
          <w:szCs w:val="24"/>
          <w:highlight w:val="none"/>
        </w:rPr>
      </w:pPr>
      <w:r>
        <w:rPr>
          <w:rFonts w:hint="eastAsia" w:ascii="黑体" w:hAnsi="黑体" w:eastAsia="黑体" w:cs="黑体"/>
          <w:b w:val="0"/>
          <w:bCs/>
          <w:sz w:val="32"/>
          <w:szCs w:val="24"/>
          <w:highlight w:val="none"/>
        </w:rPr>
        <w:t>九、历史文化街区、历史文化风貌区的保护</w:t>
      </w:r>
    </w:p>
    <w:p>
      <w:pPr>
        <w:adjustRightInd w:val="0"/>
        <w:snapToGrid w:val="0"/>
        <w:spacing w:line="360" w:lineRule="auto"/>
        <w:ind w:firstLine="562" w:firstLineChars="200"/>
        <w:rPr>
          <w:rFonts w:ascii="仿宋_GB2312" w:eastAsia="仿宋_GB2312"/>
          <w:b/>
          <w:sz w:val="28"/>
          <w:szCs w:val="24"/>
          <w:highlight w:val="none"/>
        </w:rPr>
      </w:pPr>
      <w:r>
        <w:rPr>
          <w:rFonts w:hint="eastAsia" w:ascii="仿宋_GB2312" w:eastAsia="仿宋_GB2312"/>
          <w:b/>
          <w:sz w:val="28"/>
          <w:szCs w:val="24"/>
          <w:highlight w:val="none"/>
        </w:rPr>
        <w:t>1、历史文化街区保护</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保护</w:t>
      </w:r>
      <w:r>
        <w:rPr>
          <w:rFonts w:ascii="仿宋_GB2312" w:eastAsia="仿宋_GB2312"/>
          <w:sz w:val="28"/>
          <w:szCs w:val="24"/>
          <w:highlight w:val="none"/>
        </w:rPr>
        <w:t>3</w:t>
      </w:r>
      <w:r>
        <w:rPr>
          <w:rFonts w:hint="eastAsia" w:ascii="仿宋_GB2312" w:eastAsia="仿宋_GB2312"/>
          <w:sz w:val="28"/>
          <w:szCs w:val="24"/>
          <w:highlight w:val="none"/>
        </w:rPr>
        <w:t>片省级历史文化街区，即广富新街及升平路历史文化街区、白土镇历史文化街区、珠玑古巷历史文化街区。</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（1）不得破坏历史文化街区的历史肌理和传统街巷，不得破坏传统街巷的原有铺地和历史环境要素。不宜改变传统街巷的原街巷宽度和走向。</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2）禁止大拆大建，应坚持“小规模、渐进式”的更新模式。新建、扩建、改建建筑在形态、体量、色彩、材质等应与传统风貌相协调。适当活化历史建筑与传统风貌建筑，引导文化创意、旅游休闲等功能进入。</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（3）在历史文化街区保护保护范围内进行建设活动，应当符合历史文化街区保护规划和国家、省相关法律法规及《韶关市历史文化名城保护管理办法》的相关规定。</w:t>
      </w:r>
    </w:p>
    <w:p>
      <w:pPr>
        <w:adjustRightInd w:val="0"/>
        <w:snapToGrid w:val="0"/>
        <w:spacing w:line="360" w:lineRule="auto"/>
        <w:ind w:firstLine="562" w:firstLineChars="200"/>
        <w:rPr>
          <w:rFonts w:ascii="仿宋_GB2312" w:eastAsia="仿宋_GB2312"/>
          <w:b/>
          <w:sz w:val="28"/>
          <w:szCs w:val="24"/>
          <w:highlight w:val="none"/>
        </w:rPr>
      </w:pPr>
      <w:r>
        <w:rPr>
          <w:rFonts w:ascii="仿宋_GB2312" w:eastAsia="仿宋_GB2312"/>
          <w:b/>
          <w:sz w:val="28"/>
          <w:szCs w:val="24"/>
          <w:highlight w:val="none"/>
        </w:rPr>
        <w:t>2</w:t>
      </w:r>
      <w:r>
        <w:rPr>
          <w:rFonts w:hint="eastAsia" w:ascii="仿宋_GB2312" w:eastAsia="仿宋_GB2312"/>
          <w:b/>
          <w:sz w:val="28"/>
          <w:szCs w:val="24"/>
          <w:highlight w:val="none"/>
        </w:rPr>
        <w:t>、历史文化风貌区保护</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规划划定1处历史文化风貌区，即风度北路历史文化风貌区。</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（1）编制历史风貌区保护规划，划定历史风貌区保护范围，明确保护范围内各类建（构）筑物的分类整治要求、传统街巷的分级保护措施、历史环境要素的保护措施，并提出具体的高度管控要求。</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（2）历史文化风貌区禁止连片拆迁。历史风貌区的更新改造要以小规模渐进式展开。</w:t>
      </w:r>
    </w:p>
    <w:p>
      <w:pPr>
        <w:adjustRightInd w:val="0"/>
        <w:snapToGrid w:val="0"/>
        <w:spacing w:line="360" w:lineRule="auto"/>
        <w:ind w:firstLine="560" w:firstLineChars="200"/>
        <w:rPr>
          <w:rFonts w:ascii="仿宋_GB2312" w:eastAsia="仿宋_GB2312"/>
          <w:b/>
          <w:sz w:val="32"/>
          <w:szCs w:val="24"/>
          <w:highlight w:val="none"/>
        </w:rPr>
      </w:pPr>
      <w:r>
        <w:rPr>
          <w:rFonts w:hint="eastAsia" w:ascii="仿宋_GB2312" w:eastAsia="仿宋_GB2312"/>
          <w:sz w:val="28"/>
          <w:szCs w:val="24"/>
          <w:highlight w:val="none"/>
        </w:rPr>
        <w:t>（</w:t>
      </w:r>
      <w:r>
        <w:rPr>
          <w:rFonts w:ascii="仿宋_GB2312" w:eastAsia="仿宋_GB2312"/>
          <w:sz w:val="28"/>
          <w:szCs w:val="24"/>
          <w:highlight w:val="none"/>
        </w:rPr>
        <w:t>3</w:t>
      </w:r>
      <w:r>
        <w:rPr>
          <w:rFonts w:hint="eastAsia" w:ascii="仿宋_GB2312" w:eastAsia="仿宋_GB2312"/>
          <w:sz w:val="28"/>
          <w:szCs w:val="24"/>
          <w:highlight w:val="none"/>
        </w:rPr>
        <w:t>）适当活化历史建筑与传统风貌建筑，引导文化创意、旅游休闲等功能进入，鼓励采用人居环境提升、文化艺术植入、社区共享共治等方式进行持续的提升。</w:t>
      </w:r>
    </w:p>
    <w:p>
      <w:pPr>
        <w:adjustRightInd w:val="0"/>
        <w:snapToGrid w:val="0"/>
        <w:spacing w:line="360" w:lineRule="auto"/>
        <w:ind w:firstLine="640" w:firstLineChars="200"/>
        <w:rPr>
          <w:rFonts w:hint="eastAsia" w:ascii="黑体" w:hAnsi="黑体" w:eastAsia="黑体" w:cs="黑体"/>
          <w:b w:val="0"/>
          <w:bCs/>
          <w:sz w:val="32"/>
          <w:szCs w:val="24"/>
          <w:highlight w:val="none"/>
        </w:rPr>
      </w:pPr>
      <w:r>
        <w:rPr>
          <w:rFonts w:hint="eastAsia" w:ascii="黑体" w:hAnsi="黑体" w:eastAsia="黑体" w:cs="黑体"/>
          <w:b w:val="0"/>
          <w:bCs/>
          <w:sz w:val="32"/>
          <w:szCs w:val="24"/>
          <w:highlight w:val="none"/>
        </w:rPr>
        <w:t>十、文物古迹的保护</w:t>
      </w:r>
    </w:p>
    <w:p>
      <w:pPr>
        <w:adjustRightInd w:val="0"/>
        <w:snapToGrid w:val="0"/>
        <w:spacing w:line="360" w:lineRule="auto"/>
        <w:ind w:firstLine="562" w:firstLineChars="200"/>
        <w:rPr>
          <w:rFonts w:ascii="仿宋_GB2312" w:eastAsia="仿宋_GB2312"/>
          <w:b/>
          <w:bCs/>
          <w:sz w:val="28"/>
          <w:szCs w:val="24"/>
          <w:highlight w:val="none"/>
        </w:rPr>
      </w:pPr>
      <w:r>
        <w:rPr>
          <w:rFonts w:ascii="仿宋_GB2312" w:eastAsia="仿宋_GB2312"/>
          <w:b/>
          <w:bCs/>
          <w:sz w:val="28"/>
          <w:szCs w:val="24"/>
          <w:highlight w:val="none"/>
        </w:rPr>
        <w:t>1、</w:t>
      </w:r>
      <w:r>
        <w:rPr>
          <w:rFonts w:hint="eastAsia" w:ascii="仿宋_GB2312" w:eastAsia="仿宋_GB2312"/>
          <w:b/>
          <w:bCs/>
          <w:sz w:val="28"/>
          <w:szCs w:val="24"/>
          <w:highlight w:val="none"/>
        </w:rPr>
        <w:t>文物保护单位</w:t>
      </w:r>
      <w:r>
        <w:rPr>
          <w:rFonts w:ascii="仿宋_GB2312" w:eastAsia="仿宋_GB2312"/>
          <w:b/>
          <w:bCs/>
          <w:sz w:val="28"/>
          <w:szCs w:val="24"/>
          <w:highlight w:val="none"/>
        </w:rPr>
        <w:t>的保护</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保护401处韶关市现有文物保护单位。其中，全国重点文物保护单位10处、省级文物保护单位74处、市县级文物保护单位316处。</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按照《中华人民共和国文物保护法》、《中华人民共和国文物保护法实施条例》等相关法律、法规和规章要求进行保护，推进文物“四有”工作，完善各级文物保护单位保护范围和建设控制地带划定工作。</w:t>
      </w:r>
    </w:p>
    <w:p>
      <w:pPr>
        <w:adjustRightInd w:val="0"/>
        <w:snapToGrid w:val="0"/>
        <w:spacing w:line="360" w:lineRule="auto"/>
        <w:ind w:firstLine="562" w:firstLineChars="200"/>
        <w:rPr>
          <w:rFonts w:ascii="仿宋_GB2312" w:eastAsia="仿宋_GB2312"/>
          <w:b/>
          <w:bCs/>
          <w:sz w:val="28"/>
          <w:szCs w:val="24"/>
          <w:highlight w:val="none"/>
        </w:rPr>
      </w:pPr>
      <w:r>
        <w:rPr>
          <w:rFonts w:ascii="仿宋_GB2312" w:eastAsia="仿宋_GB2312"/>
          <w:b/>
          <w:bCs/>
          <w:sz w:val="28"/>
          <w:szCs w:val="24"/>
          <w:highlight w:val="none"/>
        </w:rPr>
        <w:t>2、</w:t>
      </w:r>
      <w:r>
        <w:rPr>
          <w:rFonts w:hint="eastAsia" w:ascii="仿宋_GB2312" w:eastAsia="仿宋_GB2312"/>
          <w:b/>
          <w:bCs/>
          <w:sz w:val="28"/>
          <w:szCs w:val="24"/>
          <w:highlight w:val="none"/>
        </w:rPr>
        <w:t>一般不可移动文物</w:t>
      </w:r>
      <w:r>
        <w:rPr>
          <w:rFonts w:ascii="仿宋_GB2312" w:eastAsia="仿宋_GB2312"/>
          <w:b/>
          <w:bCs/>
          <w:sz w:val="28"/>
          <w:szCs w:val="24"/>
          <w:highlight w:val="none"/>
        </w:rPr>
        <w:t>的保护</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保护2536处韶关市已登记尚未核定公布为文物保护单位的不可移动文物。</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已登记的不可移动文物，要建立完善保护档案，依照《中华人民共和国文物保护法》及《中华人民共和国文物保护法实施条例》等法律、法规执行保护。根据条件将有突出价值的逐步公布为各级文物保护单位。</w:t>
      </w:r>
    </w:p>
    <w:p>
      <w:pPr>
        <w:adjustRightInd w:val="0"/>
        <w:snapToGrid w:val="0"/>
        <w:spacing w:line="360" w:lineRule="auto"/>
        <w:ind w:firstLine="562" w:firstLineChars="200"/>
        <w:rPr>
          <w:rFonts w:ascii="仿宋_GB2312" w:eastAsia="仿宋_GB2312"/>
          <w:b/>
          <w:bCs/>
          <w:sz w:val="28"/>
          <w:szCs w:val="24"/>
          <w:highlight w:val="none"/>
        </w:rPr>
      </w:pPr>
      <w:r>
        <w:rPr>
          <w:rFonts w:ascii="仿宋_GB2312" w:eastAsia="仿宋_GB2312"/>
          <w:b/>
          <w:bCs/>
          <w:sz w:val="28"/>
          <w:szCs w:val="24"/>
          <w:highlight w:val="none"/>
        </w:rPr>
        <w:t>3、</w:t>
      </w:r>
      <w:r>
        <w:rPr>
          <w:rFonts w:hint="eastAsia" w:ascii="仿宋_GB2312" w:eastAsia="仿宋_GB2312"/>
          <w:b/>
          <w:bCs/>
          <w:sz w:val="28"/>
          <w:szCs w:val="24"/>
          <w:highlight w:val="none"/>
        </w:rPr>
        <w:t>历史建筑</w:t>
      </w:r>
      <w:r>
        <w:rPr>
          <w:rFonts w:ascii="仿宋_GB2312" w:eastAsia="仿宋_GB2312"/>
          <w:b/>
          <w:bCs/>
          <w:sz w:val="28"/>
          <w:szCs w:val="24"/>
          <w:highlight w:val="none"/>
        </w:rPr>
        <w:t>的保护</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核定保护198处韶关市历史建筑。</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历史建筑应实施原址保护。历史建筑的外部风貌、特色结构、建筑的价值构件、建筑色彩、建筑高度和历史环境要素不得改变。在历史建筑保护范围内进行建设活动，应当符合历史建筑保护规划和国家、省相关法律法规及规定。</w:t>
      </w:r>
    </w:p>
    <w:p>
      <w:pPr>
        <w:adjustRightInd w:val="0"/>
        <w:snapToGrid w:val="0"/>
        <w:spacing w:line="360" w:lineRule="auto"/>
        <w:ind w:firstLine="562" w:firstLineChars="200"/>
        <w:rPr>
          <w:rFonts w:ascii="仿宋_GB2312" w:eastAsia="仿宋_GB2312"/>
          <w:b/>
          <w:bCs/>
          <w:sz w:val="28"/>
          <w:szCs w:val="24"/>
          <w:highlight w:val="none"/>
        </w:rPr>
      </w:pPr>
      <w:r>
        <w:rPr>
          <w:rFonts w:ascii="仿宋_GB2312" w:eastAsia="仿宋_GB2312"/>
          <w:b/>
          <w:bCs/>
          <w:sz w:val="28"/>
          <w:szCs w:val="24"/>
          <w:highlight w:val="none"/>
        </w:rPr>
        <w:t>4、</w:t>
      </w:r>
      <w:r>
        <w:rPr>
          <w:rFonts w:hint="eastAsia" w:ascii="仿宋_GB2312" w:eastAsia="仿宋_GB2312"/>
          <w:b/>
          <w:bCs/>
          <w:sz w:val="28"/>
          <w:szCs w:val="24"/>
          <w:highlight w:val="none"/>
        </w:rPr>
        <w:t>地下埋藏区</w:t>
      </w:r>
      <w:r>
        <w:rPr>
          <w:rFonts w:ascii="仿宋_GB2312" w:eastAsia="仿宋_GB2312"/>
          <w:b/>
          <w:bCs/>
          <w:sz w:val="28"/>
          <w:szCs w:val="24"/>
          <w:highlight w:val="none"/>
        </w:rPr>
        <w:t>的保护</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保护5片韶关市地下文物埋藏区，为小岛埋藏区、走马岗埋藏区、西河埋藏区、龙归埋藏区、马坝埋藏区。</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根据《中华人民共和国文物保护法》、《广东省实施&lt;中华人民共和国文物保护法&gt;办法》等相关法律法规和规章进行保护。文物行政主管部门应当会同建设行政主管部门确定地下文物埋藏区的具体保护控制要求。</w:t>
      </w:r>
    </w:p>
    <w:p>
      <w:pPr>
        <w:pStyle w:val="20"/>
        <w:rPr>
          <w:highlight w:val="none"/>
        </w:rPr>
      </w:pPr>
      <w:r>
        <w:rPr>
          <w:highlight w:val="none"/>
        </w:rPr>
        <w:drawing>
          <wp:inline distT="0" distB="0" distL="0" distR="0">
            <wp:extent cx="4298950" cy="3794125"/>
            <wp:effectExtent l="0" t="0" r="6350" b="0"/>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10"/>
                    <a:srcRect b="2722"/>
                    <a:stretch>
                      <a:fillRect/>
                    </a:stretch>
                  </pic:blipFill>
                  <pic:spPr>
                    <a:xfrm>
                      <a:off x="0" y="0"/>
                      <a:ext cx="4343549" cy="3833635"/>
                    </a:xfrm>
                    <a:prstGeom prst="rect">
                      <a:avLst/>
                    </a:prstGeom>
                    <a:ln>
                      <a:noFill/>
                    </a:ln>
                  </pic:spPr>
                </pic:pic>
              </a:graphicData>
            </a:graphic>
          </wp:inline>
        </w:drawing>
      </w:r>
    </w:p>
    <w:p>
      <w:pPr>
        <w:pStyle w:val="20"/>
        <w:rPr>
          <w:b/>
          <w:highlight w:val="none"/>
        </w:rPr>
      </w:pPr>
      <w:r>
        <w:rPr>
          <w:rFonts w:hint="eastAsia"/>
          <w:highlight w:val="none"/>
        </w:rPr>
        <w:t>韶关市文物保护单位保护规划图</w:t>
      </w:r>
    </w:p>
    <w:p>
      <w:pPr>
        <w:pStyle w:val="20"/>
        <w:rPr>
          <w:highlight w:val="none"/>
        </w:rPr>
      </w:pPr>
      <w:r>
        <w:rPr>
          <w:highlight w:val="none"/>
        </w:rPr>
        <w:drawing>
          <wp:inline distT="0" distB="0" distL="0" distR="0">
            <wp:extent cx="4210050" cy="3566795"/>
            <wp:effectExtent l="0" t="0" r="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1"/>
                    <a:srcRect b="2454"/>
                    <a:stretch>
                      <a:fillRect/>
                    </a:stretch>
                  </pic:blipFill>
                  <pic:spPr>
                    <a:xfrm>
                      <a:off x="0" y="0"/>
                      <a:ext cx="4275001" cy="3621321"/>
                    </a:xfrm>
                    <a:prstGeom prst="rect">
                      <a:avLst/>
                    </a:prstGeom>
                    <a:ln>
                      <a:noFill/>
                    </a:ln>
                  </pic:spPr>
                </pic:pic>
              </a:graphicData>
            </a:graphic>
          </wp:inline>
        </w:drawing>
      </w:r>
    </w:p>
    <w:p>
      <w:pPr>
        <w:pStyle w:val="20"/>
        <w:rPr>
          <w:b/>
          <w:highlight w:val="none"/>
        </w:rPr>
      </w:pPr>
      <w:r>
        <w:rPr>
          <w:rFonts w:hint="eastAsia"/>
          <w:highlight w:val="none"/>
        </w:rPr>
        <w:t>韶关市历史建筑保护规划图</w:t>
      </w:r>
    </w:p>
    <w:p>
      <w:pPr>
        <w:adjustRightInd w:val="0"/>
        <w:snapToGrid w:val="0"/>
        <w:spacing w:line="360" w:lineRule="auto"/>
        <w:ind w:firstLine="640" w:firstLineChars="200"/>
        <w:rPr>
          <w:rFonts w:hint="eastAsia" w:ascii="黑体" w:hAnsi="黑体" w:eastAsia="黑体" w:cs="黑体"/>
          <w:b w:val="0"/>
          <w:bCs/>
          <w:sz w:val="32"/>
          <w:szCs w:val="24"/>
          <w:highlight w:val="none"/>
        </w:rPr>
      </w:pPr>
      <w:r>
        <w:rPr>
          <w:rFonts w:hint="eastAsia" w:ascii="黑体" w:hAnsi="黑体" w:eastAsia="黑体" w:cs="黑体"/>
          <w:b w:val="0"/>
          <w:bCs/>
          <w:sz w:val="32"/>
          <w:szCs w:val="24"/>
          <w:highlight w:val="none"/>
        </w:rPr>
        <w:t>十一、非物质文化遗产的保护</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韶关的非物质文化遗产和其它优秀传统文化是活态保护的重要内容。重点保护韶关市已公布的市级以上非物质文化遗产87项，其中瑶族盘王节、粤北采茶戏等国家级非物质文化遗产6项，南华诞庙会、舞春牛、九峰山歌等广东省非物质文化遗产22项，十点梅花、鹤蚌舞、双龙舞双狮、龟蚌舞等韶关市非物质文化遗产59项。</w:t>
      </w:r>
    </w:p>
    <w:p>
      <w:pPr>
        <w:pStyle w:val="20"/>
        <w:rPr>
          <w:highlight w:val="none"/>
        </w:rPr>
      </w:pPr>
      <w:r>
        <w:rPr>
          <w:highlight w:val="none"/>
        </w:rPr>
        <w:drawing>
          <wp:inline distT="0" distB="0" distL="0" distR="0">
            <wp:extent cx="5274310" cy="4582795"/>
            <wp:effectExtent l="0" t="0" r="2540" b="8255"/>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12"/>
                    <a:srcRect b="3076"/>
                    <a:stretch>
                      <a:fillRect/>
                    </a:stretch>
                  </pic:blipFill>
                  <pic:spPr>
                    <a:xfrm>
                      <a:off x="0" y="0"/>
                      <a:ext cx="5274310" cy="4582795"/>
                    </a:xfrm>
                    <a:prstGeom prst="rect">
                      <a:avLst/>
                    </a:prstGeom>
                  </pic:spPr>
                </pic:pic>
              </a:graphicData>
            </a:graphic>
          </wp:inline>
        </w:drawing>
      </w:r>
    </w:p>
    <w:p>
      <w:pPr>
        <w:pStyle w:val="20"/>
        <w:rPr>
          <w:rFonts w:ascii="仿宋_GB2312" w:eastAsia="仿宋_GB2312"/>
          <w:sz w:val="28"/>
          <w:szCs w:val="24"/>
          <w:highlight w:val="none"/>
        </w:rPr>
      </w:pPr>
      <w:r>
        <w:rPr>
          <w:rFonts w:hint="eastAsia"/>
          <w:highlight w:val="none"/>
        </w:rPr>
        <w:t>韶关市非物质文化遗产分布图</w:t>
      </w:r>
    </w:p>
    <w:p>
      <w:pPr>
        <w:adjustRightInd w:val="0"/>
        <w:snapToGrid w:val="0"/>
        <w:spacing w:line="360" w:lineRule="auto"/>
        <w:ind w:firstLine="640" w:firstLineChars="200"/>
        <w:rPr>
          <w:rFonts w:hint="eastAsia" w:ascii="黑体" w:hAnsi="黑体" w:eastAsia="黑体" w:cs="黑体"/>
          <w:b w:val="0"/>
          <w:bCs/>
          <w:sz w:val="32"/>
          <w:szCs w:val="24"/>
          <w:highlight w:val="none"/>
        </w:rPr>
      </w:pPr>
      <w:r>
        <w:rPr>
          <w:rFonts w:hint="eastAsia" w:ascii="黑体" w:hAnsi="黑体" w:eastAsia="黑体" w:cs="黑体"/>
          <w:b w:val="0"/>
          <w:bCs/>
          <w:sz w:val="32"/>
          <w:szCs w:val="24"/>
          <w:highlight w:val="none"/>
        </w:rPr>
        <w:t>十二、其他文化遗产的保护</w:t>
      </w:r>
    </w:p>
    <w:p>
      <w:pPr>
        <w:adjustRightInd w:val="0"/>
        <w:snapToGrid w:val="0"/>
        <w:spacing w:line="360" w:lineRule="auto"/>
        <w:ind w:firstLine="562" w:firstLineChars="200"/>
        <w:rPr>
          <w:rFonts w:ascii="仿宋_GB2312" w:eastAsia="仿宋_GB2312"/>
          <w:b/>
          <w:bCs/>
          <w:sz w:val="28"/>
          <w:szCs w:val="24"/>
          <w:highlight w:val="none"/>
        </w:rPr>
      </w:pPr>
      <w:r>
        <w:rPr>
          <w:rFonts w:ascii="仿宋_GB2312" w:eastAsia="仿宋_GB2312"/>
          <w:b/>
          <w:bCs/>
          <w:sz w:val="28"/>
          <w:szCs w:val="24"/>
          <w:highlight w:val="none"/>
        </w:rPr>
        <w:t>1、</w:t>
      </w:r>
      <w:r>
        <w:rPr>
          <w:rFonts w:hint="eastAsia" w:ascii="仿宋_GB2312" w:eastAsia="仿宋_GB2312"/>
          <w:b/>
          <w:bCs/>
          <w:sz w:val="28"/>
          <w:szCs w:val="24"/>
          <w:highlight w:val="none"/>
        </w:rPr>
        <w:t>韶关市古驿道的保护</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保护并修复市域</w:t>
      </w:r>
      <w:r>
        <w:rPr>
          <w:rFonts w:ascii="仿宋_GB2312" w:eastAsia="仿宋_GB2312"/>
          <w:sz w:val="28"/>
          <w:szCs w:val="24"/>
          <w:highlight w:val="none"/>
        </w:rPr>
        <w:t>6</w:t>
      </w:r>
      <w:r>
        <w:rPr>
          <w:rFonts w:hint="eastAsia" w:ascii="仿宋_GB2312" w:eastAsia="仿宋_GB2312"/>
          <w:sz w:val="28"/>
          <w:szCs w:val="24"/>
          <w:highlight w:val="none"/>
        </w:rPr>
        <w:t>条南粤古驿道。包括梅关古道、乌迳古道、西京古道（乳源段）、西京古道（乐昌段）、曲江古道、丹霞山古道（牛鼻村—仁化县城段）。</w:t>
      </w:r>
    </w:p>
    <w:p>
      <w:pPr>
        <w:adjustRightInd w:val="0"/>
        <w:snapToGrid w:val="0"/>
        <w:spacing w:line="360" w:lineRule="auto"/>
        <w:ind w:firstLine="562" w:firstLineChars="200"/>
        <w:rPr>
          <w:rFonts w:ascii="仿宋_GB2312" w:eastAsia="仿宋_GB2312"/>
          <w:b/>
          <w:bCs/>
          <w:sz w:val="28"/>
          <w:szCs w:val="24"/>
          <w:highlight w:val="none"/>
        </w:rPr>
      </w:pPr>
      <w:r>
        <w:rPr>
          <w:rFonts w:ascii="仿宋_GB2312" w:eastAsia="仿宋_GB2312"/>
          <w:b/>
          <w:bCs/>
          <w:sz w:val="28"/>
          <w:szCs w:val="24"/>
          <w:highlight w:val="none"/>
        </w:rPr>
        <w:t>2、</w:t>
      </w:r>
      <w:r>
        <w:rPr>
          <w:rFonts w:hint="eastAsia" w:ascii="仿宋_GB2312" w:eastAsia="仿宋_GB2312"/>
          <w:b/>
          <w:bCs/>
          <w:sz w:val="28"/>
          <w:szCs w:val="24"/>
          <w:highlight w:val="none"/>
        </w:rPr>
        <w:t>广东省历史文化游径的保护</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市域范围内共4条广东省历史文化游径，包括韶关古道瑶山行历史文化游径、韶关仁化红军长征历史文化游径、韶关始兴围楼历史文化游径、华南教育历史研学基地历史文化游径。大力加强市域范围内4条广东省历史文化游径的宣传推广，推动旅游产品开发。</w:t>
      </w:r>
    </w:p>
    <w:p>
      <w:pPr>
        <w:adjustRightInd w:val="0"/>
        <w:snapToGrid w:val="0"/>
        <w:spacing w:line="360" w:lineRule="auto"/>
        <w:ind w:firstLine="562" w:firstLineChars="200"/>
        <w:rPr>
          <w:rFonts w:ascii="仿宋_GB2312" w:eastAsia="仿宋_GB2312"/>
          <w:b/>
          <w:bCs/>
          <w:sz w:val="28"/>
          <w:szCs w:val="24"/>
          <w:highlight w:val="none"/>
        </w:rPr>
      </w:pPr>
      <w:r>
        <w:rPr>
          <w:rFonts w:ascii="仿宋_GB2312" w:eastAsia="仿宋_GB2312"/>
          <w:b/>
          <w:bCs/>
          <w:sz w:val="28"/>
          <w:szCs w:val="24"/>
          <w:highlight w:val="none"/>
        </w:rPr>
        <w:t>3、</w:t>
      </w:r>
      <w:r>
        <w:rPr>
          <w:rFonts w:hint="eastAsia" w:ascii="仿宋_GB2312" w:eastAsia="仿宋_GB2312"/>
          <w:b/>
          <w:bCs/>
          <w:sz w:val="28"/>
          <w:szCs w:val="24"/>
          <w:highlight w:val="none"/>
        </w:rPr>
        <w:t>不可移动革命文物、红色革命遗址的保护</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保护全市128处不可移动革命文物、502处红色革命遗址（详见附表9）。建立革命历史展览馆和红色文化教育基地，将遗址的保护利用与乡村建设结合、与文旅融合，打造红色旅游线路。重点围绕红军长征路线、南昌起义军进军粤北路线、东纵抗战路线打造红色文化展示线路。</w:t>
      </w:r>
    </w:p>
    <w:p>
      <w:pPr>
        <w:adjustRightInd w:val="0"/>
        <w:snapToGrid w:val="0"/>
        <w:spacing w:line="360" w:lineRule="auto"/>
        <w:ind w:firstLine="562" w:firstLineChars="200"/>
        <w:rPr>
          <w:rFonts w:ascii="仿宋_GB2312" w:eastAsia="仿宋_GB2312"/>
          <w:b/>
          <w:bCs/>
          <w:sz w:val="28"/>
          <w:szCs w:val="24"/>
          <w:highlight w:val="none"/>
        </w:rPr>
      </w:pPr>
      <w:r>
        <w:rPr>
          <w:rFonts w:ascii="仿宋_GB2312" w:eastAsia="仿宋_GB2312"/>
          <w:b/>
          <w:bCs/>
          <w:sz w:val="28"/>
          <w:szCs w:val="24"/>
          <w:highlight w:val="none"/>
        </w:rPr>
        <w:t>4、</w:t>
      </w:r>
      <w:r>
        <w:rPr>
          <w:rFonts w:hint="eastAsia" w:ascii="仿宋_GB2312" w:eastAsia="仿宋_GB2312"/>
          <w:b/>
          <w:bCs/>
          <w:sz w:val="28"/>
          <w:szCs w:val="24"/>
          <w:highlight w:val="none"/>
        </w:rPr>
        <w:t>工业遗产的保护</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预先保护全市</w:t>
      </w:r>
      <w:r>
        <w:rPr>
          <w:rFonts w:ascii="仿宋_GB2312" w:eastAsia="仿宋_GB2312"/>
          <w:sz w:val="28"/>
          <w:szCs w:val="24"/>
          <w:highlight w:val="none"/>
        </w:rPr>
        <w:t>3</w:t>
      </w:r>
      <w:r>
        <w:rPr>
          <w:rFonts w:hint="eastAsia" w:ascii="仿宋_GB2312" w:eastAsia="仿宋_GB2312"/>
          <w:sz w:val="28"/>
          <w:szCs w:val="24"/>
          <w:highlight w:val="none"/>
        </w:rPr>
        <w:t>处推荐工业遗产线索，积极开展工业遗产申报认定工作，强调工业遗产保护与再利用相结合</w:t>
      </w:r>
    </w:p>
    <w:p>
      <w:pPr>
        <w:pStyle w:val="20"/>
        <w:rPr>
          <w:highlight w:val="none"/>
        </w:rPr>
      </w:pPr>
      <w:r>
        <w:rPr>
          <w:highlight w:val="none"/>
        </w:rPr>
        <w:drawing>
          <wp:inline distT="0" distB="0" distL="0" distR="0">
            <wp:extent cx="5085080" cy="3738245"/>
            <wp:effectExtent l="0" t="0" r="1270" b="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3"/>
                    <a:srcRect b="4842"/>
                    <a:stretch>
                      <a:fillRect/>
                    </a:stretch>
                  </pic:blipFill>
                  <pic:spPr>
                    <a:xfrm>
                      <a:off x="0" y="0"/>
                      <a:ext cx="5093094" cy="3744294"/>
                    </a:xfrm>
                    <a:prstGeom prst="rect">
                      <a:avLst/>
                    </a:prstGeom>
                    <a:ln>
                      <a:noFill/>
                    </a:ln>
                  </pic:spPr>
                </pic:pic>
              </a:graphicData>
            </a:graphic>
          </wp:inline>
        </w:drawing>
      </w:r>
    </w:p>
    <w:p>
      <w:pPr>
        <w:pStyle w:val="20"/>
        <w:rPr>
          <w:highlight w:val="none"/>
        </w:rPr>
      </w:pPr>
      <w:r>
        <w:rPr>
          <w:rFonts w:hint="eastAsia"/>
          <w:highlight w:val="none"/>
        </w:rPr>
        <w:t>市域古驿道遗址保护规划图</w:t>
      </w:r>
    </w:p>
    <w:p>
      <w:pPr>
        <w:rPr>
          <w:rFonts w:ascii="仿宋_GB2312" w:eastAsia="仿宋_GB2312"/>
          <w:b/>
          <w:sz w:val="32"/>
          <w:szCs w:val="24"/>
          <w:highlight w:val="none"/>
        </w:rPr>
      </w:pPr>
      <w:r>
        <w:rPr>
          <w:rFonts w:hint="eastAsia" w:ascii="仿宋_GB2312" w:eastAsia="仿宋_GB2312"/>
          <w:b/>
          <w:sz w:val="32"/>
          <w:szCs w:val="24"/>
          <w:highlight w:val="none"/>
        </w:rPr>
        <w:br w:type="page"/>
      </w:r>
    </w:p>
    <w:p>
      <w:pPr>
        <w:adjustRightInd w:val="0"/>
        <w:snapToGrid w:val="0"/>
        <w:spacing w:line="360" w:lineRule="auto"/>
        <w:ind w:firstLine="640" w:firstLineChars="200"/>
        <w:rPr>
          <w:rFonts w:hint="eastAsia" w:ascii="黑体" w:hAnsi="黑体" w:eastAsia="黑体" w:cs="黑体"/>
          <w:b w:val="0"/>
          <w:bCs/>
          <w:sz w:val="32"/>
          <w:szCs w:val="24"/>
          <w:highlight w:val="none"/>
        </w:rPr>
      </w:pPr>
      <w:r>
        <w:rPr>
          <w:rFonts w:hint="eastAsia" w:ascii="黑体" w:hAnsi="黑体" w:eastAsia="黑体" w:cs="黑体"/>
          <w:b w:val="0"/>
          <w:bCs/>
          <w:sz w:val="32"/>
          <w:szCs w:val="24"/>
          <w:highlight w:val="none"/>
        </w:rPr>
        <w:t>十三、历史文化遗产的展示与利用</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串联浈江、武江、北江三大水系沿岸秀丽的自然风光以及丰富的人文景点，以梅关古道、西京古道和武江水道为文化景观走廊，加上结合国省道梳理而成的民主革命、禅宗祖庭、工业重镇、客家文明四条文化景观路线，构成全域“三廊四线”的文化景观展示利用网络。</w:t>
      </w:r>
    </w:p>
    <w:p>
      <w:pPr>
        <w:adjustRightInd w:val="0"/>
        <w:snapToGrid w:val="0"/>
        <w:spacing w:line="360" w:lineRule="auto"/>
        <w:rPr>
          <w:highlight w:val="none"/>
        </w:rPr>
      </w:pPr>
      <w:r>
        <w:rPr>
          <w:highlight w:val="none"/>
        </w:rPr>
        <w:drawing>
          <wp:inline distT="0" distB="0" distL="0" distR="0">
            <wp:extent cx="5274310" cy="4311650"/>
            <wp:effectExtent l="0" t="0" r="13970" b="1270"/>
            <wp:docPr id="1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pic:cNvPicPr>
                      <a:picLocks noChangeAspect="1"/>
                    </pic:cNvPicPr>
                  </pic:nvPicPr>
                  <pic:blipFill>
                    <a:blip r:embed="rId14"/>
                    <a:stretch>
                      <a:fillRect/>
                    </a:stretch>
                  </pic:blipFill>
                  <pic:spPr>
                    <a:xfrm>
                      <a:off x="0" y="0"/>
                      <a:ext cx="5274310" cy="4311650"/>
                    </a:xfrm>
                    <a:prstGeom prst="rect">
                      <a:avLst/>
                    </a:prstGeom>
                  </pic:spPr>
                </pic:pic>
              </a:graphicData>
            </a:graphic>
          </wp:inline>
        </w:drawing>
      </w:r>
    </w:p>
    <w:p>
      <w:pPr>
        <w:pStyle w:val="20"/>
        <w:rPr>
          <w:highlight w:val="none"/>
        </w:rPr>
      </w:pPr>
      <w:r>
        <w:rPr>
          <w:rFonts w:hint="eastAsia"/>
          <w:highlight w:val="none"/>
        </w:rPr>
        <w:t>韶关市域文化景观走廊及路线图</w:t>
      </w:r>
    </w:p>
    <w:p>
      <w:pPr>
        <w:adjustRightInd w:val="0"/>
        <w:snapToGrid w:val="0"/>
        <w:spacing w:line="360" w:lineRule="auto"/>
        <w:ind w:firstLine="560" w:firstLineChars="200"/>
        <w:rPr>
          <w:rFonts w:ascii="仿宋_GB2312" w:eastAsia="仿宋_GB2312"/>
          <w:sz w:val="28"/>
          <w:szCs w:val="24"/>
          <w:highlight w:val="none"/>
        </w:rPr>
      </w:pPr>
      <w:r>
        <w:rPr>
          <w:rFonts w:hint="eastAsia" w:ascii="仿宋_GB2312" w:eastAsia="仿宋_GB2312"/>
          <w:sz w:val="28"/>
          <w:szCs w:val="24"/>
          <w:highlight w:val="none"/>
        </w:rPr>
        <w:t>策划全域红色文化展示利用线路：重点围绕红军长征、南昌起义军进军粤北、东纵抗战在韶关内的路线打造红色文化展示线路。</w:t>
      </w:r>
    </w:p>
    <w:p>
      <w:pPr>
        <w:pStyle w:val="20"/>
        <w:rPr>
          <w:highlight w:val="none"/>
        </w:rPr>
      </w:pPr>
      <w:r>
        <w:rPr>
          <w:highlight w:val="none"/>
        </w:rPr>
        <w:drawing>
          <wp:inline distT="0" distB="0" distL="0" distR="0">
            <wp:extent cx="5208270" cy="4340225"/>
            <wp:effectExtent l="0" t="0" r="0" b="317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15"/>
                    <a:srcRect r="1246" b="4044"/>
                    <a:stretch>
                      <a:fillRect/>
                    </a:stretch>
                  </pic:blipFill>
                  <pic:spPr>
                    <a:xfrm>
                      <a:off x="0" y="0"/>
                      <a:ext cx="5208607" cy="4340787"/>
                    </a:xfrm>
                    <a:prstGeom prst="rect">
                      <a:avLst/>
                    </a:prstGeom>
                    <a:ln>
                      <a:noFill/>
                    </a:ln>
                  </pic:spPr>
                </pic:pic>
              </a:graphicData>
            </a:graphic>
          </wp:inline>
        </w:drawing>
      </w:r>
    </w:p>
    <w:p>
      <w:pPr>
        <w:pStyle w:val="20"/>
        <w:rPr>
          <w:highlight w:val="none"/>
        </w:rPr>
      </w:pPr>
      <w:r>
        <w:rPr>
          <w:rFonts w:hint="eastAsia"/>
          <w:highlight w:val="none"/>
        </w:rPr>
        <w:t>韶关市域红色文化展示线路图</w:t>
      </w:r>
    </w:p>
    <w:p>
      <w:pPr>
        <w:adjustRightInd w:val="0"/>
        <w:snapToGrid w:val="0"/>
        <w:spacing w:line="360" w:lineRule="auto"/>
        <w:rPr>
          <w:rFonts w:ascii="仿宋_GB2312" w:eastAsia="仿宋_GB2312"/>
          <w:b/>
          <w:sz w:val="32"/>
          <w:szCs w:val="24"/>
          <w:highlight w:val="none"/>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仿宋_GB2312">
    <w:panose1 w:val="02010609030101010101"/>
    <w:charset w:val="86"/>
    <w:family w:val="auto"/>
    <w:pitch w:val="default"/>
    <w:sig w:usb0="00000001" w:usb1="080E0000" w:usb2="00000000" w:usb3="00000000" w:csb0="00040000" w:csb1="00000000"/>
  </w:font>
  <w:font w:name="方正小标宋简体">
    <w:panose1 w:val="03000509000000000000"/>
    <w:charset w:val="86"/>
    <w:family w:val="auto"/>
    <w:pitch w:val="default"/>
    <w:sig w:usb0="00000001" w:usb1="080E0000" w:usb2="00000000" w:usb3="00000000" w:csb0="0004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CBFB4BD"/>
    <w:multiLevelType w:val="singleLevel"/>
    <w:tmpl w:val="3CBFB4BD"/>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7"/>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GZjMTY0YmNjOWZhOTlkOGNjYTU1Y2FmMjUxODZkMjcifQ=="/>
  </w:docVars>
  <w:rsids>
    <w:rsidRoot w:val="00FD4A90"/>
    <w:rsid w:val="000A431D"/>
    <w:rsid w:val="000A4449"/>
    <w:rsid w:val="000B07DF"/>
    <w:rsid w:val="000B5152"/>
    <w:rsid w:val="000D2735"/>
    <w:rsid w:val="000D66A6"/>
    <w:rsid w:val="000F6834"/>
    <w:rsid w:val="00120834"/>
    <w:rsid w:val="00124088"/>
    <w:rsid w:val="001353F0"/>
    <w:rsid w:val="001A06D7"/>
    <w:rsid w:val="001A5B2B"/>
    <w:rsid w:val="001C78A2"/>
    <w:rsid w:val="001E377B"/>
    <w:rsid w:val="002371D0"/>
    <w:rsid w:val="00252BEE"/>
    <w:rsid w:val="002778D9"/>
    <w:rsid w:val="002C4010"/>
    <w:rsid w:val="002C4BFB"/>
    <w:rsid w:val="002D3093"/>
    <w:rsid w:val="002D6B24"/>
    <w:rsid w:val="002F0817"/>
    <w:rsid w:val="002F1E2B"/>
    <w:rsid w:val="00317D30"/>
    <w:rsid w:val="003559E8"/>
    <w:rsid w:val="00362C47"/>
    <w:rsid w:val="00410146"/>
    <w:rsid w:val="0041496E"/>
    <w:rsid w:val="004161CE"/>
    <w:rsid w:val="00423C4E"/>
    <w:rsid w:val="00480FF1"/>
    <w:rsid w:val="004A246C"/>
    <w:rsid w:val="004B4F4B"/>
    <w:rsid w:val="004C17F0"/>
    <w:rsid w:val="004F6B6C"/>
    <w:rsid w:val="0050232E"/>
    <w:rsid w:val="005128A7"/>
    <w:rsid w:val="00530B7F"/>
    <w:rsid w:val="005553D7"/>
    <w:rsid w:val="00567F4C"/>
    <w:rsid w:val="00574205"/>
    <w:rsid w:val="005810E6"/>
    <w:rsid w:val="00594FAD"/>
    <w:rsid w:val="005977A3"/>
    <w:rsid w:val="005B4917"/>
    <w:rsid w:val="00610669"/>
    <w:rsid w:val="00617154"/>
    <w:rsid w:val="00632B59"/>
    <w:rsid w:val="00643D6D"/>
    <w:rsid w:val="00651F60"/>
    <w:rsid w:val="006520E5"/>
    <w:rsid w:val="00680569"/>
    <w:rsid w:val="00724690"/>
    <w:rsid w:val="00741B87"/>
    <w:rsid w:val="00755A24"/>
    <w:rsid w:val="007764DC"/>
    <w:rsid w:val="007A3386"/>
    <w:rsid w:val="007C5F87"/>
    <w:rsid w:val="007E5B84"/>
    <w:rsid w:val="007F6628"/>
    <w:rsid w:val="00802501"/>
    <w:rsid w:val="00814038"/>
    <w:rsid w:val="00816224"/>
    <w:rsid w:val="00850A84"/>
    <w:rsid w:val="00867DC4"/>
    <w:rsid w:val="00870E8A"/>
    <w:rsid w:val="0088017B"/>
    <w:rsid w:val="00880D5A"/>
    <w:rsid w:val="008D05BC"/>
    <w:rsid w:val="00912369"/>
    <w:rsid w:val="0094371B"/>
    <w:rsid w:val="00970324"/>
    <w:rsid w:val="009747B0"/>
    <w:rsid w:val="009E18FE"/>
    <w:rsid w:val="009E69C9"/>
    <w:rsid w:val="009F6CA2"/>
    <w:rsid w:val="00A10F50"/>
    <w:rsid w:val="00A3020C"/>
    <w:rsid w:val="00A32331"/>
    <w:rsid w:val="00AA77F0"/>
    <w:rsid w:val="00AD0951"/>
    <w:rsid w:val="00B07FDF"/>
    <w:rsid w:val="00B26FED"/>
    <w:rsid w:val="00B35C3F"/>
    <w:rsid w:val="00B404FB"/>
    <w:rsid w:val="00B515AD"/>
    <w:rsid w:val="00B546EB"/>
    <w:rsid w:val="00B807E5"/>
    <w:rsid w:val="00B8687D"/>
    <w:rsid w:val="00B95347"/>
    <w:rsid w:val="00B95972"/>
    <w:rsid w:val="00C2116C"/>
    <w:rsid w:val="00C26FDD"/>
    <w:rsid w:val="00C8188F"/>
    <w:rsid w:val="00CA0C29"/>
    <w:rsid w:val="00CB0B7A"/>
    <w:rsid w:val="00CC0209"/>
    <w:rsid w:val="00CD66E7"/>
    <w:rsid w:val="00CE167E"/>
    <w:rsid w:val="00CF0F6A"/>
    <w:rsid w:val="00D11C64"/>
    <w:rsid w:val="00D172E6"/>
    <w:rsid w:val="00D508D4"/>
    <w:rsid w:val="00D87733"/>
    <w:rsid w:val="00DD499E"/>
    <w:rsid w:val="00DF06BA"/>
    <w:rsid w:val="00E42ADA"/>
    <w:rsid w:val="00E42B55"/>
    <w:rsid w:val="00E46C2E"/>
    <w:rsid w:val="00E8221C"/>
    <w:rsid w:val="00E83B6A"/>
    <w:rsid w:val="00ED2092"/>
    <w:rsid w:val="00EE594B"/>
    <w:rsid w:val="00F52221"/>
    <w:rsid w:val="00FA00B4"/>
    <w:rsid w:val="00FA1478"/>
    <w:rsid w:val="00FC4CA3"/>
    <w:rsid w:val="00FD4A90"/>
    <w:rsid w:val="00FD62D6"/>
    <w:rsid w:val="00FF1728"/>
    <w:rsid w:val="0466617C"/>
    <w:rsid w:val="051F4996"/>
    <w:rsid w:val="13FE994F"/>
    <w:rsid w:val="19DA01C7"/>
    <w:rsid w:val="20F64927"/>
    <w:rsid w:val="219A1AC0"/>
    <w:rsid w:val="31484B90"/>
    <w:rsid w:val="3FEE8784"/>
    <w:rsid w:val="41672924"/>
    <w:rsid w:val="62653C2F"/>
    <w:rsid w:val="72680FA3"/>
    <w:rsid w:val="73DBC301"/>
    <w:rsid w:val="74FF07D6"/>
    <w:rsid w:val="7BA97587"/>
    <w:rsid w:val="7BB81FB5"/>
    <w:rsid w:val="7CB81FBF"/>
    <w:rsid w:val="7D8B70AB"/>
    <w:rsid w:val="9FFFEC1C"/>
    <w:rsid w:val="DF6ED8BF"/>
    <w:rsid w:val="F3A99352"/>
    <w:rsid w:val="F7CE8F2D"/>
    <w:rsid w:val="FAFE92A0"/>
    <w:rsid w:val="FEFD876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9">
    <w:name w:val="Default Paragraph Font"/>
    <w:semiHidden/>
    <w:unhideWhenUsed/>
    <w:qFormat/>
    <w:uiPriority w:val="1"/>
  </w:style>
  <w:style w:type="table" w:default="1" w:styleId="8">
    <w:name w:val="Normal Table"/>
    <w:semiHidden/>
    <w:unhideWhenUsed/>
    <w:qFormat/>
    <w:uiPriority w:val="99"/>
    <w:tblPr>
      <w:tblCellMar>
        <w:top w:w="0" w:type="dxa"/>
        <w:left w:w="108" w:type="dxa"/>
        <w:bottom w:w="0" w:type="dxa"/>
        <w:right w:w="108" w:type="dxa"/>
      </w:tblCellMar>
    </w:tblPr>
  </w:style>
  <w:style w:type="paragraph" w:styleId="2">
    <w:name w:val="annotation text"/>
    <w:basedOn w:val="1"/>
    <w:link w:val="17"/>
    <w:semiHidden/>
    <w:unhideWhenUsed/>
    <w:qFormat/>
    <w:uiPriority w:val="99"/>
    <w:pPr>
      <w:jc w:val="left"/>
    </w:pPr>
  </w:style>
  <w:style w:type="paragraph" w:styleId="3">
    <w:name w:val="Balloon Text"/>
    <w:basedOn w:val="1"/>
    <w:link w:val="19"/>
    <w:semiHidden/>
    <w:unhideWhenUsed/>
    <w:qFormat/>
    <w:uiPriority w:val="99"/>
    <w:rPr>
      <w:sz w:val="18"/>
      <w:szCs w:val="18"/>
    </w:rPr>
  </w:style>
  <w:style w:type="paragraph" w:styleId="4">
    <w:name w:val="footer"/>
    <w:basedOn w:val="1"/>
    <w:link w:val="14"/>
    <w:unhideWhenUsed/>
    <w:qFormat/>
    <w:uiPriority w:val="99"/>
    <w:pPr>
      <w:tabs>
        <w:tab w:val="center" w:pos="4153"/>
        <w:tab w:val="right" w:pos="8306"/>
      </w:tabs>
      <w:snapToGrid w:val="0"/>
      <w:jc w:val="left"/>
    </w:pPr>
    <w:rPr>
      <w:sz w:val="18"/>
      <w:szCs w:val="18"/>
    </w:rPr>
  </w:style>
  <w:style w:type="paragraph" w:styleId="5">
    <w:name w:val="header"/>
    <w:basedOn w:val="1"/>
    <w:link w:val="13"/>
    <w:unhideWhenUsed/>
    <w:qFormat/>
    <w:uiPriority w:val="99"/>
    <w:pPr>
      <w:pBdr>
        <w:bottom w:val="single" w:color="auto" w:sz="6" w:space="1"/>
      </w:pBdr>
      <w:tabs>
        <w:tab w:val="center" w:pos="4153"/>
        <w:tab w:val="right" w:pos="8306"/>
      </w:tabs>
      <w:snapToGrid w:val="0"/>
      <w:jc w:val="center"/>
    </w:pPr>
    <w:rPr>
      <w:sz w:val="18"/>
      <w:szCs w:val="18"/>
    </w:rPr>
  </w:style>
  <w:style w:type="paragraph" w:styleId="6">
    <w:name w:val="Normal (Web)"/>
    <w:basedOn w:val="1"/>
    <w:semiHidden/>
    <w:unhideWhenUsed/>
    <w:qFormat/>
    <w:uiPriority w:val="99"/>
    <w:pPr>
      <w:widowControl/>
      <w:spacing w:before="100" w:beforeAutospacing="1" w:after="100" w:afterAutospacing="1"/>
      <w:jc w:val="left"/>
    </w:pPr>
    <w:rPr>
      <w:rFonts w:ascii="宋体" w:hAnsi="宋体" w:eastAsia="宋体" w:cs="宋体"/>
      <w:kern w:val="0"/>
      <w:sz w:val="24"/>
      <w:szCs w:val="24"/>
    </w:rPr>
  </w:style>
  <w:style w:type="paragraph" w:styleId="7">
    <w:name w:val="annotation subject"/>
    <w:basedOn w:val="2"/>
    <w:next w:val="2"/>
    <w:link w:val="18"/>
    <w:semiHidden/>
    <w:unhideWhenUsed/>
    <w:qFormat/>
    <w:uiPriority w:val="99"/>
    <w:rPr>
      <w:b/>
      <w:bCs/>
    </w:rPr>
  </w:style>
  <w:style w:type="character" w:styleId="10">
    <w:name w:val="Strong"/>
    <w:basedOn w:val="9"/>
    <w:qFormat/>
    <w:uiPriority w:val="22"/>
    <w:rPr>
      <w:b/>
      <w:bCs/>
    </w:rPr>
  </w:style>
  <w:style w:type="character" w:styleId="11">
    <w:name w:val="Emphasis"/>
    <w:basedOn w:val="9"/>
    <w:qFormat/>
    <w:uiPriority w:val="20"/>
    <w:rPr>
      <w:i/>
      <w:iCs/>
    </w:rPr>
  </w:style>
  <w:style w:type="character" w:styleId="12">
    <w:name w:val="annotation reference"/>
    <w:basedOn w:val="9"/>
    <w:semiHidden/>
    <w:unhideWhenUsed/>
    <w:qFormat/>
    <w:uiPriority w:val="99"/>
    <w:rPr>
      <w:sz w:val="21"/>
      <w:szCs w:val="21"/>
    </w:rPr>
  </w:style>
  <w:style w:type="character" w:customStyle="1" w:styleId="13">
    <w:name w:val="页眉 Char"/>
    <w:basedOn w:val="9"/>
    <w:link w:val="5"/>
    <w:qFormat/>
    <w:uiPriority w:val="99"/>
    <w:rPr>
      <w:sz w:val="18"/>
      <w:szCs w:val="18"/>
    </w:rPr>
  </w:style>
  <w:style w:type="character" w:customStyle="1" w:styleId="14">
    <w:name w:val="页脚 Char"/>
    <w:basedOn w:val="9"/>
    <w:link w:val="4"/>
    <w:qFormat/>
    <w:uiPriority w:val="99"/>
    <w:rPr>
      <w:sz w:val="18"/>
      <w:szCs w:val="18"/>
    </w:rPr>
  </w:style>
  <w:style w:type="paragraph" w:customStyle="1" w:styleId="15">
    <w:name w:val="_Style 585"/>
    <w:basedOn w:val="1"/>
    <w:next w:val="16"/>
    <w:qFormat/>
    <w:uiPriority w:val="34"/>
    <w:pPr>
      <w:snapToGrid w:val="0"/>
      <w:spacing w:line="300" w:lineRule="auto"/>
      <w:ind w:firstLine="420" w:firstLineChars="200"/>
    </w:pPr>
    <w:rPr>
      <w:rFonts w:ascii="Calibri" w:hAnsi="Calibri" w:eastAsia="微软雅黑" w:cs="Times New Roman"/>
    </w:rPr>
  </w:style>
  <w:style w:type="paragraph" w:styleId="16">
    <w:name w:val="List Paragraph"/>
    <w:basedOn w:val="1"/>
    <w:qFormat/>
    <w:uiPriority w:val="34"/>
    <w:pPr>
      <w:ind w:firstLine="420" w:firstLineChars="200"/>
    </w:pPr>
  </w:style>
  <w:style w:type="character" w:customStyle="1" w:styleId="17">
    <w:name w:val="批注文字 Char"/>
    <w:basedOn w:val="9"/>
    <w:link w:val="2"/>
    <w:semiHidden/>
    <w:qFormat/>
    <w:uiPriority w:val="99"/>
  </w:style>
  <w:style w:type="character" w:customStyle="1" w:styleId="18">
    <w:name w:val="批注主题 Char"/>
    <w:basedOn w:val="17"/>
    <w:link w:val="7"/>
    <w:semiHidden/>
    <w:qFormat/>
    <w:uiPriority w:val="99"/>
    <w:rPr>
      <w:b/>
      <w:bCs/>
    </w:rPr>
  </w:style>
  <w:style w:type="character" w:customStyle="1" w:styleId="19">
    <w:name w:val="批注框文本 Char"/>
    <w:basedOn w:val="9"/>
    <w:link w:val="3"/>
    <w:semiHidden/>
    <w:qFormat/>
    <w:uiPriority w:val="99"/>
    <w:rPr>
      <w:sz w:val="18"/>
      <w:szCs w:val="18"/>
    </w:rPr>
  </w:style>
  <w:style w:type="paragraph" w:customStyle="1" w:styleId="20">
    <w:name w:val="图名"/>
    <w:basedOn w:val="1"/>
    <w:link w:val="21"/>
    <w:qFormat/>
    <w:uiPriority w:val="0"/>
    <w:pPr>
      <w:adjustRightInd w:val="0"/>
      <w:snapToGrid w:val="0"/>
      <w:jc w:val="center"/>
    </w:pPr>
    <w:rPr>
      <w:rFonts w:ascii="仿宋_GB2312" w:eastAsia="仿宋_GB2312"/>
      <w:sz w:val="24"/>
    </w:rPr>
  </w:style>
  <w:style w:type="character" w:customStyle="1" w:styleId="21">
    <w:name w:val="图名 字符"/>
    <w:basedOn w:val="9"/>
    <w:link w:val="20"/>
    <w:qFormat/>
    <w:uiPriority w:val="0"/>
    <w:rPr>
      <w:rFonts w:ascii="仿宋_GB2312" w:eastAsia="仿宋_GB2312"/>
      <w:sz w:val="24"/>
    </w:rPr>
  </w:style>
  <w:style w:type="paragraph" w:customStyle="1" w:styleId="22">
    <w:name w:val="修订1"/>
    <w:hidden/>
    <w:semiHidden/>
    <w:qFormat/>
    <w:uiPriority w:val="99"/>
    <w:rPr>
      <w:rFonts w:asciiTheme="minorHAnsi" w:hAnsiTheme="minorHAnsi" w:eastAsiaTheme="minorEastAsia" w:cstheme="minorBidi"/>
      <w:kern w:val="2"/>
      <w:sz w:val="21"/>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numbering" Target="numbering.xml"/><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Company>神州网信技术有限公司</Company>
  <Pages>23</Pages>
  <Words>9641</Words>
  <Characters>9742</Characters>
  <Lines>73</Lines>
  <Paragraphs>20</Paragraphs>
  <TotalTime>18</TotalTime>
  <ScaleCrop>false</ScaleCrop>
  <LinksUpToDate>false</LinksUpToDate>
  <CharactersWithSpaces>9754</CharactersWithSpaces>
  <Application>WPS Office_11.1.0.13703_F1E327BC-269C-435d-A152-05C5408002CA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2023-01-12T08:44:00Z</dcterms:created>
  <dc:creator>admin</dc:creator>
  <cp:lastModifiedBy>阿西玛</cp:lastModifiedBy>
  <dcterms:modified xsi:type="dcterms:W3CDTF">2023-03-30T06:50:26Z</dcterms:modified>
  <cp:revision>16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077E348F3D344752ACD8ED446C074B93</vt:lpwstr>
  </property>
  <property fmtid="{D5CDD505-2E9C-101B-9397-08002B2CF9AE}" pid="4" name="ribbonExt">
    <vt:lpwstr>{"WPSExtOfficeTab":{"OnGetEnabled":false,"OnGetVisible":false}}</vt:lpwstr>
  </property>
</Properties>
</file>