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60" w:lineRule="exact"/>
        <w:ind w:firstLine="0" w:firstLineChars="0"/>
        <w:jc w:val="both"/>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bookmarkStart w:id="0" w:name="_GoBack"/>
      <w:bookmarkEnd w:id="0"/>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bidi w:val="0"/>
        <w:spacing w:line="560" w:lineRule="exact"/>
        <w:ind w:firstLine="0" w:firstLineChars="0"/>
        <w:jc w:val="center"/>
        <w:textAlignment w:val="auto"/>
        <w:outlineLvl w:val="0"/>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bidi w:val="0"/>
        <w:spacing w:line="560" w:lineRule="exact"/>
        <w:ind w:firstLine="0" w:firstLineChars="0"/>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2023年韶关市排污单位自行监测帮扶指导项目</w:t>
      </w:r>
    </w:p>
    <w:p>
      <w:pPr>
        <w:keepNext w:val="0"/>
        <w:keepLines w:val="0"/>
        <w:pageBreakBefore w:val="0"/>
        <w:widowControl w:val="0"/>
        <w:kinsoku/>
        <w:wordWrap/>
        <w:overflowPunct/>
        <w:topLinePunct w:val="0"/>
        <w:bidi w:val="0"/>
        <w:spacing w:line="560" w:lineRule="exact"/>
        <w:ind w:firstLine="0" w:firstLineChars="0"/>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评分标准</w:t>
      </w:r>
    </w:p>
    <w:p>
      <w:pPr>
        <w:pStyle w:val="5"/>
        <w:keepNext w:val="0"/>
        <w:keepLines w:val="0"/>
        <w:pageBreakBefore w:val="0"/>
        <w:widowControl w:val="0"/>
        <w:kinsoku/>
        <w:wordWrap/>
        <w:overflowPunct/>
        <w:topLinePunct w:val="0"/>
        <w:bidi w:val="0"/>
        <w:spacing w:line="560" w:lineRule="exact"/>
        <w:ind w:left="0" w:leftChars="0" w:firstLine="480"/>
        <w:textAlignment w:val="auto"/>
        <w:rPr>
          <w:rFonts w:hint="eastAsia"/>
          <w:szCs w:val="32"/>
        </w:rPr>
      </w:pPr>
    </w:p>
    <w:p>
      <w:pPr>
        <w:pStyle w:val="5"/>
        <w:keepNext w:val="0"/>
        <w:keepLines w:val="0"/>
        <w:pageBreakBefore w:val="0"/>
        <w:widowControl w:val="0"/>
        <w:kinsoku/>
        <w:wordWrap/>
        <w:overflowPunct/>
        <w:topLinePunct w:val="0"/>
        <w:bidi w:val="0"/>
        <w:spacing w:line="560" w:lineRule="exact"/>
        <w:ind w:left="0" w:leftChars="0" w:firstLine="48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《韶关市生态环境局政府采购工作制度》</w:t>
      </w:r>
      <w:r>
        <w:rPr>
          <w:rFonts w:hint="eastAsia" w:ascii="仿宋_GB2312" w:hAnsi="仿宋_GB2312" w:eastAsia="仿宋_GB2312" w:cs="仿宋_GB2312"/>
          <w:sz w:val="32"/>
          <w:szCs w:val="32"/>
          <w:lang w:eastAsia="zh-CN"/>
        </w:rPr>
        <w:t>（韶环〔2022〕180号）项目政府采购综合评价表：“1.评价采取100分制，其中价格、服务方案各为30分，资质为20分，服务质量、社会信誉各10分；2.评价时必须综合考虑评价的各项指标，同等条件下应以服务方案优者优先；3.服务质量为过往服务本单位时本单位对服务质量的评价，社会信誉为供应商（服务方）在社会服务中的认可度；4.供应商（服务方）在竞标时必须提供过往服务质量评价情况和社会信誉。”相关要求，结合《韶关市生态环境局采购项目信息公示（2023年韶关市排污单位自行监测帮扶指导项目）》（以下简称《采购公示》），制定本项目评分标准。</w:t>
      </w:r>
    </w:p>
    <w:p>
      <w:pPr>
        <w:pStyle w:val="13"/>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b w:val="0"/>
          <w:bCs w:val="0"/>
          <w:sz w:val="32"/>
          <w:szCs w:val="32"/>
          <w:lang w:eastAsia="zh-CN"/>
        </w:rPr>
      </w:pPr>
    </w:p>
    <w:p>
      <w:pPr>
        <w:pStyle w:val="13"/>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价格部分（30分）</w:t>
      </w:r>
    </w:p>
    <w:p>
      <w:pPr>
        <w:pStyle w:val="5"/>
        <w:keepNext w:val="0"/>
        <w:keepLines w:val="0"/>
        <w:pageBreakBefore w:val="0"/>
        <w:widowControl w:val="0"/>
        <w:kinsoku/>
        <w:wordWrap/>
        <w:overflowPunct/>
        <w:topLinePunct w:val="0"/>
        <w:bidi w:val="0"/>
        <w:spacing w:line="560" w:lineRule="exact"/>
        <w:ind w:left="0" w:leftChars="0" w:firstLine="48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采用低价优先法计算，即满足《采购公示》要求且价格最低的报价为基准价，其价格分为满分。</w:t>
      </w:r>
    </w:p>
    <w:p>
      <w:pPr>
        <w:pStyle w:val="5"/>
        <w:keepNext w:val="0"/>
        <w:keepLines w:val="0"/>
        <w:pageBreakBefore w:val="0"/>
        <w:widowControl w:val="0"/>
        <w:kinsoku/>
        <w:wordWrap/>
        <w:overflowPunct/>
        <w:topLinePunct w:val="0"/>
        <w:bidi w:val="0"/>
        <w:spacing w:line="560" w:lineRule="exact"/>
        <w:ind w:left="0" w:leftChars="0" w:firstLine="48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其他供应商的价格分统一按照下列公式计算：</w:t>
      </w:r>
    </w:p>
    <w:p>
      <w:pPr>
        <w:pStyle w:val="5"/>
        <w:keepNext w:val="0"/>
        <w:keepLines w:val="0"/>
        <w:pageBreakBefore w:val="0"/>
        <w:widowControl w:val="0"/>
        <w:kinsoku/>
        <w:wordWrap/>
        <w:overflowPunct/>
        <w:topLinePunct w:val="0"/>
        <w:bidi w:val="0"/>
        <w:spacing w:line="560" w:lineRule="exact"/>
        <w:ind w:left="0" w:leftChars="0" w:firstLine="48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报价得分=(基准价／报价)×100×</w:t>
      </w:r>
      <w:r>
        <w:rPr>
          <w:rFonts w:hint="eastAsia" w:ascii="仿宋_GB2312" w:hAnsi="仿宋_GB2312" w:eastAsia="仿宋_GB2312" w:cs="仿宋_GB2312"/>
          <w:sz w:val="32"/>
          <w:szCs w:val="32"/>
          <w:lang w:val="en-US" w:eastAsia="zh-CN"/>
        </w:rPr>
        <w:t>30%</w:t>
      </w:r>
    </w:p>
    <w:p>
      <w:pPr>
        <w:pStyle w:val="13"/>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b w:val="0"/>
          <w:bCs w:val="0"/>
          <w:sz w:val="32"/>
          <w:szCs w:val="32"/>
          <w:lang w:eastAsia="zh-CN"/>
        </w:rPr>
      </w:pPr>
    </w:p>
    <w:p>
      <w:pPr>
        <w:pStyle w:val="13"/>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二、服务方案部分（</w:t>
      </w:r>
      <w:r>
        <w:rPr>
          <w:rFonts w:hint="eastAsia" w:ascii="黑体" w:hAnsi="黑体" w:eastAsia="黑体" w:cs="黑体"/>
          <w:b w:val="0"/>
          <w:bCs w:val="0"/>
          <w:sz w:val="32"/>
          <w:szCs w:val="32"/>
          <w:lang w:val="en-US" w:eastAsia="zh-CN"/>
        </w:rPr>
        <w:t>30分</w:t>
      </w:r>
      <w:r>
        <w:rPr>
          <w:rFonts w:hint="eastAsia" w:ascii="黑体" w:hAnsi="黑体" w:eastAsia="黑体" w:cs="黑体"/>
          <w:b w:val="0"/>
          <w:bCs w:val="0"/>
          <w:sz w:val="32"/>
          <w:szCs w:val="32"/>
          <w:lang w:eastAsia="zh-CN"/>
        </w:rPr>
        <w:t>）</w:t>
      </w:r>
    </w:p>
    <w:p>
      <w:pPr>
        <w:pStyle w:val="13"/>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(一)相关服务承诺（不计分）</w:t>
      </w:r>
    </w:p>
    <w:p>
      <w:pPr>
        <w:pStyle w:val="13"/>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未提供以下承诺函的，作无效报价材料处理：</w:t>
      </w:r>
    </w:p>
    <w:p>
      <w:pPr>
        <w:pStyle w:val="13"/>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val="en-US" w:eastAsia="zh-CN"/>
        </w:rPr>
        <w:t>1.</w:t>
      </w:r>
      <w:r>
        <w:rPr>
          <w:rFonts w:hint="eastAsia" w:ascii="仿宋_GB2312" w:hAnsi="仿宋_GB2312" w:eastAsia="仿宋_GB2312" w:cs="仿宋_GB2312"/>
          <w:sz w:val="32"/>
          <w:szCs w:val="32"/>
          <w:lang w:eastAsia="zh-CN"/>
        </w:rPr>
        <w:t>《采购公示》“五、相关要求</w:t>
      </w:r>
      <w:r>
        <w:rPr>
          <w:rFonts w:hint="eastAsia" w:ascii="仿宋_GB2312" w:hAnsi="仿宋_GB2312" w:eastAsia="仿宋_GB2312" w:cs="仿宋_GB2312"/>
          <w:sz w:val="32"/>
          <w:szCs w:val="32"/>
          <w:lang w:val="en-US" w:eastAsia="zh-CN"/>
        </w:rPr>
        <w:t xml:space="preserve"> （二）服务要求 3. 根据我局需求，监测时间不仅限于正常工作日，供应商应积极配合我局，安排足够的采样人员和设备在2小时内到达采样现场，严格按照技术规范开展工作。同时，视情况需要，如我局要对外发布有关信息，或处理有关事宜时，供应商必须提供专家予以支持。一年内供应商若收到我局任务而未能安排2次以上的，视为违约，我局有权即刻终止合同，并要求供应商赔偿相应损失；（须提供书面承诺函及到达现场服务所需时间合理性的说明）</w:t>
      </w:r>
      <w:r>
        <w:rPr>
          <w:rFonts w:hint="eastAsia" w:ascii="仿宋_GB2312" w:hAnsi="仿宋_GB2312" w:eastAsia="仿宋_GB2312" w:cs="仿宋_GB2312"/>
          <w:sz w:val="32"/>
          <w:szCs w:val="32"/>
          <w:lang w:eastAsia="zh-CN"/>
        </w:rPr>
        <w:t>”</w:t>
      </w:r>
    </w:p>
    <w:p>
      <w:pPr>
        <w:pStyle w:val="13"/>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《采购公示》“五、相关要求</w:t>
      </w:r>
      <w:r>
        <w:rPr>
          <w:rFonts w:hint="eastAsia" w:ascii="仿宋_GB2312" w:hAnsi="仿宋_GB2312" w:eastAsia="仿宋_GB2312" w:cs="仿宋_GB2312"/>
          <w:sz w:val="32"/>
          <w:szCs w:val="32"/>
          <w:lang w:val="en-US" w:eastAsia="zh-CN"/>
        </w:rPr>
        <w:t xml:space="preserve"> （五）其他要求 4.服务期内由于供应商的责任造成的一切人员的伤亡及财产损失，均由供应商承担由此产生的一切赔偿等后果。（须提供书面承诺函）”</w:t>
      </w:r>
    </w:p>
    <w:p>
      <w:pPr>
        <w:pStyle w:val="13"/>
        <w:keepNext w:val="0"/>
        <w:keepLines w:val="0"/>
        <w:pageBreakBefore w:val="0"/>
        <w:widowControl w:val="0"/>
        <w:numPr>
          <w:ilvl w:val="0"/>
          <w:numId w:val="0"/>
        </w:numPr>
        <w:kinsoku/>
        <w:wordWrap/>
        <w:overflowPunct/>
        <w:topLinePunct w:val="0"/>
        <w:bidi w:val="0"/>
        <w:spacing w:line="560" w:lineRule="exact"/>
        <w:ind w:left="480" w:leftChars="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eastAsia="zh-CN"/>
        </w:rPr>
        <w:t>（二）项目服务实施方案及服务计划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20分）</w:t>
      </w:r>
    </w:p>
    <w:p>
      <w:pPr>
        <w:pStyle w:val="5"/>
        <w:keepNext w:val="0"/>
        <w:keepLines w:val="0"/>
        <w:pageBreakBefore w:val="0"/>
        <w:widowControl w:val="0"/>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实施方案及服务计划完善；服务保障措施、人员组织架构周全；对本项目的工作重点和难点的分析情况准确全面，具有针对性、合理性、可行性、科学性；有全面的服务计划；应急预案/专章完整、详细有效，具备有效的预防和应急措施，响应速度快。得16-20分。</w:t>
      </w:r>
    </w:p>
    <w:p>
      <w:pPr>
        <w:pStyle w:val="5"/>
        <w:keepNext w:val="0"/>
        <w:keepLines w:val="0"/>
        <w:pageBreakBefore w:val="0"/>
        <w:widowControl w:val="0"/>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实施方案及服务计划完善；服务保障措施、人员组织架构较周全；对本项目的工作重点和难点的分析情况较准确全面，较合理可行；有比较全面的服务计划；应急预案/专章基本完整、较详细有效，基本具备有效的预防和应急措施，响应速度较快。得12-16分。</w:t>
      </w:r>
    </w:p>
    <w:p>
      <w:pPr>
        <w:pStyle w:val="5"/>
        <w:keepNext w:val="0"/>
        <w:keepLines w:val="0"/>
        <w:pageBreakBefore w:val="0"/>
        <w:widowControl w:val="0"/>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3.项目实施方案及服务计划完善具有一定可行性，对本项目的工作重点和难点的分析情况基本准确，具有一定针对性、合理性、可行性、科学性，服务计划基本可行。得8-12分。</w:t>
      </w:r>
    </w:p>
    <w:p>
      <w:pPr>
        <w:pStyle w:val="5"/>
        <w:keepNext w:val="0"/>
        <w:keepLines w:val="0"/>
        <w:pageBreakBefore w:val="0"/>
        <w:widowControl w:val="0"/>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4.不提供的，不得分。</w:t>
      </w:r>
    </w:p>
    <w:p>
      <w:pPr>
        <w:pStyle w:val="13"/>
        <w:keepNext w:val="0"/>
        <w:keepLines w:val="0"/>
        <w:pageBreakBefore w:val="0"/>
        <w:widowControl w:val="0"/>
        <w:numPr>
          <w:ilvl w:val="0"/>
          <w:numId w:val="0"/>
        </w:numPr>
        <w:kinsoku/>
        <w:wordWrap/>
        <w:overflowPunct/>
        <w:topLinePunct w:val="0"/>
        <w:bidi w:val="0"/>
        <w:spacing w:line="560" w:lineRule="exact"/>
        <w:ind w:left="480" w:leftChars="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（三）质控方案（</w:t>
      </w:r>
      <w:r>
        <w:rPr>
          <w:rFonts w:hint="eastAsia" w:ascii="楷体" w:hAnsi="楷体" w:eastAsia="楷体" w:cs="楷体"/>
          <w:sz w:val="32"/>
          <w:szCs w:val="32"/>
          <w:lang w:val="en-US" w:eastAsia="zh-CN"/>
        </w:rPr>
        <w:t>10分</w:t>
      </w:r>
      <w:r>
        <w:rPr>
          <w:rFonts w:hint="eastAsia" w:ascii="楷体" w:hAnsi="楷体" w:eastAsia="楷体" w:cs="楷体"/>
          <w:sz w:val="32"/>
          <w:szCs w:val="32"/>
          <w:lang w:eastAsia="zh-CN"/>
        </w:rPr>
        <w:t>）</w:t>
      </w:r>
    </w:p>
    <w:p>
      <w:pPr>
        <w:pStyle w:val="5"/>
        <w:keepNext w:val="0"/>
        <w:keepLines w:val="0"/>
        <w:pageBreakBefore w:val="0"/>
        <w:widowControl w:val="0"/>
        <w:kinsoku/>
        <w:wordWrap/>
        <w:overflowPunct/>
        <w:topLinePunct w:val="0"/>
        <w:bidi w:val="0"/>
        <w:spacing w:line="560" w:lineRule="exact"/>
        <w:ind w:left="0" w:leftChars="0"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根据供应商人提供的针对本项目制定的质量保证和质量控制措施方案，包括现场采样空白样品、平行样品、样品运输和保存条件，分析及时性，空白试验、平行样分析、质量记录等进行综合评价：</w:t>
      </w:r>
    </w:p>
    <w:p>
      <w:pPr>
        <w:pStyle w:val="5"/>
        <w:keepNext w:val="0"/>
        <w:keepLines w:val="0"/>
        <w:pageBreakBefore w:val="0"/>
        <w:widowControl w:val="0"/>
        <w:numPr>
          <w:ilvl w:val="0"/>
          <w:numId w:val="0"/>
        </w:numPr>
        <w:kinsoku/>
        <w:wordWrap/>
        <w:overflowPunct/>
        <w:topLinePunct w:val="0"/>
        <w:bidi w:val="0"/>
        <w:spacing w:line="560" w:lineRule="exact"/>
        <w:ind w:left="80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1.质量保证和质量控制措施完善可行，得8-10分；</w:t>
      </w:r>
    </w:p>
    <w:p>
      <w:pPr>
        <w:pStyle w:val="5"/>
        <w:keepNext w:val="0"/>
        <w:keepLines w:val="0"/>
        <w:pageBreakBefore w:val="0"/>
        <w:widowControl w:val="0"/>
        <w:numPr>
          <w:ilvl w:val="0"/>
          <w:numId w:val="0"/>
        </w:numPr>
        <w:kinsoku/>
        <w:wordWrap/>
        <w:overflowPunct/>
        <w:topLinePunct w:val="0"/>
        <w:bidi w:val="0"/>
        <w:spacing w:line="560" w:lineRule="exact"/>
        <w:ind w:left="80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2.质量保证和质量控制措施较完善可行，得6-8分；</w:t>
      </w:r>
    </w:p>
    <w:p>
      <w:pPr>
        <w:pStyle w:val="5"/>
        <w:keepNext w:val="0"/>
        <w:keepLines w:val="0"/>
        <w:pageBreakBefore w:val="0"/>
        <w:widowControl w:val="0"/>
        <w:numPr>
          <w:ilvl w:val="0"/>
          <w:numId w:val="0"/>
        </w:numPr>
        <w:kinsoku/>
        <w:wordWrap/>
        <w:overflowPunct/>
        <w:topLinePunct w:val="0"/>
        <w:bidi w:val="0"/>
        <w:spacing w:line="560" w:lineRule="exact"/>
        <w:ind w:left="80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3.质量保证和质量控制措施一般，得4-6分；</w:t>
      </w:r>
    </w:p>
    <w:p>
      <w:pPr>
        <w:pStyle w:val="5"/>
        <w:keepNext w:val="0"/>
        <w:keepLines w:val="0"/>
        <w:pageBreakBefore w:val="0"/>
        <w:widowControl w:val="0"/>
        <w:numPr>
          <w:ilvl w:val="0"/>
          <w:numId w:val="0"/>
        </w:numPr>
        <w:kinsoku/>
        <w:wordWrap/>
        <w:overflowPunct/>
        <w:topLinePunct w:val="0"/>
        <w:bidi w:val="0"/>
        <w:spacing w:line="560" w:lineRule="exact"/>
        <w:ind w:left="80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4.未提供的，不得分。</w:t>
      </w:r>
    </w:p>
    <w:p>
      <w:pPr>
        <w:pStyle w:val="5"/>
        <w:keepNext w:val="0"/>
        <w:keepLines w:val="0"/>
        <w:pageBreakBefore w:val="0"/>
        <w:widowControl w:val="0"/>
        <w:numPr>
          <w:ilvl w:val="0"/>
          <w:numId w:val="0"/>
        </w:numPr>
        <w:kinsoku/>
        <w:wordWrap/>
        <w:overflowPunct/>
        <w:topLinePunct w:val="0"/>
        <w:bidi w:val="0"/>
        <w:spacing w:line="560" w:lineRule="exact"/>
        <w:ind w:left="800" w:leftChars="0"/>
        <w:textAlignment w:val="auto"/>
        <w:rPr>
          <w:rFonts w:hint="eastAsia" w:ascii="黑体" w:hAnsi="黑体" w:eastAsia="黑体" w:cs="黑体"/>
          <w:sz w:val="32"/>
          <w:szCs w:val="32"/>
          <w:lang w:val="en-US" w:eastAsia="zh-CN"/>
        </w:rPr>
      </w:pPr>
    </w:p>
    <w:p>
      <w:pPr>
        <w:pStyle w:val="5"/>
        <w:keepNext w:val="0"/>
        <w:keepLines w:val="0"/>
        <w:pageBreakBefore w:val="0"/>
        <w:widowControl w:val="0"/>
        <w:numPr>
          <w:ilvl w:val="0"/>
          <w:numId w:val="0"/>
        </w:numPr>
        <w:kinsoku/>
        <w:wordWrap/>
        <w:overflowPunct/>
        <w:topLinePunct w:val="0"/>
        <w:bidi w:val="0"/>
        <w:spacing w:line="560" w:lineRule="exact"/>
        <w:ind w:left="80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三、资质部分（20分）</w:t>
      </w:r>
    </w:p>
    <w:p>
      <w:pPr>
        <w:pStyle w:val="5"/>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基础得分：提交有效的工商营业执照复印件、法定代表人授权书、有效的检验检测机构资质认定证书（CMA）复印件（供应商受认定的检测项目必须包含水、气、声、土壤等常规环境类检测项目以及废气VOCs各项指标），得10分，否则作无效报价材料处理。</w:t>
      </w:r>
    </w:p>
    <w:p>
      <w:pPr>
        <w:pStyle w:val="5"/>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（二）检测能力得分（提供资质认定证书及相关附表复印件并加盖公章）：</w:t>
      </w:r>
    </w:p>
    <w:p>
      <w:pPr>
        <w:pStyle w:val="5"/>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1.供应商通过计量认证的环境类检测项目数≥500项，得10分； </w:t>
      </w:r>
    </w:p>
    <w:p>
      <w:pPr>
        <w:pStyle w:val="5"/>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2.400项≤供应商通过计量认证的环境类检测项目数＜500项，得8分；</w:t>
      </w:r>
    </w:p>
    <w:p>
      <w:pPr>
        <w:pStyle w:val="5"/>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3.200项≤供应商通过计量认证的环境类检测项目数＜400项，得6分；</w:t>
      </w:r>
    </w:p>
    <w:p>
      <w:pPr>
        <w:pStyle w:val="5"/>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4.0项≤供应商通过计量认证的环境类检测项目数＜200项，得4分。 </w:t>
      </w:r>
    </w:p>
    <w:p>
      <w:pPr>
        <w:pStyle w:val="5"/>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sz w:val="32"/>
          <w:szCs w:val="32"/>
          <w:lang w:eastAsia="zh-CN"/>
        </w:rPr>
      </w:pPr>
    </w:p>
    <w:p>
      <w:pPr>
        <w:pStyle w:val="5"/>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四、服务质量部分（</w:t>
      </w:r>
      <w:r>
        <w:rPr>
          <w:rFonts w:hint="eastAsia" w:ascii="黑体" w:hAnsi="黑体" w:eastAsia="黑体" w:cs="黑体"/>
          <w:sz w:val="32"/>
          <w:szCs w:val="32"/>
          <w:lang w:val="en-US" w:eastAsia="zh-CN"/>
        </w:rPr>
        <w:t>10分</w:t>
      </w:r>
      <w:r>
        <w:rPr>
          <w:rFonts w:hint="eastAsia" w:ascii="黑体" w:hAnsi="黑体" w:eastAsia="黑体" w:cs="黑体"/>
          <w:sz w:val="32"/>
          <w:szCs w:val="32"/>
          <w:lang w:eastAsia="zh-CN"/>
        </w:rPr>
        <w:t>）</w:t>
      </w:r>
    </w:p>
    <w:p>
      <w:pPr>
        <w:pStyle w:val="5"/>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服务质量为过往服务本单位时本单位对服务质量的评价，如过往未对本单位开展过服务，评分时，建议结合</w:t>
      </w:r>
      <w:r>
        <w:rPr>
          <w:rFonts w:hint="eastAsia" w:ascii="仿宋_GB2312" w:hAnsi="仿宋_GB2312" w:eastAsia="仿宋_GB2312" w:cs="仿宋_GB2312"/>
          <w:sz w:val="32"/>
          <w:szCs w:val="32"/>
          <w:lang w:val="en-US" w:eastAsia="zh-CN"/>
        </w:rPr>
        <w:t>报价材料中相关内容进行评分</w:t>
      </w:r>
      <w:r>
        <w:rPr>
          <w:rFonts w:hint="eastAsia" w:ascii="仿宋_GB2312" w:hAnsi="仿宋_GB2312" w:eastAsia="仿宋_GB2312" w:cs="仿宋_GB2312"/>
          <w:sz w:val="32"/>
          <w:szCs w:val="32"/>
          <w:lang w:eastAsia="zh-CN"/>
        </w:rPr>
        <w:t>：</w:t>
      </w:r>
    </w:p>
    <w:p>
      <w:pPr>
        <w:pStyle w:val="5"/>
        <w:keepNext w:val="0"/>
        <w:keepLines w:val="0"/>
        <w:pageBreakBefore w:val="0"/>
        <w:widowControl w:val="0"/>
        <w:kinsoku/>
        <w:wordWrap/>
        <w:overflowPunct/>
        <w:topLinePunct w:val="0"/>
        <w:bidi w:val="0"/>
        <w:spacing w:line="560" w:lineRule="exact"/>
        <w:ind w:left="0" w:leftChars="0"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（一）根据报价材料中的“过往服务质量评价”进行评分，分值6-10分。</w:t>
      </w:r>
    </w:p>
    <w:p>
      <w:pPr>
        <w:pStyle w:val="6"/>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（二）报价材料中未提供“过往服务质量评价”，一律评为5分。</w:t>
      </w:r>
    </w:p>
    <w:p>
      <w:pPr>
        <w:pStyle w:val="5"/>
        <w:keepNext w:val="0"/>
        <w:keepLines w:val="0"/>
        <w:pageBreakBefore w:val="0"/>
        <w:widowControl w:val="0"/>
        <w:numPr>
          <w:ilvl w:val="0"/>
          <w:numId w:val="0"/>
        </w:numPr>
        <w:kinsoku/>
        <w:wordWrap/>
        <w:overflowPunct/>
        <w:topLinePunct w:val="0"/>
        <w:bidi w:val="0"/>
        <w:spacing w:line="560" w:lineRule="exact"/>
        <w:ind w:leftChars="200"/>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五、社会信誉部分（</w:t>
      </w:r>
      <w:r>
        <w:rPr>
          <w:rFonts w:hint="eastAsia" w:ascii="黑体" w:hAnsi="黑体" w:eastAsia="黑体" w:cs="黑体"/>
          <w:sz w:val="32"/>
          <w:szCs w:val="32"/>
          <w:lang w:val="en-US" w:eastAsia="zh-CN"/>
        </w:rPr>
        <w:t>10分</w:t>
      </w:r>
      <w:r>
        <w:rPr>
          <w:rFonts w:hint="eastAsia" w:ascii="黑体" w:hAnsi="黑体" w:eastAsia="黑体" w:cs="黑体"/>
          <w:sz w:val="32"/>
          <w:szCs w:val="32"/>
          <w:lang w:eastAsia="zh-CN"/>
        </w:rPr>
        <w:t>）</w:t>
      </w:r>
    </w:p>
    <w:p>
      <w:pPr>
        <w:pStyle w:val="5"/>
        <w:keepNext w:val="0"/>
        <w:keepLines w:val="0"/>
        <w:pageBreakBefore w:val="0"/>
        <w:widowControl w:val="0"/>
        <w:kinsoku/>
        <w:wordWrap/>
        <w:overflowPunct/>
        <w:topLinePunct w:val="0"/>
        <w:bidi w:val="0"/>
        <w:spacing w:line="560" w:lineRule="exact"/>
        <w:ind w:left="0" w:leftChars="0" w:firstLine="48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仿宋_GB2312" w:hAnsi="仿宋_GB2312" w:eastAsia="仿宋_GB2312" w:cs="仿宋_GB2312"/>
          <w:sz w:val="32"/>
          <w:szCs w:val="32"/>
          <w:lang w:val="en-US" w:eastAsia="zh-CN"/>
        </w:rPr>
        <w:t>。须提供上述网站2023年3月20日后的查询截图，否则作无效报价材料处理。</w:t>
      </w:r>
    </w:p>
    <w:p>
      <w:pPr>
        <w:pStyle w:val="5"/>
        <w:keepNext w:val="0"/>
        <w:keepLines w:val="0"/>
        <w:pageBreakBefore w:val="0"/>
        <w:widowControl w:val="0"/>
        <w:kinsoku/>
        <w:wordWrap/>
        <w:overflowPunct/>
        <w:topLinePunct w:val="0"/>
        <w:bidi w:val="0"/>
        <w:spacing w:line="560" w:lineRule="exact"/>
        <w:ind w:left="0" w:leftChars="0"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（一）根据报价材料中的“社会信誉情况”进行评分，分值6-10分。</w:t>
      </w:r>
    </w:p>
    <w:p>
      <w:pPr>
        <w:pStyle w:val="5"/>
        <w:keepNext w:val="0"/>
        <w:keepLines w:val="0"/>
        <w:pageBreakBefore w:val="0"/>
        <w:widowControl w:val="0"/>
        <w:kinsoku/>
        <w:wordWrap/>
        <w:overflowPunct/>
        <w:topLinePunct w:val="0"/>
        <w:bidi w:val="0"/>
        <w:spacing w:line="560" w:lineRule="exact"/>
        <w:ind w:left="0" w:leftChars="0"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（二）报价材料中未提供“社会信誉情况”，一律评为5分。</w:t>
      </w:r>
    </w:p>
    <w:p>
      <w:pPr>
        <w:rPr>
          <w:rFonts w:hint="eastAsia" w:ascii="仿宋_GB2312" w:hAnsi="仿宋_GB2312" w:eastAsia="仿宋_GB2312" w:cs="仿宋_GB2312"/>
          <w:sz w:val="32"/>
          <w:szCs w:val="32"/>
          <w:lang w:val="en-US" w:eastAsia="zh-CN"/>
        </w:rPr>
      </w:pPr>
    </w:p>
    <w:p>
      <w:pPr>
        <w:pStyle w:val="6"/>
        <w:ind w:left="0" w:leftChars="0" w:firstLine="640" w:firstLineChars="200"/>
        <w:rPr>
          <w:rFonts w:hint="eastAsia" w:ascii="黑体" w:hAnsi="黑体" w:eastAsia="黑体" w:cs="黑体"/>
          <w:sz w:val="32"/>
          <w:szCs w:val="32"/>
          <w:u w:val="single"/>
          <w:lang w:val="en-US" w:eastAsia="zh-CN"/>
        </w:rPr>
      </w:pPr>
      <w:r>
        <w:rPr>
          <w:rFonts w:hint="eastAsia" w:ascii="黑体" w:hAnsi="黑体" w:eastAsia="黑体" w:cs="黑体"/>
          <w:sz w:val="32"/>
          <w:szCs w:val="32"/>
          <w:u w:val="single"/>
          <w:lang w:val="en-US" w:eastAsia="zh-CN"/>
        </w:rPr>
        <w:t>注：上述“二、服务方案部分”“三、资质部分”“四、服务质量部分”“五、社会信誉部分”等各项评分所得分值精确到个位。</w:t>
      </w:r>
    </w:p>
    <w:p/>
    <w:sectPr>
      <w:headerReference r:id="rId5" w:type="first"/>
      <w:footerReference r:id="rId8" w:type="first"/>
      <w:headerReference r:id="rId3" w:type="default"/>
      <w:footerReference r:id="rId6" w:type="default"/>
      <w:headerReference r:id="rId4" w:type="even"/>
      <w:footerReference r:id="rId7" w:type="even"/>
      <w:pgSz w:w="11906" w:h="16838"/>
      <w:pgMar w:top="198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55A088"/>
    <w:multiLevelType w:val="singleLevel"/>
    <w:tmpl w:val="C155A088"/>
    <w:lvl w:ilvl="0" w:tentative="0">
      <w:start w:val="1"/>
      <w:numFmt w:val="chineseCounting"/>
      <w:pStyle w:val="4"/>
      <w:suff w:val="nothing"/>
      <w:lvlText w:val="%1、"/>
      <w:lvlJc w:val="left"/>
      <w:pPr>
        <w:ind w:left="0" w:firstLine="420"/>
      </w:pPr>
      <w:rPr>
        <w:rFonts w:hint="eastAsia"/>
      </w:rPr>
    </w:lvl>
  </w:abstractNum>
  <w:abstractNum w:abstractNumId="1">
    <w:nsid w:val="7FC17324"/>
    <w:multiLevelType w:val="multilevel"/>
    <w:tmpl w:val="7FC17324"/>
    <w:lvl w:ilvl="0" w:tentative="0">
      <w:start w:val="1"/>
      <w:numFmt w:val="decimal"/>
      <w:pStyle w:val="2"/>
      <w:lvlText w:val="%1、"/>
      <w:lvlJc w:val="left"/>
      <w:pPr>
        <w:ind w:left="1022" w:hanging="420"/>
      </w:pPr>
      <w:rPr>
        <w:rFonts w:hint="eastAsia"/>
      </w:rPr>
    </w:lvl>
    <w:lvl w:ilvl="1" w:tentative="0">
      <w:start w:val="1"/>
      <w:numFmt w:val="lowerLetter"/>
      <w:lvlText w:val="%2)"/>
      <w:lvlJc w:val="left"/>
      <w:pPr>
        <w:ind w:left="1442" w:hanging="420"/>
      </w:pPr>
      <w:rPr>
        <w:rFonts w:hint="eastAsia"/>
      </w:rPr>
    </w:lvl>
    <w:lvl w:ilvl="2" w:tentative="0">
      <w:start w:val="1"/>
      <w:numFmt w:val="lowerRoman"/>
      <w:lvlText w:val="%3."/>
      <w:lvlJc w:val="right"/>
      <w:pPr>
        <w:ind w:left="1862" w:hanging="420"/>
      </w:pPr>
      <w:rPr>
        <w:rFonts w:hint="eastAsia"/>
      </w:rPr>
    </w:lvl>
    <w:lvl w:ilvl="3" w:tentative="0">
      <w:start w:val="1"/>
      <w:numFmt w:val="decimal"/>
      <w:lvlText w:val="%4."/>
      <w:lvlJc w:val="left"/>
      <w:pPr>
        <w:ind w:left="2282" w:hanging="420"/>
      </w:pPr>
      <w:rPr>
        <w:rFonts w:hint="eastAsia"/>
      </w:rPr>
    </w:lvl>
    <w:lvl w:ilvl="4" w:tentative="0">
      <w:start w:val="1"/>
      <w:numFmt w:val="lowerLetter"/>
      <w:lvlText w:val="%5)"/>
      <w:lvlJc w:val="left"/>
      <w:pPr>
        <w:ind w:left="2702" w:hanging="420"/>
      </w:pPr>
      <w:rPr>
        <w:rFonts w:hint="eastAsia"/>
      </w:rPr>
    </w:lvl>
    <w:lvl w:ilvl="5" w:tentative="0">
      <w:start w:val="1"/>
      <w:numFmt w:val="lowerRoman"/>
      <w:lvlText w:val="%6."/>
      <w:lvlJc w:val="right"/>
      <w:pPr>
        <w:ind w:left="3122" w:hanging="420"/>
      </w:pPr>
      <w:rPr>
        <w:rFonts w:hint="eastAsia"/>
      </w:rPr>
    </w:lvl>
    <w:lvl w:ilvl="6" w:tentative="0">
      <w:start w:val="1"/>
      <w:numFmt w:val="decimal"/>
      <w:lvlText w:val="%7."/>
      <w:lvlJc w:val="left"/>
      <w:pPr>
        <w:ind w:left="3542" w:hanging="420"/>
      </w:pPr>
      <w:rPr>
        <w:rFonts w:hint="eastAsia"/>
      </w:rPr>
    </w:lvl>
    <w:lvl w:ilvl="7" w:tentative="0">
      <w:start w:val="1"/>
      <w:numFmt w:val="lowerLetter"/>
      <w:lvlText w:val="%8)"/>
      <w:lvlJc w:val="left"/>
      <w:pPr>
        <w:ind w:left="3962" w:hanging="420"/>
      </w:pPr>
      <w:rPr>
        <w:rFonts w:hint="eastAsia"/>
      </w:rPr>
    </w:lvl>
    <w:lvl w:ilvl="8" w:tentative="0">
      <w:start w:val="1"/>
      <w:numFmt w:val="lowerRoman"/>
      <w:lvlText w:val="%9."/>
      <w:lvlJc w:val="right"/>
      <w:pPr>
        <w:ind w:left="4382"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AD35B3"/>
    <w:rsid w:val="0955642F"/>
    <w:rsid w:val="13F40D93"/>
    <w:rsid w:val="1E892421"/>
    <w:rsid w:val="22257285"/>
    <w:rsid w:val="27271292"/>
    <w:rsid w:val="28FB5255"/>
    <w:rsid w:val="2A3F3615"/>
    <w:rsid w:val="37634120"/>
    <w:rsid w:val="38982DC2"/>
    <w:rsid w:val="39D7241F"/>
    <w:rsid w:val="40E75BD3"/>
    <w:rsid w:val="42662211"/>
    <w:rsid w:val="44C73ACB"/>
    <w:rsid w:val="57AD35B3"/>
    <w:rsid w:val="643E1BB4"/>
    <w:rsid w:val="6A6B0A84"/>
    <w:rsid w:val="6E3F27A2"/>
    <w:rsid w:val="72AA4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3">
    <w:name w:val="heading 1"/>
    <w:basedOn w:val="1"/>
    <w:next w:val="1"/>
    <w:qFormat/>
    <w:uiPriority w:val="0"/>
    <w:pPr>
      <w:keepNext/>
      <w:keepLines/>
      <w:spacing w:beforeLines="0" w:afterLines="0" w:line="240" w:lineRule="auto"/>
      <w:ind w:left="0" w:hanging="432"/>
      <w:jc w:val="center"/>
      <w:outlineLvl w:val="0"/>
    </w:pPr>
    <w:rPr>
      <w:rFonts w:ascii="Times New Roman" w:hAnsi="Times New Roman" w:eastAsia="方正小标宋简体"/>
      <w:kern w:val="44"/>
      <w:sz w:val="44"/>
    </w:rPr>
  </w:style>
  <w:style w:type="paragraph" w:styleId="4">
    <w:name w:val="heading 2"/>
    <w:basedOn w:val="1"/>
    <w:next w:val="1"/>
    <w:semiHidden/>
    <w:unhideWhenUsed/>
    <w:qFormat/>
    <w:uiPriority w:val="0"/>
    <w:pPr>
      <w:keepNext/>
      <w:keepLines/>
      <w:numPr>
        <w:ilvl w:val="0"/>
        <w:numId w:val="1"/>
      </w:numPr>
      <w:outlineLvl w:val="1"/>
    </w:pPr>
    <w:rPr>
      <w:b/>
    </w:rPr>
  </w:style>
  <w:style w:type="paragraph" w:styleId="2">
    <w:name w:val="heading 3"/>
    <w:basedOn w:val="1"/>
    <w:next w:val="1"/>
    <w:qFormat/>
    <w:uiPriority w:val="9"/>
    <w:pPr>
      <w:keepNext/>
      <w:keepLines/>
      <w:numPr>
        <w:ilvl w:val="0"/>
        <w:numId w:val="2"/>
      </w:numPr>
      <w:outlineLvl w:val="2"/>
    </w:pPr>
    <w:rPr>
      <w:rFonts w:eastAsia="楷体_GB2312"/>
      <w:b/>
      <w:bCs/>
      <w:kern w:val="0"/>
      <w:szCs w:val="32"/>
    </w:rPr>
  </w:style>
  <w:style w:type="character" w:default="1" w:styleId="10">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5">
    <w:name w:val="table of authorities"/>
    <w:basedOn w:val="1"/>
    <w:next w:val="1"/>
    <w:qFormat/>
    <w:uiPriority w:val="0"/>
    <w:pPr>
      <w:ind w:left="420" w:leftChars="200"/>
    </w:pPr>
  </w:style>
  <w:style w:type="paragraph" w:styleId="6">
    <w:name w:val="Body Text"/>
    <w:basedOn w:val="1"/>
    <w:next w:val="7"/>
    <w:unhideWhenUsed/>
    <w:qFormat/>
    <w:uiPriority w:val="99"/>
    <w:pPr>
      <w:spacing w:after="120"/>
    </w:pPr>
  </w:style>
  <w:style w:type="paragraph" w:styleId="7">
    <w:name w:val="Body Text Indent"/>
    <w:basedOn w:val="1"/>
    <w:next w:val="1"/>
    <w:semiHidden/>
    <w:unhideWhenUsed/>
    <w:qFormat/>
    <w:uiPriority w:val="0"/>
    <w:pPr>
      <w:spacing w:after="120"/>
      <w:ind w:left="420" w:leftChars="2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3">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2023-03-03T07:46:00Z</dcterms:created>
  <dc:creator>成玉菲</dc:creator>
  <cp:lastModifiedBy>成玉菲</cp:lastModifiedBy>
  <cp:lastPrinted>2023-03-06T03:16:00Z</cp:lastPrinted>
  <dcterms:modified xsi:type="dcterms:W3CDTF">2023-03-22T08:30:57Z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