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32" w:firstLineChars="200"/>
        <w:jc w:val="right"/>
        <w:textAlignment w:val="auto"/>
        <w:outlineLvl w:val="9"/>
        <w:rPr>
          <w:rFonts w:hint="eastAsia" w:eastAsia="仿宋_GB2312"/>
          <w:sz w:val="32"/>
          <w:szCs w:val="32"/>
          <w:lang w:val="en-US" w:eastAsia="zh-CN"/>
        </w:rPr>
      </w:pPr>
    </w:p>
    <w:p>
      <w:pPr>
        <w:pStyle w:val="14"/>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32" w:firstLineChars="200"/>
        <w:jc w:val="right"/>
        <w:textAlignment w:val="auto"/>
        <w:outlineLvl w:val="9"/>
        <w:rPr>
          <w:rFonts w:hint="eastAsia" w:eastAsia="仿宋_GB2312"/>
          <w:sz w:val="32"/>
          <w:szCs w:val="32"/>
          <w:lang w:val="en-US" w:eastAsia="zh-CN"/>
        </w:rPr>
      </w:pPr>
    </w:p>
    <w:p>
      <w:pPr>
        <w:pStyle w:val="14"/>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32" w:firstLineChars="200"/>
        <w:jc w:val="right"/>
        <w:textAlignment w:val="auto"/>
        <w:outlineLvl w:val="9"/>
        <w:rPr>
          <w:rFonts w:hint="default" w:eastAsia="仿宋_GB2312"/>
          <w:sz w:val="32"/>
          <w:szCs w:val="32"/>
          <w:lang w:val="en-US" w:eastAsia="zh-CN"/>
        </w:rPr>
      </w:pPr>
      <w:r>
        <w:rPr>
          <w:rFonts w:hint="eastAsia"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u w:val="none" w:color="auto"/>
          <w:lang w:val="en-US" w:eastAsia="zh-CN"/>
        </w:rPr>
      </w:pPr>
      <w:r>
        <w:rPr>
          <w:rFonts w:hint="eastAsia" w:ascii="方正小标宋简体" w:hAnsi="方正小标宋简体" w:eastAsia="方正小标宋简体" w:cs="方正小标宋简体"/>
          <w:b w:val="0"/>
          <w:bCs/>
          <w:i w:val="0"/>
          <w:caps w:val="0"/>
          <w:color w:val="auto"/>
          <w:spacing w:val="0"/>
          <w:sz w:val="44"/>
          <w:szCs w:val="44"/>
          <w:u w:val="none" w:color="auto"/>
          <w:lang w:val="en-US" w:eastAsia="zh-CN"/>
        </w:rPr>
        <w:t>韶关市人民政府办公室2021年</w:t>
      </w:r>
    </w:p>
    <w:p>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outlineLvl w:val="9"/>
        <w:rPr>
          <w:rFonts w:hint="eastAsia" w:ascii="方正小标宋简体" w:hAnsi="方正小标宋简体" w:eastAsia="方正小标宋简体" w:cs="方正小标宋简体"/>
          <w:b w:val="0"/>
          <w:bCs/>
          <w:sz w:val="32"/>
          <w:szCs w:val="32"/>
          <w:u w:val="none" w:color="auto"/>
          <w:lang w:eastAsia="zh-CN"/>
        </w:rPr>
      </w:pPr>
      <w:r>
        <w:rPr>
          <w:rFonts w:hint="eastAsia" w:ascii="方正小标宋简体" w:hAnsi="方正小标宋简体" w:eastAsia="方正小标宋简体" w:cs="方正小标宋简体"/>
          <w:b w:val="0"/>
          <w:bCs/>
          <w:i w:val="0"/>
          <w:caps w:val="0"/>
          <w:color w:val="auto"/>
          <w:spacing w:val="0"/>
          <w:sz w:val="44"/>
          <w:szCs w:val="44"/>
          <w:u w:val="none" w:color="auto"/>
          <w:lang w:val="en-US" w:eastAsia="zh-CN"/>
        </w:rPr>
        <w:t>法治政府建设年度报告</w:t>
      </w:r>
    </w:p>
    <w:p>
      <w:pPr>
        <w:keepNext w:val="0"/>
        <w:keepLines w:val="0"/>
        <w:pageBreakBefore w:val="0"/>
        <w:widowControl w:val="0"/>
        <w:kinsoku/>
        <w:wordWrap/>
        <w:overflowPunct/>
        <w:topLinePunct w:val="0"/>
        <w:autoSpaceDE/>
        <w:autoSpaceDN/>
        <w:bidi w:val="0"/>
        <w:adjustRightInd/>
        <w:snapToGrid/>
        <w:spacing w:after="0" w:afterLines="0" w:line="600" w:lineRule="exact"/>
        <w:jc w:val="both"/>
        <w:textAlignment w:val="auto"/>
        <w:rPr>
          <w:rFonts w:hint="eastAsia" w:ascii="楷体_GB2312" w:hAnsi="楷体_GB2312" w:eastAsia="楷体_GB2312" w:cs="楷体_GB2312"/>
          <w:b w:val="0"/>
          <w:bCs/>
          <w:sz w:val="32"/>
          <w:szCs w:val="32"/>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firstLine="632" w:firstLineChars="200"/>
        <w:jc w:val="both"/>
        <w:textAlignment w:val="auto"/>
        <w:outlineLvl w:val="9"/>
        <w:rPr>
          <w:rFonts w:hint="eastAsia" w:ascii="仿宋_GB2312" w:hAnsi="Calibri" w:eastAsia="仿宋_GB2312" w:cs="黑体"/>
          <w:sz w:val="32"/>
          <w:szCs w:val="32"/>
          <w:lang w:val="en-US" w:eastAsia="zh-CN"/>
        </w:rPr>
      </w:pPr>
      <w:r>
        <w:rPr>
          <w:rFonts w:hint="eastAsia" w:ascii="仿宋_GB2312" w:hAnsi="Calibri" w:eastAsia="仿宋_GB2312" w:cs="黑体"/>
          <w:sz w:val="32"/>
          <w:szCs w:val="32"/>
          <w:lang w:val="en-US" w:eastAsia="zh-CN"/>
        </w:rPr>
        <w:t>今年以来，在市委、市政府的坚强领导下，我办坚持以习近平新时代中国特色社会主义思想为指导，深入学习贯彻落实习近平总书记关于全面依法治国的重要论述精神，认真落实市委、市政府关于法治政府建设的各项工作部署，聚焦参谋辅政、中枢协调主业，切实提高政治站位，强化法治思维，提升业务能力，全力在推动法治政府建设中贡献力量。现将有关情况报告如下：</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32"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一、2021年度法治政府建设工作开展情况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32"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深入学习贯彻习近平法治思想，全面增强法治思维。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kern w:val="2"/>
          <w:sz w:val="32"/>
          <w:szCs w:val="32"/>
          <w:lang w:val="en-US" w:eastAsia="zh-CN" w:bidi="zh-CN"/>
        </w:rPr>
      </w:pPr>
      <w:r>
        <w:rPr>
          <w:rFonts w:hint="eastAsia" w:ascii="仿宋_GB2312" w:hAnsi="仿宋_GB2312" w:eastAsia="仿宋_GB2312" w:cs="仿宋_GB2312"/>
          <w:sz w:val="32"/>
          <w:szCs w:val="32"/>
          <w:lang w:val="en-US" w:eastAsia="zh-CN"/>
        </w:rPr>
        <w:t>1.</w:t>
      </w:r>
      <w:r>
        <w:rPr>
          <w:rFonts w:hint="eastAsia" w:ascii="Times New Roman" w:hAnsi="Times New Roman" w:eastAsia="仿宋_GB2312" w:cs="方正楷体_GB2312"/>
          <w:sz w:val="32"/>
          <w:szCs w:val="32"/>
          <w:lang w:val="en-US" w:eastAsia="zh-CN"/>
        </w:rPr>
        <w:t>学好“第一议题”，树牢法治意识。</w:t>
      </w:r>
      <w:r>
        <w:rPr>
          <w:rFonts w:hint="eastAsia" w:ascii="Times New Roman" w:hAnsi="Times New Roman" w:eastAsia="仿宋_GB2312" w:cs="方正仿宋_GB2312"/>
          <w:color w:val="181717" w:themeColor="background2" w:themeShade="1A"/>
          <w:sz w:val="32"/>
          <w:szCs w:val="32"/>
          <w:lang w:val="en-US" w:eastAsia="zh-CN"/>
        </w:rPr>
        <w:t>我</w:t>
      </w:r>
      <w:r>
        <w:rPr>
          <w:rFonts w:hint="eastAsia" w:ascii="仿宋_GB2312" w:hAnsi="仿宋_GB2312" w:eastAsia="仿宋_GB2312" w:cs="仿宋_GB2312"/>
          <w:b w:val="0"/>
          <w:kern w:val="2"/>
          <w:sz w:val="32"/>
          <w:szCs w:val="32"/>
          <w:lang w:val="en-US" w:eastAsia="zh-CN" w:bidi="zh-CN"/>
        </w:rPr>
        <w:t>办始终把党的政治建设摆在首位，积极发挥党组在推进法治建设中的领导核心作用，依托党组理论学习中心组、“双周讲坛”等，深化“第一议题”学习制度，持之以恒抓好习近平新时代中国特色社会主义思想尤其是习近平法治思想的学习贯彻落实，多次组织学习习近平法治思想、《中华人民共和国</w:t>
      </w:r>
      <w:bookmarkStart w:id="0" w:name="_GoBack"/>
      <w:r>
        <w:rPr>
          <w:rFonts w:hint="eastAsia" w:ascii="仿宋_GB2312" w:hAnsi="仿宋_GB2312" w:eastAsia="仿宋_GB2312" w:cs="仿宋_GB2312"/>
          <w:b w:val="0"/>
          <w:kern w:val="2"/>
          <w:sz w:val="32"/>
          <w:szCs w:val="32"/>
          <w:lang w:val="en-US" w:eastAsia="zh-CN" w:bidi="zh-CN"/>
        </w:rPr>
        <w:t>宪法</w:t>
      </w:r>
      <w:bookmarkEnd w:id="0"/>
      <w:r>
        <w:rPr>
          <w:rFonts w:hint="eastAsia" w:ascii="仿宋_GB2312" w:hAnsi="仿宋_GB2312" w:eastAsia="仿宋_GB2312" w:cs="仿宋_GB2312"/>
          <w:b w:val="0"/>
          <w:kern w:val="2"/>
          <w:sz w:val="32"/>
          <w:szCs w:val="32"/>
          <w:lang w:val="en-US" w:eastAsia="zh-CN" w:bidi="zh-CN"/>
        </w:rPr>
        <w:t>》《民法典》和各专项法律法规，有力推动领导班子和党员干部以法治方式深化改革、推动工作。一年来，共组织召开市政府党组理论学习中心组会议12次，市政府机关党组理论学习中心组会议26场次，学习贯彻《中国共产党组织工作条例》《中国共产党纪律处分条例》等法律法规，进一步强化领导干部依法行政意识、按规</w:t>
      </w:r>
      <w:r>
        <w:rPr>
          <w:rFonts w:hint="eastAsia" w:ascii="仿宋_GB2312" w:hAnsi="仿宋_GB2312" w:cs="仿宋_GB2312"/>
          <w:b w:val="0"/>
          <w:kern w:val="2"/>
          <w:sz w:val="32"/>
          <w:szCs w:val="32"/>
          <w:lang w:val="en-US" w:eastAsia="zh-CN" w:bidi="zh-CN"/>
        </w:rPr>
        <w:t>办事</w:t>
      </w:r>
      <w:r>
        <w:rPr>
          <w:rFonts w:hint="eastAsia" w:ascii="仿宋_GB2312" w:hAnsi="仿宋_GB2312" w:eastAsia="仿宋_GB2312" w:cs="仿宋_GB2312"/>
          <w:b w:val="0"/>
          <w:kern w:val="2"/>
          <w:sz w:val="32"/>
          <w:szCs w:val="32"/>
          <w:lang w:val="en-US" w:eastAsia="zh-CN" w:bidi="zh-CN"/>
        </w:rPr>
        <w:t>能力。</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仿宋_GB2312" w:cs="方正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sz w:val="32"/>
          <w:szCs w:val="32"/>
          <w:lang w:val="en-US" w:eastAsia="zh-CN"/>
        </w:rPr>
        <w:t>2.务实担当在前，落实本职本责。</w:t>
      </w:r>
      <w:r>
        <w:rPr>
          <w:rFonts w:hint="eastAsia" w:ascii="Times New Roman" w:hAnsi="Times New Roman" w:eastAsia="仿宋_GB2312" w:cs="方正仿宋_GB2312"/>
          <w:color w:val="0D0D0D" w:themeColor="text1" w:themeTint="F2"/>
          <w:sz w:val="32"/>
          <w:szCs w:val="32"/>
          <w:lang w:val="en-US" w:eastAsia="zh-CN"/>
          <w14:textFill>
            <w14:solidFill>
              <w14:schemeClr w14:val="tx1">
                <w14:lumMod w14:val="95000"/>
                <w14:lumOff w14:val="5000"/>
              </w14:schemeClr>
            </w14:solidFill>
          </w14:textFill>
        </w:rPr>
        <w:t>市政府机关党组书记切实履行推进法治建设第一责任人职责，认真贯彻《韶关市2021年全面依法治市工作要点》《法治韶关建设规划（2021-2025年）》《法治政府建设实施纲要（2021-2025年）》，深入落实推进依法治市主要职责，</w:t>
      </w:r>
      <w:r>
        <w:rPr>
          <w:rFonts w:hint="eastAsia" w:ascii="Times New Roman" w:hAnsi="Times New Roman" w:eastAsia="仿宋_GB2312" w:cs="方正楷体_GB2312"/>
          <w:sz w:val="32"/>
          <w:szCs w:val="32"/>
          <w:lang w:val="en-US" w:eastAsia="zh-CN"/>
        </w:rPr>
        <w:t>定期听取法治</w:t>
      </w:r>
      <w:r>
        <w:rPr>
          <w:rFonts w:hint="eastAsia" w:cs="方正楷体_GB2312"/>
          <w:sz w:val="32"/>
          <w:szCs w:val="32"/>
          <w:lang w:val="en-US" w:eastAsia="zh-CN"/>
        </w:rPr>
        <w:t>政府</w:t>
      </w:r>
      <w:r>
        <w:rPr>
          <w:rFonts w:hint="eastAsia" w:ascii="Times New Roman" w:hAnsi="Times New Roman" w:eastAsia="仿宋_GB2312" w:cs="方正楷体_GB2312"/>
          <w:sz w:val="32"/>
          <w:szCs w:val="32"/>
          <w:lang w:val="en-US" w:eastAsia="zh-CN"/>
        </w:rPr>
        <w:t>建设有关工作汇报，及时研究解决有关重大问题，规范办公室内部管理，不折不扣将全市法治政府建设重点工作安排落实到位。坚持</w:t>
      </w:r>
      <w:r>
        <w:rPr>
          <w:rFonts w:hint="eastAsia" w:ascii="Times New Roman" w:hAnsi="Times New Roman" w:eastAsia="仿宋_GB2312" w:cs="方正仿宋_GB2312"/>
          <w:color w:val="0D0D0D" w:themeColor="text1" w:themeTint="F2"/>
          <w:sz w:val="32"/>
          <w:szCs w:val="32"/>
          <w:lang w:val="en-US" w:eastAsia="zh-CN"/>
          <w14:textFill>
            <w14:solidFill>
              <w14:schemeClr w14:val="tx1">
                <w14:lumMod w14:val="95000"/>
                <w14:lumOff w14:val="5000"/>
              </w14:schemeClr>
            </w14:solidFill>
          </w14:textFill>
        </w:rPr>
        <w:t>法治</w:t>
      </w:r>
      <w:r>
        <w:rPr>
          <w:rFonts w:hint="eastAsia" w:cs="方正仿宋_GB2312"/>
          <w:color w:val="0D0D0D" w:themeColor="text1" w:themeTint="F2"/>
          <w:sz w:val="32"/>
          <w:szCs w:val="32"/>
          <w:lang w:val="en-US" w:eastAsia="zh-CN"/>
          <w14:textFill>
            <w14:solidFill>
              <w14:schemeClr w14:val="tx1">
                <w14:lumMod w14:val="95000"/>
                <w14:lumOff w14:val="5000"/>
              </w14:schemeClr>
            </w14:solidFill>
          </w14:textFill>
        </w:rPr>
        <w:t>政府</w:t>
      </w:r>
      <w:r>
        <w:rPr>
          <w:rFonts w:hint="eastAsia" w:ascii="Times New Roman" w:hAnsi="Times New Roman" w:eastAsia="仿宋_GB2312" w:cs="方正仿宋_GB2312"/>
          <w:color w:val="0D0D0D" w:themeColor="text1" w:themeTint="F2"/>
          <w:sz w:val="32"/>
          <w:szCs w:val="32"/>
          <w:lang w:val="en-US" w:eastAsia="zh-CN"/>
          <w14:textFill>
            <w14:solidFill>
              <w14:schemeClr w14:val="tx1">
                <w14:lumMod w14:val="95000"/>
                <w14:lumOff w14:val="5000"/>
              </w14:schemeClr>
            </w14:solidFill>
          </w14:textFill>
        </w:rPr>
        <w:t>建设与市政府办公室工作紧密结合、一体推进，统筹办公室班子成员和各科室年终做好法治</w:t>
      </w:r>
      <w:r>
        <w:rPr>
          <w:rFonts w:hint="eastAsia" w:cs="方正仿宋_GB2312"/>
          <w:color w:val="0D0D0D" w:themeColor="text1" w:themeTint="F2"/>
          <w:sz w:val="32"/>
          <w:szCs w:val="32"/>
          <w:lang w:val="en-US" w:eastAsia="zh-CN"/>
          <w14:textFill>
            <w14:solidFill>
              <w14:schemeClr w14:val="tx1">
                <w14:lumMod w14:val="95000"/>
                <w14:lumOff w14:val="5000"/>
              </w14:schemeClr>
            </w14:solidFill>
          </w14:textFill>
        </w:rPr>
        <w:t>政府</w:t>
      </w:r>
      <w:r>
        <w:rPr>
          <w:rFonts w:hint="eastAsia" w:ascii="Times New Roman" w:hAnsi="Times New Roman" w:eastAsia="仿宋_GB2312" w:cs="方正仿宋_GB2312"/>
          <w:color w:val="0D0D0D" w:themeColor="text1" w:themeTint="F2"/>
          <w:sz w:val="32"/>
          <w:szCs w:val="32"/>
          <w:lang w:val="en-US" w:eastAsia="zh-CN"/>
          <w14:textFill>
            <w14:solidFill>
              <w14:schemeClr w14:val="tx1">
                <w14:lumMod w14:val="95000"/>
                <w14:lumOff w14:val="5000"/>
              </w14:schemeClr>
            </w14:solidFill>
          </w14:textFill>
        </w:rPr>
        <w:t>建设和依法行政述职工作，并将其作为年度评先评优的重要依据，引导全办干部运用法治思维和法治方式深化改革、破解难题、推动工作、促进发展。同时，立足“中枢”作用，积极服务市政府领导协调支持政府部门、</w:t>
      </w:r>
      <w:r>
        <w:rPr>
          <w:rFonts w:hint="eastAsia" w:cs="方正仿宋_GB2312"/>
          <w:color w:val="0D0D0D" w:themeColor="text1" w:themeTint="F2"/>
          <w:sz w:val="32"/>
          <w:szCs w:val="32"/>
          <w:lang w:val="en-US" w:eastAsia="zh-CN"/>
          <w14:textFill>
            <w14:solidFill>
              <w14:schemeClr w14:val="tx1">
                <w14:lumMod w14:val="95000"/>
                <w14:lumOff w14:val="5000"/>
              </w14:schemeClr>
            </w14:solidFill>
          </w14:textFill>
        </w:rPr>
        <w:t>人大、</w:t>
      </w:r>
      <w:r>
        <w:rPr>
          <w:rFonts w:hint="eastAsia" w:ascii="Times New Roman" w:hAnsi="Times New Roman" w:eastAsia="仿宋_GB2312" w:cs="方正仿宋_GB2312"/>
          <w:color w:val="0D0D0D" w:themeColor="text1" w:themeTint="F2"/>
          <w:sz w:val="32"/>
          <w:szCs w:val="32"/>
          <w:lang w:val="en-US" w:eastAsia="zh-CN"/>
          <w14:textFill>
            <w14:solidFill>
              <w14:schemeClr w14:val="tx1">
                <w14:lumMod w14:val="95000"/>
                <w14:lumOff w14:val="5000"/>
              </w14:schemeClr>
            </w14:solidFill>
          </w14:textFill>
        </w:rPr>
        <w:t>政协、法院、检察院依法依章程履行职能、开展工作，有力推动市政府</w:t>
      </w:r>
      <w:r>
        <w:rPr>
          <w:rFonts w:hint="eastAsia" w:cs="方正仿宋_GB2312"/>
          <w:color w:val="0D0D0D" w:themeColor="text1" w:themeTint="F2"/>
          <w:sz w:val="32"/>
          <w:szCs w:val="32"/>
          <w:lang w:val="en-US" w:eastAsia="zh-CN"/>
          <w14:textFill>
            <w14:solidFill>
              <w14:schemeClr w14:val="tx1">
                <w14:lumMod w14:val="95000"/>
                <w14:lumOff w14:val="5000"/>
              </w14:schemeClr>
            </w14:solidFill>
          </w14:textFill>
        </w:rPr>
        <w:t>办公室</w:t>
      </w:r>
      <w:r>
        <w:rPr>
          <w:rFonts w:hint="eastAsia" w:ascii="Times New Roman" w:hAnsi="Times New Roman" w:eastAsia="仿宋_GB2312" w:cs="方正仿宋_GB2312"/>
          <w:color w:val="0D0D0D" w:themeColor="text1" w:themeTint="F2"/>
          <w:sz w:val="32"/>
          <w:szCs w:val="32"/>
          <w:lang w:val="en-US" w:eastAsia="zh-CN"/>
          <w14:textFill>
            <w14:solidFill>
              <w14:schemeClr w14:val="tx1">
                <w14:lumMod w14:val="95000"/>
                <w14:lumOff w14:val="5000"/>
              </w14:schemeClr>
            </w14:solidFill>
          </w14:textFill>
        </w:rPr>
        <w:t>法治</w:t>
      </w:r>
      <w:r>
        <w:rPr>
          <w:rFonts w:hint="eastAsia" w:cs="方正仿宋_GB2312"/>
          <w:color w:val="0D0D0D" w:themeColor="text1" w:themeTint="F2"/>
          <w:sz w:val="32"/>
          <w:szCs w:val="32"/>
          <w:lang w:val="en-US" w:eastAsia="zh-CN"/>
          <w14:textFill>
            <w14:solidFill>
              <w14:schemeClr w14:val="tx1">
                <w14:lumMod w14:val="95000"/>
                <w14:lumOff w14:val="5000"/>
              </w14:schemeClr>
            </w14:solidFill>
          </w14:textFill>
        </w:rPr>
        <w:t>政府</w:t>
      </w:r>
      <w:r>
        <w:rPr>
          <w:rFonts w:hint="eastAsia" w:ascii="Times New Roman" w:hAnsi="Times New Roman" w:eastAsia="仿宋_GB2312" w:cs="方正仿宋_GB2312"/>
          <w:color w:val="0D0D0D" w:themeColor="text1" w:themeTint="F2"/>
          <w:sz w:val="32"/>
          <w:szCs w:val="32"/>
          <w:lang w:val="en-US" w:eastAsia="zh-CN"/>
          <w14:textFill>
            <w14:solidFill>
              <w14:schemeClr w14:val="tx1">
                <w14:lumMod w14:val="95000"/>
                <w14:lumOff w14:val="5000"/>
              </w14:schemeClr>
            </w14:solidFill>
          </w14:textFill>
        </w:rPr>
        <w:t>建设深入开展。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kern w:val="2"/>
          <w:sz w:val="32"/>
          <w:szCs w:val="32"/>
          <w:lang w:val="en-US" w:eastAsia="zh-CN" w:bidi="zh-CN"/>
        </w:rPr>
      </w:pPr>
      <w:r>
        <w:rPr>
          <w:rFonts w:hint="eastAsia" w:ascii="仿宋_GB2312" w:hAnsi="仿宋_GB2312" w:cs="仿宋_GB2312"/>
          <w:b w:val="0"/>
          <w:kern w:val="2"/>
          <w:sz w:val="32"/>
          <w:szCs w:val="32"/>
          <w:lang w:val="en-US" w:eastAsia="zh-CN" w:bidi="zh-CN"/>
        </w:rPr>
        <w:t>3</w:t>
      </w:r>
      <w:r>
        <w:rPr>
          <w:rFonts w:hint="eastAsia" w:ascii="仿宋_GB2312" w:hAnsi="仿宋_GB2312" w:eastAsia="仿宋_GB2312" w:cs="仿宋_GB2312"/>
          <w:b w:val="0"/>
          <w:kern w:val="2"/>
          <w:sz w:val="32"/>
          <w:szCs w:val="32"/>
          <w:lang w:val="en-US" w:eastAsia="zh-CN" w:bidi="zh-CN"/>
        </w:rPr>
        <w:t>.推进学法普法，浓厚法治氛围。我办积极开展学法普法活动，常年利用干部大会、双周讲坛、中心组学习等形式开展专题法律知识学习，并结合韶司在线、学习强国平台，督促干部自觉学习法律法规知识，特别是今年还邀请民法专业领域的专家王少敬律师为市政府办公室全体干部开展《民法典》专题讲座，机关法治文化建设深入推进。同时，多次组织全办干部参加市委组织部组织的各类法治培训班、市普法办组织的学法考试，参考率及合格率均达100%，领导干部职工依法行政工作能力和法治化工作水平逐步提高，基本实现办公室法治建设与“三服务”能力建设互促互进、双向提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仿宋_GB2312" w:cs="方正楷体_GB2312"/>
          <w:sz w:val="32"/>
          <w:szCs w:val="32"/>
          <w:lang w:val="en-US" w:eastAsia="zh-CN"/>
        </w:rPr>
      </w:pPr>
      <w:r>
        <w:rPr>
          <w:rFonts w:hint="eastAsia" w:ascii="楷体" w:hAnsi="楷体" w:eastAsia="楷体" w:cs="楷体"/>
          <w:sz w:val="32"/>
          <w:szCs w:val="32"/>
          <w:lang w:val="en-US" w:eastAsia="zh-CN"/>
        </w:rPr>
        <w:t>全力服务全市法治建设大局，坚持在法治轨道上想事情、干事业。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kern w:val="2"/>
          <w:sz w:val="32"/>
          <w:szCs w:val="32"/>
          <w:lang w:val="en-US" w:eastAsia="zh-CN" w:bidi="zh-CN"/>
        </w:rPr>
      </w:pPr>
      <w:r>
        <w:rPr>
          <w:rFonts w:hint="eastAsia" w:ascii="仿宋_GB2312" w:hAnsi="仿宋_GB2312" w:eastAsia="仿宋_GB2312" w:cs="仿宋_GB2312"/>
          <w:b w:val="0"/>
          <w:kern w:val="2"/>
          <w:sz w:val="32"/>
          <w:szCs w:val="32"/>
          <w:lang w:val="en-US" w:eastAsia="zh-CN" w:bidi="zh-CN"/>
        </w:rPr>
        <w:t>1.严格落实重大决策法定程序，健全科学决策机制。严格执行《重大行政决策程序暂行条例》《广东省行政规范性文件管理规定》，全面落实党组法律顾问制度和重大行政决策法治程序，加强规范性文件制定（修订）、重大行政决策事项和听证事项管理。在市政府领导下，印发《韶关市人民政府2021年度重大行政决策事项和听证事项目录》，切实督导推动各地各部门落实决策事项目录，全面履行决策听取意见、专家论证、风险评估、合法性审查、集体讨论决定程序，有效减少决策失误，保证决策质量，增强了行政决策的科学性、民主性和合法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kern w:val="2"/>
          <w:sz w:val="32"/>
          <w:szCs w:val="32"/>
          <w:lang w:val="en-US" w:eastAsia="zh-CN" w:bidi="zh-CN"/>
        </w:rPr>
      </w:pPr>
      <w:r>
        <w:rPr>
          <w:rFonts w:hint="eastAsia" w:ascii="仿宋_GB2312" w:hAnsi="仿宋_GB2312" w:eastAsia="仿宋_GB2312" w:cs="仿宋_GB2312"/>
          <w:b w:val="0"/>
          <w:kern w:val="2"/>
          <w:sz w:val="32"/>
          <w:szCs w:val="32"/>
          <w:lang w:val="en-US" w:eastAsia="zh-CN" w:bidi="zh-CN"/>
        </w:rPr>
        <w:t>2.健全营商环境制度体系，打造法治化营商环境。全面服务市领导做好推进我市健全营商环境制度体系建设的统筹工作，推动市政府职能转变工作领导小组办公室认真梳理相关职能部门在公共服务、行政审批、执法监管、减税降费、落细落实等方面可能存在的“难点”“痛点”“堵点”，推动实施韶关营商环境4.0版方案，社会投资项目审批总时限压缩至35个工作日内，水电气报装实现“一站办”“一网办”等“七个办”便利化模式，开办企业便利度排全省第8、继续保持粤东西北首位。全市服务事项全程网办率60%、一次办好率90%，实现市12345政务服务便民热线“一号服务”。同时，印发《韶关市供水供电供气行业收费专项整治实施方案》《韶关市2021年涉企收费专项检查工作方案》等政策文件，全力推动营商环境持续优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kern w:val="2"/>
          <w:sz w:val="32"/>
          <w:szCs w:val="32"/>
          <w:lang w:val="en-US" w:eastAsia="zh-CN" w:bidi="zh-CN"/>
        </w:rPr>
      </w:pPr>
      <w:r>
        <w:rPr>
          <w:rFonts w:hint="eastAsia" w:ascii="仿宋_GB2312" w:hAnsi="仿宋_GB2312" w:eastAsia="仿宋_GB2312" w:cs="仿宋_GB2312"/>
          <w:b w:val="0"/>
          <w:kern w:val="2"/>
          <w:sz w:val="32"/>
          <w:szCs w:val="32"/>
          <w:lang w:val="en-US" w:eastAsia="zh-CN" w:bidi="zh-CN"/>
        </w:rPr>
        <w:t>3.深化商事制度改革，提升政务服务效能。结合我市实际需求，全力服务市政府推动深化商事制度改革，进一步提升政务服务效能，推动快捷高效地解决企业生产经营的困难和问题。印发《韶关市推进证照分离改革全覆盖试点工作方案》（韶府办发函〔2020〕83号），推进改革从落实清单管理制度、分类实施改革措施、完善改革配套政策等方面开展。同时，服务市政府协调市有关单位抓好“证照分离”和市场主体退出制度改革，印发《韶关市“证照分离”改革全覆盖试点事项清单》，涉及我市的改革事项有525项，其中直接取消审批72项、审批改为备案15项、实行告知承诺60项、优化审批服务378项；印发实施《韶关市深化市场主体退出制度改革实施方案》《韶关市推进企业注销便利化工作部门联席会议制度》，全市市场主体简易注销1922家，一般注销24550家，总共注销26472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b w:val="0"/>
          <w:kern w:val="2"/>
          <w:sz w:val="32"/>
          <w:szCs w:val="32"/>
          <w:lang w:val="en-US" w:eastAsia="zh-CN" w:bidi="zh-CN"/>
        </w:rPr>
      </w:pPr>
      <w:r>
        <w:rPr>
          <w:rFonts w:hint="eastAsia" w:ascii="仿宋_GB2312" w:hAnsi="仿宋_GB2312" w:eastAsia="仿宋_GB2312" w:cs="仿宋_GB2312"/>
          <w:b w:val="0"/>
          <w:kern w:val="2"/>
          <w:sz w:val="32"/>
          <w:szCs w:val="32"/>
          <w:lang w:val="en-US" w:eastAsia="zh-CN" w:bidi="zh-CN"/>
        </w:rPr>
        <w:t>4.实行清单制度管理，筑牢法治建设基础。</w:t>
      </w:r>
      <w:r>
        <w:rPr>
          <w:rFonts w:hint="default" w:ascii="仿宋_GB2312" w:hAnsi="仿宋_GB2312" w:eastAsia="仿宋_GB2312" w:cs="仿宋_GB2312"/>
          <w:b w:val="0"/>
          <w:kern w:val="2"/>
          <w:sz w:val="32"/>
          <w:szCs w:val="32"/>
          <w:lang w:val="en-US" w:eastAsia="zh-CN" w:bidi="zh-CN"/>
        </w:rPr>
        <w:t>认真按照《韶关市2021年全面依法治市工作要点》有关工作部署和要求，充分发挥办公室的统筹协调作用，会同市政务服务数据管理局等有关部门，全面落实国家、省关于深化行政审批制度改革有关工作部署和要求</w:t>
      </w:r>
      <w:r>
        <w:rPr>
          <w:rFonts w:hint="eastAsia" w:ascii="仿宋_GB2312" w:hAnsi="仿宋_GB2312" w:eastAsia="仿宋_GB2312" w:cs="仿宋_GB2312"/>
          <w:b w:val="0"/>
          <w:kern w:val="2"/>
          <w:sz w:val="32"/>
          <w:szCs w:val="32"/>
          <w:lang w:val="en-US" w:eastAsia="zh-CN" w:bidi="zh-CN"/>
        </w:rPr>
        <w:t>，</w:t>
      </w:r>
      <w:r>
        <w:rPr>
          <w:rFonts w:hint="default" w:ascii="仿宋_GB2312" w:hAnsi="仿宋_GB2312" w:eastAsia="仿宋_GB2312" w:cs="仿宋_GB2312"/>
          <w:b w:val="0"/>
          <w:kern w:val="2"/>
          <w:sz w:val="32"/>
          <w:szCs w:val="32"/>
          <w:lang w:val="en-US" w:eastAsia="zh-CN" w:bidi="zh-CN"/>
        </w:rPr>
        <w:t>深入推进“双随机、一公开”监管全覆盖、常态化。截至11月底，已在省“双随机、一公开”综合监管平台中建立“一单两库”，共946项抽查事项、25.81万家主体及2662名执法检查人员入库。</w:t>
      </w:r>
      <w:r>
        <w:rPr>
          <w:rFonts w:hint="eastAsia" w:ascii="仿宋_GB2312" w:hAnsi="仿宋_GB2312" w:eastAsia="仿宋_GB2312" w:cs="仿宋_GB2312"/>
          <w:b w:val="0"/>
          <w:kern w:val="2"/>
          <w:sz w:val="32"/>
          <w:szCs w:val="32"/>
          <w:lang w:val="en-US" w:eastAsia="zh-CN" w:bidi="zh-CN"/>
        </w:rPr>
        <w:t>同时，</w:t>
      </w:r>
      <w:r>
        <w:rPr>
          <w:rFonts w:hint="default" w:ascii="仿宋_GB2312" w:hAnsi="仿宋_GB2312" w:eastAsia="仿宋_GB2312" w:cs="仿宋_GB2312"/>
          <w:b w:val="0"/>
          <w:kern w:val="2"/>
          <w:sz w:val="32"/>
          <w:szCs w:val="32"/>
          <w:lang w:val="en-US" w:eastAsia="zh-CN" w:bidi="zh-CN"/>
        </w:rPr>
        <w:t>启用广东省“互联网+监管”系统开展监管事项的梳理，34个市直部门共计926个监管主项（886项本级监管、40项本级不监管），实施清单填报完成率达100%，实施清单填报完备率达100%。10个县（市、区）共计7283个监管主项，实施清单填报完成率达100%，实施清单填报完备率达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kern w:val="2"/>
          <w:sz w:val="32"/>
          <w:szCs w:val="32"/>
          <w:lang w:val="en-US" w:eastAsia="zh-CN" w:bidi="zh-CN"/>
        </w:rPr>
      </w:pPr>
      <w:r>
        <w:rPr>
          <w:rFonts w:hint="eastAsia" w:ascii="仿宋_GB2312" w:hAnsi="仿宋_GB2312" w:eastAsia="仿宋_GB2312" w:cs="仿宋_GB2312"/>
          <w:b w:val="0"/>
          <w:kern w:val="2"/>
          <w:sz w:val="32"/>
          <w:szCs w:val="32"/>
          <w:lang w:val="en-US" w:eastAsia="zh-CN" w:bidi="zh-CN"/>
        </w:rPr>
        <w:t>5.推进行政审批制度改革，持续优化便民服务。紧密围绕市委依法治市办下发的工作要点，多措并举服务市政府协调市直有关单位推进行政审批制度改革工作。一是协调深化工程建设项目审批制度改革。印发实施《关于规范工程建设项目统一审批流程和加强“一个窗口”服务、纳入“工建系统”管理工作的通知》《韶关市工程建设项目主要审批事项清单（2021年版）》，全面实行建筑工程施工许可电子证照，落实施工许可“容承”审批机制，进一步明细工作规程、规范审批行为，承诺办结时限1个工作日。二是协调深化国土空间用途管制审批改革。充分运用“多规合一”业务协同平台，全面落实用地预审、选址意见书“两证合一”审批，全市基于协同平台进行储备的政府投资类和社会投资出让类项目合计115个，已发起项目策划115个，策划生成项目108个，其中政府投资类项目策划生成42个，社会投资出让类项目策划生成66个。三是协调深化投资审批制度改革。制定出台《韶关市进一步优化建设工程项目审批流程改革实施方案》，进一步缩小项目建议书审批、可行性研究报告审批和节能审查等事项实施范围。四是推行食品生产许可告知承诺制改革。印发实施《关于实施食品生产许可告知承诺的工作方案（试行）》，逐步实现轻审批、重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kern w:val="2"/>
          <w:sz w:val="32"/>
          <w:szCs w:val="32"/>
          <w:lang w:val="en-US" w:eastAsia="zh-CN" w:bidi="zh-CN"/>
        </w:rPr>
      </w:pPr>
      <w:r>
        <w:rPr>
          <w:rFonts w:hint="eastAsia" w:ascii="仿宋_GB2312" w:hAnsi="仿宋_GB2312" w:eastAsia="仿宋_GB2312" w:cs="仿宋_GB2312"/>
          <w:b w:val="0"/>
          <w:kern w:val="2"/>
          <w:sz w:val="32"/>
          <w:szCs w:val="32"/>
          <w:lang w:val="en-US" w:eastAsia="zh-CN" w:bidi="zh-CN"/>
        </w:rPr>
        <w:t>6.深化政府信息公开，助力打造阳光政府。积极履行市政府信息（政务）公开工作领导小组办公室职能，不断丰富政务公开形式，提升政务公开的质量和实效。一是完善政务公开机制，印发《韶关市人民政府办公室关于调整韶关市政府信息（政务）公开工作领导小组成员的通知》，完成2021年市政府信息（政务）公开领导小组调整工作。二是深入贯彻新修订的《中华人民共和国政府信息公开条例》规定，主动多渠道公开，优化市政府公报小程序，新增政策栏目，不断提升“阳光政务”水平。2021年</w:t>
      </w:r>
      <w:r>
        <w:rPr>
          <w:rFonts w:hint="eastAsia" w:ascii="仿宋_GB2312" w:hAnsi="仿宋_GB2312" w:cs="仿宋_GB2312"/>
          <w:b w:val="0"/>
          <w:kern w:val="2"/>
          <w:sz w:val="32"/>
          <w:szCs w:val="32"/>
          <w:lang w:val="en-US" w:eastAsia="zh-CN" w:bidi="zh-CN"/>
        </w:rPr>
        <w:t>，通过市政府门户网站政府信息公开平台主动公开政府信息705条；依法依规办理依申请公开事项33件，全部在法定时限内办结，实现“零诉讼”。编印《韶关市人民政府公报》12期。</w:t>
      </w:r>
      <w:r>
        <w:rPr>
          <w:rFonts w:hint="eastAsia" w:ascii="仿宋_GB2312" w:hAnsi="仿宋_GB2312" w:eastAsia="仿宋_GB2312" w:cs="仿宋_GB2312"/>
          <w:b w:val="0"/>
          <w:kern w:val="2"/>
          <w:sz w:val="32"/>
          <w:szCs w:val="32"/>
          <w:lang w:val="en-US" w:eastAsia="zh-CN" w:bidi="zh-CN"/>
        </w:rPr>
        <w:t>三是积极履行监督职能，印发《韶关市贯彻落实2021年政务公开工作要点分工实施方案》，组织开展政府信息公开平台、重点领域信息公开平台等专项检查，确保将国务院2021年政务公开工作要点和省2021年有关政务公开工作方案要求贯彻落实落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kern w:val="2"/>
          <w:sz w:val="32"/>
          <w:szCs w:val="32"/>
          <w:lang w:val="en-US" w:eastAsia="zh-CN" w:bidi="zh-CN"/>
        </w:rPr>
      </w:pPr>
      <w:r>
        <w:rPr>
          <w:rFonts w:hint="eastAsia" w:ascii="仿宋_GB2312" w:hAnsi="仿宋_GB2312" w:eastAsia="仿宋_GB2312" w:cs="仿宋_GB2312"/>
          <w:b w:val="0"/>
          <w:kern w:val="2"/>
          <w:sz w:val="32"/>
          <w:szCs w:val="32"/>
          <w:lang w:val="en-US" w:eastAsia="zh-CN" w:bidi="zh-CN"/>
        </w:rPr>
        <w:t>7.发挥公共服务职能，加强防疫法律服务工作。我办坚决贯彻落实党中央决策部署、省防控指挥部和市防控指挥部工作安排，把疫情防控作为重要的工作来抓，充分发挥综合协调、宣传引导等公共职能作用，以实际行动践行初心使命，全力以赴投入到疫情防控阻击战、攻坚战、整体战。一是根据疫情形势，通过韶关发布、韶司在线等平台发布疫情防控重要提醒、政策、通知，同时明确疫情防控人人有责，对因瞒报、谎报或不遵守疫情防控规定的，依法追究责任，强化疫情防控宣传。二是通过大力宣传打击网上编造、传播涉疫情不实信息违法行为，提醒广大群众要从权威媒体、官方渠道获取涉疫信息，配合疫情防控工作，维护良好疫情防控秩序。此外，我办按照法律法规要求和有关规定，进一步依法规范和促进办公室干部职工新冠病毒疫苗接种、流向管控等，严格落实疫情防控主体责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二、存在的不足</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黑体"/>
          <w:color w:val="181717" w:themeColor="background2" w:themeShade="1A"/>
          <w:sz w:val="32"/>
          <w:szCs w:val="32"/>
          <w:lang w:val="en-US" w:eastAsia="zh-CN"/>
        </w:rPr>
      </w:pPr>
      <w:r>
        <w:rPr>
          <w:rFonts w:hint="eastAsia" w:ascii="Times New Roman" w:hAnsi="Times New Roman" w:eastAsia="仿宋_GB2312" w:cs="方正仿宋_GB2312"/>
          <w:color w:val="181717" w:themeColor="background2" w:themeShade="1A"/>
          <w:sz w:val="32"/>
          <w:szCs w:val="32"/>
          <w:lang w:val="en-US" w:eastAsia="zh-CN"/>
        </w:rPr>
        <w:t>虽然我办在法治政府建设工作上取得了一些成绩，但与市委、市政府的要求还存在一定的差距。一是学习贯彻习近平法治思想还不够深不够透，对标对表中央、省和市委、市政府相关要求仍有较大差距，学法用法意识还有待进一步增强。二是在实际推进法治政府建设中压力传导力度还不够，法治政府建设工作和办公室内部工作结合不够。三是运用法治思维指导工作实际还有差距，运用法治思维开展工作的习惯和运用法律手段化解工作难题的能力还有待进一步提升。</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Times New Roman" w:hAnsi="Times New Roman" w:eastAsia="黑体" w:cs="黑体"/>
          <w:sz w:val="32"/>
          <w:szCs w:val="32"/>
          <w:lang w:val="en-US" w:eastAsia="zh-CN"/>
        </w:rPr>
        <w:t>2022</w:t>
      </w:r>
      <w:r>
        <w:rPr>
          <w:rFonts w:hint="eastAsia" w:ascii="黑体" w:hAnsi="黑体" w:eastAsia="黑体" w:cs="黑体"/>
          <w:sz w:val="32"/>
          <w:szCs w:val="32"/>
          <w:lang w:val="en-US" w:eastAsia="zh-CN"/>
        </w:rPr>
        <w:t>年工作打算</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eastAsia="仿宋_GB2312" w:cs="方正仿宋_GB2312"/>
          <w:color w:val="181717" w:themeColor="background2" w:themeShade="1A"/>
          <w:sz w:val="32"/>
          <w:szCs w:val="32"/>
          <w:lang w:val="en-US" w:eastAsia="zh-CN"/>
        </w:rPr>
      </w:pPr>
      <w:r>
        <w:rPr>
          <w:rFonts w:hint="eastAsia" w:ascii="Times New Roman" w:hAnsi="Times New Roman" w:eastAsia="仿宋_GB2312" w:cs="方正仿宋_GB2312"/>
          <w:color w:val="181717" w:themeColor="background2" w:themeShade="1A"/>
          <w:sz w:val="32"/>
          <w:szCs w:val="32"/>
          <w:lang w:val="en-US" w:eastAsia="zh-CN"/>
        </w:rPr>
        <w:t>2022年，我办将以习近平新时代中国特色社会主义思想为指导，坚决维护以习近平同志为核心的党中央权威和集中统一领导，按照市委、市政府依法治市工作的新要求，围绕全市工作大局，加强法治能力建设，推动办公室法治政府建设各项工作不断创新发展。一是深入学习</w:t>
      </w:r>
      <w:r>
        <w:rPr>
          <w:rFonts w:hint="eastAsia" w:cs="方正仿宋_GB2312"/>
          <w:color w:val="181717" w:themeColor="background2" w:themeShade="1A"/>
          <w:sz w:val="32"/>
          <w:szCs w:val="32"/>
          <w:lang w:val="en-US" w:eastAsia="zh-CN"/>
        </w:rPr>
        <w:t>宣传</w:t>
      </w:r>
      <w:r>
        <w:rPr>
          <w:rFonts w:hint="eastAsia" w:ascii="Times New Roman" w:hAnsi="Times New Roman" w:eastAsia="仿宋_GB2312" w:cs="方正仿宋_GB2312"/>
          <w:color w:val="181717" w:themeColor="background2" w:themeShade="1A"/>
          <w:sz w:val="32"/>
          <w:szCs w:val="32"/>
          <w:lang w:val="en-US" w:eastAsia="zh-CN"/>
        </w:rPr>
        <w:t>贯彻习近平</w:t>
      </w:r>
      <w:r>
        <w:rPr>
          <w:rFonts w:hint="eastAsia" w:cs="方正仿宋_GB2312"/>
          <w:color w:val="181717" w:themeColor="background2" w:themeShade="1A"/>
          <w:sz w:val="32"/>
          <w:szCs w:val="32"/>
          <w:lang w:val="en-US" w:eastAsia="zh-CN"/>
        </w:rPr>
        <w:t>法治思想和中央全面依法治国工作会议精神</w:t>
      </w:r>
      <w:r>
        <w:rPr>
          <w:rFonts w:hint="eastAsia" w:ascii="Times New Roman" w:hAnsi="Times New Roman" w:eastAsia="仿宋_GB2312" w:cs="方正仿宋_GB2312"/>
          <w:color w:val="181717" w:themeColor="background2" w:themeShade="1A"/>
          <w:sz w:val="32"/>
          <w:szCs w:val="32"/>
          <w:lang w:val="en-US" w:eastAsia="zh-CN"/>
        </w:rPr>
        <w:t>，树立社会主义法治理念。统筹各科室和各党支部继续抓好组织学习，不断提高领导干部职工依法行政工作能力和法治化工作水平，把法治政府建设各项工作贯穿于实际工作中。二是进一步统筹服务市领导做好法治政府建设各项工作。继续协调承接落实好省、市取消和下放的行政审批事项，进一步推动行政审批制度改革，统筹推进“数字政府”建设，提高整体联动力，为群众提供便捷高效的公共服务，打造良好的营商环境。三是进一步创新工作突出亮点。进一步探索贯彻落实法治政府建设的新方法、新形式，打破常规思维，创新思路，借鉴学习，积极打造、挖掘亮点工作和特色工作。</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eastAsia="仿宋_GB2312" w:cs="方正仿宋_GB2312"/>
          <w:color w:val="181717" w:themeColor="background2" w:themeShade="1A"/>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right="-139" w:rightChars="-44" w:firstLine="632" w:firstLineChars="200"/>
        <w:jc w:val="right"/>
        <w:textAlignment w:val="auto"/>
        <w:rPr>
          <w:rFonts w:hint="default" w:ascii="Times New Roman" w:hAnsi="Times New Roman" w:eastAsia="仿宋_GB2312" w:cs="方正仿宋_GB2312"/>
          <w:color w:val="181717" w:themeColor="background2" w:themeShade="1A"/>
          <w:sz w:val="32"/>
          <w:szCs w:val="32"/>
          <w:lang w:val="en-US" w:eastAsia="zh-CN"/>
        </w:rPr>
      </w:pPr>
      <w:r>
        <w:rPr>
          <w:rFonts w:hint="eastAsia" w:ascii="Times New Roman" w:hAnsi="Times New Roman" w:eastAsia="仿宋_GB2312" w:cs="方正仿宋_GB2312"/>
          <w:color w:val="181717" w:themeColor="background2" w:themeShade="1A"/>
          <w:sz w:val="32"/>
          <w:szCs w:val="32"/>
          <w:lang w:val="en-US" w:eastAsia="zh-CN"/>
        </w:rPr>
        <w:t xml:space="preserve">韶关市人民政府办公室        </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center"/>
        <w:textAlignment w:val="auto"/>
        <w:rPr>
          <w:rFonts w:hint="eastAsia" w:ascii="Times New Roman" w:hAnsi="Times New Roman" w:eastAsia="仿宋_GB2312" w:cs="方正仿宋_GB2312"/>
          <w:color w:val="181717" w:themeColor="background2" w:themeShade="1A"/>
          <w:sz w:val="32"/>
          <w:szCs w:val="32"/>
          <w:lang w:val="en-US" w:eastAsia="zh-CN"/>
        </w:rPr>
      </w:pPr>
      <w:r>
        <w:rPr>
          <w:rFonts w:hint="eastAsia" w:ascii="Times New Roman" w:hAnsi="Times New Roman" w:eastAsia="仿宋_GB2312" w:cs="方正仿宋_GB2312"/>
          <w:color w:val="181717" w:themeColor="background2" w:themeShade="1A"/>
          <w:sz w:val="32"/>
          <w:szCs w:val="32"/>
          <w:lang w:val="en-US" w:eastAsia="zh-CN"/>
        </w:rPr>
        <w:t xml:space="preserve">                2021年</w:t>
      </w:r>
      <w:r>
        <w:rPr>
          <w:rFonts w:hint="eastAsia" w:cs="方正仿宋_GB2312"/>
          <w:color w:val="181717" w:themeColor="background2" w:themeShade="1A"/>
          <w:sz w:val="32"/>
          <w:szCs w:val="32"/>
          <w:lang w:val="en-US" w:eastAsia="zh-CN"/>
        </w:rPr>
        <w:t>2</w:t>
      </w:r>
      <w:r>
        <w:rPr>
          <w:rFonts w:hint="eastAsia" w:ascii="Times New Roman" w:hAnsi="Times New Roman" w:eastAsia="仿宋_GB2312" w:cs="方正仿宋_GB2312"/>
          <w:color w:val="181717" w:themeColor="background2" w:themeShade="1A"/>
          <w:sz w:val="32"/>
          <w:szCs w:val="32"/>
          <w:lang w:val="en-US" w:eastAsia="zh-CN"/>
        </w:rPr>
        <w:t>月</w:t>
      </w:r>
      <w:r>
        <w:rPr>
          <w:rFonts w:hint="eastAsia" w:cs="方正仿宋_GB2312"/>
          <w:color w:val="181717" w:themeColor="background2" w:themeShade="1A"/>
          <w:sz w:val="32"/>
          <w:szCs w:val="32"/>
          <w:lang w:val="en-US" w:eastAsia="zh-CN"/>
        </w:rPr>
        <w:t>9</w:t>
      </w:r>
      <w:r>
        <w:rPr>
          <w:rFonts w:hint="eastAsia" w:ascii="Times New Roman" w:hAnsi="Times New Roman" w:eastAsia="仿宋_GB2312" w:cs="方正仿宋_GB2312"/>
          <w:color w:val="181717" w:themeColor="background2" w:themeShade="1A"/>
          <w:sz w:val="32"/>
          <w:szCs w:val="32"/>
          <w:lang w:val="en-US" w:eastAsia="zh-CN"/>
        </w:rPr>
        <w:t xml:space="preserve">日  </w:t>
      </w:r>
    </w:p>
    <w:p>
      <w:pPr>
        <w:pStyle w:val="2"/>
        <w:rPr>
          <w:rFonts w:hint="default" w:ascii="Times New Roman" w:hAnsi="Times New Roman" w:eastAsia="仿宋_GB2312" w:cs="方正仿宋_GB2312"/>
          <w:color w:val="181717" w:themeColor="background2" w:themeShade="1A"/>
          <w:sz w:val="32"/>
          <w:szCs w:val="32"/>
          <w:lang w:val="en-US" w:eastAsia="zh-CN"/>
        </w:rPr>
      </w:pPr>
    </w:p>
    <w:sectPr>
      <w:footerReference r:id="rId3" w:type="default"/>
      <w:footerReference r:id="rId4" w:type="even"/>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2A5B8F-CEA3-437D-9038-1D0F366FC4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636D443-DFAC-42FB-98E4-AD445693A906}"/>
  </w:font>
  <w:font w:name="仿宋_GB2312">
    <w:panose1 w:val="02010609030101010101"/>
    <w:charset w:val="86"/>
    <w:family w:val="auto"/>
    <w:pitch w:val="default"/>
    <w:sig w:usb0="00000001" w:usb1="080E0000" w:usb2="00000000" w:usb3="00000000" w:csb0="00040000" w:csb1="00000000"/>
    <w:embedRegular r:id="rId3" w:fontKey="{BC7248D3-6C6C-4FF9-B47D-E756F533DEB3}"/>
  </w:font>
  <w:font w:name="方正小标宋简体">
    <w:panose1 w:val="02000000000000000000"/>
    <w:charset w:val="86"/>
    <w:family w:val="script"/>
    <w:pitch w:val="default"/>
    <w:sig w:usb0="A00002BF" w:usb1="184F6CFA" w:usb2="00000012" w:usb3="00000000" w:csb0="00040001" w:csb1="00000000"/>
    <w:embedRegular r:id="rId4" w:fontKey="{AAA13A54-FBB9-4FBF-B46A-40AF4D3CFD32}"/>
  </w:font>
  <w:font w:name="楷体_GB2312">
    <w:panose1 w:val="02010609030101010101"/>
    <w:charset w:val="86"/>
    <w:family w:val="auto"/>
    <w:pitch w:val="default"/>
    <w:sig w:usb0="00000001" w:usb1="080E0000" w:usb2="00000000" w:usb3="00000000" w:csb0="00040000" w:csb1="00000000"/>
    <w:embedRegular r:id="rId5" w:fontKey="{E823A3E1-E1F0-423A-8B40-2EA22A150155}"/>
  </w:font>
  <w:font w:name="楷体">
    <w:panose1 w:val="02010609060101010101"/>
    <w:charset w:val="86"/>
    <w:family w:val="auto"/>
    <w:pitch w:val="default"/>
    <w:sig w:usb0="800002BF" w:usb1="38CF7CFA" w:usb2="00000016" w:usb3="00000000" w:csb0="00040001" w:csb1="00000000"/>
    <w:embedRegular r:id="rId6" w:fontKey="{CB1E06EB-5A44-4C3C-A130-37FBDF2103C5}"/>
  </w:font>
  <w:font w:name="方正楷体_GB2312">
    <w:altName w:val="楷体_GB2312"/>
    <w:panose1 w:val="02000000000000000000"/>
    <w:charset w:val="86"/>
    <w:family w:val="auto"/>
    <w:pitch w:val="default"/>
    <w:sig w:usb0="00000000" w:usb1="00000000" w:usb2="00000012" w:usb3="00000000" w:csb0="00040001" w:csb1="00000000"/>
    <w:embedRegular r:id="rId7" w:fontKey="{5FC82FA2-8509-4F8C-8E92-54C07B5F810D}"/>
  </w:font>
  <w:font w:name="方正仿宋_GB2312">
    <w:altName w:val="仿宋"/>
    <w:panose1 w:val="02000000000000000000"/>
    <w:charset w:val="86"/>
    <w:family w:val="auto"/>
    <w:pitch w:val="default"/>
    <w:sig w:usb0="00000000" w:usb1="00000000" w:usb2="00000012" w:usb3="00000000" w:csb0="00040001" w:csb1="00000000"/>
    <w:embedRegular r:id="rId8" w:fontKey="{6F7697AB-E312-4E9A-B93F-B24AE7EDBEC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0DDEE"/>
    <w:multiLevelType w:val="singleLevel"/>
    <w:tmpl w:val="4490DDEE"/>
    <w:lvl w:ilvl="0" w:tentative="0">
      <w:start w:val="1"/>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D3BF5"/>
    <w:rsid w:val="07CF4038"/>
    <w:rsid w:val="145946D8"/>
    <w:rsid w:val="151035AD"/>
    <w:rsid w:val="1C3A64F3"/>
    <w:rsid w:val="218E2416"/>
    <w:rsid w:val="22154B53"/>
    <w:rsid w:val="22DB168B"/>
    <w:rsid w:val="28427E02"/>
    <w:rsid w:val="28563216"/>
    <w:rsid w:val="29127DD1"/>
    <w:rsid w:val="297C0081"/>
    <w:rsid w:val="2D4E5444"/>
    <w:rsid w:val="30476871"/>
    <w:rsid w:val="318348E1"/>
    <w:rsid w:val="321D3A6E"/>
    <w:rsid w:val="330D3BF5"/>
    <w:rsid w:val="340C1D01"/>
    <w:rsid w:val="401D10DD"/>
    <w:rsid w:val="451D5334"/>
    <w:rsid w:val="48482A6F"/>
    <w:rsid w:val="4B581A3D"/>
    <w:rsid w:val="555D3530"/>
    <w:rsid w:val="56824BF3"/>
    <w:rsid w:val="56CB8CB4"/>
    <w:rsid w:val="5B321A89"/>
    <w:rsid w:val="5F202803"/>
    <w:rsid w:val="60A05AA7"/>
    <w:rsid w:val="638A3656"/>
    <w:rsid w:val="676137A7"/>
    <w:rsid w:val="68710933"/>
    <w:rsid w:val="6A890F99"/>
    <w:rsid w:val="6B19056F"/>
    <w:rsid w:val="70DB6253"/>
    <w:rsid w:val="74F431A9"/>
    <w:rsid w:val="75F43F8D"/>
    <w:rsid w:val="76117DAC"/>
    <w:rsid w:val="762B1157"/>
    <w:rsid w:val="771D6201"/>
    <w:rsid w:val="787853A5"/>
    <w:rsid w:val="78DD0E2E"/>
    <w:rsid w:val="7E773007"/>
    <w:rsid w:val="8DDD3B73"/>
    <w:rsid w:val="FB7B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正文 New New New New New New New"/>
    <w:qFormat/>
    <w:uiPriority w:val="0"/>
    <w:pPr>
      <w:widowControl w:val="0"/>
      <w:jc w:val="both"/>
    </w:pPr>
    <w:rPr>
      <w:rFonts w:ascii="Times New Roman" w:hAnsi="Times New Roman" w:eastAsia="宋体" w:cstheme="minorBidi"/>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2021-12-23T12:29:00Z</dcterms:created>
  <dc:creator>Jeri-</dc:creator>
  <cp:lastModifiedBy>Administrator</cp:lastModifiedBy>
  <cp:lastPrinted>2021-12-31T00:49:00Z</cp:lastPrinted>
  <dcterms:modified xsi:type="dcterms:W3CDTF">2023-02-20T02:37:23Z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7FDD7876E51C40F49CFD903B32A9210C</vt:lpwstr>
  </property>
</Properties>
</file>