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rPr>
        <w:t>关于加强矿产资源管理的决定</w:t>
      </w:r>
      <w:r>
        <w:rPr>
          <w:rFonts w:hint="eastAsia" w:ascii="方正小标宋简体" w:eastAsia="方正小标宋简体"/>
          <w:b w:val="0"/>
          <w:bCs w:val="0"/>
          <w:color w:val="auto"/>
          <w:sz w:val="44"/>
          <w:szCs w:val="44"/>
        </w:rPr>
        <w:t>》</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w:t>
      </w:r>
      <w:r>
        <w:rPr>
          <w:rFonts w:hint="eastAsia" w:ascii="方正小标宋简体" w:eastAsia="方正小标宋简体"/>
          <w:b w:val="0"/>
          <w:bCs w:val="0"/>
          <w:color w:val="auto"/>
          <w:sz w:val="44"/>
          <w:szCs w:val="44"/>
          <w:lang w:eastAsia="zh-CN"/>
        </w:rPr>
        <w:t>草案</w:t>
      </w:r>
      <w:r>
        <w:rPr>
          <w:rFonts w:hint="eastAsia" w:ascii="方正小标宋简体" w:eastAsia="方正小标宋简体"/>
          <w:b w:val="0"/>
          <w:bCs w:val="0"/>
          <w:color w:val="auto"/>
          <w:sz w:val="44"/>
          <w:szCs w:val="44"/>
        </w:rPr>
        <w:t>）的</w:t>
      </w:r>
      <w:r>
        <w:rPr>
          <w:rFonts w:hint="eastAsia" w:ascii="方正小标宋简体" w:eastAsia="方正小标宋简体"/>
          <w:b w:val="0"/>
          <w:bCs w:val="0"/>
          <w:color w:val="auto"/>
          <w:sz w:val="44"/>
          <w:szCs w:val="44"/>
          <w:lang w:eastAsia="zh-CN"/>
        </w:rPr>
        <w:t>起草</w:t>
      </w:r>
      <w:r>
        <w:rPr>
          <w:rFonts w:hint="eastAsia" w:ascii="方正小标宋简体" w:eastAsia="方正小标宋简体"/>
          <w:b w:val="0"/>
          <w:bCs w:val="0"/>
          <w:color w:val="auto"/>
          <w:sz w:val="44"/>
          <w:szCs w:val="44"/>
        </w:rPr>
        <w:t>说明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val="0"/>
          <w:bCs w:val="0"/>
          <w:color w:val="auto"/>
          <w:sz w:val="32"/>
        </w:rPr>
      </w:pPr>
      <w:r>
        <w:rPr>
          <w:rFonts w:hint="eastAsia" w:ascii="仿宋_GB2312" w:hAnsi="仿宋_GB2312" w:eastAsia="仿宋_GB2312" w:cs="仿宋_GB2312"/>
          <w:sz w:val="32"/>
          <w:szCs w:val="32"/>
          <w:lang w:val="en-US" w:eastAsia="zh-CN"/>
        </w:rPr>
        <w:t>为加强我市矿产资源管理，</w:t>
      </w:r>
      <w:r>
        <w:rPr>
          <w:rFonts w:hint="eastAsia" w:ascii="仿宋_GB2312" w:hAnsi="仿宋_GB2312" w:eastAsia="仿宋_GB2312" w:cs="仿宋_GB2312"/>
          <w:b w:val="0"/>
          <w:bCs w:val="0"/>
          <w:color w:val="auto"/>
          <w:sz w:val="32"/>
          <w:szCs w:val="32"/>
          <w:u w:val="none"/>
        </w:rPr>
        <w:t>实现矿业高质量发展，</w:t>
      </w:r>
      <w:r>
        <w:rPr>
          <w:rFonts w:hint="eastAsia" w:ascii="仿宋_GB2312" w:hAnsi="仿宋_GB2312" w:eastAsia="仿宋_GB2312" w:cs="仿宋_GB2312"/>
          <w:sz w:val="32"/>
          <w:szCs w:val="32"/>
          <w:lang w:val="en-US" w:eastAsia="zh-CN"/>
        </w:rPr>
        <w:t>根据市委、市政府的部署和要求，我局参照其他地区实践经验，结合我市实际，依照《中华人民共和国矿产资源法》《中华人民共和国环境保护法》等法律法规草拟</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关于加强矿产资源管理的决定</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）（以下简称《</w:t>
      </w:r>
      <w:r>
        <w:rPr>
          <w:rFonts w:hint="eastAsia" w:ascii="仿宋_GB2312" w:hAnsi="仿宋_GB2312" w:cs="仿宋_GB2312"/>
          <w:sz w:val="32"/>
          <w:szCs w:val="32"/>
          <w:lang w:eastAsia="zh-CN"/>
        </w:rPr>
        <w:t>决定</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）,现将《</w:t>
      </w:r>
      <w:r>
        <w:rPr>
          <w:rFonts w:hint="eastAsia" w:ascii="仿宋_GB2312" w:hAnsi="仿宋_GB2312" w:cs="仿宋_GB2312"/>
          <w:sz w:val="32"/>
          <w:szCs w:val="32"/>
          <w:lang w:eastAsia="zh-CN"/>
        </w:rPr>
        <w:t>决定</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起草情况说明如下：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rPr>
        <w:t>一</w:t>
      </w:r>
      <w:r>
        <w:rPr>
          <w:rFonts w:hint="eastAsia" w:ascii="黑体" w:hAnsi="黑体" w:eastAsia="黑体" w:cs="黑体"/>
          <w:b w:val="0"/>
          <w:bCs w:val="0"/>
          <w:color w:val="auto"/>
          <w:sz w:val="32"/>
          <w:lang w:eastAsia="zh-CN"/>
        </w:rPr>
        <w:t>、</w:t>
      </w:r>
      <w:r>
        <w:rPr>
          <w:rFonts w:hint="eastAsia" w:ascii="黑体" w:hAnsi="黑体" w:eastAsia="黑体" w:cs="黑体"/>
          <w:sz w:val="32"/>
          <w:szCs w:val="32"/>
        </w:rPr>
        <w:t>起草的背景和意义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b w:val="0"/>
          <w:bCs w:val="0"/>
          <w:color w:val="auto"/>
          <w:sz w:val="32"/>
          <w:szCs w:val="32"/>
          <w:lang w:val="en-US" w:eastAsia="zh-CN"/>
        </w:rPr>
      </w:pPr>
      <w:r>
        <w:rPr>
          <w:rFonts w:hint="eastAsia" w:ascii="仿宋_GB2312"/>
          <w:b w:val="0"/>
          <w:bCs w:val="0"/>
          <w:color w:val="auto"/>
          <w:sz w:val="32"/>
          <w:szCs w:val="32"/>
          <w:lang w:val="en-US" w:eastAsia="zh-CN"/>
        </w:rPr>
        <w:t>2022年11月9日，市委主要领导听取市自然资源局关于矿产资源出让等财政收入情况时指出，要学习云浮市的做法，尽快研究并出台我市的《关于加强矿产资源管理的决定》。为此，我局在学习先进地区实践经验的基础上，结合韶关实际情况，研究制定了《关于加强矿产资源管理的决定》（草案）</w:t>
      </w:r>
      <w:r>
        <w:rPr>
          <w:rFonts w:hint="eastAsia" w:ascii="仿宋_GB2312"/>
          <w:b w:val="0"/>
          <w:bCs w:val="0"/>
          <w:color w:val="auto"/>
          <w:sz w:val="32"/>
          <w:szCs w:val="32"/>
          <w:lang w:eastAsia="zh-CN"/>
        </w:rPr>
        <w:t>，《决定》的制定实施</w:t>
      </w:r>
      <w:r>
        <w:rPr>
          <w:rFonts w:hint="eastAsia" w:ascii="仿宋_GB2312" w:hAnsi="仿宋_GB2312" w:cs="仿宋_GB2312"/>
          <w:sz w:val="32"/>
          <w:szCs w:val="32"/>
          <w:lang w:val="en-US" w:eastAsia="zh-CN"/>
        </w:rPr>
        <w:t>将进一步</w:t>
      </w:r>
      <w:r>
        <w:rPr>
          <w:rFonts w:hint="eastAsia" w:ascii="仿宋_GB2312" w:hAnsi="仿宋_GB2312" w:eastAsia="仿宋_GB2312" w:cs="仿宋_GB2312"/>
          <w:sz w:val="32"/>
          <w:szCs w:val="32"/>
          <w:lang w:val="en-US" w:eastAsia="zh-CN"/>
        </w:rPr>
        <w:t>加强我市矿产资源管理，夯实矿产资源领域地方法律法规基础，实现韶关矿产资源开发保护利用有法可依，为推进矿业高质量发展提供强有力的制度保障</w:t>
      </w:r>
      <w:r>
        <w:rPr>
          <w:rFonts w:hint="eastAsia" w:ascii="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lang w:eastAsia="zh-CN"/>
        </w:rPr>
        <w:t>二</w:t>
      </w:r>
      <w:r>
        <w:rPr>
          <w:rFonts w:hint="eastAsia" w:ascii="黑体" w:hAnsi="黑体" w:eastAsia="黑体" w:cs="黑体"/>
          <w:b w:val="0"/>
          <w:bCs w:val="0"/>
          <w:color w:val="auto"/>
          <w:sz w:val="32"/>
        </w:rPr>
        <w:t>、政策依据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val="0"/>
          <w:bCs w:val="0"/>
          <w:color w:val="auto"/>
          <w:sz w:val="32"/>
        </w:rPr>
      </w:pPr>
      <w:r>
        <w:rPr>
          <w:rFonts w:hint="eastAsia" w:ascii="仿宋_GB2312" w:eastAsia="仿宋_GB2312"/>
          <w:b w:val="0"/>
          <w:bCs w:val="0"/>
          <w:color w:val="auto"/>
          <w:sz w:val="32"/>
        </w:rPr>
        <w:t>（一）《中华人民共和国矿产资源法》；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eastAsia="仿宋_GB2312"/>
          <w:b w:val="0"/>
          <w:bCs w:val="0"/>
          <w:color w:val="auto"/>
          <w:sz w:val="32"/>
        </w:rPr>
        <w:t>（二）</w:t>
      </w:r>
      <w:r>
        <w:rPr>
          <w:rFonts w:hint="eastAsia" w:ascii="仿宋_GB2312" w:hAnsi="仿宋_GB2312" w:eastAsia="仿宋_GB2312" w:cs="仿宋_GB2312"/>
          <w:b w:val="0"/>
          <w:bCs w:val="0"/>
          <w:color w:val="auto"/>
          <w:sz w:val="32"/>
          <w:szCs w:val="32"/>
        </w:rPr>
        <w:t>《中华人民共和国环境保护法》</w:t>
      </w:r>
      <w:r>
        <w:rPr>
          <w:rFonts w:hint="eastAsia" w:ascii="仿宋_GB2312" w:hAnsi="宋体" w:eastAsia="仿宋_GB2312" w:cs="宋体"/>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val="0"/>
          <w:bCs w:val="0"/>
          <w:color w:val="auto"/>
          <w:sz w:val="32"/>
        </w:rPr>
      </w:pPr>
      <w:r>
        <w:rPr>
          <w:rFonts w:hint="eastAsia" w:ascii="仿宋_GB2312" w:hAnsi="宋体" w:eastAsia="仿宋_GB2312" w:cs="宋体"/>
          <w:b w:val="0"/>
          <w:bCs w:val="0"/>
          <w:color w:val="auto"/>
          <w:sz w:val="32"/>
          <w:szCs w:val="32"/>
        </w:rPr>
        <w:t>（</w:t>
      </w:r>
      <w:r>
        <w:rPr>
          <w:rFonts w:hint="eastAsia" w:ascii="仿宋_GB2312" w:hAnsi="宋体" w:cs="宋体"/>
          <w:b w:val="0"/>
          <w:bCs w:val="0"/>
          <w:color w:val="auto"/>
          <w:sz w:val="32"/>
          <w:szCs w:val="32"/>
          <w:lang w:eastAsia="zh-CN"/>
        </w:rPr>
        <w:t>三</w:t>
      </w:r>
      <w:r>
        <w:rPr>
          <w:rFonts w:hint="eastAsia" w:ascii="仿宋_GB2312" w:hAnsi="宋体" w:eastAsia="仿宋_GB2312" w:cs="宋体"/>
          <w:b w:val="0"/>
          <w:bCs w:val="0"/>
          <w:color w:val="auto"/>
          <w:sz w:val="32"/>
          <w:szCs w:val="32"/>
        </w:rPr>
        <w:t>）</w:t>
      </w:r>
      <w:r>
        <w:rPr>
          <w:rFonts w:hint="eastAsia" w:ascii="仿宋_GB2312" w:hAnsi="仿宋_GB2312" w:eastAsia="仿宋_GB2312"/>
          <w:b w:val="0"/>
          <w:bCs w:val="0"/>
          <w:color w:val="auto"/>
          <w:sz w:val="32"/>
          <w:lang w:eastAsia="zh-CN"/>
        </w:rPr>
        <w:t>《关于推进矿产资源管理改革若干事项的意见》（自然资规</w:t>
      </w:r>
      <w:r>
        <w:rPr>
          <w:rFonts w:hint="eastAsia" w:ascii="仿宋_GB2312" w:hAnsi="宋体" w:eastAsia="仿宋_GB2312"/>
          <w:b w:val="0"/>
          <w:bCs w:val="0"/>
          <w:color w:val="auto"/>
          <w:sz w:val="32"/>
          <w:szCs w:val="32"/>
        </w:rPr>
        <w:t>〔201</w:t>
      </w:r>
      <w:r>
        <w:rPr>
          <w:rFonts w:hint="eastAsia" w:ascii="仿宋_GB2312" w:hAnsi="宋体" w:eastAsia="仿宋_GB2312"/>
          <w:b w:val="0"/>
          <w:bCs w:val="0"/>
          <w:color w:val="auto"/>
          <w:sz w:val="32"/>
          <w:szCs w:val="32"/>
          <w:lang w:val="en-US" w:eastAsia="zh-CN"/>
        </w:rPr>
        <w:t>9</w:t>
      </w:r>
      <w:r>
        <w:rPr>
          <w:rFonts w:hint="eastAsia" w:ascii="仿宋_GB2312" w:hAnsi="宋体" w:eastAsia="仿宋_GB2312"/>
          <w:b w:val="0"/>
          <w:bCs w:val="0"/>
          <w:color w:val="auto"/>
          <w:sz w:val="32"/>
          <w:szCs w:val="32"/>
        </w:rPr>
        <w:t>〕</w:t>
      </w:r>
      <w:r>
        <w:rPr>
          <w:rFonts w:hint="eastAsia" w:ascii="仿宋_GB2312" w:hAnsi="仿宋_GB2312" w:eastAsia="仿宋_GB2312"/>
          <w:b w:val="0"/>
          <w:bCs w:val="0"/>
          <w:color w:val="auto"/>
          <w:sz w:val="32"/>
          <w:lang w:eastAsia="zh-CN"/>
        </w:rPr>
        <w:t>7号）</w:t>
      </w:r>
      <w:r>
        <w:rPr>
          <w:rFonts w:hint="eastAsia" w:ascii="仿宋_GB2312" w:eastAsia="仿宋_GB2312"/>
          <w:b w:val="0"/>
          <w:bCs w:val="0"/>
          <w:color w:val="auto"/>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eastAsia="仿宋_GB2312"/>
          <w:b w:val="0"/>
          <w:bCs w:val="0"/>
          <w:color w:val="auto"/>
          <w:sz w:val="32"/>
        </w:rPr>
        <w:t>（</w:t>
      </w:r>
      <w:r>
        <w:rPr>
          <w:rFonts w:hint="eastAsia" w:ascii="仿宋_GB2312"/>
          <w:b w:val="0"/>
          <w:bCs w:val="0"/>
          <w:color w:val="auto"/>
          <w:sz w:val="32"/>
          <w:lang w:eastAsia="zh-CN"/>
        </w:rPr>
        <w:t>四</w:t>
      </w:r>
      <w:r>
        <w:rPr>
          <w:rFonts w:hint="eastAsia" w:ascii="仿宋_GB2312" w:eastAsia="仿宋_GB2312"/>
          <w:b w:val="0"/>
          <w:bCs w:val="0"/>
          <w:color w:val="auto"/>
          <w:sz w:val="32"/>
        </w:rPr>
        <w:t>）</w:t>
      </w:r>
      <w:r>
        <w:rPr>
          <w:rFonts w:hint="eastAsia" w:ascii="仿宋_GB2312"/>
          <w:b w:val="0"/>
          <w:bCs w:val="0"/>
          <w:color w:val="auto"/>
          <w:sz w:val="32"/>
          <w:lang w:eastAsia="zh-CN"/>
        </w:rPr>
        <w:t>《广东省人民政府办公厅关于印发广东省绿色矿业发展五年行动方案（</w:t>
      </w:r>
      <w:r>
        <w:rPr>
          <w:rFonts w:hint="eastAsia" w:ascii="仿宋_GB2312"/>
          <w:b w:val="0"/>
          <w:bCs w:val="0"/>
          <w:color w:val="auto"/>
          <w:sz w:val="32"/>
          <w:lang w:val="en-US" w:eastAsia="zh-CN"/>
        </w:rPr>
        <w:t>2021-2025年</w:t>
      </w:r>
      <w:r>
        <w:rPr>
          <w:rFonts w:hint="eastAsia" w:ascii="仿宋_GB2312"/>
          <w:b w:val="0"/>
          <w:bCs w:val="0"/>
          <w:color w:val="auto"/>
          <w:sz w:val="32"/>
          <w:lang w:eastAsia="zh-CN"/>
        </w:rPr>
        <w:t>）的通知》（粤府办</w:t>
      </w:r>
      <w:r>
        <w:rPr>
          <w:rFonts w:hint="eastAsia" w:ascii="仿宋_GB2312" w:hAnsi="宋体" w:eastAsia="仿宋_GB2312"/>
          <w:b w:val="0"/>
          <w:bCs w:val="0"/>
          <w:color w:val="auto"/>
          <w:sz w:val="32"/>
          <w:szCs w:val="32"/>
        </w:rPr>
        <w:t>〔20</w:t>
      </w:r>
      <w:r>
        <w:rPr>
          <w:rFonts w:hint="eastAsia" w:ascii="仿宋_GB2312" w:hAnsi="宋体"/>
          <w:b w:val="0"/>
          <w:bCs w:val="0"/>
          <w:color w:val="auto"/>
          <w:sz w:val="32"/>
          <w:szCs w:val="32"/>
          <w:lang w:val="en-US" w:eastAsia="zh-CN"/>
        </w:rPr>
        <w:t>21</w:t>
      </w:r>
      <w:r>
        <w:rPr>
          <w:rFonts w:hint="eastAsia" w:ascii="仿宋_GB2312" w:hAnsi="宋体" w:eastAsia="仿宋_GB2312"/>
          <w:b w:val="0"/>
          <w:bCs w:val="0"/>
          <w:color w:val="auto"/>
          <w:sz w:val="32"/>
          <w:szCs w:val="32"/>
        </w:rPr>
        <w:t>〕</w:t>
      </w:r>
      <w:r>
        <w:rPr>
          <w:rFonts w:hint="eastAsia" w:ascii="仿宋_GB2312" w:hAnsi="宋体"/>
          <w:b w:val="0"/>
          <w:bCs w:val="0"/>
          <w:color w:val="auto"/>
          <w:sz w:val="32"/>
          <w:szCs w:val="32"/>
          <w:lang w:val="en-US" w:eastAsia="zh-CN"/>
        </w:rPr>
        <w:t>38</w:t>
      </w:r>
      <w:r>
        <w:rPr>
          <w:rFonts w:hint="eastAsia" w:ascii="仿宋_GB2312" w:hAnsi="仿宋_GB2312" w:eastAsia="仿宋_GB2312"/>
          <w:b w:val="0"/>
          <w:bCs w:val="0"/>
          <w:color w:val="auto"/>
          <w:sz w:val="32"/>
          <w:lang w:eastAsia="zh-CN"/>
        </w:rPr>
        <w:t>号</w:t>
      </w:r>
      <w:r>
        <w:rPr>
          <w:rFonts w:hint="eastAsia" w:ascii="仿宋_GB2312"/>
          <w:b w:val="0"/>
          <w:bCs w:val="0"/>
          <w:color w:val="auto"/>
          <w:sz w:val="32"/>
          <w:lang w:eastAsia="zh-CN"/>
        </w:rPr>
        <w:t>）</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val="0"/>
          <w:bCs w:val="0"/>
          <w:color w:val="auto"/>
          <w:sz w:val="32"/>
        </w:rPr>
      </w:pP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w:t>
      </w:r>
      <w:r>
        <w:rPr>
          <w:rFonts w:hint="eastAsia" w:ascii="仿宋_GB2312" w:eastAsia="仿宋_GB2312"/>
          <w:b w:val="0"/>
          <w:bCs w:val="0"/>
          <w:color w:val="auto"/>
          <w:sz w:val="32"/>
        </w:rPr>
        <w:t>矿产资源管理其他政策。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lang w:eastAsia="zh-CN"/>
        </w:rPr>
        <w:t>三</w:t>
      </w:r>
      <w:r>
        <w:rPr>
          <w:rFonts w:hint="eastAsia" w:ascii="黑体" w:hAnsi="黑体" w:eastAsia="黑体" w:cs="黑体"/>
          <w:b w:val="0"/>
          <w:bCs w:val="0"/>
          <w:color w:val="auto"/>
          <w:sz w:val="32"/>
        </w:rPr>
        <w:t>、主要内容</w:t>
      </w:r>
      <w:r>
        <w:rPr>
          <w:rFonts w:hint="eastAsia" w:ascii="黑体" w:hAnsi="黑体" w:eastAsia="黑体" w:cs="黑体"/>
          <w:b w:val="0"/>
          <w:bCs w:val="0"/>
          <w:color w:val="auto"/>
          <w:sz w:val="32"/>
          <w:lang w:eastAsia="zh-CN"/>
        </w:rPr>
        <w:t>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b w:val="0"/>
          <w:bCs w:val="0"/>
          <w:color w:val="auto"/>
          <w:sz w:val="32"/>
          <w:lang w:eastAsia="zh-CN"/>
        </w:rPr>
        <w:t>《决定》共</w:t>
      </w:r>
      <w:r>
        <w:rPr>
          <w:rFonts w:hint="eastAsia" w:ascii="仿宋_GB2312"/>
          <w:b w:val="0"/>
          <w:bCs w:val="0"/>
          <w:color w:val="auto"/>
          <w:sz w:val="32"/>
          <w:lang w:val="en-US" w:eastAsia="zh-CN"/>
        </w:rPr>
        <w:t>十五条</w:t>
      </w:r>
      <w:r>
        <w:rPr>
          <w:rFonts w:hint="eastAsia" w:ascii="仿宋_GB2312" w:eastAsia="仿宋_GB2312"/>
          <w:b w:val="0"/>
          <w:bCs w:val="0"/>
          <w:color w:val="auto"/>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cs="仿宋_GB2312"/>
          <w:b w:val="0"/>
          <w:bCs w:val="0"/>
          <w:color w:val="auto"/>
          <w:sz w:val="32"/>
          <w:szCs w:val="32"/>
          <w:u w:val="none"/>
          <w:lang w:eastAsia="zh-CN"/>
        </w:rPr>
        <w:t>第一条，规定</w:t>
      </w:r>
      <w:bookmarkStart w:id="0" w:name="_GoBack"/>
      <w:bookmarkEnd w:id="0"/>
      <w:r>
        <w:rPr>
          <w:rFonts w:hint="eastAsia" w:ascii="仿宋_GB2312" w:hAnsi="仿宋_GB2312" w:eastAsia="仿宋_GB2312" w:cs="仿宋_GB2312"/>
          <w:b w:val="0"/>
          <w:bCs w:val="0"/>
          <w:color w:val="auto"/>
          <w:sz w:val="32"/>
          <w:szCs w:val="32"/>
          <w:u w:val="none"/>
        </w:rPr>
        <w:t>矿产资源开发利用应当坚持以习近平生态文明思想为指导，围绕</w:t>
      </w:r>
      <w:r>
        <w:rPr>
          <w:rFonts w:hint="eastAsia" w:ascii="仿宋_GB2312" w:hAnsi="仿宋_GB2312" w:cs="仿宋_GB2312"/>
          <w:b w:val="0"/>
          <w:bCs w:val="0"/>
          <w:color w:val="auto"/>
          <w:sz w:val="32"/>
          <w:szCs w:val="32"/>
          <w:u w:val="none"/>
          <w:lang w:eastAsia="zh-CN"/>
        </w:rPr>
        <w:t>韶关发展</w:t>
      </w:r>
      <w:r>
        <w:rPr>
          <w:rFonts w:hint="eastAsia" w:ascii="仿宋_GB2312" w:hAnsi="仿宋_GB2312" w:eastAsia="仿宋_GB2312" w:cs="仿宋_GB2312"/>
          <w:b w:val="0"/>
          <w:bCs w:val="0"/>
          <w:color w:val="auto"/>
          <w:sz w:val="32"/>
          <w:szCs w:val="32"/>
          <w:u w:val="none"/>
        </w:rPr>
        <w:t>的战略定位，坚持生态优先、绿色发展、规划先行、有序开采、综合治理的原则，将我市打造成矿业领域生态文明建设的样板区、矿山环境保护与矿地和谐的模范区、矿产资源管理创新的先行区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实现经济效益、社会效益和生态效益相统一。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u w:val="none"/>
          <w:lang w:eastAsia="zh-CN"/>
        </w:rPr>
        <w:t>第二条，规定</w:t>
      </w:r>
      <w:r>
        <w:rPr>
          <w:rFonts w:hint="eastAsia" w:ascii="仿宋_GB2312" w:hAnsi="仿宋_GB2312" w:eastAsia="仿宋_GB2312" w:cs="仿宋_GB2312"/>
          <w:b w:val="0"/>
          <w:bCs w:val="0"/>
          <w:color w:val="auto"/>
          <w:sz w:val="32"/>
          <w:szCs w:val="32"/>
        </w:rPr>
        <w:t>矿产资源国家所有，</w:t>
      </w:r>
      <w:r>
        <w:rPr>
          <w:rFonts w:hint="eastAsia" w:ascii="仿宋_GB2312" w:hAnsi="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政府应当加强矿产资源的保护工作，依法保障矿产资源的合理开发利用。</w:t>
      </w:r>
      <w:r>
        <w:rPr>
          <w:rFonts w:hint="eastAsia" w:ascii="仿宋_GB2312" w:hAnsi="仿宋_GB2312" w:eastAsia="仿宋_GB2312" w:cs="仿宋_GB2312"/>
          <w:b w:val="0"/>
          <w:bCs w:val="0"/>
          <w:color w:val="auto"/>
          <w:sz w:val="32"/>
          <w:szCs w:val="32"/>
          <w:u w:val="none"/>
          <w:lang w:val="en-US" w:eastAsia="zh-CN"/>
        </w:rPr>
        <w:t>禁止任何组织或者个人用任何手段侵占或者破坏矿产资源。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u w:val="none"/>
          <w:lang w:eastAsia="zh-CN"/>
        </w:rPr>
        <w:t>第三条，规定各级</w:t>
      </w:r>
      <w:r>
        <w:rPr>
          <w:rFonts w:hint="eastAsia" w:ascii="仿宋_GB2312" w:hAnsi="仿宋_GB2312" w:eastAsia="仿宋_GB2312" w:cs="仿宋_GB2312"/>
          <w:b w:val="0"/>
          <w:bCs w:val="0"/>
          <w:color w:val="auto"/>
          <w:sz w:val="32"/>
          <w:szCs w:val="32"/>
        </w:rPr>
        <w:t>政府应当建立健全矿产资源管理工作联动机制，加强矿区划定、“净矿”出让、执法监管等矿产资源管理工作的统筹、指导和监督。</w:t>
      </w:r>
      <w:r>
        <w:rPr>
          <w:rFonts w:hint="eastAsia" w:ascii="仿宋_GB2312" w:hAnsi="仿宋_GB2312" w:cs="仿宋_GB2312"/>
          <w:b w:val="0"/>
          <w:bCs w:val="0"/>
          <w:color w:val="auto"/>
          <w:sz w:val="32"/>
          <w:szCs w:val="32"/>
          <w:lang w:eastAsia="zh-CN"/>
        </w:rPr>
        <w:t>明确</w:t>
      </w:r>
      <w:r>
        <w:rPr>
          <w:rFonts w:hint="eastAsia" w:ascii="仿宋_GB2312" w:hAnsi="仿宋_GB2312" w:eastAsia="仿宋_GB2312" w:cs="仿宋_GB2312"/>
          <w:b w:val="0"/>
          <w:bCs w:val="0"/>
          <w:color w:val="auto"/>
          <w:sz w:val="32"/>
          <w:szCs w:val="32"/>
        </w:rPr>
        <w:t>自然资源主管部门</w:t>
      </w:r>
      <w:r>
        <w:rPr>
          <w:rFonts w:hint="eastAsia" w:ascii="仿宋_GB2312" w:hAnsi="仿宋_GB2312" w:cs="仿宋_GB2312"/>
          <w:b w:val="0"/>
          <w:bCs w:val="0"/>
          <w:color w:val="auto"/>
          <w:sz w:val="32"/>
          <w:szCs w:val="32"/>
          <w:lang w:eastAsia="zh-CN"/>
        </w:rPr>
        <w:t>、发改等相关</w:t>
      </w:r>
      <w:r>
        <w:rPr>
          <w:rFonts w:hint="eastAsia" w:ascii="仿宋_GB2312" w:hAnsi="仿宋_GB2312" w:eastAsia="仿宋_GB2312" w:cs="仿宋_GB2312"/>
          <w:b w:val="0"/>
          <w:bCs w:val="0"/>
          <w:color w:val="auto"/>
          <w:sz w:val="32"/>
          <w:szCs w:val="32"/>
        </w:rPr>
        <w:t>主管部门</w:t>
      </w:r>
      <w:r>
        <w:rPr>
          <w:rFonts w:hint="eastAsia" w:ascii="仿宋_GB2312" w:hAnsi="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镇政府、街道办</w:t>
      </w:r>
      <w:r>
        <w:rPr>
          <w:rFonts w:hint="eastAsia" w:ascii="仿宋_GB2312" w:hAnsi="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做好矿产资源管理工作</w:t>
      </w:r>
      <w:r>
        <w:rPr>
          <w:rFonts w:hint="eastAsia" w:ascii="仿宋_GB2312" w:hAnsi="仿宋_GB2312" w:cs="仿宋_GB2312"/>
          <w:b w:val="0"/>
          <w:bCs w:val="0"/>
          <w:color w:val="auto"/>
          <w:sz w:val="32"/>
          <w:szCs w:val="32"/>
          <w:lang w:eastAsia="zh-CN"/>
        </w:rPr>
        <w:t>的分工</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u w:val="none"/>
          <w:lang w:eastAsia="zh-CN"/>
        </w:rPr>
        <w:t>第四条，规定各级</w:t>
      </w:r>
      <w:r>
        <w:rPr>
          <w:rFonts w:hint="eastAsia" w:ascii="仿宋_GB2312" w:hAnsi="仿宋_GB2312" w:eastAsia="仿宋_GB2312" w:cs="仿宋_GB2312"/>
          <w:b w:val="0"/>
          <w:bCs w:val="0"/>
          <w:color w:val="auto"/>
          <w:sz w:val="32"/>
          <w:szCs w:val="32"/>
          <w:u w:val="none"/>
          <w:lang w:eastAsia="zh-CN"/>
        </w:rPr>
        <w:t>自然资源主管部门应加强开采行为的监督管理，建立</w:t>
      </w:r>
      <w:r>
        <w:rPr>
          <w:rFonts w:hint="eastAsia" w:ascii="仿宋_GB2312" w:hAnsi="仿宋_GB2312" w:eastAsia="仿宋_GB2312" w:cs="仿宋_GB2312"/>
          <w:b w:val="0"/>
          <w:bCs w:val="0"/>
          <w:color w:val="auto"/>
          <w:sz w:val="32"/>
          <w:szCs w:val="32"/>
          <w:u w:val="none"/>
          <w:lang w:val="en-US" w:eastAsia="zh-CN"/>
        </w:rPr>
        <w:t>健全</w:t>
      </w:r>
      <w:r>
        <w:rPr>
          <w:rFonts w:hint="eastAsia" w:ascii="仿宋_GB2312" w:hAnsi="仿宋_GB2312" w:eastAsia="仿宋_GB2312" w:cs="仿宋_GB2312"/>
          <w:b w:val="0"/>
          <w:bCs w:val="0"/>
          <w:color w:val="auto"/>
          <w:sz w:val="32"/>
          <w:szCs w:val="32"/>
          <w:u w:val="none"/>
          <w:lang w:eastAsia="zh-CN"/>
        </w:rPr>
        <w:t>矿山</w:t>
      </w:r>
      <w:r>
        <w:rPr>
          <w:rFonts w:hint="eastAsia" w:ascii="仿宋_GB2312" w:hAnsi="仿宋_GB2312" w:eastAsia="仿宋_GB2312" w:cs="仿宋_GB2312"/>
          <w:b w:val="0"/>
          <w:bCs w:val="0"/>
          <w:color w:val="auto"/>
          <w:sz w:val="32"/>
          <w:szCs w:val="32"/>
          <w:u w:val="none"/>
          <w:lang w:val="en-US" w:eastAsia="zh-CN"/>
        </w:rPr>
        <w:t>监督检查</w:t>
      </w:r>
      <w:r>
        <w:rPr>
          <w:rFonts w:hint="eastAsia" w:ascii="仿宋_GB2312" w:hAnsi="仿宋_GB2312" w:eastAsia="仿宋_GB2312" w:cs="仿宋_GB2312"/>
          <w:b w:val="0"/>
          <w:bCs w:val="0"/>
          <w:color w:val="auto"/>
          <w:sz w:val="32"/>
          <w:szCs w:val="32"/>
          <w:u w:val="none"/>
          <w:lang w:eastAsia="zh-CN"/>
        </w:rPr>
        <w:t>机制，牵头应急、生态环境等相关部门成立矿山</w:t>
      </w:r>
      <w:r>
        <w:rPr>
          <w:rFonts w:hint="eastAsia" w:ascii="仿宋_GB2312" w:hAnsi="仿宋_GB2312" w:eastAsia="仿宋_GB2312" w:cs="仿宋_GB2312"/>
          <w:b w:val="0"/>
          <w:bCs w:val="0"/>
          <w:color w:val="auto"/>
          <w:sz w:val="32"/>
          <w:szCs w:val="32"/>
          <w:u w:val="none"/>
          <w:lang w:val="en-US" w:eastAsia="zh-CN"/>
        </w:rPr>
        <w:t>检查</w:t>
      </w:r>
      <w:r>
        <w:rPr>
          <w:rFonts w:hint="eastAsia" w:ascii="仿宋_GB2312" w:hAnsi="仿宋_GB2312" w:eastAsia="仿宋_GB2312" w:cs="仿宋_GB2312"/>
          <w:b w:val="0"/>
          <w:bCs w:val="0"/>
          <w:color w:val="auto"/>
          <w:sz w:val="32"/>
          <w:szCs w:val="32"/>
          <w:u w:val="none"/>
          <w:lang w:eastAsia="zh-CN"/>
        </w:rPr>
        <w:t>组，对持证矿山</w:t>
      </w:r>
      <w:r>
        <w:rPr>
          <w:rFonts w:hint="eastAsia" w:ascii="仿宋_GB2312" w:hAnsi="仿宋_GB2312" w:cs="仿宋_GB2312"/>
          <w:b w:val="0"/>
          <w:bCs w:val="0"/>
          <w:color w:val="auto"/>
          <w:sz w:val="32"/>
          <w:szCs w:val="32"/>
          <w:u w:val="none"/>
          <w:lang w:eastAsia="zh-CN"/>
        </w:rPr>
        <w:t>开展</w:t>
      </w:r>
      <w:r>
        <w:rPr>
          <w:rFonts w:hint="eastAsia" w:ascii="仿宋_GB2312" w:hAnsi="仿宋_GB2312" w:eastAsia="仿宋_GB2312" w:cs="仿宋_GB2312"/>
          <w:b w:val="0"/>
          <w:bCs w:val="0"/>
          <w:color w:val="auto"/>
          <w:sz w:val="32"/>
          <w:szCs w:val="32"/>
          <w:u w:val="none"/>
          <w:lang w:val="en-US" w:eastAsia="zh-CN"/>
        </w:rPr>
        <w:t>检</w:t>
      </w:r>
      <w:r>
        <w:rPr>
          <w:rFonts w:hint="eastAsia" w:ascii="仿宋_GB2312" w:hAnsi="仿宋_GB2312" w:eastAsia="仿宋_GB2312" w:cs="仿宋_GB2312"/>
          <w:b w:val="0"/>
          <w:bCs w:val="0"/>
          <w:color w:val="auto"/>
          <w:sz w:val="32"/>
          <w:szCs w:val="32"/>
          <w:u w:val="none"/>
          <w:lang w:eastAsia="zh-CN"/>
        </w:rPr>
        <w:t>查</w:t>
      </w:r>
      <w:r>
        <w:rPr>
          <w:rFonts w:hint="eastAsia" w:ascii="仿宋_GB2312" w:hAnsi="仿宋_GB2312" w:cs="仿宋_GB2312"/>
          <w:b w:val="0"/>
          <w:bCs w:val="0"/>
          <w:color w:val="auto"/>
          <w:sz w:val="32"/>
          <w:szCs w:val="32"/>
          <w:u w:val="none"/>
          <w:lang w:eastAsia="zh-CN"/>
        </w:rPr>
        <w:t>抽查</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五</w:t>
      </w:r>
      <w:r>
        <w:rPr>
          <w:rFonts w:hint="eastAsia" w:ascii="仿宋_GB2312" w:hAnsi="仿宋_GB2312" w:cs="仿宋_GB2312"/>
          <w:b w:val="0"/>
          <w:bCs w:val="0"/>
          <w:color w:val="auto"/>
          <w:sz w:val="32"/>
          <w:szCs w:val="32"/>
          <w:lang w:eastAsia="zh-CN"/>
        </w:rPr>
        <w:t>条，规定</w:t>
      </w:r>
      <w:r>
        <w:rPr>
          <w:rFonts w:hint="eastAsia" w:ascii="仿宋_GB2312" w:hAnsi="仿宋" w:eastAsia="仿宋_GB2312"/>
          <w:b w:val="0"/>
          <w:bCs w:val="0"/>
          <w:color w:val="auto"/>
          <w:sz w:val="32"/>
          <w:szCs w:val="32"/>
          <w:u w:val="none"/>
          <w:lang w:eastAsia="zh-CN"/>
        </w:rPr>
        <w:t>对经批准设立的工程建设项目，在工程施工范围及施工期间采挖的砂石土，除项目自用外，多余部分由县级以上人民政府公开处置。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六</w:t>
      </w:r>
      <w:r>
        <w:rPr>
          <w:rFonts w:hint="eastAsia" w:ascii="仿宋_GB2312" w:hAnsi="仿宋_GB2312" w:cs="仿宋_GB2312"/>
          <w:b w:val="0"/>
          <w:bCs w:val="0"/>
          <w:color w:val="auto"/>
          <w:sz w:val="32"/>
          <w:szCs w:val="32"/>
          <w:lang w:eastAsia="zh-CN"/>
        </w:rPr>
        <w:t>条，规定</w:t>
      </w:r>
      <w:r>
        <w:rPr>
          <w:rFonts w:hint="eastAsia" w:ascii="仿宋_GB2312" w:hAnsi="仿宋_GB2312" w:eastAsia="仿宋_GB2312" w:cs="仿宋_GB2312"/>
          <w:b w:val="0"/>
          <w:bCs w:val="0"/>
          <w:color w:val="auto"/>
          <w:sz w:val="32"/>
          <w:szCs w:val="32"/>
          <w:u w:val="none"/>
          <w:lang w:eastAsia="zh-CN"/>
        </w:rPr>
        <w:t>应加强对地热资源开发的监管</w:t>
      </w:r>
      <w:r>
        <w:rPr>
          <w:rFonts w:hint="eastAsia" w:ascii="仿宋_GB2312" w:hAnsi="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eastAsia="zh-CN"/>
        </w:rPr>
        <w:t>未依法取得采矿许可，任何企业或个人不得擅自取用地热资源用于对外经营、销售。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b w:val="0"/>
          <w:bCs w:val="0"/>
          <w:color w:val="auto"/>
          <w:sz w:val="32"/>
          <w:szCs w:val="32"/>
          <w:lang w:eastAsia="zh-CN"/>
        </w:rPr>
      </w:pPr>
      <w:r>
        <w:rPr>
          <w:rFonts w:hint="eastAsia" w:ascii="仿宋_GB2312" w:hAnsi="仿宋_GB2312" w:cs="仿宋_GB2312"/>
          <w:b w:val="0"/>
          <w:bCs w:val="0"/>
          <w:color w:val="auto"/>
          <w:sz w:val="32"/>
          <w:szCs w:val="32"/>
          <w:lang w:eastAsia="zh-CN"/>
        </w:rPr>
        <w:t>第七条，规定</w:t>
      </w:r>
      <w:r>
        <w:rPr>
          <w:rFonts w:hint="eastAsia" w:ascii="仿宋_GB2312" w:hAnsi="仿宋_GB2312" w:eastAsia="仿宋_GB2312" w:cs="仿宋_GB2312"/>
          <w:b w:val="0"/>
          <w:bCs w:val="0"/>
          <w:color w:val="auto"/>
          <w:sz w:val="32"/>
          <w:szCs w:val="32"/>
          <w:u w:val="none"/>
          <w:lang w:eastAsia="zh-CN"/>
        </w:rPr>
        <w:t>应</w:t>
      </w:r>
      <w:r>
        <w:rPr>
          <w:rFonts w:hint="eastAsia" w:ascii="仿宋_GB2312" w:hAnsi="仿宋_GB2312" w:cs="仿宋_GB2312"/>
          <w:b w:val="0"/>
          <w:bCs w:val="0"/>
          <w:color w:val="auto"/>
          <w:sz w:val="32"/>
          <w:szCs w:val="32"/>
          <w:u w:val="none"/>
          <w:lang w:eastAsia="zh-CN"/>
        </w:rPr>
        <w:t>落实</w:t>
      </w:r>
      <w:r>
        <w:rPr>
          <w:rFonts w:hint="eastAsia" w:ascii="仿宋_GB2312" w:hAnsi="仿宋_GB2312" w:eastAsia="仿宋_GB2312" w:cs="仿宋_GB2312"/>
          <w:b w:val="0"/>
          <w:bCs w:val="0"/>
          <w:color w:val="auto"/>
          <w:sz w:val="32"/>
          <w:szCs w:val="32"/>
          <w:u w:val="none"/>
          <w:lang w:eastAsia="zh-CN"/>
        </w:rPr>
        <w:t>矿产资源勘查</w:t>
      </w:r>
      <w:r>
        <w:rPr>
          <w:rFonts w:hint="eastAsia" w:ascii="仿宋_GB2312" w:hAnsi="仿宋_GB2312" w:cs="仿宋_GB2312"/>
          <w:b w:val="0"/>
          <w:bCs w:val="0"/>
          <w:color w:val="auto"/>
          <w:sz w:val="32"/>
          <w:szCs w:val="32"/>
          <w:u w:val="none"/>
          <w:lang w:eastAsia="zh-CN"/>
        </w:rPr>
        <w:t>与</w:t>
      </w:r>
      <w:r>
        <w:rPr>
          <w:rFonts w:hint="eastAsia" w:ascii="仿宋_GB2312" w:hAnsi="仿宋_GB2312" w:eastAsia="仿宋_GB2312" w:cs="仿宋_GB2312"/>
          <w:b w:val="0"/>
          <w:bCs w:val="0"/>
          <w:color w:val="auto"/>
          <w:sz w:val="32"/>
          <w:szCs w:val="32"/>
          <w:u w:val="none"/>
          <w:lang w:eastAsia="zh-CN"/>
        </w:rPr>
        <w:t>涉矿土地林地收储资金</w:t>
      </w:r>
      <w:r>
        <w:rPr>
          <w:rFonts w:hint="eastAsia" w:ascii="仿宋_GB2312" w:hAnsi="仿宋_GB2312" w:cs="仿宋_GB2312"/>
          <w:b w:val="0"/>
          <w:bCs w:val="0"/>
          <w:color w:val="auto"/>
          <w:sz w:val="32"/>
          <w:szCs w:val="32"/>
          <w:u w:val="none"/>
          <w:lang w:eastAsia="zh-CN"/>
        </w:rPr>
        <w:t>保障</w:t>
      </w:r>
      <w:r>
        <w:rPr>
          <w:rFonts w:hint="eastAsia" w:ascii="仿宋_GB2312" w:hAnsi="仿宋_GB2312" w:eastAsia="仿宋_GB2312" w:cs="仿宋_GB2312"/>
          <w:b w:val="0"/>
          <w:bCs w:val="0"/>
          <w:color w:val="auto"/>
          <w:sz w:val="32"/>
          <w:szCs w:val="32"/>
          <w:u w:val="none"/>
          <w:lang w:eastAsia="zh-CN"/>
        </w:rPr>
        <w:t>，夯实采矿权“净矿”出让基础。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b w:val="0"/>
          <w:bCs w:val="0"/>
          <w:color w:val="auto"/>
          <w:sz w:val="32"/>
          <w:szCs w:val="32"/>
          <w:u w:val="none"/>
          <w:lang w:eastAsia="zh-CN"/>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八</w:t>
      </w:r>
      <w:r>
        <w:rPr>
          <w:rFonts w:hint="eastAsia" w:ascii="仿宋_GB2312" w:hAnsi="仿宋_GB2312" w:cs="仿宋_GB2312"/>
          <w:b w:val="0"/>
          <w:bCs w:val="0"/>
          <w:color w:val="auto"/>
          <w:sz w:val="32"/>
          <w:szCs w:val="32"/>
          <w:lang w:eastAsia="zh-CN"/>
        </w:rPr>
        <w:t>条，规定应保障涉矿土地、林地、</w:t>
      </w:r>
      <w:r>
        <w:rPr>
          <w:rFonts w:hint="eastAsia" w:ascii="仿宋_GB2312" w:hAnsi="仿宋_GB2312" w:eastAsia="仿宋_GB2312" w:cs="仿宋_GB2312"/>
          <w:b w:val="0"/>
          <w:bCs w:val="0"/>
          <w:color w:val="auto"/>
          <w:sz w:val="32"/>
          <w:szCs w:val="32"/>
          <w:u w:val="none"/>
          <w:lang w:eastAsia="zh-CN"/>
        </w:rPr>
        <w:t>园区、廊道、重要交通等配套要素</w:t>
      </w:r>
      <w:r>
        <w:rPr>
          <w:rFonts w:hint="eastAsia" w:ascii="仿宋_GB2312" w:hAnsi="仿宋_GB2312" w:cs="仿宋_GB2312"/>
          <w:b w:val="0"/>
          <w:bCs w:val="0"/>
          <w:color w:val="auto"/>
          <w:sz w:val="32"/>
          <w:szCs w:val="32"/>
          <w:u w:val="none"/>
          <w:lang w:eastAsia="zh-CN"/>
        </w:rPr>
        <w:t>保障和布局规划。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九</w:t>
      </w:r>
      <w:r>
        <w:rPr>
          <w:rFonts w:hint="eastAsia" w:ascii="仿宋_GB2312" w:hAnsi="仿宋_GB2312" w:cs="仿宋_GB2312"/>
          <w:b w:val="0"/>
          <w:bCs w:val="0"/>
          <w:color w:val="auto"/>
          <w:sz w:val="32"/>
          <w:szCs w:val="32"/>
          <w:lang w:eastAsia="zh-CN"/>
        </w:rPr>
        <w:t>条，规定</w:t>
      </w:r>
      <w:r>
        <w:rPr>
          <w:rFonts w:hint="eastAsia" w:ascii="仿宋_GB2312" w:hAnsi="仿宋_GB2312" w:eastAsia="仿宋_GB2312" w:cs="仿宋_GB2312"/>
          <w:b w:val="0"/>
          <w:bCs w:val="0"/>
          <w:color w:val="auto"/>
          <w:sz w:val="32"/>
          <w:szCs w:val="32"/>
        </w:rPr>
        <w:t>矿产资源开发应</w:t>
      </w:r>
      <w:r>
        <w:rPr>
          <w:rFonts w:hint="eastAsia" w:ascii="仿宋_GB2312" w:hAnsi="仿宋_GB2312" w:cs="仿宋_GB2312"/>
          <w:b w:val="0"/>
          <w:bCs w:val="0"/>
          <w:color w:val="auto"/>
          <w:sz w:val="32"/>
          <w:szCs w:val="32"/>
          <w:lang w:eastAsia="zh-CN"/>
        </w:rPr>
        <w:t>履行</w:t>
      </w:r>
      <w:r>
        <w:rPr>
          <w:rFonts w:hint="eastAsia" w:ascii="仿宋_GB2312" w:hAnsi="仿宋_GB2312" w:eastAsia="仿宋_GB2312" w:cs="仿宋_GB2312"/>
          <w:b w:val="0"/>
          <w:bCs w:val="0"/>
          <w:color w:val="auto"/>
          <w:sz w:val="32"/>
          <w:szCs w:val="32"/>
          <w:u w:val="none"/>
          <w:lang w:eastAsia="zh-CN"/>
        </w:rPr>
        <w:t>环境保护与土地复垦</w:t>
      </w:r>
      <w:r>
        <w:rPr>
          <w:rFonts w:hint="eastAsia" w:ascii="仿宋_GB2312" w:hAnsi="仿宋_GB2312" w:cs="仿宋_GB2312"/>
          <w:b w:val="0"/>
          <w:bCs w:val="0"/>
          <w:color w:val="auto"/>
          <w:sz w:val="32"/>
          <w:szCs w:val="32"/>
          <w:u w:val="none"/>
          <w:lang w:eastAsia="zh-CN"/>
        </w:rPr>
        <w:t>相关责任与义务</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b w:val="0"/>
          <w:bCs w:val="0"/>
          <w:color w:val="auto"/>
          <w:sz w:val="32"/>
          <w:szCs w:val="32"/>
          <w:lang w:eastAsia="zh-CN"/>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w:t>
      </w:r>
      <w:r>
        <w:rPr>
          <w:rFonts w:hint="eastAsia" w:ascii="仿宋_GB2312" w:hAnsi="仿宋_GB2312" w:cs="仿宋_GB2312"/>
          <w:b w:val="0"/>
          <w:bCs w:val="0"/>
          <w:color w:val="auto"/>
          <w:sz w:val="32"/>
          <w:szCs w:val="32"/>
          <w:lang w:eastAsia="zh-CN"/>
        </w:rPr>
        <w:t>条，规定矿山安全生产有关要求。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b w:val="0"/>
          <w:bCs w:val="0"/>
          <w:color w:val="auto"/>
          <w:sz w:val="32"/>
          <w:szCs w:val="32"/>
          <w:lang w:eastAsia="zh-CN"/>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w:t>
      </w:r>
      <w:r>
        <w:rPr>
          <w:rFonts w:hint="eastAsia" w:ascii="仿宋_GB2312" w:hAnsi="仿宋_GB2312" w:cs="仿宋_GB2312"/>
          <w:b w:val="0"/>
          <w:bCs w:val="0"/>
          <w:color w:val="auto"/>
          <w:sz w:val="32"/>
          <w:szCs w:val="32"/>
          <w:lang w:eastAsia="zh-CN"/>
        </w:rPr>
        <w:t>一条，规定</w:t>
      </w:r>
      <w:r>
        <w:rPr>
          <w:rFonts w:hint="eastAsia" w:ascii="仿宋_GB2312" w:hAnsi="仿宋_GB2312" w:eastAsia="仿宋_GB2312" w:cs="仿宋_GB2312"/>
          <w:b w:val="0"/>
          <w:bCs w:val="0"/>
          <w:color w:val="auto"/>
          <w:sz w:val="32"/>
          <w:szCs w:val="32"/>
          <w:u w:val="none"/>
          <w:lang w:val="en-US" w:eastAsia="zh-CN"/>
        </w:rPr>
        <w:t>应加快推进绿色矿业发展示范区建设，推进矿产资源资产价值化。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b w:val="0"/>
          <w:bCs w:val="0"/>
          <w:color w:val="auto"/>
          <w:sz w:val="32"/>
          <w:szCs w:val="32"/>
          <w:lang w:eastAsia="zh-CN"/>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十二</w:t>
      </w:r>
      <w:r>
        <w:rPr>
          <w:rFonts w:hint="eastAsia" w:ascii="仿宋_GB2312" w:hAnsi="仿宋_GB2312" w:cs="仿宋_GB2312"/>
          <w:b w:val="0"/>
          <w:bCs w:val="0"/>
          <w:color w:val="auto"/>
          <w:sz w:val="32"/>
          <w:szCs w:val="32"/>
          <w:lang w:eastAsia="zh-CN"/>
        </w:rPr>
        <w:t>条，规定规定政府</w:t>
      </w:r>
      <w:r>
        <w:rPr>
          <w:rFonts w:hint="eastAsia" w:ascii="仿宋_GB2312" w:hAnsi="仿宋_GB2312" w:eastAsia="仿宋_GB2312" w:cs="仿宋_GB2312"/>
          <w:b w:val="0"/>
          <w:bCs w:val="0"/>
          <w:color w:val="auto"/>
          <w:sz w:val="32"/>
          <w:szCs w:val="32"/>
        </w:rPr>
        <w:t>应当全面推进绿色矿山建设，确保2023年底前全市持证在采矿山100%达到绿色矿山建设标准。矿山企业是绿色矿山建设主体。未达标的应当按照规定进行整改。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w:t>
      </w:r>
      <w:r>
        <w:rPr>
          <w:rFonts w:hint="eastAsia" w:ascii="仿宋_GB2312" w:hAnsi="仿宋_GB2312" w:cs="仿宋_GB2312"/>
          <w:b w:val="0"/>
          <w:bCs w:val="0"/>
          <w:color w:val="auto"/>
          <w:sz w:val="32"/>
          <w:szCs w:val="32"/>
          <w:lang w:eastAsia="zh-CN"/>
        </w:rPr>
        <w:t>三条，规定</w:t>
      </w:r>
      <w:r>
        <w:rPr>
          <w:rFonts w:hint="eastAsia" w:ascii="仿宋_GB2312" w:hAnsi="仿宋_GB2312" w:eastAsia="仿宋_GB2312" w:cs="仿宋_GB2312"/>
          <w:b w:val="0"/>
          <w:bCs w:val="0"/>
          <w:color w:val="auto"/>
          <w:sz w:val="32"/>
          <w:szCs w:val="32"/>
        </w:rPr>
        <w:t>矿业权人合法权益受法律保护。</w:t>
      </w:r>
      <w:r>
        <w:rPr>
          <w:rFonts w:hint="eastAsia" w:ascii="仿宋_GB2312" w:hAnsi="仿宋_GB2312" w:eastAsia="仿宋_GB2312" w:cs="仿宋_GB2312"/>
          <w:b w:val="0"/>
          <w:bCs w:val="0"/>
          <w:color w:val="auto"/>
          <w:sz w:val="32"/>
          <w:szCs w:val="32"/>
          <w:u w:val="none"/>
          <w:lang w:eastAsia="zh-CN"/>
        </w:rPr>
        <w:t>开采矿产资源给他人生产、生活造成损失的，应当依法负责赔偿，采取必要的补救措施。</w:t>
      </w:r>
      <w:r>
        <w:rPr>
          <w:rFonts w:hint="eastAsia" w:ascii="仿宋_GB2312" w:hAnsi="仿宋_GB2312" w:eastAsia="仿宋_GB2312" w:cs="仿宋_GB2312"/>
          <w:b w:val="0"/>
          <w:bCs w:val="0"/>
          <w:color w:val="auto"/>
          <w:sz w:val="32"/>
          <w:szCs w:val="32"/>
        </w:rPr>
        <w:t>建立由政府、矿山企业、农村集体经济组织、村民代表组成的矛盾纠纷化解协商机制，积极化解矿产资源开发过程中产生的纠纷。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w:t>
      </w:r>
      <w:r>
        <w:rPr>
          <w:rFonts w:hint="eastAsia" w:ascii="仿宋_GB2312" w:hAnsi="仿宋_GB2312" w:cs="仿宋_GB2312"/>
          <w:b w:val="0"/>
          <w:bCs w:val="0"/>
          <w:color w:val="auto"/>
          <w:sz w:val="32"/>
          <w:szCs w:val="32"/>
          <w:lang w:eastAsia="zh-CN"/>
        </w:rPr>
        <w:t>四条，规定</w:t>
      </w:r>
      <w:r>
        <w:rPr>
          <w:rFonts w:hint="eastAsia" w:ascii="仿宋_GB2312" w:hAnsi="仿宋_GB2312" w:eastAsia="仿宋_GB2312" w:cs="仿宋_GB2312"/>
          <w:b w:val="0"/>
          <w:bCs w:val="0"/>
          <w:color w:val="auto"/>
          <w:sz w:val="32"/>
          <w:szCs w:val="32"/>
        </w:rPr>
        <w:t>积极宣传关于矿产资源开发利用和保护方面的法律知识，增强公众的守法和监督意识。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十</w:t>
      </w:r>
      <w:r>
        <w:rPr>
          <w:rFonts w:hint="eastAsia" w:ascii="仿宋_GB2312" w:hAnsi="仿宋_GB2312" w:cs="仿宋_GB2312"/>
          <w:b w:val="0"/>
          <w:bCs w:val="0"/>
          <w:color w:val="auto"/>
          <w:sz w:val="32"/>
          <w:szCs w:val="32"/>
          <w:lang w:eastAsia="zh-CN"/>
        </w:rPr>
        <w:t>五条，规定</w:t>
      </w:r>
      <w:r>
        <w:rPr>
          <w:rFonts w:hint="eastAsia" w:ascii="仿宋_GB2312" w:hAnsi="仿宋_GB2312" w:eastAsia="仿宋_GB2312" w:cs="仿宋_GB2312"/>
          <w:b w:val="0"/>
          <w:bCs w:val="0"/>
          <w:color w:val="auto"/>
          <w:sz w:val="32"/>
          <w:szCs w:val="32"/>
        </w:rPr>
        <w:t>决定施行</w:t>
      </w:r>
      <w:r>
        <w:rPr>
          <w:rFonts w:hint="eastAsia" w:ascii="仿宋_GB2312" w:hAnsi="仿宋_GB2312" w:cs="仿宋_GB2312"/>
          <w:b w:val="0"/>
          <w:bCs w:val="0"/>
          <w:color w:val="auto"/>
          <w:sz w:val="32"/>
          <w:szCs w:val="32"/>
          <w:lang w:eastAsia="zh-CN"/>
        </w:rPr>
        <w:t>期</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lang w:eastAsia="zh-CN"/>
        </w:rPr>
        <w:t>四</w:t>
      </w:r>
      <w:r>
        <w:rPr>
          <w:rFonts w:hint="eastAsia" w:ascii="黑体" w:hAnsi="黑体" w:eastAsia="黑体" w:cs="黑体"/>
          <w:b w:val="0"/>
          <w:bCs w:val="0"/>
          <w:color w:val="auto"/>
          <w:sz w:val="32"/>
        </w:rPr>
        <w:t>、</w:t>
      </w:r>
      <w:r>
        <w:rPr>
          <w:rFonts w:hint="eastAsia" w:ascii="黑体" w:hAnsi="黑体" w:eastAsia="黑体" w:cs="黑体"/>
          <w:b w:val="0"/>
          <w:bCs w:val="0"/>
          <w:color w:val="auto"/>
          <w:sz w:val="32"/>
          <w:lang w:eastAsia="zh-CN"/>
        </w:rPr>
        <w:t>征求意见情况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我局于202</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月全面征求市直部门和各县级人民政府意见，截至202</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10日</w:t>
      </w:r>
      <w:r>
        <w:rPr>
          <w:rFonts w:hint="eastAsia" w:ascii="仿宋_GB2312" w:hAnsi="仿宋_GB2312" w:eastAsia="仿宋_GB2312" w:cs="仿宋_GB2312"/>
          <w:b w:val="0"/>
          <w:bCs w:val="0"/>
          <w:color w:val="auto"/>
          <w:sz w:val="32"/>
          <w:szCs w:val="32"/>
        </w:rPr>
        <w:t>共收到</w:t>
      </w:r>
      <w:r>
        <w:rPr>
          <w:rFonts w:hint="eastAsia" w:ascii="仿宋_GB2312" w:hAnsi="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份反馈意见的复函，</w:t>
      </w:r>
      <w:r>
        <w:rPr>
          <w:rFonts w:hint="eastAsia" w:ascii="仿宋_GB2312" w:hAnsi="仿宋_GB2312" w:cs="仿宋_GB2312"/>
          <w:b w:val="0"/>
          <w:bCs w:val="0"/>
          <w:color w:val="auto"/>
          <w:sz w:val="32"/>
          <w:szCs w:val="32"/>
          <w:lang w:eastAsia="zh-CN"/>
        </w:rPr>
        <w:t>均未提修改意见</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lang w:eastAsia="zh-CN"/>
        </w:rPr>
        <w:t>五</w:t>
      </w:r>
      <w:r>
        <w:rPr>
          <w:rFonts w:hint="eastAsia" w:ascii="黑体" w:hAnsi="黑体" w:eastAsia="黑体" w:cs="黑体"/>
          <w:b w:val="0"/>
          <w:bCs w:val="0"/>
          <w:color w:val="auto"/>
          <w:sz w:val="32"/>
        </w:rPr>
        <w:t>、</w:t>
      </w:r>
      <w:r>
        <w:rPr>
          <w:rFonts w:hint="eastAsia" w:ascii="黑体" w:hAnsi="黑体" w:eastAsia="黑体" w:cs="黑体"/>
          <w:b w:val="0"/>
          <w:bCs w:val="0"/>
          <w:color w:val="auto"/>
          <w:sz w:val="32"/>
          <w:lang w:eastAsia="zh-CN"/>
        </w:rPr>
        <w:t>工作建议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b w:val="0"/>
          <w:bCs w:val="0"/>
          <w:color w:val="auto"/>
          <w:sz w:val="32"/>
          <w:szCs w:val="32"/>
          <w:lang w:val="en-US" w:eastAsia="zh-CN"/>
        </w:rPr>
      </w:pPr>
      <w:r>
        <w:rPr>
          <w:rFonts w:hint="eastAsia" w:ascii="仿宋_GB2312" w:hAnsi="仿宋"/>
          <w:b w:val="0"/>
          <w:bCs w:val="0"/>
          <w:color w:val="auto"/>
          <w:sz w:val="32"/>
          <w:szCs w:val="32"/>
          <w:lang w:val="en-US" w:eastAsia="zh-CN"/>
        </w:rPr>
        <w:t>将《决定》进一步修改完善后，按程序报请市人大常委会审议并印发实施。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b w:val="0"/>
          <w:bCs w:val="0"/>
          <w:color w:val="auto"/>
          <w:sz w:val="32"/>
          <w:szCs w:val="32"/>
          <w:lang w:val="en-US" w:eastAsia="zh-CN"/>
        </w:rPr>
      </w:pPr>
      <w:r>
        <w:rPr>
          <w:rFonts w:hint="eastAsia" w:ascii="仿宋_GB2312" w:hAnsi="仿宋"/>
          <w:b w:val="0"/>
          <w:bCs w:val="0"/>
          <w:color w:val="auto"/>
          <w:sz w:val="32"/>
          <w:szCs w:val="32"/>
          <w:lang w:val="en-US" w:eastAsia="zh-CN"/>
        </w:rPr>
        <w:t>特此说明。</w:t>
      </w:r>
    </w:p>
    <w:p>
      <w:pPr>
        <w:keepNext w:val="0"/>
        <w:keepLines w:val="0"/>
        <w:pageBreakBefore w:val="0"/>
        <w:widowControl w:val="0"/>
        <w:tabs>
          <w:tab w:val="left" w:pos="8000"/>
        </w:tabs>
        <w:kinsoku/>
        <w:wordWrap/>
        <w:overflowPunct/>
        <w:topLinePunct w:val="0"/>
        <w:autoSpaceDE/>
        <w:autoSpaceDN/>
        <w:bidi w:val="0"/>
        <w:adjustRightInd w:val="0"/>
        <w:snapToGrid w:val="0"/>
        <w:spacing w:line="520" w:lineRule="exact"/>
        <w:ind w:right="0" w:rightChars="0"/>
        <w:jc w:val="center"/>
        <w:textAlignment w:val="auto"/>
        <w:outlineLvl w:val="9"/>
        <w:rPr>
          <w:rFonts w:hint="eastAsia" w:ascii="仿宋_GB2312" w:hAnsi="仿宋" w:eastAsia="仿宋_GB2312"/>
          <w:b w:val="0"/>
          <w:bCs w:val="0"/>
          <w:color w:val="auto"/>
          <w:sz w:val="32"/>
          <w:szCs w:val="32"/>
          <w:lang w:val="en-US" w:eastAsia="zh-CN"/>
        </w:rPr>
      </w:pPr>
    </w:p>
    <w:sectPr>
      <w:footerReference r:id="rId6" w:type="first"/>
      <w:headerReference r:id="rId3" w:type="default"/>
      <w:footerReference r:id="rId4" w:type="default"/>
      <w:footerReference r:id="rId5" w:type="even"/>
      <w:pgSz w:w="11907" w:h="16840"/>
      <w:pgMar w:top="2098" w:right="1474" w:bottom="1985" w:left="1588" w:header="1247" w:footer="1247" w:gutter="0"/>
      <w:pgNumType w:fmt="numberInDash" w:start="1"/>
      <w:cols w:space="708"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hint="eastAsia" w:ascii="宋体" w:hAnsi="宋体" w:eastAsia="宋体"/>
        <w:sz w:val="28"/>
      </w:rPr>
      <w:t>- 1 -</w:t>
    </w:r>
    <w:r>
      <w:rPr>
        <w:rFonts w:hint="eastAsia" w:ascii="宋体" w:hAnsi="宋体" w:eastAsia="宋体"/>
        <w:sz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Pr>
    <w:r>
      <w:fldChar w:fldCharType="begin"/>
    </w:r>
    <w:r>
      <w:rPr>
        <w:rStyle w:val="14"/>
      </w:rPr>
      <w:instrText xml:space="preserve">PAGE  </w:instrText>
    </w:r>
    <w:r>
      <w:fldChar w:fldCharType="separate"/>
    </w:r>
    <w:r>
      <w:rPr>
        <w:rStyle w:val="14"/>
      </w:rPr>
      <w:t>- 1 -</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r>
      <w:rPr>
        <w:rFonts w:hint="eastAsia"/>
        <w:lang w:eastAsia="zh-CN"/>
      </w:rPr>
      <w:fldChar w:fldCharType="begin"/>
    </w:r>
    <w:r>
      <w:rPr>
        <w:rStyle w:val="14"/>
        <w:rFonts w:hint="eastAsia"/>
        <w:lang w:eastAsia="zh-CN"/>
      </w:rPr>
      <w:instrText xml:space="preserve"> PAGE  </w:instrText>
    </w:r>
    <w:r>
      <w:rPr>
        <w:rFonts w:hint="eastAsia"/>
        <w:lang w:eastAsia="zh-CN"/>
      </w:rPr>
      <w:fldChar w:fldCharType="separate"/>
    </w:r>
    <w:r>
      <w:rPr>
        <w:rStyle w:val="14"/>
        <w:rFonts w:hint="eastAsia"/>
        <w:lang w:eastAsia="zh-CN"/>
      </w:rPr>
      <w:t>- 1 -</w:t>
    </w:r>
    <w:r>
      <w:rPr>
        <w:rFonts w:hint="eastAsia"/>
        <w:lang w:eastAsia="zh-CN"/>
      </w:rPr>
      <w:fldChar w:fldCharType="end"/>
    </w:r>
  </w:p>
  <w:p>
    <w:pPr>
      <w:pStyle w:val="8"/>
      <w:tabs>
        <w:tab w:val="left" w:pos="7471"/>
        <w:tab w:val="clear" w:pos="4153"/>
      </w:tabs>
      <w:ind w:right="360" w:firstLine="360" w:firstLineChars="0"/>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5075ec"/>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right"/>
                            <w:rPr>
                              <w:rFonts w:hint="eastAsia" w:eastAsia="仿宋_GB2312"/>
                              <w:lang w:eastAsia="zh-CN"/>
                            </w:rPr>
                          </w:pPr>
                        </w:p>
                      </w:txbxContent>
                    </wps:txbx>
                    <wps:bodyPr wrap="none"/>
                  </wps:wsp>
                </a:graphicData>
              </a:graphic>
            </wp:anchor>
          </w:drawing>
        </mc:Choice>
        <mc:Fallback>
          <w:pict>
            <v:shape id="5075ec"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FQ9jl7U&#10;AAAABQEAAA8AAAAAAAAAAQAgAAAAIgAAAGRycy9kb3ducmV2LnhtbFBLAQIUABQAAAAIAIdO4kDc&#10;iAkgeQEAAPwCAAAOAAAAAAAAAAEAIAAAACMBAABkcnMvZTJvRG9jLnhtbFBLBQYAAAAABgAGAFkB&#10;AAAOBQAAAAA=&#10;">
              <v:fill on="f" focussize="0,0"/>
              <v:stroke on="f"/>
              <v:imagedata o:title=""/>
              <o:lock v:ext="edit" aspectratio="f"/>
              <v:textbox>
                <w:txbxContent>
                  <w:p>
                    <w:pPr>
                      <w:pStyle w:val="8"/>
                      <w:jc w:val="right"/>
                      <w:rPr>
                        <w:rFonts w:hint="eastAsia" w:eastAsia="仿宋_GB2312"/>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hZTY1OTU3ZTVkZDcyYTEyMDJlN2M3MzJjMWE0MzIifQ=="/>
  </w:docVars>
  <w:rsids>
    <w:rsidRoot w:val="00172A27"/>
    <w:rsid w:val="0012712C"/>
    <w:rsid w:val="004E052C"/>
    <w:rsid w:val="018D6DB7"/>
    <w:rsid w:val="02442BED"/>
    <w:rsid w:val="050B0C4F"/>
    <w:rsid w:val="079547ED"/>
    <w:rsid w:val="07CF537A"/>
    <w:rsid w:val="08876126"/>
    <w:rsid w:val="0A43585E"/>
    <w:rsid w:val="0AA12E48"/>
    <w:rsid w:val="0E2538C0"/>
    <w:rsid w:val="0EB553CB"/>
    <w:rsid w:val="0EB57B3C"/>
    <w:rsid w:val="0FB32E03"/>
    <w:rsid w:val="101D17FE"/>
    <w:rsid w:val="11FC212A"/>
    <w:rsid w:val="12EC186C"/>
    <w:rsid w:val="1320697E"/>
    <w:rsid w:val="13D63160"/>
    <w:rsid w:val="14496DFC"/>
    <w:rsid w:val="1778254E"/>
    <w:rsid w:val="18A22797"/>
    <w:rsid w:val="19623DA5"/>
    <w:rsid w:val="198D489E"/>
    <w:rsid w:val="1C366144"/>
    <w:rsid w:val="1F0534F6"/>
    <w:rsid w:val="20AB4080"/>
    <w:rsid w:val="21DD3C37"/>
    <w:rsid w:val="227F1AB6"/>
    <w:rsid w:val="25B60B81"/>
    <w:rsid w:val="2C3F400E"/>
    <w:rsid w:val="2E07002E"/>
    <w:rsid w:val="2EB016EB"/>
    <w:rsid w:val="33B40AB7"/>
    <w:rsid w:val="34592B39"/>
    <w:rsid w:val="361D2E5B"/>
    <w:rsid w:val="37500563"/>
    <w:rsid w:val="3A7E0E99"/>
    <w:rsid w:val="3C8D40F7"/>
    <w:rsid w:val="3CA132FC"/>
    <w:rsid w:val="3DF52693"/>
    <w:rsid w:val="3E131699"/>
    <w:rsid w:val="400353D3"/>
    <w:rsid w:val="42684810"/>
    <w:rsid w:val="44E765BE"/>
    <w:rsid w:val="44FA2D2E"/>
    <w:rsid w:val="46A6272E"/>
    <w:rsid w:val="46EB389E"/>
    <w:rsid w:val="478911B8"/>
    <w:rsid w:val="4A587D36"/>
    <w:rsid w:val="4E143A5D"/>
    <w:rsid w:val="4E7213A5"/>
    <w:rsid w:val="4FDC0F83"/>
    <w:rsid w:val="516A3D85"/>
    <w:rsid w:val="529E30FE"/>
    <w:rsid w:val="55C131AE"/>
    <w:rsid w:val="55EA56ED"/>
    <w:rsid w:val="574723AF"/>
    <w:rsid w:val="596246E8"/>
    <w:rsid w:val="5EE55FD2"/>
    <w:rsid w:val="61D43D6A"/>
    <w:rsid w:val="625F48D2"/>
    <w:rsid w:val="63D4087A"/>
    <w:rsid w:val="645B497C"/>
    <w:rsid w:val="6464073C"/>
    <w:rsid w:val="648843F5"/>
    <w:rsid w:val="65C82C4A"/>
    <w:rsid w:val="66E87F73"/>
    <w:rsid w:val="67816C53"/>
    <w:rsid w:val="67BB53D7"/>
    <w:rsid w:val="6A074546"/>
    <w:rsid w:val="6A382ABA"/>
    <w:rsid w:val="6B3721D7"/>
    <w:rsid w:val="6BB7398C"/>
    <w:rsid w:val="6C0A2C9A"/>
    <w:rsid w:val="6C854736"/>
    <w:rsid w:val="6DCA5E79"/>
    <w:rsid w:val="6E400E73"/>
    <w:rsid w:val="6ED72DCF"/>
    <w:rsid w:val="6F9159AF"/>
    <w:rsid w:val="6FDB175E"/>
    <w:rsid w:val="72562CDF"/>
    <w:rsid w:val="72851DD3"/>
    <w:rsid w:val="732339A6"/>
    <w:rsid w:val="768B1715"/>
    <w:rsid w:val="77246FC0"/>
    <w:rsid w:val="77926213"/>
    <w:rsid w:val="793C76DE"/>
    <w:rsid w:val="7A2A7161"/>
    <w:rsid w:val="7C3236BA"/>
    <w:rsid w:val="7F9F5E8A"/>
    <w:rsid w:val="7FDD33B2"/>
    <w:rsid w:val="7FDE5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link w:val="12"/>
    <w:semiHidden/>
    <w:unhideWhenUsed/>
    <w:qFormat/>
    <w:uiPriority w:val="1"/>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eastAsia="宋体"/>
      <w:sz w:val="30"/>
      <w:szCs w:val="22"/>
    </w:rPr>
  </w:style>
  <w:style w:type="paragraph" w:styleId="3">
    <w:name w:val="Body Text Indent"/>
    <w:basedOn w:val="1"/>
    <w:qFormat/>
    <w:uiPriority w:val="0"/>
    <w:pPr>
      <w:ind w:firstLine="630"/>
    </w:pPr>
    <w:rPr>
      <w:rFonts w:eastAsia="仿宋_GB2312" w:cs="Times New Roman"/>
      <w:sz w:val="32"/>
    </w:rPr>
  </w:style>
  <w:style w:type="paragraph" w:styleId="6">
    <w:name w:val="Plain Text"/>
    <w:basedOn w:val="1"/>
    <w:next w:val="1"/>
    <w:qFormat/>
    <w:uiPriority w:val="0"/>
    <w:rPr>
      <w:rFonts w:hint="eastAsia" w:ascii="宋体" w:hAnsi="Courier New"/>
    </w:rPr>
  </w:style>
  <w:style w:type="paragraph" w:styleId="7">
    <w:name w:val="Body Text Indent 2"/>
    <w:basedOn w:val="1"/>
    <w:qFormat/>
    <w:uiPriority w:val="0"/>
    <w:pPr>
      <w:adjustRightInd w:val="0"/>
      <w:spacing w:line="0" w:lineRule="atLeast"/>
      <w:ind w:left="900" w:hanging="900"/>
      <w:textAlignment w:val="baseline"/>
    </w:pPr>
    <w:rPr>
      <w:spacing w:val="4"/>
      <w:kern w:val="0"/>
      <w:sz w:val="28"/>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 Char"/>
    <w:basedOn w:val="1"/>
    <w:link w:val="11"/>
    <w:qFormat/>
    <w:uiPriority w:val="0"/>
  </w:style>
  <w:style w:type="character" w:styleId="13">
    <w:name w:val="Strong"/>
    <w:basedOn w:val="11"/>
    <w:qFormat/>
    <w:uiPriority w:val="0"/>
    <w:rPr>
      <w:b/>
    </w:rPr>
  </w:style>
  <w:style w:type="character" w:styleId="14">
    <w:name w:val="page number"/>
    <w:basedOn w:val="11"/>
    <w:qFormat/>
    <w:uiPriority w:val="0"/>
  </w:style>
  <w:style w:type="paragraph" w:customStyle="1" w:styleId="16">
    <w:name w:val="页眉 New New"/>
    <w:basedOn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7">
    <w:name w:val="正文 New New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8">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页眉 New"/>
    <w:basedOn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0">
    <w:name w:val="正文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21">
    <w:name w:val="页脚 New"/>
    <w:basedOn w:val="20"/>
    <w:qFormat/>
    <w:uiPriority w:val="0"/>
    <w:pPr>
      <w:tabs>
        <w:tab w:val="center" w:pos="4153"/>
        <w:tab w:val="right" w:pos="8306"/>
      </w:tabs>
      <w:snapToGrid w:val="0"/>
      <w:jc w:val="left"/>
    </w:pPr>
    <w:rPr>
      <w:sz w:val="18"/>
    </w:rPr>
  </w:style>
  <w:style w:type="character" w:customStyle="1" w:styleId="22">
    <w:name w:val="NormalCharacter"/>
    <w:qFormat/>
    <w:uiPriority w:val="0"/>
    <w:rPr>
      <w:sz w:val="32"/>
    </w:rPr>
  </w:style>
  <w:style w:type="paragraph" w:customStyle="1" w:styleId="23">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页脚 New New"/>
    <w:basedOn w:val="17"/>
    <w:qFormat/>
    <w:uiPriority w:val="0"/>
    <w:pPr>
      <w:tabs>
        <w:tab w:val="center" w:pos="4153"/>
        <w:tab w:val="right" w:pos="8306"/>
      </w:tabs>
      <w:snapToGrid w:val="0"/>
      <w:jc w:val="left"/>
    </w:pPr>
    <w:rPr>
      <w:sz w:val="18"/>
    </w:rPr>
  </w:style>
  <w:style w:type="paragraph" w:customStyle="1" w:styleId="25">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Office_10.8.2.7119_F1E327BC-269C-435d-A152-05C5408002CA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2022-11-23T07:17:00Z</dcterms:created>
  <dc:creator>Administrator</dc:creator>
  <cp:lastModifiedBy>Administrator</cp:lastModifiedBy>
  <dcterms:modified xsi:type="dcterms:W3CDTF">2023-02-10T06:58:52Z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