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Hlk118361343"/>
      <w:r>
        <w:rPr>
          <w:rFonts w:hint="eastAsia" w:ascii="方正小标宋简体" w:hAnsi="方正小标宋简体" w:eastAsia="方正小标宋简体" w:cs="方正小标宋简体"/>
          <w:sz w:val="44"/>
          <w:szCs w:val="44"/>
        </w:rPr>
        <w:t>《韶关历史文化名城保护规划修编（202</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-2035年）》</w:t>
      </w:r>
      <w:bookmarkEnd w:id="0"/>
      <w:r>
        <w:rPr>
          <w:rFonts w:hint="eastAsia" w:ascii="方正小标宋简体" w:hAnsi="方正小标宋简体" w:eastAsia="方正小标宋简体" w:cs="方正小标宋简体"/>
          <w:sz w:val="44"/>
          <w:szCs w:val="44"/>
          <w:lang w:eastAsia="zh-CN"/>
        </w:rPr>
        <w:t>（草案</w:t>
      </w:r>
      <w:bookmarkStart w:id="1" w:name="_GoBack"/>
      <w:bookmarkEnd w:id="1"/>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ind w:firstLine="624" w:firstLineChars="200"/>
        <w:rPr>
          <w:rFonts w:ascii="仿宋_GB2312" w:hAnsi="仿宋_GB2312" w:eastAsia="仿宋_GB2312"/>
          <w:sz w:val="32"/>
        </w:rPr>
      </w:pPr>
    </w:p>
    <w:p>
      <w:pPr>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为进一步加强韶关历史文化名城保护，彰显韶关古城魅力，擦亮“韶文化”品牌，</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国家历史文化名城申报工作，</w:t>
      </w:r>
      <w:r>
        <w:rPr>
          <w:rFonts w:hint="eastAsia" w:ascii="仿宋_GB2312" w:hAnsi="仿宋_GB2312" w:eastAsia="仿宋_GB2312" w:cs="仿宋_GB2312"/>
          <w:sz w:val="32"/>
          <w:szCs w:val="32"/>
          <w:lang w:eastAsia="zh-CN"/>
        </w:rPr>
        <w:t>韶关市人民政府</w:t>
      </w:r>
      <w:r>
        <w:rPr>
          <w:rFonts w:hint="eastAsia" w:ascii="仿宋_GB2312" w:hAnsi="仿宋_GB2312" w:eastAsia="仿宋_GB2312" w:cs="仿宋_GB2312"/>
          <w:sz w:val="32"/>
          <w:szCs w:val="32"/>
        </w:rPr>
        <w:t>启动了新一轮《韶关历史文化名城保护规划修编（2021-2035年》的编制工作，目前已形成规划草案（以下简称《规划》公示稿）,现将《规划》公示稿起草情况说明如下：</w:t>
      </w:r>
    </w:p>
    <w:p>
      <w:pPr>
        <w:ind w:firstLine="624" w:firstLineChars="200"/>
        <w:rPr>
          <w:rFonts w:ascii="黑体" w:hAnsi="黑体" w:eastAsia="黑体" w:cs="黑体"/>
          <w:sz w:val="32"/>
          <w:szCs w:val="32"/>
        </w:rPr>
      </w:pPr>
      <w:r>
        <w:rPr>
          <w:rFonts w:hint="eastAsia" w:ascii="黑体" w:hAnsi="黑体" w:eastAsia="黑体" w:cs="黑体"/>
          <w:sz w:val="32"/>
          <w:szCs w:val="32"/>
        </w:rPr>
        <w:t>一、起草的背景和意义</w:t>
      </w:r>
    </w:p>
    <w:p>
      <w:pPr>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党的十八大以来，国家越来越重视</w:t>
      </w:r>
      <w:r>
        <w:rPr>
          <w:rFonts w:hint="eastAsia" w:ascii="仿宋_GB2312" w:hAnsi="仿宋_GB2312" w:eastAsia="仿宋_GB2312" w:cs="仿宋_GB2312"/>
          <w:sz w:val="32"/>
          <w:szCs w:val="32"/>
          <w:lang w:val="en-US" w:eastAsia="zh-CN"/>
        </w:rPr>
        <w:t>历史文化保护传承</w:t>
      </w:r>
      <w:r>
        <w:rPr>
          <w:rFonts w:hint="eastAsia" w:ascii="仿宋_GB2312" w:hAnsi="仿宋_GB2312" w:eastAsia="仿宋_GB2312" w:cs="仿宋_GB2312"/>
          <w:sz w:val="32"/>
          <w:szCs w:val="32"/>
        </w:rPr>
        <w:t>，习近平总书记发表一系列重要论述、作出一系列重要指示批示，为历史文化遗产保护指明了前进方向、提供了根本遵循。2021年3月，广东省住房和城乡建设厅印发《广东省住房和城乡建设厅关于加快推进规划期限至2035年历史文化名城名镇名村、街区保护规划编制（修编）工作的函》（粤建节函〔2021〕175号），提出尽快启动规划期限为2035年的历史文化名城名镇名村保护规划编制工作。上版</w:t>
      </w:r>
      <w:r>
        <w:rPr>
          <w:rFonts w:hint="eastAsia" w:ascii="仿宋_GB2312" w:hAnsi="仿宋_GB2312" w:eastAsia="仿宋_GB2312" w:cs="仿宋_GB2312"/>
          <w:sz w:val="32"/>
          <w:szCs w:val="32"/>
          <w:lang w:val="en-US" w:eastAsia="zh-CN"/>
        </w:rPr>
        <w:t>韶关</w:t>
      </w:r>
      <w:r>
        <w:rPr>
          <w:rFonts w:hint="eastAsia" w:ascii="仿宋_GB2312" w:hAnsi="仿宋_GB2312" w:eastAsia="仿宋_GB2312" w:cs="仿宋_GB2312"/>
          <w:sz w:val="32"/>
          <w:szCs w:val="32"/>
        </w:rPr>
        <w:t>历史文化名城保护规划已于2020年到期。通过修编韶关市历史文化名城保护规划，进一步梳理韶关的历史文化资源，深入挖掘韶关历史文化名城的价值、特色与内涵，对历史城区、历史文化街区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历史建筑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一系列保护对象</w:t>
      </w:r>
      <w:r>
        <w:rPr>
          <w:rFonts w:hint="eastAsia" w:ascii="仿宋_GB2312" w:hAnsi="仿宋_GB2312" w:eastAsia="仿宋_GB2312" w:cs="仿宋_GB2312"/>
          <w:sz w:val="32"/>
          <w:szCs w:val="32"/>
        </w:rPr>
        <w:t>提出综合性的保护</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rPr>
        <w:t>措施，助力申报国家历史文化名城，打造“善美韶关”的靓丽</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名片。</w:t>
      </w:r>
    </w:p>
    <w:p>
      <w:pPr>
        <w:ind w:firstLine="624" w:firstLineChars="200"/>
        <w:rPr>
          <w:rFonts w:ascii="黑体" w:hAnsi="黑体" w:eastAsia="黑体" w:cs="黑体"/>
          <w:sz w:val="32"/>
          <w:szCs w:val="32"/>
        </w:rPr>
      </w:pPr>
      <w:r>
        <w:rPr>
          <w:rFonts w:hint="eastAsia" w:ascii="黑体" w:hAnsi="黑体" w:eastAsia="黑体" w:cs="黑体"/>
          <w:sz w:val="32"/>
          <w:szCs w:val="32"/>
        </w:rPr>
        <w:t>二、政策依据</w:t>
      </w:r>
    </w:p>
    <w:p>
      <w:pPr>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（一）《关于学习贯彻习近平总书记广东考察时重要讲话精神  进一步加强历史文化保护工作的报告》（2019年）；</w:t>
      </w:r>
    </w:p>
    <w:p>
      <w:pPr>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（二）《关于在城乡建设中加强历史文化保护传承的意见》（2021年9月）</w:t>
      </w:r>
    </w:p>
    <w:p>
      <w:pPr>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（三）《历史文化名城名镇名村街区保护规划编制成果报审（报批、报备）要求》（2021年）；</w:t>
      </w:r>
    </w:p>
    <w:p>
      <w:pPr>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（四）《关于在国土空间规划编制和实施中加强历史文化遗产保护管理的指导意见》（2021年）；</w:t>
      </w:r>
    </w:p>
    <w:p>
      <w:pPr>
        <w:ind w:firstLine="624" w:firstLineChars="200"/>
        <w:rPr>
          <w:rStyle w:val="8"/>
          <w:rFonts w:ascii="仿宋_GB2312" w:hAnsi="仿宋_GB2312" w:eastAsia="仿宋_GB2312" w:cs="仿宋_GB2312"/>
          <w:b w:val="0"/>
          <w:bCs/>
          <w:sz w:val="22"/>
          <w:szCs w:val="32"/>
        </w:rPr>
      </w:pPr>
      <w:r>
        <w:rPr>
          <w:rFonts w:hint="eastAsia" w:ascii="仿宋_GB2312" w:hAnsi="仿宋_GB2312" w:eastAsia="仿宋_GB2312" w:cs="仿宋_GB2312"/>
          <w:sz w:val="32"/>
          <w:szCs w:val="32"/>
        </w:rPr>
        <w:t>（五）《广东省住房和城乡建设厅关于加快推进规划期限至2035年历史文化名城名镇名村、街区保护规划编制（修编）工作的函》（粤建节〔2021〕175号）。</w:t>
      </w:r>
    </w:p>
    <w:p>
      <w:pPr>
        <w:ind w:firstLine="624" w:firstLineChars="200"/>
        <w:rPr>
          <w:rFonts w:ascii="黑体" w:hAnsi="黑体" w:eastAsia="黑体" w:cs="黑体"/>
          <w:sz w:val="32"/>
          <w:szCs w:val="32"/>
        </w:rPr>
      </w:pPr>
      <w:r>
        <w:rPr>
          <w:rFonts w:hint="eastAsia" w:ascii="黑体" w:hAnsi="黑体" w:eastAsia="黑体" w:cs="黑体"/>
          <w:sz w:val="32"/>
          <w:szCs w:val="32"/>
        </w:rPr>
        <w:t>三、主要内容说明</w:t>
      </w:r>
    </w:p>
    <w:p>
      <w:pPr>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《规划》公示稿共十三部分。</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第一部分是规划范围，主要包含</w:t>
      </w:r>
      <w:r>
        <w:rPr>
          <w:rFonts w:hint="eastAsia" w:ascii="仿宋_GB2312" w:hAnsi="仿宋_GB2312" w:eastAsia="仿宋_GB2312" w:cs="仿宋_GB2312"/>
          <w:color w:val="000000"/>
          <w:kern w:val="0"/>
          <w:sz w:val="32"/>
          <w:szCs w:val="32"/>
          <w:lang w:val="en-US" w:eastAsia="zh-CN"/>
        </w:rPr>
        <w:t>市域及历史城区两个层次</w:t>
      </w:r>
      <w:r>
        <w:rPr>
          <w:rFonts w:hint="eastAsia" w:ascii="仿宋_GB2312" w:hAnsi="仿宋_GB2312" w:eastAsia="仿宋_GB2312" w:cs="仿宋_GB2312"/>
          <w:color w:val="000000"/>
          <w:kern w:val="0"/>
          <w:sz w:val="32"/>
          <w:szCs w:val="32"/>
        </w:rPr>
        <w:t>；</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第二部分是规划期限，包含近期和远期；</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第三部分是规划原则；</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第四部分是名城价值与特色，</w:t>
      </w:r>
      <w:r>
        <w:rPr>
          <w:rFonts w:hint="eastAsia" w:ascii="仿宋_GB2312" w:hAnsi="仿宋_GB2312" w:eastAsia="仿宋_GB2312" w:cs="仿宋_GB2312"/>
          <w:color w:val="000000"/>
          <w:kern w:val="0"/>
          <w:sz w:val="32"/>
          <w:szCs w:val="32"/>
          <w:lang w:val="en-US" w:eastAsia="zh-CN"/>
        </w:rPr>
        <w:t>具体</w:t>
      </w:r>
      <w:r>
        <w:rPr>
          <w:rFonts w:hint="eastAsia" w:ascii="仿宋_GB2312" w:hAnsi="仿宋_GB2312" w:eastAsia="仿宋_GB2312" w:cs="仿宋_GB2312"/>
          <w:color w:val="000000"/>
          <w:kern w:val="0"/>
          <w:sz w:val="32"/>
          <w:szCs w:val="32"/>
        </w:rPr>
        <w:t>包含六项历史文化价值和四项历史文化特色；</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第五部分是保护体系，包含7个层面的规划内容；</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第六部分是市域整体保护，主要包含历史文化空间结构、韶关历史文化名城保护内容一览表等；</w:t>
      </w:r>
    </w:p>
    <w:p>
      <w:pPr>
        <w:ind w:firstLine="624"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第七部分是历史城区的保护，主要包括明确功能定位、保护传统空间、营造景观特色风貌、强化景观视廊控制、改善环境与设施等</w:t>
      </w:r>
      <w:r>
        <w:rPr>
          <w:rFonts w:hint="eastAsia" w:ascii="仿宋_GB2312" w:hAnsi="仿宋_GB2312" w:eastAsia="仿宋_GB2312" w:cs="仿宋_GB2312"/>
          <w:color w:val="000000"/>
          <w:kern w:val="0"/>
          <w:sz w:val="32"/>
          <w:szCs w:val="32"/>
          <w:lang w:eastAsia="zh-CN"/>
        </w:rPr>
        <w:t>；</w:t>
      </w:r>
    </w:p>
    <w:p>
      <w:pPr>
        <w:ind w:firstLine="624"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第八部分是</w:t>
      </w:r>
      <w:r>
        <w:rPr>
          <w:rFonts w:hint="eastAsia" w:ascii="仿宋_GB2312" w:hAnsi="仿宋_GB2312" w:eastAsia="仿宋_GB2312" w:cs="仿宋_GB2312"/>
          <w:color w:val="000000"/>
          <w:kern w:val="0"/>
          <w:sz w:val="32"/>
          <w:szCs w:val="32"/>
        </w:rPr>
        <w:t>历史文化名镇名村、传统村落的保护；</w:t>
      </w:r>
    </w:p>
    <w:p>
      <w:pPr>
        <w:ind w:firstLine="624"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第九部分是</w:t>
      </w:r>
      <w:r>
        <w:rPr>
          <w:rFonts w:hint="eastAsia" w:ascii="仿宋_GB2312" w:hAnsi="仿宋_GB2312" w:eastAsia="仿宋_GB2312" w:cs="仿宋_GB2312"/>
          <w:color w:val="000000"/>
          <w:kern w:val="0"/>
          <w:sz w:val="32"/>
          <w:szCs w:val="32"/>
        </w:rPr>
        <w:t>历史文化街区、历史文化风貌区的保护；</w:t>
      </w:r>
    </w:p>
    <w:p>
      <w:pPr>
        <w:ind w:firstLine="624"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rPr>
        <w:t>十</w:t>
      </w:r>
      <w:r>
        <w:rPr>
          <w:rFonts w:ascii="仿宋_GB2312" w:hAnsi="仿宋_GB2312" w:eastAsia="仿宋_GB2312" w:cs="仿宋_GB2312"/>
          <w:color w:val="000000"/>
          <w:kern w:val="0"/>
          <w:sz w:val="32"/>
          <w:szCs w:val="32"/>
        </w:rPr>
        <w:t>部分是</w:t>
      </w:r>
      <w:r>
        <w:rPr>
          <w:rFonts w:hint="eastAsia" w:ascii="仿宋_GB2312" w:hAnsi="仿宋_GB2312" w:eastAsia="仿宋_GB2312" w:cs="仿宋_GB2312"/>
          <w:color w:val="000000"/>
          <w:kern w:val="0"/>
          <w:sz w:val="32"/>
          <w:szCs w:val="32"/>
        </w:rPr>
        <w:t>文物古迹的保护，主要包括文物保护单位的保护、一般不可移动文物的保护、历史建筑的保护、地下</w:t>
      </w:r>
      <w:r>
        <w:rPr>
          <w:rFonts w:hint="eastAsia" w:ascii="仿宋_GB2312" w:hAnsi="仿宋_GB2312" w:eastAsia="仿宋_GB2312" w:cs="仿宋_GB2312"/>
          <w:color w:val="000000"/>
          <w:kern w:val="0"/>
          <w:sz w:val="32"/>
          <w:szCs w:val="32"/>
          <w:lang w:val="en-US" w:eastAsia="zh-CN"/>
        </w:rPr>
        <w:t>文物</w:t>
      </w:r>
      <w:r>
        <w:rPr>
          <w:rFonts w:hint="eastAsia" w:ascii="仿宋_GB2312" w:hAnsi="仿宋_GB2312" w:eastAsia="仿宋_GB2312" w:cs="仿宋_GB2312"/>
          <w:color w:val="000000"/>
          <w:kern w:val="0"/>
          <w:sz w:val="32"/>
          <w:szCs w:val="32"/>
        </w:rPr>
        <w:t>埋藏区的保护；</w:t>
      </w:r>
    </w:p>
    <w:p>
      <w:pPr>
        <w:ind w:firstLine="62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第十一部分是非物质文化遗产的保护，重点保护韶关市已公布的市级以上非物质文化遗产87项以及其它优秀传统文化；</w:t>
      </w:r>
    </w:p>
    <w:p>
      <w:pPr>
        <w:ind w:firstLine="624"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rPr>
        <w:t>十二</w:t>
      </w:r>
      <w:r>
        <w:rPr>
          <w:rFonts w:ascii="仿宋_GB2312" w:hAnsi="仿宋_GB2312" w:eastAsia="仿宋_GB2312" w:cs="仿宋_GB2312"/>
          <w:color w:val="000000"/>
          <w:kern w:val="0"/>
          <w:sz w:val="32"/>
          <w:szCs w:val="32"/>
        </w:rPr>
        <w:t>部分是</w:t>
      </w:r>
      <w:r>
        <w:rPr>
          <w:rFonts w:hint="eastAsia" w:ascii="仿宋_GB2312" w:hAnsi="仿宋_GB2312" w:eastAsia="仿宋_GB2312" w:cs="仿宋_GB2312"/>
          <w:color w:val="000000"/>
          <w:kern w:val="0"/>
          <w:sz w:val="32"/>
          <w:szCs w:val="32"/>
        </w:rPr>
        <w:t>其他文化遗产的保护，主要包括</w:t>
      </w:r>
      <w:r>
        <w:rPr>
          <w:rFonts w:hint="eastAsia" w:ascii="仿宋_GB2312" w:hAnsi="仿宋_GB2312" w:eastAsia="仿宋_GB2312" w:cs="仿宋_GB2312"/>
          <w:color w:val="000000"/>
          <w:kern w:val="0"/>
          <w:sz w:val="32"/>
          <w:szCs w:val="32"/>
          <w:lang w:val="en-US" w:eastAsia="zh-CN"/>
        </w:rPr>
        <w:t>古</w:t>
      </w:r>
      <w:r>
        <w:rPr>
          <w:rFonts w:hint="eastAsia" w:ascii="仿宋_GB2312" w:hAnsi="仿宋_GB2312" w:eastAsia="仿宋_GB2312" w:cs="仿宋_GB2312"/>
          <w:color w:val="000000"/>
          <w:kern w:val="0"/>
          <w:sz w:val="32"/>
          <w:szCs w:val="32"/>
        </w:rPr>
        <w:t>驿道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历史文化游径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不可移动革命文物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红色革命遗址</w:t>
      </w:r>
      <w:r>
        <w:rPr>
          <w:rFonts w:hint="eastAsia" w:ascii="仿宋_GB2312" w:hAnsi="仿宋_GB2312" w:eastAsia="仿宋_GB2312" w:cs="仿宋_GB2312"/>
          <w:color w:val="000000"/>
          <w:kern w:val="0"/>
          <w:sz w:val="32"/>
          <w:szCs w:val="32"/>
          <w:lang w:val="en-US" w:eastAsia="zh-CN"/>
        </w:rPr>
        <w:t>和</w:t>
      </w:r>
      <w:r>
        <w:rPr>
          <w:rFonts w:hint="eastAsia" w:ascii="仿宋_GB2312" w:hAnsi="仿宋_GB2312" w:eastAsia="仿宋_GB2312" w:cs="仿宋_GB2312"/>
          <w:color w:val="000000"/>
          <w:kern w:val="0"/>
          <w:sz w:val="32"/>
          <w:szCs w:val="32"/>
        </w:rPr>
        <w:t>工业遗产等；</w:t>
      </w:r>
    </w:p>
    <w:p>
      <w:pPr>
        <w:ind w:firstLine="624" w:firstLineChars="200"/>
        <w:rPr>
          <w:rFonts w:hint="eastAsia"/>
        </w:rPr>
      </w:pPr>
      <w:r>
        <w:rPr>
          <w:rFonts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rPr>
        <w:t>十三</w:t>
      </w:r>
      <w:r>
        <w:rPr>
          <w:rFonts w:ascii="仿宋_GB2312" w:hAnsi="仿宋_GB2312" w:eastAsia="仿宋_GB2312" w:cs="仿宋_GB2312"/>
          <w:color w:val="000000"/>
          <w:kern w:val="0"/>
          <w:sz w:val="32"/>
          <w:szCs w:val="32"/>
        </w:rPr>
        <w:t>部分是</w:t>
      </w:r>
      <w:r>
        <w:rPr>
          <w:rFonts w:hint="eastAsia" w:ascii="仿宋_GB2312" w:hAnsi="仿宋_GB2312" w:eastAsia="仿宋_GB2312" w:cs="仿宋_GB2312"/>
          <w:color w:val="000000"/>
          <w:kern w:val="0"/>
          <w:sz w:val="32"/>
          <w:szCs w:val="32"/>
        </w:rPr>
        <w:t>历史文化遗产的展示与利用，主要包括</w:t>
      </w:r>
      <w:r>
        <w:rPr>
          <w:rFonts w:hint="eastAsia" w:ascii="仿宋_GB2312" w:hAnsi="仿宋_GB2312" w:eastAsia="仿宋_GB2312" w:cs="仿宋_GB2312"/>
          <w:color w:val="000000"/>
          <w:kern w:val="0"/>
          <w:sz w:val="32"/>
          <w:szCs w:val="32"/>
          <w:lang w:val="en-US" w:eastAsia="zh-CN"/>
        </w:rPr>
        <w:t>市域</w:t>
      </w:r>
      <w:r>
        <w:rPr>
          <w:rFonts w:hint="eastAsia" w:ascii="仿宋_GB2312" w:hAnsi="仿宋_GB2312" w:eastAsia="仿宋_GB2312" w:cs="仿宋_GB2312"/>
          <w:color w:val="000000"/>
          <w:kern w:val="0"/>
          <w:sz w:val="32"/>
          <w:szCs w:val="32"/>
        </w:rPr>
        <w:t>文化景观展示利用网络</w:t>
      </w:r>
      <w:r>
        <w:rPr>
          <w:rFonts w:hint="eastAsia" w:ascii="仿宋_GB2312" w:hAnsi="仿宋_GB2312" w:eastAsia="仿宋_GB2312" w:cs="仿宋_GB2312"/>
          <w:color w:val="000000"/>
          <w:kern w:val="0"/>
          <w:sz w:val="32"/>
          <w:szCs w:val="32"/>
          <w:lang w:val="en-US" w:eastAsia="zh-CN"/>
        </w:rPr>
        <w:t>及</w:t>
      </w:r>
      <w:r>
        <w:rPr>
          <w:rFonts w:hint="eastAsia" w:ascii="仿宋_GB2312" w:hAnsi="仿宋_GB2312" w:eastAsia="仿宋_GB2312" w:cs="仿宋_GB2312"/>
          <w:color w:val="000000"/>
          <w:kern w:val="0"/>
          <w:sz w:val="32"/>
          <w:szCs w:val="32"/>
        </w:rPr>
        <w:t>红色文化展示利用线路等。</w:t>
      </w:r>
    </w:p>
    <w:p>
      <w:pPr>
        <w:ind w:firstLine="624" w:firstLineChars="200"/>
        <w:rPr>
          <w:rFonts w:ascii="黑体" w:hAnsi="黑体" w:eastAsia="黑体" w:cs="黑体"/>
          <w:color w:val="000000"/>
          <w:kern w:val="0"/>
          <w:sz w:val="32"/>
          <w:szCs w:val="32"/>
        </w:rPr>
      </w:pPr>
      <w:r>
        <w:rPr>
          <w:rFonts w:hint="eastAsia" w:ascii="黑体" w:hAnsi="黑体" w:eastAsia="黑体" w:cs="黑体"/>
          <w:sz w:val="32"/>
          <w:szCs w:val="32"/>
        </w:rPr>
        <w:t>四、征求意见情况</w:t>
      </w:r>
    </w:p>
    <w:p>
      <w:pPr>
        <w:ind w:firstLine="624" w:firstLineChars="200"/>
        <w:rPr>
          <w:rFonts w:hint="eastAsia"/>
          <w:sz w:val="21"/>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月开始全面征求市直部门和各县级人民政府意见，截至202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月底共收到</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份反馈意见的复函（其中，</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个单位无意见，其余</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个单位反馈了意见），经研究后</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市直单位</w:t>
      </w:r>
      <w:r>
        <w:rPr>
          <w:rFonts w:hint="eastAsia" w:ascii="仿宋_GB2312" w:hAnsi="仿宋_GB2312" w:eastAsia="仿宋_GB2312" w:cs="仿宋_GB2312"/>
          <w:sz w:val="32"/>
          <w:szCs w:val="32"/>
          <w:lang w:val="en-US" w:eastAsia="zh-CN"/>
        </w:rPr>
        <w:t>及各</w:t>
      </w:r>
      <w:r>
        <w:rPr>
          <w:rFonts w:hint="eastAsia" w:ascii="仿宋_GB2312" w:hAnsi="仿宋_GB2312" w:eastAsia="仿宋_GB2312" w:cs="仿宋_GB2312"/>
          <w:sz w:val="32"/>
          <w:szCs w:val="32"/>
        </w:rPr>
        <w:t>区（县）级人民政府的相关意见</w:t>
      </w:r>
      <w:r>
        <w:rPr>
          <w:rFonts w:hint="eastAsia" w:ascii="仿宋_GB2312" w:hAnsi="仿宋_GB2312" w:eastAsia="仿宋_GB2312" w:cs="仿宋_GB2312"/>
          <w:sz w:val="32"/>
          <w:szCs w:val="32"/>
          <w:lang w:val="en-US" w:eastAsia="zh-CN"/>
        </w:rPr>
        <w:t>进行回复</w:t>
      </w:r>
      <w:r>
        <w:rPr>
          <w:rFonts w:hint="eastAsia" w:ascii="仿宋_GB2312" w:hAnsi="仿宋_GB2312" w:eastAsia="仿宋_GB2312" w:cs="仿宋_GB2312"/>
          <w:sz w:val="32"/>
          <w:szCs w:val="32"/>
        </w:rPr>
        <w:t>并修改对应内容。</w:t>
      </w:r>
    </w:p>
    <w:p>
      <w:pPr>
        <w:pStyle w:val="2"/>
        <w:ind w:left="0" w:leftChars="0" w:firstLine="622"/>
        <w:rPr>
          <w:rFonts w:ascii="黑体" w:hAnsi="黑体" w:eastAsia="黑体" w:cs="黑体"/>
          <w:sz w:val="32"/>
          <w:szCs w:val="32"/>
        </w:rPr>
      </w:pPr>
      <w:r>
        <w:rPr>
          <w:rFonts w:hint="eastAsia" w:ascii="黑体" w:hAnsi="黑体" w:eastAsia="黑体" w:cs="黑体"/>
          <w:sz w:val="32"/>
          <w:szCs w:val="32"/>
        </w:rPr>
        <w:t>五、工作建议</w:t>
      </w:r>
    </w:p>
    <w:p>
      <w:pPr>
        <w:pStyle w:val="2"/>
        <w:ind w:left="0" w:leftChars="0" w:firstLine="622"/>
        <w:rPr>
          <w:rFonts w:ascii="仿宋_GB2312" w:hAnsi="仿宋_GB2312" w:eastAsia="仿宋_GB2312" w:cs="仿宋_GB2312"/>
          <w:sz w:val="32"/>
          <w:szCs w:val="32"/>
        </w:rPr>
      </w:pPr>
      <w:r>
        <w:rPr>
          <w:rFonts w:hint="eastAsia" w:ascii="仿宋_GB2312" w:hAnsi="仿宋_GB2312" w:eastAsia="仿宋_GB2312" w:cs="仿宋_GB2312"/>
          <w:sz w:val="32"/>
          <w:szCs w:val="32"/>
        </w:rPr>
        <w:t>建议《规划》完成韶关市规划审查程序后，按照《历史文化名城名镇名村街区保护规划编制成果报审（报批、报备）要求》，有序推进规划报批工作。</w:t>
      </w:r>
    </w:p>
    <w:sectPr>
      <w:footerReference r:id="rId3" w:type="default"/>
      <w:pgSz w:w="11906" w:h="16838"/>
      <w:pgMar w:top="2098" w:right="1474" w:bottom="1984" w:left="1587" w:header="851" w:footer="1474" w:gutter="57"/>
      <w:cols w:space="0" w:num="1"/>
      <w:docGrid w:type="linesAndChars" w:linePitch="577"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9977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997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55.1pt;mso-position-horizontal:outside;mso-position-horizontal-relative:margin;z-index:251659264;mso-width-relative:page;mso-height-relative:page;" filled="f" stroked="f" coordsize="21600,21600" o:gfxdata="UEsFBgAAAAAAAAAAAAAAAAAAAAAAAFBLAwQKAAAAAACHTuJAAAAAAAAAAAAAAAAABAAAAGRycy9Q&#10;SwMEFAAAAAgAh07iQO3lNdHTAAAABQEAAA8AAABkcnMvZG93bnJldi54bWxNjzFPwzAQhXck/oN1&#10;SGzUTgYUhTgdEHSAiRQhxmt8idPG5yh208Kvx2WB5aSnd/fed9X67Eax0BwGzxqylQJB3HozcK/h&#10;fft8V4AIEdng6Jk0fFGAdX19VWFp/InfaGliL1IIhxI12BinUsrQWnIYVn4iTl7nZ4cxybmXZsZT&#10;CnejzJW6lw4HTg0WJ3q01B6ao0sYH6/Kbb47++lesAuN3S6bp73WtzeZegAR6Rz/luGCn26gTkw7&#10;f2QTxKghPRJ/58XLVA5ipyEvCgWyruR/+voHUEsDBBQAAAAIAIdO4kDxLy22GQIAABoEAAAOAAAA&#10;ZHJzL2Uyb0RvYy54bWytU02O0zAY3SNxB8t7mnQQM52q6ajMqAipYkYqiLXrOE0k/2G7TcoB4Aas&#10;ZsOec/UcPLtJBwErxMb57O//vZfZTack2QvnG6MLOh7llAjNTdnobUE/vF++mFDiA9Mlk0aLgh6E&#10;pzfz589mrZ2KC1MbWQpHUET7aWsLWodgp1nmeS0U8yNjhYazMk6xgKvbZqVjLaormV3k+WXWGlda&#10;Z7jwHq93Jyedp/pVJXi4ryovApEFxWwhnS6dm3hm8xmbbh2zdcP7Mdg/TKFYo9H0XOqOBUZ2rvmj&#10;lGq4M95UYcSNykxVNVykHbDNOP9tm3XNrEi7ABxvzzD5/1eWv9s/ONKU4I4SzRQoOn77enz8cfz+&#10;hYwjPK31U0StLeJC99p0BQ1uJwaXx3tcvKucil+sRBACrA9nfEUXCMfj5fX11RU8HK7x5GIyyRMB&#10;2VO2dT68EUaRaBTUgb8EK9uvfMAwCB1CYjNtlo2UiUOpSYsOL1/lKeHsQYbUSIxrnGaNVug2Xb/b&#10;xpQHrObMSRve8mWD5ivmwwNzEAMGhsDDPY5KGjQxvUVJbdznv73HeHAELyUtxFVQ/2nHnKBEvtVg&#10;LypxMNxgbAZD79StgV7BCKZJJhJckINZOaM+QveL2KVi0qMw0xz9wM1g3gbceif+Hy4Wi/Md2rMs&#10;rPTa8p7NiKa3i10AognoiNIJmh48CDDh3/8sUeG/3lPU0y89/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t5TXR0wAAAAUBAAAPAAAAAAAAAAEAIAAAADgAAABkcnMvZG93bnJldi54bWxQSwECFAAU&#10;AAAACACHTuJA8S8tthkCAAAaBAAADgAAAAAAAAABACAAAAA4AQAAZHJzL2Uyb0RvYy54bWxQSwUG&#10;AAAAAAYABgBZAQAAwwU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gutterAtTop/>
  <w:documentProtection w:enforcement="0"/>
  <w:defaultTabStop w:val="420"/>
  <w:drawingGridHorizontalSpacing w:val="101"/>
  <w:drawingGridVerticalSpacing w:val="289"/>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ZGJmYmE2NjE4NDQyMGI0MzdhZDVkYTg2NGI5NDcifQ=="/>
  </w:docVars>
  <w:rsids>
    <w:rsidRoot w:val="55F26958"/>
    <w:rsid w:val="00297221"/>
    <w:rsid w:val="00402DE8"/>
    <w:rsid w:val="004A507B"/>
    <w:rsid w:val="00512791"/>
    <w:rsid w:val="00526C43"/>
    <w:rsid w:val="00533761"/>
    <w:rsid w:val="005941B0"/>
    <w:rsid w:val="00625A11"/>
    <w:rsid w:val="00653572"/>
    <w:rsid w:val="0069489B"/>
    <w:rsid w:val="006D34CF"/>
    <w:rsid w:val="007F2299"/>
    <w:rsid w:val="00905458"/>
    <w:rsid w:val="0092113D"/>
    <w:rsid w:val="00A3582A"/>
    <w:rsid w:val="00AA30F7"/>
    <w:rsid w:val="00B30042"/>
    <w:rsid w:val="00C04C25"/>
    <w:rsid w:val="00CA39D4"/>
    <w:rsid w:val="00E52D80"/>
    <w:rsid w:val="00F16C0D"/>
    <w:rsid w:val="00F20F0D"/>
    <w:rsid w:val="00F6519B"/>
    <w:rsid w:val="02284631"/>
    <w:rsid w:val="03E336A3"/>
    <w:rsid w:val="067D6A0C"/>
    <w:rsid w:val="078D741D"/>
    <w:rsid w:val="0A9D3793"/>
    <w:rsid w:val="0B0019E1"/>
    <w:rsid w:val="0B425600"/>
    <w:rsid w:val="0CF93C48"/>
    <w:rsid w:val="0D402572"/>
    <w:rsid w:val="0DA336EA"/>
    <w:rsid w:val="0DF22A9E"/>
    <w:rsid w:val="0E2924E4"/>
    <w:rsid w:val="0ED53EF8"/>
    <w:rsid w:val="0EF165B6"/>
    <w:rsid w:val="0FB926E1"/>
    <w:rsid w:val="0FD8691E"/>
    <w:rsid w:val="107D3510"/>
    <w:rsid w:val="125C6B52"/>
    <w:rsid w:val="12B55836"/>
    <w:rsid w:val="14540B62"/>
    <w:rsid w:val="14E72B22"/>
    <w:rsid w:val="15816011"/>
    <w:rsid w:val="16447316"/>
    <w:rsid w:val="16596B1C"/>
    <w:rsid w:val="16E065C5"/>
    <w:rsid w:val="18050131"/>
    <w:rsid w:val="19051B55"/>
    <w:rsid w:val="192A2BCC"/>
    <w:rsid w:val="1AC35CBE"/>
    <w:rsid w:val="1B0F0A98"/>
    <w:rsid w:val="1B7C3F06"/>
    <w:rsid w:val="1BCD525A"/>
    <w:rsid w:val="1BFD60EC"/>
    <w:rsid w:val="1F857A23"/>
    <w:rsid w:val="21392D9D"/>
    <w:rsid w:val="21B8590F"/>
    <w:rsid w:val="2433692A"/>
    <w:rsid w:val="243D00FE"/>
    <w:rsid w:val="25107491"/>
    <w:rsid w:val="29D374C4"/>
    <w:rsid w:val="2A6E7014"/>
    <w:rsid w:val="2A9860A9"/>
    <w:rsid w:val="2BC70DAC"/>
    <w:rsid w:val="2C4025E5"/>
    <w:rsid w:val="2D2D19B2"/>
    <w:rsid w:val="2E2841A5"/>
    <w:rsid w:val="2E921CB0"/>
    <w:rsid w:val="305E0315"/>
    <w:rsid w:val="31FB42A3"/>
    <w:rsid w:val="32FF8F26"/>
    <w:rsid w:val="3384722B"/>
    <w:rsid w:val="33DC26EB"/>
    <w:rsid w:val="35357572"/>
    <w:rsid w:val="353E5856"/>
    <w:rsid w:val="354B5028"/>
    <w:rsid w:val="367F1A4B"/>
    <w:rsid w:val="373167EB"/>
    <w:rsid w:val="37947289"/>
    <w:rsid w:val="383E4FF7"/>
    <w:rsid w:val="39021CF3"/>
    <w:rsid w:val="39423243"/>
    <w:rsid w:val="396125DA"/>
    <w:rsid w:val="39B36337"/>
    <w:rsid w:val="3A1A1173"/>
    <w:rsid w:val="3A382C9D"/>
    <w:rsid w:val="3A890AA8"/>
    <w:rsid w:val="3BFF0EBB"/>
    <w:rsid w:val="3C927E24"/>
    <w:rsid w:val="3D7302DC"/>
    <w:rsid w:val="3DBF52BB"/>
    <w:rsid w:val="3DCF2F08"/>
    <w:rsid w:val="3F7F0308"/>
    <w:rsid w:val="3F9C60B7"/>
    <w:rsid w:val="3FD93999"/>
    <w:rsid w:val="3FE4277C"/>
    <w:rsid w:val="42CE2317"/>
    <w:rsid w:val="43A82B21"/>
    <w:rsid w:val="44FE6835"/>
    <w:rsid w:val="45BE5BEA"/>
    <w:rsid w:val="45D47F51"/>
    <w:rsid w:val="49A53086"/>
    <w:rsid w:val="49ED586F"/>
    <w:rsid w:val="49EE1F41"/>
    <w:rsid w:val="4A3377A3"/>
    <w:rsid w:val="4A4136B6"/>
    <w:rsid w:val="4AE57165"/>
    <w:rsid w:val="4C4365F7"/>
    <w:rsid w:val="4CAE592A"/>
    <w:rsid w:val="4D3160E4"/>
    <w:rsid w:val="4E115101"/>
    <w:rsid w:val="4E117B1A"/>
    <w:rsid w:val="4FBE425A"/>
    <w:rsid w:val="50166061"/>
    <w:rsid w:val="513B5C13"/>
    <w:rsid w:val="5240650B"/>
    <w:rsid w:val="55665249"/>
    <w:rsid w:val="55F26958"/>
    <w:rsid w:val="57517065"/>
    <w:rsid w:val="577FB5B1"/>
    <w:rsid w:val="57E53E26"/>
    <w:rsid w:val="580B0CB6"/>
    <w:rsid w:val="58423148"/>
    <w:rsid w:val="58ED0012"/>
    <w:rsid w:val="591D4381"/>
    <w:rsid w:val="594A2008"/>
    <w:rsid w:val="598A737E"/>
    <w:rsid w:val="5BE5F351"/>
    <w:rsid w:val="5C7250EC"/>
    <w:rsid w:val="5DE67FB2"/>
    <w:rsid w:val="5F4A2F14"/>
    <w:rsid w:val="5FCE3BA6"/>
    <w:rsid w:val="5FF47BFA"/>
    <w:rsid w:val="606736B1"/>
    <w:rsid w:val="61A76040"/>
    <w:rsid w:val="63080CFF"/>
    <w:rsid w:val="63233A3B"/>
    <w:rsid w:val="657628D6"/>
    <w:rsid w:val="6582083D"/>
    <w:rsid w:val="660E4932"/>
    <w:rsid w:val="66C90428"/>
    <w:rsid w:val="67CC13B0"/>
    <w:rsid w:val="681D6A26"/>
    <w:rsid w:val="68C54AA8"/>
    <w:rsid w:val="69405698"/>
    <w:rsid w:val="6AA92D8E"/>
    <w:rsid w:val="6AD94B3D"/>
    <w:rsid w:val="6C34DBAD"/>
    <w:rsid w:val="6D857274"/>
    <w:rsid w:val="6DB708EB"/>
    <w:rsid w:val="6E3C58B6"/>
    <w:rsid w:val="6E69D281"/>
    <w:rsid w:val="6EF8A8FA"/>
    <w:rsid w:val="6EFA856B"/>
    <w:rsid w:val="703506C8"/>
    <w:rsid w:val="70791E06"/>
    <w:rsid w:val="7271291A"/>
    <w:rsid w:val="73B77594"/>
    <w:rsid w:val="73C3374B"/>
    <w:rsid w:val="73F40CAB"/>
    <w:rsid w:val="7474395C"/>
    <w:rsid w:val="75C31088"/>
    <w:rsid w:val="76356959"/>
    <w:rsid w:val="76FFF970"/>
    <w:rsid w:val="77EB6D1B"/>
    <w:rsid w:val="78EA0B82"/>
    <w:rsid w:val="79674B15"/>
    <w:rsid w:val="7AAA2DB0"/>
    <w:rsid w:val="7ABD358C"/>
    <w:rsid w:val="7BAF6160"/>
    <w:rsid w:val="7BF8212F"/>
    <w:rsid w:val="7DB25CE4"/>
    <w:rsid w:val="7DEC68B5"/>
    <w:rsid w:val="7DF91F00"/>
    <w:rsid w:val="7EE15E11"/>
    <w:rsid w:val="7EFA657D"/>
    <w:rsid w:val="7F77CF8F"/>
    <w:rsid w:val="7F9FD518"/>
    <w:rsid w:val="7FAD35DC"/>
    <w:rsid w:val="7FB897D7"/>
    <w:rsid w:val="7FCE3007"/>
    <w:rsid w:val="7FD92CBB"/>
    <w:rsid w:val="7FDF1310"/>
    <w:rsid w:val="7FF9775F"/>
    <w:rsid w:val="82DEEA75"/>
    <w:rsid w:val="8EDD5A1B"/>
    <w:rsid w:val="B73B7553"/>
    <w:rsid w:val="BABF9CF7"/>
    <w:rsid w:val="BEDD3D83"/>
    <w:rsid w:val="BFAF0C4E"/>
    <w:rsid w:val="BFDD99CB"/>
    <w:rsid w:val="C2F7A5F8"/>
    <w:rsid w:val="CB3FE4C7"/>
    <w:rsid w:val="D3FF3B99"/>
    <w:rsid w:val="DBDDAD6A"/>
    <w:rsid w:val="DEADE1FD"/>
    <w:rsid w:val="DF793F5E"/>
    <w:rsid w:val="DFEB116F"/>
    <w:rsid w:val="E7FDA1C4"/>
    <w:rsid w:val="F73ECCF3"/>
    <w:rsid w:val="F7FF2B47"/>
    <w:rsid w:val="FB9DEDAF"/>
    <w:rsid w:val="FDAC9B57"/>
    <w:rsid w:val="FEF759C2"/>
    <w:rsid w:val="FFCF8515"/>
    <w:rsid w:val="FFDCB549"/>
    <w:rsid w:val="FFDF5058"/>
    <w:rsid w:val="FFF8E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eastAsia="宋体"/>
      <w:sz w:val="30"/>
      <w:szCs w:val="22"/>
    </w:rPr>
  </w:style>
  <w:style w:type="paragraph" w:styleId="3">
    <w:name w:val="Body Text Indent"/>
    <w:basedOn w:val="1"/>
    <w:qFormat/>
    <w:uiPriority w:val="0"/>
    <w:pPr>
      <w:ind w:firstLine="630"/>
    </w:pPr>
    <w:rPr>
      <w:rFonts w:eastAsia="仿宋_GB2312"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普通(网站)1"/>
    <w:basedOn w:val="1"/>
    <w:qFormat/>
    <w:uiPriority w:val="0"/>
    <w:pPr>
      <w:jc w:val="left"/>
    </w:pPr>
    <w:rPr>
      <w:kern w:val="0"/>
      <w:sz w:val="24"/>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1543</Words>
  <Characters>1605</Characters>
  <Lines>11</Lines>
  <Paragraphs>3</Paragraphs>
  <TotalTime>64</TotalTime>
  <ScaleCrop>false</ScaleCrop>
  <LinksUpToDate>false</LinksUpToDate>
  <CharactersWithSpaces>1607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2023-01-17T14:56:00Z</dcterms:created>
  <dc:creator>·</dc:creator>
  <cp:lastModifiedBy>user</cp:lastModifiedBy>
  <cp:lastPrinted>2020-03-12T10:26:00Z</cp:lastPrinted>
  <dcterms:modified xsi:type="dcterms:W3CDTF">2023-01-17T13:52:00Z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5167295D229F4CA7AE63EE443843E695</vt:lpwstr>
  </property>
  <property fmtid="{D5CDD505-2E9C-101B-9397-08002B2CF9AE}" pid="4" name="ribbonExt">
    <vt:lpwstr>{"WPSExtOfficeTab":{"OnGetEnabled":false,"OnGetVisible":false}}</vt:lpwstr>
  </property>
</Properties>
</file>