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adjustRightInd w:val="0"/>
        <w:jc w:val="center"/>
        <w:rPr>
          <w:rFonts w:eastAsia="黑体" w:cs="Times New Roman"/>
          <w:b/>
          <w:bCs/>
          <w:kern w:val="0"/>
          <w:sz w:val="30"/>
          <w:szCs w:val="32"/>
        </w:rPr>
      </w:pPr>
      <w:bookmarkStart w:id="0" w:name="_Toc75536356"/>
    </w:p>
    <w:p>
      <w:pPr>
        <w:widowControl/>
        <w:adjustRightInd w:val="0"/>
        <w:jc w:val="center"/>
        <w:rPr>
          <w:rFonts w:eastAsia="黑体" w:cs="Times New Roman"/>
          <w:b/>
          <w:bCs/>
          <w:kern w:val="0"/>
          <w:sz w:val="30"/>
          <w:szCs w:val="32"/>
        </w:rPr>
      </w:pPr>
    </w:p>
    <w:p>
      <w:pPr>
        <w:widowControl/>
        <w:adjustRightInd w:val="0"/>
        <w:jc w:val="center"/>
        <w:rPr>
          <w:rFonts w:eastAsia="黑体" w:cs="Times New Roman"/>
          <w:b/>
          <w:bCs/>
          <w:kern w:val="0"/>
          <w:sz w:val="30"/>
          <w:szCs w:val="32"/>
        </w:rPr>
      </w:pPr>
    </w:p>
    <w:p>
      <w:pPr>
        <w:widowControl/>
        <w:adjustRightInd w:val="0"/>
        <w:jc w:val="center"/>
        <w:outlineLvl w:val="0"/>
        <w:rPr>
          <w:rFonts w:hint="eastAsia" w:ascii="方正小标宋简体" w:hAnsi="方正小标宋简体" w:eastAsia="方正小标宋简体" w:cs="方正小标宋简体"/>
          <w:b/>
          <w:bCs/>
          <w:spacing w:val="20"/>
          <w:sz w:val="60"/>
          <w:szCs w:val="60"/>
        </w:rPr>
      </w:pPr>
      <w:r>
        <w:rPr>
          <w:rFonts w:hint="eastAsia" w:ascii="方正小标宋简体" w:hAnsi="方正小标宋简体" w:eastAsia="方正小标宋简体" w:cs="方正小标宋简体"/>
          <w:b/>
          <w:bCs/>
          <w:spacing w:val="20"/>
          <w:sz w:val="60"/>
          <w:szCs w:val="60"/>
        </w:rPr>
        <w:t>韶关市部分县级</w:t>
      </w:r>
      <w:r>
        <w:rPr>
          <w:rFonts w:hint="eastAsia" w:ascii="方正小标宋简体" w:hAnsi="方正小标宋简体" w:eastAsia="方正小标宋简体" w:cs="方正小标宋简体"/>
          <w:b/>
          <w:bCs/>
          <w:spacing w:val="20"/>
          <w:sz w:val="60"/>
          <w:szCs w:val="60"/>
          <w:lang w:eastAsia="zh-CN"/>
        </w:rPr>
        <w:t>及</w:t>
      </w:r>
      <w:r>
        <w:rPr>
          <w:rFonts w:hint="eastAsia" w:ascii="方正小标宋简体" w:hAnsi="方正小标宋简体" w:eastAsia="方正小标宋简体" w:cs="方正小标宋简体"/>
          <w:b/>
          <w:bCs/>
          <w:spacing w:val="20"/>
          <w:sz w:val="60"/>
          <w:szCs w:val="60"/>
        </w:rPr>
        <w:t>以上集中式饮用水水源保护区</w:t>
      </w:r>
    </w:p>
    <w:p>
      <w:pPr>
        <w:widowControl/>
        <w:adjustRightInd w:val="0"/>
        <w:jc w:val="center"/>
        <w:outlineLvl w:val="0"/>
        <w:rPr>
          <w:rFonts w:ascii="方正小标宋简体" w:hAnsi="方正小标宋简体" w:eastAsia="方正小标宋简体" w:cs="方正小标宋简体"/>
          <w:b/>
          <w:bCs/>
          <w:spacing w:val="20"/>
          <w:sz w:val="60"/>
          <w:szCs w:val="60"/>
        </w:rPr>
      </w:pPr>
      <w:bookmarkStart w:id="5" w:name="_GoBack"/>
      <w:bookmarkEnd w:id="5"/>
      <w:r>
        <w:rPr>
          <w:rFonts w:hint="eastAsia" w:ascii="方正小标宋简体" w:hAnsi="方正小标宋简体" w:eastAsia="方正小标宋简体" w:cs="方正小标宋简体"/>
          <w:b/>
          <w:bCs/>
          <w:spacing w:val="20"/>
          <w:sz w:val="60"/>
          <w:szCs w:val="60"/>
        </w:rPr>
        <w:t>调整方案</w:t>
      </w:r>
    </w:p>
    <w:p>
      <w:pPr>
        <w:widowControl/>
        <w:adjustRightInd w:val="0"/>
        <w:jc w:val="center"/>
        <w:rPr>
          <w:rFonts w:ascii="仿宋" w:hAnsi="仿宋" w:eastAsia="仿宋" w:cs="仿宋"/>
          <w:spacing w:val="20"/>
          <w:kern w:val="0"/>
          <w:sz w:val="24"/>
          <w:szCs w:val="24"/>
        </w:rPr>
      </w:pPr>
    </w:p>
    <w:p>
      <w:pPr>
        <w:widowControl/>
        <w:adjustRightInd w:val="0"/>
        <w:jc w:val="center"/>
        <w:rPr>
          <w:rFonts w:ascii="仿宋" w:hAnsi="仿宋" w:eastAsia="仿宋" w:cs="仿宋"/>
          <w:spacing w:val="20"/>
          <w:kern w:val="0"/>
          <w:sz w:val="24"/>
          <w:szCs w:val="24"/>
        </w:rPr>
      </w:pPr>
    </w:p>
    <w:p>
      <w:pPr>
        <w:widowControl/>
        <w:adjustRightInd w:val="0"/>
        <w:jc w:val="center"/>
        <w:rPr>
          <w:rFonts w:ascii="仿宋" w:hAnsi="仿宋" w:eastAsia="仿宋" w:cs="仿宋"/>
          <w:spacing w:val="20"/>
          <w:kern w:val="0"/>
          <w:sz w:val="24"/>
          <w:szCs w:val="24"/>
        </w:rPr>
      </w:pPr>
    </w:p>
    <w:p>
      <w:pPr>
        <w:widowControl/>
        <w:adjustRightInd w:val="0"/>
        <w:jc w:val="center"/>
        <w:rPr>
          <w:rFonts w:ascii="仿宋" w:hAnsi="仿宋" w:eastAsia="仿宋" w:cs="仿宋"/>
          <w:spacing w:val="20"/>
          <w:kern w:val="0"/>
          <w:sz w:val="24"/>
          <w:szCs w:val="24"/>
        </w:rPr>
      </w:pPr>
    </w:p>
    <w:p>
      <w:pPr>
        <w:widowControl/>
        <w:adjustRightInd w:val="0"/>
        <w:jc w:val="center"/>
        <w:rPr>
          <w:rFonts w:ascii="仿宋" w:hAnsi="仿宋" w:eastAsia="仿宋" w:cs="仿宋"/>
          <w:spacing w:val="20"/>
          <w:kern w:val="0"/>
          <w:sz w:val="24"/>
          <w:szCs w:val="24"/>
        </w:rPr>
      </w:pPr>
    </w:p>
    <w:p>
      <w:pPr>
        <w:widowControl/>
        <w:adjustRightInd w:val="0"/>
        <w:jc w:val="center"/>
        <w:rPr>
          <w:rFonts w:ascii="仿宋" w:hAnsi="仿宋" w:eastAsia="仿宋" w:cs="仿宋"/>
          <w:spacing w:val="20"/>
          <w:kern w:val="0"/>
          <w:sz w:val="24"/>
          <w:szCs w:val="24"/>
        </w:rPr>
      </w:pPr>
    </w:p>
    <w:p>
      <w:pPr>
        <w:widowControl/>
        <w:adjustRightInd w:val="0"/>
        <w:jc w:val="center"/>
        <w:rPr>
          <w:rFonts w:ascii="仿宋" w:hAnsi="仿宋" w:eastAsia="仿宋" w:cs="仿宋"/>
          <w:spacing w:val="20"/>
          <w:kern w:val="0"/>
          <w:sz w:val="24"/>
          <w:szCs w:val="24"/>
        </w:rPr>
      </w:pPr>
    </w:p>
    <w:p>
      <w:pPr>
        <w:widowControl/>
        <w:adjustRightInd w:val="0"/>
        <w:jc w:val="center"/>
        <w:rPr>
          <w:rFonts w:ascii="仿宋" w:hAnsi="仿宋" w:eastAsia="仿宋" w:cs="仿宋"/>
          <w:spacing w:val="20"/>
          <w:kern w:val="0"/>
          <w:sz w:val="24"/>
          <w:szCs w:val="24"/>
        </w:rPr>
      </w:pPr>
    </w:p>
    <w:p>
      <w:pPr>
        <w:widowControl/>
        <w:adjustRightInd w:val="0"/>
        <w:jc w:val="center"/>
        <w:rPr>
          <w:rFonts w:ascii="仿宋" w:hAnsi="仿宋" w:eastAsia="仿宋" w:cs="仿宋"/>
          <w:spacing w:val="20"/>
          <w:kern w:val="0"/>
          <w:sz w:val="24"/>
          <w:szCs w:val="24"/>
        </w:rPr>
      </w:pPr>
    </w:p>
    <w:p>
      <w:pPr>
        <w:widowControl/>
        <w:adjustRightInd w:val="0"/>
        <w:jc w:val="center"/>
        <w:rPr>
          <w:rFonts w:ascii="仿宋" w:hAnsi="仿宋" w:eastAsia="仿宋" w:cs="仿宋"/>
          <w:spacing w:val="20"/>
          <w:kern w:val="0"/>
          <w:sz w:val="24"/>
          <w:szCs w:val="24"/>
        </w:rPr>
      </w:pPr>
    </w:p>
    <w:p>
      <w:pPr>
        <w:pStyle w:val="2"/>
        <w:ind w:left="560"/>
        <w:rPr>
          <w:rFonts w:ascii="仿宋" w:hAnsi="仿宋" w:eastAsia="仿宋" w:cs="仿宋"/>
        </w:rPr>
      </w:pPr>
    </w:p>
    <w:p>
      <w:pPr>
        <w:adjustRightInd w:val="0"/>
        <w:spacing w:before="38" w:beforeLines="10"/>
        <w:jc w:val="center"/>
        <w:outlineLvl w:val="0"/>
        <w:rPr>
          <w:rFonts w:ascii="方正小标宋简体" w:hAnsi="方正小标宋简体" w:eastAsia="方正小标宋简体" w:cs="方正小标宋简体"/>
          <w:bCs/>
          <w:spacing w:val="28"/>
          <w:kern w:val="0"/>
          <w:sz w:val="36"/>
          <w:szCs w:val="36"/>
        </w:rPr>
      </w:pPr>
      <w:r>
        <w:rPr>
          <w:rFonts w:hint="eastAsia" w:ascii="方正小标宋简体" w:hAnsi="方正小标宋简体" w:eastAsia="方正小标宋简体" w:cs="方正小标宋简体"/>
          <w:bCs/>
          <w:spacing w:val="28"/>
          <w:kern w:val="0"/>
          <w:sz w:val="36"/>
          <w:szCs w:val="36"/>
        </w:rPr>
        <w:t>二Ο二二年十二月</w:t>
      </w:r>
    </w:p>
    <w:p>
      <w:pPr>
        <w:ind w:firstLine="560" w:firstLineChars="200"/>
        <w:sectPr>
          <w:headerReference r:id="rId4" w:type="first"/>
          <w:footerReference r:id="rId6" w:type="first"/>
          <w:headerReference r:id="rId3" w:type="default"/>
          <w:footerReference r:id="rId5" w:type="default"/>
          <w:pgSz w:w="11906" w:h="16838"/>
          <w:pgMar w:top="1440" w:right="1800" w:bottom="1440" w:left="1800" w:header="851" w:footer="992" w:gutter="0"/>
          <w:pgNumType w:start="0"/>
          <w:cols w:space="425" w:num="1"/>
          <w:titlePg/>
          <w:docGrid w:type="lines" w:linePitch="381" w:charSpace="0"/>
        </w:sectPr>
      </w:pPr>
    </w:p>
    <w:p>
      <w:pPr>
        <w:jc w:val="center"/>
        <w:rPr>
          <w:rFonts w:ascii="方正小标宋简体" w:hAnsi="方正小标宋简体" w:eastAsia="方正小标宋简体" w:cs="方正小标宋简体"/>
          <w:spacing w:val="20"/>
          <w:sz w:val="44"/>
          <w:szCs w:val="44"/>
        </w:rPr>
      </w:pPr>
    </w:p>
    <w:p>
      <w:pPr>
        <w:jc w:val="center"/>
        <w:outlineLvl w:val="0"/>
        <w:rPr>
          <w:rFonts w:ascii="方正小标宋简体" w:hAnsi="方正小标宋简体" w:eastAsia="方正小标宋简体" w:cs="方正小标宋简体"/>
          <w:b/>
          <w:bCs/>
          <w:spacing w:val="20"/>
          <w:sz w:val="44"/>
          <w:szCs w:val="44"/>
        </w:rPr>
      </w:pPr>
      <w:r>
        <w:rPr>
          <w:rFonts w:hint="eastAsia" w:ascii="方正小标宋简体" w:hAnsi="方正小标宋简体" w:eastAsia="方正小标宋简体" w:cs="方正小标宋简体"/>
          <w:b/>
          <w:bCs/>
          <w:spacing w:val="20"/>
          <w:sz w:val="44"/>
          <w:szCs w:val="44"/>
        </w:rPr>
        <w:t>韶关市部分县级以上集中式饮用水水源保护区调整方案</w:t>
      </w:r>
    </w:p>
    <w:p/>
    <w:p>
      <w:pPr>
        <w:adjustRightInd w:val="0"/>
        <w:snapToGrid w:val="0"/>
        <w:spacing w:line="600" w:lineRule="exact"/>
        <w:ind w:firstLine="640" w:firstLineChars="200"/>
        <w:outlineLvl w:val="0"/>
        <w:rPr>
          <w:rFonts w:eastAsia="黑体" w:cs="Times New Roman"/>
          <w:color w:val="000000"/>
          <w:sz w:val="32"/>
          <w:szCs w:val="32"/>
          <w:shd w:val="clear" w:color="auto" w:fill="FFFFFF"/>
        </w:rPr>
      </w:pPr>
      <w:r>
        <w:rPr>
          <w:rFonts w:hint="eastAsia" w:eastAsia="黑体" w:cs="Times New Roman"/>
          <w:color w:val="000000"/>
          <w:sz w:val="32"/>
          <w:szCs w:val="32"/>
          <w:shd w:val="clear" w:color="auto" w:fill="FFFFFF"/>
        </w:rPr>
        <w:t>一、水源基本情况</w:t>
      </w:r>
    </w:p>
    <w:p>
      <w:pPr>
        <w:spacing w:line="600" w:lineRule="exact"/>
        <w:ind w:firstLine="602" w:firstLineChars="200"/>
        <w:outlineLvl w:val="1"/>
        <w:rPr>
          <w:rFonts w:eastAsia="仿宋" w:cs="Times New Roman"/>
          <w:b/>
          <w:bCs/>
          <w:sz w:val="30"/>
          <w:szCs w:val="30"/>
        </w:rPr>
      </w:pPr>
      <w:r>
        <w:rPr>
          <w:rFonts w:hint="eastAsia" w:eastAsia="仿宋" w:cs="Times New Roman"/>
          <w:b/>
          <w:bCs/>
          <w:sz w:val="30"/>
          <w:szCs w:val="30"/>
        </w:rPr>
        <w:t>（一）浈江饮用水水源情况</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浈江发源于江西信丰石碣大茅山，流经南雄市、始兴县、仁化县、浈江区，集雨面积7554km，总长211km，浈江支流有锦江、墨江。</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color w:val="000000"/>
          <w:sz w:val="32"/>
          <w:szCs w:val="32"/>
        </w:rPr>
        <w:t>韶关市区浈江饮用水水源地起点位于浈江原新韶乡政府旧址，由于浈江流域城镇快速发展，韶关市区浈江饮用水水源地上游污染源较多，有花拉寨垃圾填埋场、凡口铅锌矿、丹霞冶炼厂、灵溪河铅锌矿、仁化县有色金属循环经济产业基地、南雄化工基地等，不宜作为饮用水源，2006已规划撤销该水源，该水源保护区划定至今一直未建设供水设施，无取水口和配套自来水厂。</w:t>
      </w:r>
    </w:p>
    <w:p>
      <w:pPr>
        <w:spacing w:line="600" w:lineRule="exact"/>
        <w:ind w:firstLine="640" w:firstLineChars="200"/>
        <w:rPr>
          <w:rFonts w:hint="eastAsia" w:ascii="仿宋_GB2312" w:hAnsi="仿宋_GB2312" w:cs="仿宋_GB2312"/>
          <w:sz w:val="32"/>
        </w:rPr>
      </w:pPr>
      <w:r>
        <w:rPr>
          <w:rFonts w:hint="eastAsia" w:ascii="仿宋_GB2312" w:hAnsi="仿宋_GB2312" w:eastAsia="仿宋_GB2312" w:cs="仿宋_GB2312"/>
          <w:color w:val="000000"/>
          <w:sz w:val="32"/>
          <w:szCs w:val="32"/>
        </w:rPr>
        <w:t>南水水库是我省第二大人工湖，湖面达38</w:t>
      </w:r>
      <w:r>
        <w:rPr>
          <w:rFonts w:hint="eastAsia" w:ascii="仿宋_GB2312" w:hAnsi="仿宋_GB2312" w:eastAsia="仿宋_GB2312" w:cs="仿宋_GB2312"/>
          <w:sz w:val="32"/>
          <w:szCs w:val="32"/>
        </w:rPr>
        <w:t xml:space="preserve"> km</w:t>
      </w:r>
      <w:r>
        <w:rPr>
          <w:rFonts w:hint="eastAsia" w:ascii="仿宋_GB2312" w:hAnsi="仿宋_GB2312" w:eastAsia="仿宋_GB2312" w:cs="仿宋_GB2312"/>
          <w:sz w:val="32"/>
          <w:szCs w:val="32"/>
          <w:vertAlign w:val="superscript"/>
        </w:rPr>
        <w:t>2</w:t>
      </w:r>
      <w:r>
        <w:rPr>
          <w:rFonts w:hint="eastAsia" w:ascii="仿宋_GB2312" w:hAnsi="仿宋_GB2312" w:eastAsia="仿宋_GB2312" w:cs="仿宋_GB2312"/>
          <w:color w:val="000000"/>
          <w:sz w:val="32"/>
          <w:szCs w:val="32"/>
        </w:rPr>
        <w:t>，容量达12.8亿</w:t>
      </w:r>
      <w:r>
        <w:rPr>
          <w:rFonts w:hint="eastAsia" w:ascii="仿宋_GB2312" w:hAnsi="仿宋_GB2312" w:eastAsia="仿宋_GB2312" w:cs="仿宋_GB2312"/>
          <w:sz w:val="32"/>
          <w:szCs w:val="32"/>
        </w:rPr>
        <w:t>m</w:t>
      </w:r>
      <w:r>
        <w:rPr>
          <w:rFonts w:hint="eastAsia" w:ascii="仿宋_GB2312" w:hAnsi="仿宋_GB2312" w:eastAsia="仿宋_GB2312" w:cs="仿宋_GB2312"/>
          <w:sz w:val="32"/>
          <w:szCs w:val="32"/>
          <w:vertAlign w:val="superscript"/>
        </w:rPr>
        <w:t>3</w:t>
      </w:r>
      <w:r>
        <w:rPr>
          <w:rFonts w:hint="eastAsia" w:ascii="仿宋_GB2312" w:hAnsi="仿宋_GB2312" w:eastAsia="仿宋_GB2312" w:cs="仿宋_GB2312"/>
          <w:color w:val="000000"/>
          <w:sz w:val="32"/>
          <w:szCs w:val="32"/>
        </w:rPr>
        <w:t>，水量充足，水质优良。</w:t>
      </w:r>
      <w:r>
        <w:rPr>
          <w:rFonts w:hint="eastAsia" w:ascii="仿宋_GB2312" w:hAnsi="仿宋_GB2312" w:eastAsia="仿宋_GB2312" w:cs="仿宋_GB2312"/>
          <w:sz w:val="32"/>
          <w:szCs w:val="32"/>
        </w:rPr>
        <w:t>南水水库供水工程于2021年6月18日正式通水运行，配套</w:t>
      </w:r>
      <w:r>
        <w:rPr>
          <w:rFonts w:hint="eastAsia" w:ascii="仿宋_GB2312" w:hAnsi="仿宋_GB2312" w:eastAsia="仿宋_GB2312" w:cs="仿宋_GB2312"/>
          <w:color w:val="000000"/>
          <w:sz w:val="32"/>
          <w:szCs w:val="32"/>
        </w:rPr>
        <w:t>新建韶州自来水厂，供水能力达35</w:t>
      </w:r>
      <w:r>
        <w:rPr>
          <w:rFonts w:hint="eastAsia" w:ascii="仿宋_GB2312" w:hAnsi="仿宋_GB2312" w:eastAsia="仿宋_GB2312" w:cs="仿宋_GB2312"/>
          <w:sz w:val="32"/>
          <w:szCs w:val="32"/>
        </w:rPr>
        <w:t>万吨/日，已满足整个城区用水需求。目前，帽子峰水厂和西河一水厂已停止供水，五里亭水厂与韶州自来水厂连通，改作应急备用水厂，供水能力为10万吨/日。目前，南水水库成为了韶关市区在用饮用水水源，武江十里亭水源作为备用水源，已</w:t>
      </w:r>
      <w:r>
        <w:rPr>
          <w:rFonts w:hint="eastAsia" w:ascii="仿宋_GB2312" w:hAnsi="仿宋_GB2312" w:eastAsia="仿宋_GB2312" w:cs="仿宋_GB2312"/>
          <w:color w:val="000000"/>
          <w:sz w:val="32"/>
          <w:szCs w:val="32"/>
        </w:rPr>
        <w:t>形成河库</w:t>
      </w:r>
      <w:r>
        <w:rPr>
          <w:rFonts w:hint="eastAsia" w:ascii="仿宋_GB2312" w:hAnsi="仿宋_GB2312" w:eastAsia="仿宋_GB2312" w:cs="仿宋_GB2312"/>
          <w:sz w:val="32"/>
          <w:szCs w:val="32"/>
        </w:rPr>
        <w:t>联网的安全供水格局。韶关市区供水格局已发生了重大变化，现水源地保护方案已与现水源地现状不相匹配，拟撤销韶关市区浈江饮用水水源保护区。</w:t>
      </w:r>
    </w:p>
    <w:p>
      <w:pPr>
        <w:spacing w:line="600" w:lineRule="exact"/>
        <w:ind w:firstLine="602" w:firstLineChars="200"/>
        <w:outlineLvl w:val="1"/>
        <w:rPr>
          <w:rFonts w:eastAsia="仿宋" w:cs="Times New Roman"/>
          <w:b/>
          <w:bCs/>
          <w:sz w:val="30"/>
          <w:szCs w:val="30"/>
        </w:rPr>
      </w:pPr>
      <w:r>
        <w:rPr>
          <w:rFonts w:hint="eastAsia" w:eastAsia="仿宋" w:cs="Times New Roman"/>
          <w:b/>
          <w:bCs/>
          <w:sz w:val="30"/>
          <w:szCs w:val="30"/>
        </w:rPr>
        <w:t>（二）梅坑河、小正河情况</w:t>
      </w:r>
    </w:p>
    <w:p>
      <w:pPr>
        <w:spacing w:line="600" w:lineRule="exact"/>
        <w:ind w:firstLine="640" w:firstLineChars="200"/>
        <w:rPr>
          <w:rFonts w:hint="eastAsia" w:ascii="仿宋_GB2312" w:hAnsi="仿宋_GB2312" w:cs="仿宋_GB2312"/>
          <w:sz w:val="32"/>
        </w:rPr>
      </w:pPr>
      <w:r>
        <w:rPr>
          <w:rFonts w:hint="eastAsia" w:ascii="仿宋_GB2312" w:hAnsi="仿宋_GB2312" w:cs="仿宋_GB2312"/>
          <w:sz w:val="32"/>
        </w:rPr>
        <w:t>梅坑河所属水系为东江，集雨面积分别为105km2，河流长度为26km，天然落差为770m，多年平均流量为4.19m3/s，河口位置分别为乌石口。</w:t>
      </w:r>
    </w:p>
    <w:p>
      <w:pPr>
        <w:spacing w:line="600" w:lineRule="exact"/>
        <w:ind w:firstLine="640" w:firstLineChars="200"/>
        <w:rPr>
          <w:rFonts w:hint="eastAsia" w:ascii="仿宋_GB2312" w:hAnsi="仿宋_GB2312" w:cs="仿宋_GB2312"/>
          <w:sz w:val="32"/>
        </w:rPr>
      </w:pPr>
      <w:r>
        <w:rPr>
          <w:rFonts w:hint="eastAsia" w:ascii="仿宋_GB2312" w:hAnsi="仿宋_GB2312" w:cs="仿宋_GB2312"/>
          <w:sz w:val="32"/>
        </w:rPr>
        <w:t>2018年新丰县新建第三水厂，2020年9月，鲁古河水库作为水源正式向新丰县城区供水，供水能力为2.5万吨/日，白水礤水库供水能力为1.5万吨/日，合计供水能力达到4.0万吨/日，满足新丰县城区用水需求。由于韶新高速公路的建设，新丰县将位于梅坑河、小正河备用饮用水源地的第二水厂取水口调整至黄龙礤水库，并实施第二水厂至黄龙礤水库的引水工程，目前引水工程已建设完成，第二水厂作为新丰县城区应急水厂使用，位于梅坑河、小正河备用饮用水源地的取水设施已拆除，梅坑河、小正河备用饮用水源地不再承担饮用功能。目前，鲁古河水库和白水礤水库成为了新丰县城区在用水源，黄龙礤水库作为应急备用水源，新丰县供水格局已发生了重大变化，现水源地保护方案已与现水源地现状不相匹配，拟取消梅坑河、小正河备用饮用水源保护区。</w:t>
      </w:r>
    </w:p>
    <w:p>
      <w:pPr>
        <w:spacing w:line="600" w:lineRule="exact"/>
        <w:ind w:firstLine="640" w:firstLineChars="200"/>
        <w:rPr>
          <w:rFonts w:hint="eastAsia" w:ascii="黑体" w:hAnsi="黑体" w:eastAsia="黑体" w:cs="黑体"/>
          <w:sz w:val="32"/>
        </w:rPr>
      </w:pPr>
      <w:r>
        <w:rPr>
          <w:rFonts w:hint="eastAsia" w:ascii="黑体" w:hAnsi="黑体" w:eastAsia="黑体" w:cs="黑体"/>
          <w:sz w:val="32"/>
        </w:rPr>
        <w:t>二、保护区调整原则</w:t>
      </w:r>
    </w:p>
    <w:p>
      <w:pPr>
        <w:spacing w:line="600" w:lineRule="exact"/>
        <w:ind w:firstLine="643" w:firstLineChars="200"/>
        <w:rPr>
          <w:rFonts w:hint="eastAsia" w:ascii="仿宋_GB2312" w:hAnsi="仿宋_GB2312" w:cs="仿宋_GB2312"/>
          <w:b/>
          <w:bCs/>
          <w:sz w:val="32"/>
        </w:rPr>
      </w:pPr>
      <w:r>
        <w:rPr>
          <w:rFonts w:hint="eastAsia" w:ascii="仿宋_GB2312" w:hAnsi="仿宋_GB2312" w:cs="仿宋_GB2312"/>
          <w:b/>
          <w:bCs/>
          <w:sz w:val="32"/>
        </w:rPr>
        <w:t>（1）坚持依法依规、科学划定的原则</w:t>
      </w:r>
    </w:p>
    <w:p>
      <w:pPr>
        <w:spacing w:line="600" w:lineRule="exact"/>
        <w:ind w:firstLine="640" w:firstLineChars="200"/>
        <w:rPr>
          <w:rFonts w:hint="eastAsia" w:ascii="仿宋_GB2312" w:hAnsi="仿宋_GB2312" w:cs="仿宋_GB2312"/>
          <w:sz w:val="32"/>
        </w:rPr>
      </w:pPr>
      <w:r>
        <w:rPr>
          <w:rFonts w:hint="eastAsia" w:ascii="仿宋_GB2312" w:hAnsi="仿宋_GB2312" w:cs="仿宋_GB2312"/>
          <w:sz w:val="32"/>
        </w:rPr>
        <w:t>饮用水源保护区优化调整要与现行的国家、省、市相关法律法规相协调，保护区具体范围按照国家和广东省有关技术规范科学划定。</w:t>
      </w:r>
    </w:p>
    <w:p>
      <w:pPr>
        <w:spacing w:line="600" w:lineRule="exact"/>
        <w:ind w:firstLine="643" w:firstLineChars="200"/>
        <w:rPr>
          <w:rFonts w:hint="eastAsia" w:ascii="仿宋_GB2312" w:hAnsi="仿宋_GB2312" w:cs="仿宋_GB2312"/>
          <w:b/>
          <w:bCs/>
          <w:sz w:val="32"/>
        </w:rPr>
      </w:pPr>
      <w:r>
        <w:rPr>
          <w:rFonts w:hint="eastAsia" w:ascii="仿宋_GB2312" w:hAnsi="仿宋_GB2312" w:cs="仿宋_GB2312"/>
          <w:b/>
          <w:bCs/>
          <w:sz w:val="32"/>
        </w:rPr>
        <w:t>（2）坚持现状水质保护目标不变，保障供水安全的原则</w:t>
      </w:r>
    </w:p>
    <w:p>
      <w:pPr>
        <w:spacing w:line="600" w:lineRule="exact"/>
        <w:ind w:firstLine="640" w:firstLineChars="200"/>
        <w:rPr>
          <w:rFonts w:hint="eastAsia" w:ascii="仿宋_GB2312" w:hAnsi="仿宋_GB2312" w:cs="仿宋_GB2312"/>
          <w:sz w:val="32"/>
        </w:rPr>
      </w:pPr>
      <w:r>
        <w:rPr>
          <w:rFonts w:hint="eastAsia" w:ascii="仿宋_GB2312" w:hAnsi="仿宋_GB2312" w:cs="仿宋_GB2312"/>
          <w:sz w:val="32"/>
        </w:rPr>
        <w:t>饮用水水源保护区范围调整时应重视现状饮用水源地的保护，调整以不降低饮用水源地水质目标为底线，不降低水质保护的要求，确保供水安全。</w:t>
      </w:r>
    </w:p>
    <w:p>
      <w:pPr>
        <w:spacing w:line="600" w:lineRule="exact"/>
        <w:ind w:firstLine="643" w:firstLineChars="200"/>
        <w:rPr>
          <w:rFonts w:hint="eastAsia" w:ascii="仿宋_GB2312" w:hAnsi="仿宋_GB2312" w:cs="仿宋_GB2312"/>
          <w:b/>
          <w:bCs/>
          <w:sz w:val="32"/>
        </w:rPr>
      </w:pPr>
      <w:r>
        <w:rPr>
          <w:rFonts w:hint="eastAsia" w:ascii="仿宋_GB2312" w:hAnsi="仿宋_GB2312" w:cs="仿宋_GB2312"/>
          <w:b/>
          <w:bCs/>
          <w:sz w:val="32"/>
        </w:rPr>
        <w:t>（3）坚持实事求是、慎重、稳妥的原则</w:t>
      </w:r>
    </w:p>
    <w:p>
      <w:pPr>
        <w:spacing w:line="600" w:lineRule="exact"/>
        <w:ind w:firstLine="640" w:firstLineChars="200"/>
        <w:rPr>
          <w:rFonts w:hint="eastAsia" w:ascii="仿宋_GB2312" w:hAnsi="仿宋_GB2312" w:cs="仿宋_GB2312"/>
          <w:sz w:val="32"/>
        </w:rPr>
      </w:pPr>
      <w:r>
        <w:rPr>
          <w:rFonts w:hint="eastAsia" w:ascii="仿宋_GB2312" w:hAnsi="仿宋_GB2312" w:cs="仿宋_GB2312"/>
          <w:sz w:val="32"/>
        </w:rPr>
        <w:t>应全面、务实地调查研究和分析范围内的自然环境、社会经济、水资源及其开发利用、水环境功能区以及饮用水水源保护区的现状，分析其中存在的问题；慎重、稳妥地提出调整饮用水水源保护区划分的方案。</w:t>
      </w:r>
    </w:p>
    <w:p>
      <w:pPr>
        <w:spacing w:line="600" w:lineRule="exact"/>
        <w:ind w:firstLine="643" w:firstLineChars="200"/>
        <w:rPr>
          <w:rFonts w:hint="eastAsia" w:ascii="仿宋_GB2312" w:hAnsi="仿宋_GB2312" w:cs="仿宋_GB2312"/>
          <w:b/>
          <w:bCs/>
          <w:sz w:val="32"/>
        </w:rPr>
      </w:pPr>
      <w:r>
        <w:rPr>
          <w:rFonts w:hint="eastAsia" w:ascii="仿宋_GB2312" w:hAnsi="仿宋_GB2312" w:cs="仿宋_GB2312"/>
          <w:b/>
          <w:bCs/>
          <w:sz w:val="32"/>
        </w:rPr>
        <w:t>（4）坚持科学性、前瞻性和可操作性的原则</w:t>
      </w:r>
    </w:p>
    <w:p>
      <w:pPr>
        <w:spacing w:line="600" w:lineRule="exact"/>
        <w:ind w:firstLine="640" w:firstLineChars="200"/>
        <w:rPr>
          <w:rFonts w:hint="eastAsia" w:ascii="仿宋_GB2312" w:hAnsi="仿宋_GB2312" w:cs="仿宋_GB2312"/>
          <w:sz w:val="32"/>
        </w:rPr>
      </w:pPr>
      <w:r>
        <w:rPr>
          <w:rFonts w:hint="eastAsia" w:ascii="仿宋_GB2312" w:hAnsi="仿宋_GB2312" w:cs="仿宋_GB2312"/>
          <w:sz w:val="32"/>
        </w:rPr>
        <w:t>应通过科学、严谨的分析和论证来选定最优的调整方案，调整过程要符合有关法律法规和技术规范的要求；调整方案应充分考虑到区域将来的水资源变化趋势、水资源保护要求和经济社会发展的需要，具有科学性和前瞻性；调整方案应具有很强的可操作性，饮用水水源保护区边界范围可考虑行政区边界，方便地方相关部门协调、统一管理和保护。</w:t>
      </w:r>
    </w:p>
    <w:p>
      <w:pPr>
        <w:spacing w:line="600" w:lineRule="exact"/>
        <w:ind w:firstLine="643" w:firstLineChars="200"/>
        <w:rPr>
          <w:rFonts w:hint="eastAsia" w:ascii="仿宋_GB2312" w:hAnsi="仿宋_GB2312" w:cs="仿宋_GB2312"/>
          <w:b/>
          <w:bCs/>
          <w:sz w:val="32"/>
        </w:rPr>
      </w:pPr>
      <w:r>
        <w:rPr>
          <w:rFonts w:hint="eastAsia" w:ascii="仿宋_GB2312" w:hAnsi="仿宋_GB2312" w:cs="仿宋_GB2312"/>
          <w:b/>
          <w:bCs/>
          <w:sz w:val="32"/>
        </w:rPr>
        <w:t>（5）坚持社会、经济、资源和环境协调统一的原则</w:t>
      </w:r>
    </w:p>
    <w:p>
      <w:pPr>
        <w:spacing w:line="600" w:lineRule="exact"/>
        <w:ind w:firstLine="640" w:firstLineChars="200"/>
        <w:rPr>
          <w:rFonts w:hint="eastAsia" w:ascii="仿宋_GB2312" w:hAnsi="仿宋_GB2312" w:cs="仿宋_GB2312"/>
          <w:sz w:val="32"/>
        </w:rPr>
      </w:pPr>
      <w:r>
        <w:rPr>
          <w:rFonts w:hint="eastAsia" w:ascii="仿宋_GB2312" w:hAnsi="仿宋_GB2312" w:cs="仿宋_GB2312"/>
          <w:sz w:val="32"/>
        </w:rPr>
        <w:t>饮用水水源保护区调整方案应与韶关市的经济发展总体战略、水资源开发利用以及水资源保护等规划相协调；保护优先，同时充分发挥水资源、水环境对地方经济社会发展的支撑作用，做到社会、经济、水资源和环境效益的协调、可持续发展。</w:t>
      </w:r>
    </w:p>
    <w:p>
      <w:pPr>
        <w:adjustRightInd w:val="0"/>
        <w:snapToGrid w:val="0"/>
        <w:ind w:firstLine="640" w:firstLineChars="200"/>
        <w:outlineLvl w:val="0"/>
        <w:rPr>
          <w:rFonts w:eastAsia="黑体" w:cs="Times New Roman"/>
          <w:color w:val="000000"/>
          <w:sz w:val="32"/>
          <w:szCs w:val="32"/>
          <w:shd w:val="clear" w:color="auto" w:fill="FFFFFF"/>
        </w:rPr>
      </w:pPr>
      <w:r>
        <w:rPr>
          <w:rFonts w:hint="eastAsia" w:eastAsia="黑体" w:cs="Times New Roman"/>
          <w:color w:val="000000"/>
          <w:sz w:val="32"/>
          <w:szCs w:val="32"/>
          <w:shd w:val="clear" w:color="auto" w:fill="FFFFFF"/>
        </w:rPr>
        <w:t>三、调整内容</w:t>
      </w:r>
    </w:p>
    <w:bookmarkEnd w:id="0"/>
    <w:p>
      <w:pPr>
        <w:adjustRightInd w:val="0"/>
        <w:snapToGrid w:val="0"/>
        <w:ind w:firstLine="640" w:firstLineChars="200"/>
        <w:outlineLv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本项目调整为撤销韶关市区浈江备用饮用水水源保护区和撤销新丰县梅坑河、小正河备用饮用水水源保护区，其他水源地保持原保护方案不变。本次调整后韶关市饮用水源地总保护面积减少182.95km</w:t>
      </w:r>
      <w:r>
        <w:rPr>
          <w:rFonts w:hint="eastAsia" w:ascii="仿宋_GB2312" w:hAnsi="仿宋_GB2312" w:eastAsia="仿宋_GB2312" w:cs="仿宋_GB2312"/>
          <w:sz w:val="32"/>
          <w:szCs w:val="32"/>
          <w:vertAlign w:val="superscript"/>
        </w:rPr>
        <w:t>2</w:t>
      </w:r>
      <w:r>
        <w:rPr>
          <w:rFonts w:hint="eastAsia" w:ascii="仿宋_GB2312" w:hAnsi="仿宋_GB2312" w:eastAsia="仿宋_GB2312" w:cs="仿宋_GB2312"/>
          <w:sz w:val="32"/>
          <w:szCs w:val="32"/>
        </w:rPr>
        <w:t>，其中一级保护区面积减少148.72km</w:t>
      </w:r>
      <w:r>
        <w:rPr>
          <w:rFonts w:hint="eastAsia" w:ascii="仿宋_GB2312" w:hAnsi="仿宋_GB2312" w:eastAsia="仿宋_GB2312" w:cs="仿宋_GB2312"/>
          <w:sz w:val="32"/>
          <w:szCs w:val="32"/>
          <w:vertAlign w:val="superscript"/>
        </w:rPr>
        <w:t>2</w:t>
      </w:r>
      <w:r>
        <w:rPr>
          <w:rFonts w:hint="eastAsia" w:ascii="仿宋_GB2312" w:hAnsi="仿宋_GB2312" w:eastAsia="仿宋_GB2312" w:cs="仿宋_GB2312"/>
          <w:sz w:val="32"/>
          <w:szCs w:val="32"/>
        </w:rPr>
        <w:t>，二级保护区面积减少7.52km</w:t>
      </w:r>
      <w:r>
        <w:rPr>
          <w:rFonts w:hint="eastAsia" w:ascii="仿宋_GB2312" w:hAnsi="仿宋_GB2312" w:eastAsia="仿宋_GB2312" w:cs="仿宋_GB2312"/>
          <w:sz w:val="32"/>
          <w:szCs w:val="32"/>
          <w:vertAlign w:val="superscript"/>
        </w:rPr>
        <w:t>2</w:t>
      </w:r>
      <w:r>
        <w:rPr>
          <w:rFonts w:hint="eastAsia" w:ascii="仿宋_GB2312" w:hAnsi="仿宋_GB2312" w:eastAsia="仿宋_GB2312" w:cs="仿宋_GB2312"/>
          <w:sz w:val="32"/>
          <w:szCs w:val="32"/>
        </w:rPr>
        <w:t>，准保护区面积减少26.71km</w:t>
      </w:r>
      <w:r>
        <w:rPr>
          <w:rFonts w:hint="eastAsia" w:ascii="仿宋_GB2312" w:hAnsi="仿宋_GB2312" w:eastAsia="仿宋_GB2312" w:cs="仿宋_GB2312"/>
          <w:sz w:val="32"/>
          <w:szCs w:val="32"/>
          <w:vertAlign w:val="superscript"/>
        </w:rPr>
        <w:t>2</w:t>
      </w:r>
      <w:r>
        <w:rPr>
          <w:rFonts w:hint="eastAsia" w:ascii="仿宋_GB2312" w:hAnsi="仿宋_GB2312" w:eastAsia="仿宋_GB2312" w:cs="仿宋_GB2312"/>
          <w:sz w:val="32"/>
          <w:szCs w:val="32"/>
        </w:rPr>
        <w:t>。调整方案见附表1，调整后保护区划分范围见附图1至3。</w:t>
      </w:r>
    </w:p>
    <w:p>
      <w:pPr>
        <w:ind w:firstLine="560" w:firstLineChars="200"/>
      </w:pPr>
    </w:p>
    <w:p>
      <w:pPr>
        <w:pStyle w:val="27"/>
        <w:ind w:firstLine="480" w:firstLineChars="200"/>
        <w:rPr>
          <w:rFonts w:hint="default"/>
        </w:rPr>
      </w:pPr>
    </w:p>
    <w:p>
      <w:pPr>
        <w:ind w:firstLine="560" w:firstLineChars="200"/>
        <w:rPr>
          <w:highlight w:val="yellow"/>
        </w:rPr>
        <w:sectPr>
          <w:footerReference r:id="rId7" w:type="first"/>
          <w:pgSz w:w="11906" w:h="16838"/>
          <w:pgMar w:top="1440" w:right="1800" w:bottom="1440" w:left="1800" w:header="851" w:footer="992" w:gutter="0"/>
          <w:pgNumType w:fmt="numberInDash" w:start="1"/>
          <w:cols w:space="425" w:num="1"/>
          <w:titlePg/>
          <w:docGrid w:type="lines" w:linePitch="381" w:charSpace="0"/>
        </w:sectPr>
      </w:pPr>
    </w:p>
    <w:p>
      <w:pPr>
        <w:pStyle w:val="14"/>
        <w:spacing w:line="400" w:lineRule="exact"/>
        <w:outlineLvl w:val="0"/>
        <w:rPr>
          <w:rFonts w:eastAsia="宋体" w:cs="Times New Roman"/>
          <w:bCs/>
          <w:kern w:val="0"/>
          <w:sz w:val="30"/>
          <w:szCs w:val="30"/>
          <w:lang w:bidi="ar"/>
        </w:rPr>
      </w:pPr>
      <w:bookmarkStart w:id="1" w:name="_Ref102742342"/>
      <w:r>
        <w:rPr>
          <w:rFonts w:hint="eastAsia" w:eastAsia="宋体" w:cs="Times New Roman"/>
          <w:bCs/>
          <w:kern w:val="0"/>
          <w:sz w:val="30"/>
          <w:szCs w:val="30"/>
          <w:lang w:bidi="ar"/>
        </w:rPr>
        <w:t>附表</w:t>
      </w:r>
      <w:r>
        <w:rPr>
          <w:rFonts w:eastAsia="宋体" w:cs="Times New Roman"/>
          <w:bCs/>
          <w:kern w:val="0"/>
          <w:sz w:val="30"/>
          <w:szCs w:val="30"/>
          <w:lang w:bidi="ar"/>
        </w:rPr>
        <w:fldChar w:fldCharType="begin"/>
      </w:r>
      <w:r>
        <w:rPr>
          <w:rFonts w:eastAsia="宋体" w:cs="Times New Roman"/>
          <w:bCs/>
          <w:kern w:val="0"/>
          <w:sz w:val="30"/>
          <w:szCs w:val="30"/>
          <w:lang w:bidi="ar"/>
        </w:rPr>
        <w:instrText xml:space="preserve"> SEQ </w:instrText>
      </w:r>
      <w:r>
        <w:rPr>
          <w:rFonts w:hint="eastAsia" w:eastAsia="宋体" w:cs="Times New Roman"/>
          <w:bCs/>
          <w:kern w:val="0"/>
          <w:sz w:val="30"/>
          <w:szCs w:val="30"/>
          <w:lang w:bidi="ar"/>
        </w:rPr>
        <w:instrText xml:space="preserve">表</w:instrText>
      </w:r>
      <w:r>
        <w:rPr>
          <w:rFonts w:eastAsia="宋体" w:cs="Times New Roman"/>
          <w:bCs/>
          <w:kern w:val="0"/>
          <w:sz w:val="30"/>
          <w:szCs w:val="30"/>
          <w:lang w:bidi="ar"/>
        </w:rPr>
        <w:instrText xml:space="preserve"> \* ARABIC \s 1 </w:instrText>
      </w:r>
      <w:r>
        <w:rPr>
          <w:rFonts w:eastAsia="宋体" w:cs="Times New Roman"/>
          <w:bCs/>
          <w:kern w:val="0"/>
          <w:sz w:val="30"/>
          <w:szCs w:val="30"/>
          <w:lang w:bidi="ar"/>
        </w:rPr>
        <w:fldChar w:fldCharType="separate"/>
      </w:r>
      <w:r>
        <w:rPr>
          <w:rFonts w:eastAsia="宋体" w:cs="Times New Roman"/>
          <w:bCs/>
          <w:kern w:val="0"/>
          <w:sz w:val="30"/>
          <w:szCs w:val="30"/>
          <w:lang w:bidi="ar"/>
        </w:rPr>
        <w:t>1</w:t>
      </w:r>
      <w:r>
        <w:rPr>
          <w:rFonts w:eastAsia="宋体" w:cs="Times New Roman"/>
          <w:bCs/>
          <w:kern w:val="0"/>
          <w:sz w:val="30"/>
          <w:szCs w:val="30"/>
          <w:lang w:bidi="ar"/>
        </w:rPr>
        <w:fldChar w:fldCharType="end"/>
      </w:r>
      <w:bookmarkEnd w:id="1"/>
      <w:r>
        <w:rPr>
          <w:rFonts w:eastAsia="宋体" w:cs="Times New Roman"/>
          <w:bCs/>
          <w:kern w:val="0"/>
          <w:sz w:val="30"/>
          <w:szCs w:val="30"/>
          <w:lang w:bidi="ar"/>
        </w:rPr>
        <w:t xml:space="preserve"> </w:t>
      </w:r>
      <w:r>
        <w:rPr>
          <w:rFonts w:hint="eastAsia" w:eastAsia="宋体" w:cs="Times New Roman"/>
          <w:bCs/>
          <w:kern w:val="0"/>
          <w:sz w:val="30"/>
          <w:szCs w:val="30"/>
          <w:lang w:bidi="ar"/>
        </w:rPr>
        <w:t>韶关市部分县级以上集中式饮用水水源保护区调整方案</w:t>
      </w:r>
    </w:p>
    <w:tbl>
      <w:tblPr>
        <w:tblStyle w:val="26"/>
        <w:tblW w:w="2149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1296"/>
        <w:gridCol w:w="855"/>
        <w:gridCol w:w="945"/>
        <w:gridCol w:w="3405"/>
        <w:gridCol w:w="3585"/>
        <w:gridCol w:w="1320"/>
        <w:gridCol w:w="3255"/>
        <w:gridCol w:w="1528"/>
        <w:gridCol w:w="1215"/>
        <w:gridCol w:w="1185"/>
        <w:gridCol w:w="14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5" w:hRule="atLeast"/>
          <w:jc w:val="center"/>
        </w:trPr>
        <w:tc>
          <w:tcPr>
            <w:tcW w:w="1440" w:type="dxa"/>
            <w:vMerge w:val="restart"/>
            <w:shd w:val="clear" w:color="auto" w:fill="auto"/>
            <w:vAlign w:val="center"/>
          </w:tcPr>
          <w:p>
            <w:pPr>
              <w:spacing w:line="240" w:lineRule="auto"/>
              <w:jc w:val="center"/>
              <w:rPr>
                <w:rFonts w:eastAsia="宋体" w:cs="Times New Roman"/>
                <w:b/>
                <w:sz w:val="21"/>
                <w:szCs w:val="21"/>
              </w:rPr>
            </w:pPr>
            <w:r>
              <w:rPr>
                <w:rFonts w:eastAsia="宋体" w:cs="Times New Roman"/>
                <w:b/>
                <w:sz w:val="21"/>
                <w:szCs w:val="21"/>
              </w:rPr>
              <w:t>县（市、区）</w:t>
            </w:r>
          </w:p>
        </w:tc>
        <w:tc>
          <w:tcPr>
            <w:tcW w:w="1296" w:type="dxa"/>
            <w:vMerge w:val="restart"/>
            <w:shd w:val="clear" w:color="auto" w:fill="auto"/>
            <w:vAlign w:val="center"/>
          </w:tcPr>
          <w:p>
            <w:pPr>
              <w:spacing w:line="240" w:lineRule="auto"/>
              <w:jc w:val="center"/>
              <w:rPr>
                <w:rFonts w:eastAsia="宋体" w:cs="Times New Roman"/>
                <w:b/>
                <w:sz w:val="21"/>
                <w:szCs w:val="21"/>
              </w:rPr>
            </w:pPr>
            <w:r>
              <w:rPr>
                <w:rFonts w:eastAsia="宋体" w:cs="Times New Roman"/>
                <w:b/>
                <w:sz w:val="21"/>
                <w:szCs w:val="21"/>
              </w:rPr>
              <w:t>水源地名称</w:t>
            </w:r>
          </w:p>
        </w:tc>
        <w:tc>
          <w:tcPr>
            <w:tcW w:w="855" w:type="dxa"/>
            <w:vMerge w:val="restart"/>
            <w:shd w:val="clear" w:color="auto" w:fill="auto"/>
            <w:vAlign w:val="center"/>
          </w:tcPr>
          <w:p>
            <w:pPr>
              <w:spacing w:line="240" w:lineRule="auto"/>
              <w:jc w:val="center"/>
              <w:rPr>
                <w:rFonts w:eastAsia="宋体" w:cs="Times New Roman"/>
                <w:b/>
                <w:sz w:val="21"/>
                <w:szCs w:val="21"/>
              </w:rPr>
            </w:pPr>
            <w:r>
              <w:rPr>
                <w:rFonts w:eastAsia="宋体" w:cs="Times New Roman"/>
                <w:b/>
                <w:sz w:val="21"/>
                <w:szCs w:val="21"/>
              </w:rPr>
              <w:t>水源地类型</w:t>
            </w:r>
          </w:p>
        </w:tc>
        <w:tc>
          <w:tcPr>
            <w:tcW w:w="945" w:type="dxa"/>
            <w:vMerge w:val="restart"/>
            <w:shd w:val="clear" w:color="auto" w:fill="auto"/>
            <w:vAlign w:val="center"/>
          </w:tcPr>
          <w:p>
            <w:pPr>
              <w:spacing w:line="240" w:lineRule="auto"/>
              <w:jc w:val="center"/>
              <w:rPr>
                <w:rFonts w:eastAsia="宋体" w:cs="Times New Roman"/>
                <w:b/>
                <w:sz w:val="21"/>
                <w:szCs w:val="21"/>
              </w:rPr>
            </w:pPr>
            <w:r>
              <w:rPr>
                <w:rFonts w:eastAsia="宋体" w:cs="Times New Roman"/>
                <w:b/>
                <w:sz w:val="21"/>
                <w:szCs w:val="21"/>
              </w:rPr>
              <w:t>保护区级别</w:t>
            </w:r>
          </w:p>
        </w:tc>
        <w:tc>
          <w:tcPr>
            <w:tcW w:w="8310" w:type="dxa"/>
            <w:gridSpan w:val="3"/>
            <w:shd w:val="clear" w:color="auto" w:fill="auto"/>
            <w:vAlign w:val="center"/>
          </w:tcPr>
          <w:p>
            <w:pPr>
              <w:spacing w:line="240" w:lineRule="auto"/>
              <w:jc w:val="center"/>
              <w:rPr>
                <w:rFonts w:eastAsia="宋体" w:cs="Times New Roman"/>
                <w:b/>
                <w:sz w:val="21"/>
                <w:szCs w:val="21"/>
              </w:rPr>
            </w:pPr>
            <w:r>
              <w:rPr>
                <w:rFonts w:hint="eastAsia" w:eastAsia="宋体" w:cs="Times New Roman"/>
                <w:b/>
                <w:sz w:val="21"/>
                <w:szCs w:val="21"/>
              </w:rPr>
              <w:t>调整前保护区范围</w:t>
            </w:r>
          </w:p>
        </w:tc>
        <w:tc>
          <w:tcPr>
            <w:tcW w:w="5998" w:type="dxa"/>
            <w:gridSpan w:val="3"/>
            <w:shd w:val="clear" w:color="auto" w:fill="auto"/>
            <w:vAlign w:val="center"/>
          </w:tcPr>
          <w:p>
            <w:pPr>
              <w:spacing w:line="240" w:lineRule="auto"/>
              <w:jc w:val="center"/>
              <w:rPr>
                <w:rFonts w:eastAsia="宋体" w:cs="Times New Roman"/>
                <w:b/>
                <w:sz w:val="21"/>
                <w:szCs w:val="21"/>
              </w:rPr>
            </w:pPr>
            <w:r>
              <w:rPr>
                <w:rFonts w:hint="eastAsia" w:eastAsia="宋体" w:cs="Times New Roman"/>
                <w:b/>
                <w:sz w:val="21"/>
                <w:szCs w:val="21"/>
              </w:rPr>
              <w:t>调整后保护区范围</w:t>
            </w:r>
          </w:p>
        </w:tc>
        <w:tc>
          <w:tcPr>
            <w:tcW w:w="1185" w:type="dxa"/>
            <w:vMerge w:val="restart"/>
            <w:shd w:val="clear" w:color="auto" w:fill="auto"/>
            <w:vAlign w:val="center"/>
          </w:tcPr>
          <w:p>
            <w:pPr>
              <w:spacing w:line="240" w:lineRule="auto"/>
              <w:jc w:val="center"/>
              <w:rPr>
                <w:rFonts w:eastAsia="宋体" w:cs="Times New Roman"/>
                <w:b/>
                <w:sz w:val="21"/>
                <w:szCs w:val="21"/>
              </w:rPr>
            </w:pPr>
            <w:r>
              <w:rPr>
                <w:rFonts w:hint="eastAsia" w:eastAsia="宋体" w:cs="Times New Roman"/>
                <w:b/>
                <w:sz w:val="21"/>
                <w:szCs w:val="21"/>
              </w:rPr>
              <w:t>变化说明</w:t>
            </w:r>
          </w:p>
        </w:tc>
        <w:tc>
          <w:tcPr>
            <w:tcW w:w="1466" w:type="dxa"/>
            <w:vMerge w:val="restart"/>
            <w:shd w:val="clear" w:color="auto" w:fill="auto"/>
            <w:vAlign w:val="center"/>
          </w:tcPr>
          <w:p>
            <w:pPr>
              <w:spacing w:line="240" w:lineRule="auto"/>
              <w:jc w:val="center"/>
              <w:rPr>
                <w:rFonts w:eastAsia="宋体" w:cs="Times New Roman"/>
                <w:b/>
                <w:sz w:val="21"/>
                <w:szCs w:val="21"/>
              </w:rPr>
            </w:pPr>
            <w:r>
              <w:rPr>
                <w:rFonts w:hint="eastAsia" w:eastAsia="宋体" w:cs="Times New Roman"/>
                <w:b/>
                <w:sz w:val="21"/>
                <w:szCs w:val="21"/>
              </w:rPr>
              <w:t>面积对比</w:t>
            </w:r>
            <w:r>
              <w:rPr>
                <w:rFonts w:eastAsia="宋体" w:cs="Times New Roman"/>
                <w:b/>
                <w:bCs/>
                <w:kern w:val="0"/>
                <w:sz w:val="21"/>
                <w:szCs w:val="21"/>
              </w:rPr>
              <w:t>（</w:t>
            </w:r>
            <w:r>
              <w:rPr>
                <w:rFonts w:eastAsia="宋体" w:cs="Times New Roman"/>
                <w:b/>
                <w:sz w:val="21"/>
                <w:szCs w:val="21"/>
              </w:rPr>
              <w:t>km</w:t>
            </w:r>
            <w:r>
              <w:rPr>
                <w:rFonts w:eastAsia="宋体" w:cs="Times New Roman"/>
                <w:b/>
                <w:sz w:val="21"/>
                <w:szCs w:val="21"/>
                <w:vertAlign w:val="superscript"/>
              </w:rPr>
              <w:t>2</w:t>
            </w:r>
            <w:r>
              <w:rPr>
                <w:rFonts w:eastAsia="宋体" w:cs="Times New Roman"/>
                <w:b/>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5" w:hRule="atLeast"/>
          <w:jc w:val="center"/>
        </w:trPr>
        <w:tc>
          <w:tcPr>
            <w:tcW w:w="1440" w:type="dxa"/>
            <w:vMerge w:val="continue"/>
            <w:shd w:val="clear" w:color="auto" w:fill="auto"/>
            <w:vAlign w:val="center"/>
          </w:tcPr>
          <w:p>
            <w:pPr>
              <w:spacing w:line="240" w:lineRule="auto"/>
              <w:jc w:val="center"/>
            </w:pPr>
          </w:p>
        </w:tc>
        <w:tc>
          <w:tcPr>
            <w:tcW w:w="1296" w:type="dxa"/>
            <w:vMerge w:val="continue"/>
            <w:shd w:val="clear" w:color="auto" w:fill="auto"/>
            <w:vAlign w:val="center"/>
          </w:tcPr>
          <w:p>
            <w:pPr>
              <w:spacing w:line="240" w:lineRule="auto"/>
              <w:jc w:val="center"/>
            </w:pPr>
          </w:p>
        </w:tc>
        <w:tc>
          <w:tcPr>
            <w:tcW w:w="855" w:type="dxa"/>
            <w:vMerge w:val="continue"/>
            <w:shd w:val="clear" w:color="auto" w:fill="auto"/>
            <w:vAlign w:val="center"/>
          </w:tcPr>
          <w:p>
            <w:pPr>
              <w:spacing w:line="240" w:lineRule="auto"/>
              <w:jc w:val="center"/>
            </w:pPr>
          </w:p>
        </w:tc>
        <w:tc>
          <w:tcPr>
            <w:tcW w:w="945" w:type="dxa"/>
            <w:vMerge w:val="continue"/>
            <w:shd w:val="clear" w:color="auto" w:fill="auto"/>
            <w:vAlign w:val="center"/>
          </w:tcPr>
          <w:p>
            <w:pPr>
              <w:spacing w:line="240" w:lineRule="auto"/>
              <w:jc w:val="center"/>
            </w:pPr>
          </w:p>
        </w:tc>
        <w:tc>
          <w:tcPr>
            <w:tcW w:w="3405" w:type="dxa"/>
            <w:shd w:val="clear" w:color="auto" w:fill="auto"/>
            <w:vAlign w:val="center"/>
          </w:tcPr>
          <w:p>
            <w:pPr>
              <w:spacing w:line="240" w:lineRule="auto"/>
              <w:jc w:val="center"/>
              <w:rPr>
                <w:rFonts w:eastAsia="宋体" w:cs="Times New Roman"/>
                <w:b/>
                <w:sz w:val="21"/>
                <w:szCs w:val="21"/>
              </w:rPr>
            </w:pPr>
            <w:r>
              <w:rPr>
                <w:rFonts w:eastAsia="宋体" w:cs="Times New Roman"/>
                <w:b/>
                <w:sz w:val="21"/>
                <w:szCs w:val="21"/>
              </w:rPr>
              <w:t>水域保护区范围与水质保护目标</w:t>
            </w:r>
          </w:p>
        </w:tc>
        <w:tc>
          <w:tcPr>
            <w:tcW w:w="3585" w:type="dxa"/>
            <w:shd w:val="clear" w:color="auto" w:fill="auto"/>
            <w:vAlign w:val="center"/>
          </w:tcPr>
          <w:p>
            <w:pPr>
              <w:spacing w:line="240" w:lineRule="auto"/>
              <w:jc w:val="center"/>
              <w:rPr>
                <w:rFonts w:eastAsia="宋体" w:cs="Times New Roman"/>
                <w:b/>
                <w:sz w:val="21"/>
                <w:szCs w:val="21"/>
              </w:rPr>
            </w:pPr>
            <w:r>
              <w:rPr>
                <w:rFonts w:eastAsia="宋体" w:cs="Times New Roman"/>
                <w:b/>
                <w:sz w:val="21"/>
                <w:szCs w:val="21"/>
              </w:rPr>
              <w:t>陆地保护范围</w:t>
            </w:r>
          </w:p>
        </w:tc>
        <w:tc>
          <w:tcPr>
            <w:tcW w:w="1320" w:type="dxa"/>
            <w:shd w:val="clear" w:color="auto" w:fill="auto"/>
            <w:vAlign w:val="center"/>
          </w:tcPr>
          <w:p>
            <w:pPr>
              <w:spacing w:line="240" w:lineRule="auto"/>
              <w:jc w:val="center"/>
              <w:rPr>
                <w:rFonts w:eastAsia="宋体" w:cs="Times New Roman"/>
                <w:b/>
                <w:sz w:val="21"/>
                <w:szCs w:val="21"/>
              </w:rPr>
            </w:pPr>
            <w:r>
              <w:rPr>
                <w:rFonts w:hint="eastAsia" w:eastAsia="宋体" w:cs="Times New Roman"/>
                <w:b/>
                <w:sz w:val="21"/>
                <w:szCs w:val="21"/>
              </w:rPr>
              <w:t>保护区面积</w:t>
            </w:r>
            <w:r>
              <w:rPr>
                <w:rFonts w:eastAsia="宋体" w:cs="Times New Roman"/>
                <w:b/>
                <w:bCs/>
                <w:kern w:val="0"/>
                <w:sz w:val="21"/>
                <w:szCs w:val="21"/>
              </w:rPr>
              <w:t>（</w:t>
            </w:r>
            <w:r>
              <w:rPr>
                <w:rFonts w:eastAsia="宋体" w:cs="Times New Roman"/>
                <w:b/>
                <w:sz w:val="21"/>
                <w:szCs w:val="21"/>
              </w:rPr>
              <w:t>km</w:t>
            </w:r>
            <w:r>
              <w:rPr>
                <w:rFonts w:eastAsia="宋体" w:cs="Times New Roman"/>
                <w:b/>
                <w:sz w:val="21"/>
                <w:szCs w:val="21"/>
                <w:vertAlign w:val="superscript"/>
              </w:rPr>
              <w:t>2</w:t>
            </w:r>
            <w:r>
              <w:rPr>
                <w:rFonts w:eastAsia="宋体" w:cs="Times New Roman"/>
                <w:b/>
                <w:sz w:val="21"/>
                <w:szCs w:val="21"/>
              </w:rPr>
              <w:t>）</w:t>
            </w:r>
          </w:p>
        </w:tc>
        <w:tc>
          <w:tcPr>
            <w:tcW w:w="3255" w:type="dxa"/>
            <w:shd w:val="clear" w:color="auto" w:fill="auto"/>
            <w:vAlign w:val="center"/>
          </w:tcPr>
          <w:p>
            <w:pPr>
              <w:spacing w:line="240" w:lineRule="auto"/>
              <w:jc w:val="center"/>
              <w:rPr>
                <w:rFonts w:eastAsia="宋体" w:cs="Times New Roman"/>
                <w:b/>
                <w:sz w:val="21"/>
                <w:szCs w:val="21"/>
              </w:rPr>
            </w:pPr>
            <w:r>
              <w:rPr>
                <w:rFonts w:eastAsia="宋体" w:cs="Times New Roman"/>
                <w:b/>
                <w:sz w:val="21"/>
                <w:szCs w:val="21"/>
              </w:rPr>
              <w:t>水域保护区范围与水质保护目标</w:t>
            </w:r>
          </w:p>
        </w:tc>
        <w:tc>
          <w:tcPr>
            <w:tcW w:w="1528" w:type="dxa"/>
            <w:shd w:val="clear" w:color="auto" w:fill="auto"/>
            <w:vAlign w:val="center"/>
          </w:tcPr>
          <w:p>
            <w:pPr>
              <w:spacing w:line="240" w:lineRule="auto"/>
              <w:jc w:val="center"/>
              <w:rPr>
                <w:rFonts w:eastAsia="宋体" w:cs="Times New Roman"/>
                <w:b/>
                <w:sz w:val="21"/>
                <w:szCs w:val="21"/>
              </w:rPr>
            </w:pPr>
            <w:r>
              <w:rPr>
                <w:rFonts w:eastAsia="宋体" w:cs="Times New Roman"/>
                <w:b/>
                <w:sz w:val="21"/>
                <w:szCs w:val="21"/>
              </w:rPr>
              <w:t>陆地保护范围</w:t>
            </w:r>
          </w:p>
        </w:tc>
        <w:tc>
          <w:tcPr>
            <w:tcW w:w="1215" w:type="dxa"/>
            <w:shd w:val="clear" w:color="auto" w:fill="auto"/>
            <w:vAlign w:val="center"/>
          </w:tcPr>
          <w:p>
            <w:pPr>
              <w:spacing w:line="240" w:lineRule="auto"/>
              <w:jc w:val="center"/>
              <w:rPr>
                <w:rFonts w:eastAsia="宋体" w:cs="Times New Roman"/>
                <w:b/>
                <w:sz w:val="21"/>
                <w:szCs w:val="21"/>
              </w:rPr>
            </w:pPr>
            <w:r>
              <w:rPr>
                <w:rFonts w:hint="eastAsia" w:eastAsia="宋体" w:cs="Times New Roman"/>
                <w:b/>
                <w:sz w:val="21"/>
                <w:szCs w:val="21"/>
              </w:rPr>
              <w:t>保护区面积</w:t>
            </w:r>
            <w:r>
              <w:rPr>
                <w:rFonts w:eastAsia="宋体" w:cs="Times New Roman"/>
                <w:b/>
                <w:bCs/>
                <w:kern w:val="0"/>
                <w:sz w:val="21"/>
                <w:szCs w:val="21"/>
              </w:rPr>
              <w:t>（</w:t>
            </w:r>
            <w:r>
              <w:rPr>
                <w:rFonts w:eastAsia="宋体" w:cs="Times New Roman"/>
                <w:b/>
                <w:sz w:val="21"/>
                <w:szCs w:val="21"/>
              </w:rPr>
              <w:t>km</w:t>
            </w:r>
            <w:r>
              <w:rPr>
                <w:rFonts w:eastAsia="宋体" w:cs="Times New Roman"/>
                <w:b/>
                <w:sz w:val="21"/>
                <w:szCs w:val="21"/>
                <w:vertAlign w:val="superscript"/>
              </w:rPr>
              <w:t>2</w:t>
            </w:r>
            <w:r>
              <w:rPr>
                <w:rFonts w:eastAsia="宋体" w:cs="Times New Roman"/>
                <w:b/>
                <w:sz w:val="21"/>
                <w:szCs w:val="21"/>
              </w:rPr>
              <w:t>）</w:t>
            </w:r>
          </w:p>
        </w:tc>
        <w:tc>
          <w:tcPr>
            <w:tcW w:w="1185" w:type="dxa"/>
            <w:vMerge w:val="continue"/>
            <w:shd w:val="clear" w:color="auto" w:fill="auto"/>
            <w:vAlign w:val="center"/>
          </w:tcPr>
          <w:p>
            <w:pPr>
              <w:spacing w:line="240" w:lineRule="auto"/>
              <w:jc w:val="center"/>
              <w:rPr>
                <w:rFonts w:eastAsia="宋体" w:cs="Times New Roman"/>
                <w:b/>
                <w:sz w:val="21"/>
                <w:szCs w:val="21"/>
              </w:rPr>
            </w:pPr>
          </w:p>
        </w:tc>
        <w:tc>
          <w:tcPr>
            <w:tcW w:w="1466" w:type="dxa"/>
            <w:vMerge w:val="continue"/>
            <w:shd w:val="clear" w:color="auto" w:fill="auto"/>
            <w:vAlign w:val="center"/>
          </w:tcPr>
          <w:p>
            <w:pPr>
              <w:spacing w:line="240" w:lineRule="auto"/>
              <w:jc w:val="center"/>
              <w:rPr>
                <w:rFonts w:eastAsia="宋体" w:cs="Times New Roman"/>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40" w:type="dxa"/>
            <w:vMerge w:val="restart"/>
            <w:shd w:val="clear" w:color="auto" w:fill="auto"/>
            <w:vAlign w:val="center"/>
          </w:tcPr>
          <w:p>
            <w:pPr>
              <w:spacing w:line="240" w:lineRule="auto"/>
              <w:jc w:val="center"/>
              <w:rPr>
                <w:rFonts w:eastAsia="宋体" w:cs="Times New Roman"/>
                <w:b/>
                <w:sz w:val="21"/>
                <w:szCs w:val="21"/>
              </w:rPr>
            </w:pPr>
            <w:r>
              <w:rPr>
                <w:rFonts w:eastAsia="宋体" w:cs="Times New Roman"/>
                <w:b/>
                <w:sz w:val="21"/>
                <w:szCs w:val="21"/>
              </w:rPr>
              <w:t>韶关市区</w:t>
            </w:r>
          </w:p>
        </w:tc>
        <w:tc>
          <w:tcPr>
            <w:tcW w:w="1296" w:type="dxa"/>
            <w:vMerge w:val="restart"/>
            <w:shd w:val="clear" w:color="auto" w:fill="auto"/>
            <w:vAlign w:val="center"/>
          </w:tcPr>
          <w:p>
            <w:pPr>
              <w:spacing w:line="240" w:lineRule="auto"/>
              <w:jc w:val="center"/>
              <w:rPr>
                <w:rFonts w:eastAsia="宋体" w:cs="Times New Roman"/>
                <w:b/>
                <w:sz w:val="21"/>
                <w:szCs w:val="21"/>
              </w:rPr>
            </w:pPr>
            <w:r>
              <w:rPr>
                <w:rFonts w:eastAsia="宋体" w:cs="Times New Roman"/>
                <w:b/>
                <w:sz w:val="21"/>
                <w:szCs w:val="21"/>
              </w:rPr>
              <w:t>韶关市</w:t>
            </w:r>
            <w:r>
              <w:rPr>
                <w:rFonts w:hint="eastAsia" w:eastAsia="宋体" w:cs="Times New Roman"/>
                <w:b/>
                <w:sz w:val="21"/>
                <w:szCs w:val="21"/>
              </w:rPr>
              <w:t>区</w:t>
            </w:r>
            <w:r>
              <w:rPr>
                <w:rFonts w:eastAsia="宋体" w:cs="Times New Roman"/>
                <w:b/>
                <w:sz w:val="21"/>
                <w:szCs w:val="21"/>
              </w:rPr>
              <w:t>浈江饮用水水源地</w:t>
            </w:r>
          </w:p>
        </w:tc>
        <w:tc>
          <w:tcPr>
            <w:tcW w:w="855" w:type="dxa"/>
            <w:vMerge w:val="restart"/>
            <w:shd w:val="clear" w:color="auto" w:fill="auto"/>
            <w:vAlign w:val="center"/>
          </w:tcPr>
          <w:p>
            <w:pPr>
              <w:spacing w:line="240" w:lineRule="auto"/>
              <w:jc w:val="center"/>
              <w:rPr>
                <w:rFonts w:eastAsia="宋体" w:cs="Times New Roman"/>
                <w:sz w:val="21"/>
                <w:szCs w:val="21"/>
              </w:rPr>
            </w:pPr>
            <w:r>
              <w:rPr>
                <w:rFonts w:eastAsia="宋体" w:cs="Times New Roman"/>
                <w:sz w:val="21"/>
                <w:szCs w:val="21"/>
              </w:rPr>
              <w:t>河流型</w:t>
            </w:r>
          </w:p>
        </w:tc>
        <w:tc>
          <w:tcPr>
            <w:tcW w:w="945" w:type="dxa"/>
            <w:shd w:val="clear" w:color="auto" w:fill="auto"/>
            <w:vAlign w:val="center"/>
          </w:tcPr>
          <w:p>
            <w:pPr>
              <w:spacing w:line="240" w:lineRule="auto"/>
              <w:jc w:val="center"/>
              <w:rPr>
                <w:rFonts w:eastAsia="宋体" w:cs="Times New Roman"/>
                <w:sz w:val="21"/>
                <w:szCs w:val="21"/>
              </w:rPr>
            </w:pPr>
            <w:r>
              <w:rPr>
                <w:rFonts w:eastAsia="宋体" w:cs="Times New Roman"/>
                <w:sz w:val="21"/>
                <w:szCs w:val="21"/>
              </w:rPr>
              <w:t>一级保护区</w:t>
            </w:r>
          </w:p>
        </w:tc>
        <w:tc>
          <w:tcPr>
            <w:tcW w:w="3405" w:type="dxa"/>
            <w:shd w:val="clear" w:color="auto" w:fill="auto"/>
            <w:vAlign w:val="center"/>
          </w:tcPr>
          <w:p>
            <w:pPr>
              <w:pStyle w:val="47"/>
              <w:spacing w:before="0" w:beforeLines="0" w:after="0" w:afterLines="0"/>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浈江原新韶乡政府旧址至赣韶公路362公里处共3.1公里河段除航道外的水域范围。</w:t>
            </w:r>
          </w:p>
        </w:tc>
        <w:tc>
          <w:tcPr>
            <w:tcW w:w="3585" w:type="dxa"/>
            <w:shd w:val="clear" w:color="auto" w:fill="auto"/>
            <w:vAlign w:val="center"/>
          </w:tcPr>
          <w:p>
            <w:pPr>
              <w:pStyle w:val="47"/>
              <w:spacing w:before="0" w:beforeLines="0" w:after="0" w:afterLines="0"/>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相应一级保护区水域的两岸正常岸线向陆纵深至防洪堤迎水面。</w:t>
            </w:r>
          </w:p>
        </w:tc>
        <w:tc>
          <w:tcPr>
            <w:tcW w:w="1320" w:type="dxa"/>
            <w:shd w:val="clear" w:color="auto" w:fill="auto"/>
            <w:vAlign w:val="center"/>
          </w:tcPr>
          <w:p>
            <w:pPr>
              <w:spacing w:line="240" w:lineRule="auto"/>
              <w:jc w:val="center"/>
              <w:rPr>
                <w:rFonts w:eastAsia="宋体" w:cs="Times New Roman"/>
                <w:b/>
                <w:sz w:val="21"/>
                <w:szCs w:val="21"/>
              </w:rPr>
            </w:pPr>
            <w:r>
              <w:rPr>
                <w:rFonts w:eastAsia="宋体" w:cs="Times New Roman"/>
                <w:sz w:val="21"/>
                <w:szCs w:val="21"/>
              </w:rPr>
              <w:t>0.38</w:t>
            </w:r>
          </w:p>
        </w:tc>
        <w:tc>
          <w:tcPr>
            <w:tcW w:w="3255" w:type="dxa"/>
            <w:shd w:val="clear" w:color="auto" w:fill="auto"/>
            <w:vAlign w:val="center"/>
          </w:tcPr>
          <w:p>
            <w:pPr>
              <w:spacing w:line="240" w:lineRule="auto"/>
              <w:jc w:val="center"/>
              <w:rPr>
                <w:rFonts w:eastAsia="宋体" w:cs="Times New Roman"/>
                <w:sz w:val="21"/>
                <w:szCs w:val="21"/>
              </w:rPr>
            </w:pPr>
            <w:r>
              <w:rPr>
                <w:rFonts w:hint="eastAsia" w:ascii="宋体" w:hAnsi="宋体" w:eastAsia="宋体" w:cs="宋体"/>
                <w:sz w:val="21"/>
                <w:szCs w:val="21"/>
              </w:rPr>
              <w:t>－</w:t>
            </w:r>
          </w:p>
        </w:tc>
        <w:tc>
          <w:tcPr>
            <w:tcW w:w="1528" w:type="dxa"/>
            <w:shd w:val="clear" w:color="auto" w:fill="auto"/>
            <w:vAlign w:val="center"/>
          </w:tcPr>
          <w:p>
            <w:pPr>
              <w:spacing w:line="240" w:lineRule="auto"/>
              <w:jc w:val="center"/>
              <w:rPr>
                <w:rFonts w:eastAsia="宋体" w:cs="Times New Roman"/>
                <w:sz w:val="21"/>
                <w:szCs w:val="21"/>
              </w:rPr>
            </w:pPr>
            <w:r>
              <w:rPr>
                <w:rFonts w:hint="eastAsia" w:ascii="宋体" w:hAnsi="宋体" w:eastAsia="宋体" w:cs="宋体"/>
                <w:sz w:val="21"/>
                <w:szCs w:val="21"/>
              </w:rPr>
              <w:t>－</w:t>
            </w:r>
          </w:p>
        </w:tc>
        <w:tc>
          <w:tcPr>
            <w:tcW w:w="1215" w:type="dxa"/>
            <w:shd w:val="clear" w:color="auto" w:fill="auto"/>
            <w:vAlign w:val="center"/>
          </w:tcPr>
          <w:p>
            <w:pPr>
              <w:spacing w:line="240" w:lineRule="auto"/>
              <w:jc w:val="center"/>
              <w:rPr>
                <w:rFonts w:eastAsia="宋体" w:cs="Times New Roman"/>
                <w:sz w:val="21"/>
                <w:szCs w:val="21"/>
              </w:rPr>
            </w:pPr>
            <w:r>
              <w:rPr>
                <w:rFonts w:hint="eastAsia" w:ascii="宋体" w:hAnsi="宋体" w:eastAsia="宋体" w:cs="宋体"/>
                <w:sz w:val="21"/>
                <w:szCs w:val="21"/>
              </w:rPr>
              <w:t>－</w:t>
            </w:r>
          </w:p>
        </w:tc>
        <w:tc>
          <w:tcPr>
            <w:tcW w:w="1185" w:type="dxa"/>
            <w:vMerge w:val="restart"/>
            <w:shd w:val="clear" w:color="auto" w:fill="auto"/>
            <w:vAlign w:val="center"/>
          </w:tcPr>
          <w:p>
            <w:pPr>
              <w:spacing w:line="240" w:lineRule="auto"/>
              <w:jc w:val="center"/>
              <w:rPr>
                <w:rFonts w:eastAsia="宋体" w:cs="Times New Roman"/>
                <w:sz w:val="21"/>
                <w:szCs w:val="21"/>
              </w:rPr>
            </w:pPr>
            <w:r>
              <w:rPr>
                <w:rFonts w:hint="eastAsia" w:eastAsia="宋体" w:cs="Times New Roman"/>
                <w:sz w:val="21"/>
                <w:szCs w:val="21"/>
              </w:rPr>
              <w:t>取消</w:t>
            </w:r>
          </w:p>
        </w:tc>
        <w:tc>
          <w:tcPr>
            <w:tcW w:w="1466" w:type="dxa"/>
            <w:shd w:val="clear" w:color="auto" w:fill="auto"/>
            <w:vAlign w:val="center"/>
          </w:tcPr>
          <w:p>
            <w:pPr>
              <w:spacing w:line="240" w:lineRule="auto"/>
              <w:jc w:val="center"/>
              <w:rPr>
                <w:rFonts w:eastAsia="宋体" w:cs="Times New Roman"/>
                <w:sz w:val="21"/>
                <w:szCs w:val="21"/>
              </w:rPr>
            </w:pPr>
            <w:r>
              <w:rPr>
                <w:rFonts w:hint="eastAsia" w:eastAsia="宋体" w:cs="Times New Roman"/>
                <w:sz w:val="21"/>
                <w:szCs w:val="21"/>
              </w:rPr>
              <w:t>减少</w:t>
            </w:r>
            <w:r>
              <w:rPr>
                <w:rFonts w:eastAsia="宋体" w:cs="Times New Roman"/>
                <w:sz w:val="21"/>
                <w:szCs w:val="21"/>
              </w:rPr>
              <w:t>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40" w:type="dxa"/>
            <w:vMerge w:val="continue"/>
            <w:shd w:val="clear" w:color="auto" w:fill="auto"/>
            <w:vAlign w:val="center"/>
          </w:tcPr>
          <w:p>
            <w:pPr>
              <w:spacing w:line="240" w:lineRule="auto"/>
              <w:jc w:val="center"/>
              <w:rPr>
                <w:rFonts w:eastAsia="宋体" w:cs="Times New Roman"/>
                <w:b/>
                <w:sz w:val="21"/>
                <w:szCs w:val="21"/>
              </w:rPr>
            </w:pPr>
          </w:p>
        </w:tc>
        <w:tc>
          <w:tcPr>
            <w:tcW w:w="1296" w:type="dxa"/>
            <w:vMerge w:val="continue"/>
            <w:shd w:val="clear" w:color="auto" w:fill="auto"/>
            <w:vAlign w:val="center"/>
          </w:tcPr>
          <w:p>
            <w:pPr>
              <w:spacing w:line="240" w:lineRule="auto"/>
              <w:jc w:val="center"/>
              <w:rPr>
                <w:rFonts w:eastAsia="宋体" w:cs="Times New Roman"/>
                <w:b/>
                <w:sz w:val="21"/>
                <w:szCs w:val="21"/>
              </w:rPr>
            </w:pPr>
          </w:p>
        </w:tc>
        <w:tc>
          <w:tcPr>
            <w:tcW w:w="855" w:type="dxa"/>
            <w:vMerge w:val="continue"/>
            <w:shd w:val="clear" w:color="auto" w:fill="auto"/>
            <w:vAlign w:val="center"/>
          </w:tcPr>
          <w:p>
            <w:pPr>
              <w:spacing w:line="240" w:lineRule="auto"/>
              <w:jc w:val="center"/>
              <w:rPr>
                <w:rFonts w:eastAsia="宋体" w:cs="Times New Roman"/>
                <w:sz w:val="21"/>
                <w:szCs w:val="21"/>
              </w:rPr>
            </w:pPr>
          </w:p>
        </w:tc>
        <w:tc>
          <w:tcPr>
            <w:tcW w:w="945" w:type="dxa"/>
            <w:shd w:val="clear" w:color="auto" w:fill="auto"/>
            <w:vAlign w:val="center"/>
          </w:tcPr>
          <w:p>
            <w:pPr>
              <w:spacing w:line="240" w:lineRule="auto"/>
              <w:jc w:val="center"/>
              <w:rPr>
                <w:rFonts w:eastAsia="宋体" w:cs="Times New Roman"/>
                <w:sz w:val="21"/>
                <w:szCs w:val="21"/>
              </w:rPr>
            </w:pPr>
            <w:r>
              <w:rPr>
                <w:rFonts w:eastAsia="宋体" w:cs="Times New Roman"/>
                <w:sz w:val="21"/>
                <w:szCs w:val="21"/>
              </w:rPr>
              <w:t>二级保护区</w:t>
            </w:r>
          </w:p>
        </w:tc>
        <w:tc>
          <w:tcPr>
            <w:tcW w:w="3405" w:type="dxa"/>
            <w:shd w:val="clear" w:color="auto" w:fill="auto"/>
            <w:vAlign w:val="center"/>
          </w:tcPr>
          <w:p>
            <w:pPr>
              <w:pStyle w:val="47"/>
              <w:spacing w:before="0" w:beforeLines="0" w:after="0" w:afterLines="0"/>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浈江赣韶公路362公里处至广乐高速北连接线南侧河段，韶赣铁路北侧至长坝河段，共6.8公里，以及汇入二级保护区支流从汇入口上溯1000米的水域范围。</w:t>
            </w:r>
          </w:p>
        </w:tc>
        <w:tc>
          <w:tcPr>
            <w:tcW w:w="3585" w:type="dxa"/>
            <w:shd w:val="clear" w:color="auto" w:fill="auto"/>
            <w:vAlign w:val="center"/>
          </w:tcPr>
          <w:p>
            <w:pPr>
              <w:pStyle w:val="47"/>
              <w:spacing w:before="0" w:beforeLines="0" w:after="0" w:afterLines="0"/>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相应二级保护区水域两岸正常岸线向陆纵深1000米内不超过第一重山山脊线的陆域汇水范围，有防洪堤河段至防洪堤背水面，包括江心岛</w:t>
            </w:r>
            <w:r>
              <w:rPr>
                <w:rFonts w:hint="eastAsia" w:ascii="Times New Roman" w:hAnsi="Times New Roman" w:cs="Times New Roman"/>
                <w:color w:val="auto"/>
                <w:sz w:val="21"/>
                <w:szCs w:val="21"/>
              </w:rPr>
              <w:t>，</w:t>
            </w:r>
            <w:r>
              <w:rPr>
                <w:rFonts w:ascii="Times New Roman" w:hAnsi="Times New Roman" w:cs="Times New Roman"/>
                <w:color w:val="auto"/>
                <w:sz w:val="21"/>
                <w:szCs w:val="21"/>
              </w:rPr>
              <w:t>不含5个控制点坐标连线包围的陆域</w:t>
            </w:r>
            <w:r>
              <w:rPr>
                <w:rFonts w:hint="eastAsia" w:ascii="Times New Roman" w:hAnsi="Times New Roman" w:cs="Times New Roman"/>
                <w:color w:val="auto"/>
                <w:sz w:val="21"/>
                <w:szCs w:val="21"/>
              </w:rPr>
              <w:t>（详见备注）</w:t>
            </w:r>
            <w:r>
              <w:rPr>
                <w:rFonts w:ascii="Times New Roman" w:hAnsi="Times New Roman" w:cs="Times New Roman"/>
                <w:color w:val="auto"/>
                <w:sz w:val="21"/>
                <w:szCs w:val="21"/>
              </w:rPr>
              <w:t>。</w:t>
            </w:r>
          </w:p>
        </w:tc>
        <w:tc>
          <w:tcPr>
            <w:tcW w:w="1320" w:type="dxa"/>
            <w:shd w:val="clear" w:color="auto" w:fill="auto"/>
            <w:vAlign w:val="center"/>
          </w:tcPr>
          <w:p>
            <w:pPr>
              <w:spacing w:line="240" w:lineRule="auto"/>
              <w:jc w:val="center"/>
              <w:rPr>
                <w:rFonts w:eastAsia="宋体" w:cs="Times New Roman"/>
                <w:sz w:val="21"/>
                <w:szCs w:val="21"/>
              </w:rPr>
            </w:pPr>
            <w:r>
              <w:rPr>
                <w:rFonts w:eastAsia="宋体" w:cs="Times New Roman"/>
                <w:sz w:val="21"/>
                <w:szCs w:val="21"/>
              </w:rPr>
              <w:t>4.86</w:t>
            </w:r>
          </w:p>
        </w:tc>
        <w:tc>
          <w:tcPr>
            <w:tcW w:w="3255" w:type="dxa"/>
            <w:shd w:val="clear" w:color="auto" w:fill="auto"/>
            <w:vAlign w:val="center"/>
          </w:tcPr>
          <w:p>
            <w:pPr>
              <w:spacing w:line="240" w:lineRule="auto"/>
              <w:jc w:val="center"/>
              <w:rPr>
                <w:rFonts w:eastAsia="宋体" w:cs="Times New Roman"/>
                <w:sz w:val="21"/>
                <w:szCs w:val="21"/>
              </w:rPr>
            </w:pPr>
            <w:r>
              <w:rPr>
                <w:rFonts w:hint="eastAsia" w:ascii="宋体" w:hAnsi="宋体" w:eastAsia="宋体" w:cs="宋体"/>
                <w:sz w:val="21"/>
                <w:szCs w:val="21"/>
              </w:rPr>
              <w:t>－</w:t>
            </w:r>
          </w:p>
        </w:tc>
        <w:tc>
          <w:tcPr>
            <w:tcW w:w="1528" w:type="dxa"/>
            <w:shd w:val="clear" w:color="auto" w:fill="auto"/>
            <w:vAlign w:val="center"/>
          </w:tcPr>
          <w:p>
            <w:pPr>
              <w:spacing w:line="240" w:lineRule="auto"/>
              <w:jc w:val="center"/>
              <w:rPr>
                <w:rFonts w:eastAsia="宋体" w:cs="Times New Roman"/>
                <w:sz w:val="21"/>
                <w:szCs w:val="21"/>
              </w:rPr>
            </w:pPr>
            <w:r>
              <w:rPr>
                <w:rFonts w:hint="eastAsia" w:ascii="宋体" w:hAnsi="宋体" w:eastAsia="宋体" w:cs="宋体"/>
                <w:sz w:val="21"/>
                <w:szCs w:val="21"/>
              </w:rPr>
              <w:t>－</w:t>
            </w:r>
          </w:p>
        </w:tc>
        <w:tc>
          <w:tcPr>
            <w:tcW w:w="1215" w:type="dxa"/>
            <w:shd w:val="clear" w:color="auto" w:fill="auto"/>
            <w:vAlign w:val="center"/>
          </w:tcPr>
          <w:p>
            <w:pPr>
              <w:spacing w:line="240" w:lineRule="auto"/>
              <w:jc w:val="center"/>
              <w:rPr>
                <w:rFonts w:eastAsia="宋体" w:cs="Times New Roman"/>
                <w:sz w:val="21"/>
                <w:szCs w:val="21"/>
              </w:rPr>
            </w:pPr>
            <w:r>
              <w:rPr>
                <w:rFonts w:hint="eastAsia" w:ascii="宋体" w:hAnsi="宋体" w:eastAsia="宋体" w:cs="宋体"/>
                <w:sz w:val="21"/>
                <w:szCs w:val="21"/>
              </w:rPr>
              <w:t>－</w:t>
            </w:r>
          </w:p>
        </w:tc>
        <w:tc>
          <w:tcPr>
            <w:tcW w:w="1185" w:type="dxa"/>
            <w:vMerge w:val="continue"/>
            <w:shd w:val="clear" w:color="auto" w:fill="auto"/>
            <w:vAlign w:val="center"/>
          </w:tcPr>
          <w:p>
            <w:pPr>
              <w:spacing w:line="240" w:lineRule="auto"/>
              <w:jc w:val="center"/>
              <w:rPr>
                <w:rFonts w:eastAsia="宋体" w:cs="Times New Roman"/>
                <w:sz w:val="21"/>
                <w:szCs w:val="21"/>
              </w:rPr>
            </w:pPr>
          </w:p>
        </w:tc>
        <w:tc>
          <w:tcPr>
            <w:tcW w:w="1466" w:type="dxa"/>
            <w:shd w:val="clear" w:color="auto" w:fill="auto"/>
            <w:vAlign w:val="center"/>
          </w:tcPr>
          <w:p>
            <w:pPr>
              <w:spacing w:line="240" w:lineRule="auto"/>
              <w:jc w:val="center"/>
              <w:rPr>
                <w:rFonts w:eastAsia="宋体" w:cs="Times New Roman"/>
                <w:sz w:val="21"/>
                <w:szCs w:val="21"/>
              </w:rPr>
            </w:pPr>
            <w:r>
              <w:rPr>
                <w:rFonts w:hint="eastAsia" w:eastAsia="宋体" w:cs="Times New Roman"/>
                <w:sz w:val="21"/>
                <w:szCs w:val="21"/>
              </w:rPr>
              <w:t>减少</w:t>
            </w:r>
            <w:r>
              <w:rPr>
                <w:rFonts w:eastAsia="宋体" w:cs="Times New Roman"/>
                <w:sz w:val="21"/>
                <w:szCs w:val="21"/>
              </w:rPr>
              <w:t>4.86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40" w:type="dxa"/>
            <w:vMerge w:val="continue"/>
            <w:shd w:val="clear" w:color="auto" w:fill="auto"/>
            <w:vAlign w:val="center"/>
          </w:tcPr>
          <w:p>
            <w:pPr>
              <w:spacing w:line="240" w:lineRule="auto"/>
              <w:jc w:val="center"/>
              <w:rPr>
                <w:rFonts w:eastAsia="宋体" w:cs="Times New Roman"/>
                <w:b/>
                <w:sz w:val="21"/>
                <w:szCs w:val="21"/>
              </w:rPr>
            </w:pPr>
          </w:p>
        </w:tc>
        <w:tc>
          <w:tcPr>
            <w:tcW w:w="1296" w:type="dxa"/>
            <w:vMerge w:val="continue"/>
            <w:shd w:val="clear" w:color="auto" w:fill="auto"/>
            <w:vAlign w:val="center"/>
          </w:tcPr>
          <w:p>
            <w:pPr>
              <w:spacing w:line="240" w:lineRule="auto"/>
              <w:jc w:val="center"/>
              <w:rPr>
                <w:rFonts w:eastAsia="宋体" w:cs="Times New Roman"/>
                <w:b/>
                <w:sz w:val="21"/>
                <w:szCs w:val="21"/>
              </w:rPr>
            </w:pPr>
          </w:p>
        </w:tc>
        <w:tc>
          <w:tcPr>
            <w:tcW w:w="855" w:type="dxa"/>
            <w:vMerge w:val="continue"/>
            <w:shd w:val="clear" w:color="auto" w:fill="auto"/>
            <w:vAlign w:val="center"/>
          </w:tcPr>
          <w:p>
            <w:pPr>
              <w:spacing w:line="240" w:lineRule="auto"/>
              <w:jc w:val="center"/>
              <w:rPr>
                <w:rFonts w:eastAsia="宋体" w:cs="Times New Roman"/>
                <w:sz w:val="21"/>
                <w:szCs w:val="21"/>
              </w:rPr>
            </w:pPr>
          </w:p>
        </w:tc>
        <w:tc>
          <w:tcPr>
            <w:tcW w:w="945" w:type="dxa"/>
            <w:shd w:val="clear" w:color="auto" w:fill="auto"/>
            <w:vAlign w:val="center"/>
          </w:tcPr>
          <w:p>
            <w:pPr>
              <w:spacing w:line="240" w:lineRule="auto"/>
              <w:jc w:val="center"/>
              <w:rPr>
                <w:rFonts w:eastAsia="宋体" w:cs="Times New Roman"/>
                <w:sz w:val="21"/>
                <w:szCs w:val="21"/>
              </w:rPr>
            </w:pPr>
            <w:r>
              <w:rPr>
                <w:rFonts w:eastAsia="宋体" w:cs="Times New Roman"/>
                <w:sz w:val="21"/>
                <w:szCs w:val="21"/>
              </w:rPr>
              <w:t>准保护区</w:t>
            </w:r>
          </w:p>
        </w:tc>
        <w:tc>
          <w:tcPr>
            <w:tcW w:w="3405" w:type="dxa"/>
            <w:shd w:val="clear" w:color="auto" w:fill="auto"/>
            <w:vAlign w:val="center"/>
          </w:tcPr>
          <w:p>
            <w:pPr>
              <w:pStyle w:val="47"/>
              <w:spacing w:before="0" w:beforeLines="0" w:after="0" w:afterLines="0"/>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浈江长坝至周田共18.3公里的河段，以及汇入该河段的支流从汇入口上溯1000米的水域范围。</w:t>
            </w:r>
          </w:p>
        </w:tc>
        <w:tc>
          <w:tcPr>
            <w:tcW w:w="3585" w:type="dxa"/>
            <w:shd w:val="clear" w:color="auto" w:fill="auto"/>
            <w:vAlign w:val="center"/>
          </w:tcPr>
          <w:p>
            <w:pPr>
              <w:pStyle w:val="47"/>
              <w:spacing w:before="0" w:beforeLines="0" w:after="0" w:afterLines="0"/>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相应准保护区水域的两岸正常岸线向陆纵深500米不超过第一重山山脊线的陆域集雨范围，包括江心岛。</w:t>
            </w:r>
          </w:p>
        </w:tc>
        <w:tc>
          <w:tcPr>
            <w:tcW w:w="1320" w:type="dxa"/>
            <w:shd w:val="clear" w:color="auto" w:fill="auto"/>
            <w:vAlign w:val="center"/>
          </w:tcPr>
          <w:p>
            <w:pPr>
              <w:spacing w:line="240" w:lineRule="auto"/>
              <w:jc w:val="center"/>
              <w:rPr>
                <w:rFonts w:eastAsia="宋体" w:cs="Times New Roman"/>
                <w:sz w:val="21"/>
                <w:szCs w:val="21"/>
              </w:rPr>
            </w:pPr>
            <w:r>
              <w:rPr>
                <w:rFonts w:eastAsia="宋体" w:cs="Times New Roman"/>
                <w:sz w:val="21"/>
                <w:szCs w:val="21"/>
              </w:rPr>
              <w:t xml:space="preserve">26.71 </w:t>
            </w:r>
          </w:p>
        </w:tc>
        <w:tc>
          <w:tcPr>
            <w:tcW w:w="3255" w:type="dxa"/>
            <w:shd w:val="clear" w:color="auto" w:fill="auto"/>
            <w:vAlign w:val="center"/>
          </w:tcPr>
          <w:p>
            <w:pPr>
              <w:spacing w:line="240" w:lineRule="auto"/>
              <w:jc w:val="center"/>
              <w:rPr>
                <w:rFonts w:eastAsia="宋体" w:cs="Times New Roman"/>
                <w:sz w:val="21"/>
                <w:szCs w:val="21"/>
              </w:rPr>
            </w:pPr>
            <w:r>
              <w:rPr>
                <w:rFonts w:hint="eastAsia" w:ascii="宋体" w:hAnsi="宋体" w:eastAsia="宋体" w:cs="宋体"/>
                <w:sz w:val="21"/>
                <w:szCs w:val="21"/>
              </w:rPr>
              <w:t>－</w:t>
            </w:r>
          </w:p>
        </w:tc>
        <w:tc>
          <w:tcPr>
            <w:tcW w:w="1528" w:type="dxa"/>
            <w:shd w:val="clear" w:color="auto" w:fill="auto"/>
            <w:vAlign w:val="center"/>
          </w:tcPr>
          <w:p>
            <w:pPr>
              <w:spacing w:line="240" w:lineRule="auto"/>
              <w:jc w:val="center"/>
              <w:rPr>
                <w:rFonts w:eastAsia="宋体" w:cs="Times New Roman"/>
                <w:sz w:val="21"/>
                <w:szCs w:val="21"/>
              </w:rPr>
            </w:pPr>
            <w:r>
              <w:rPr>
                <w:rFonts w:hint="eastAsia" w:ascii="宋体" w:hAnsi="宋体" w:eastAsia="宋体" w:cs="宋体"/>
                <w:sz w:val="21"/>
                <w:szCs w:val="21"/>
              </w:rPr>
              <w:t>－</w:t>
            </w:r>
          </w:p>
        </w:tc>
        <w:tc>
          <w:tcPr>
            <w:tcW w:w="1215" w:type="dxa"/>
            <w:shd w:val="clear" w:color="auto" w:fill="auto"/>
            <w:vAlign w:val="center"/>
          </w:tcPr>
          <w:p>
            <w:pPr>
              <w:spacing w:line="240" w:lineRule="auto"/>
              <w:jc w:val="center"/>
              <w:rPr>
                <w:rFonts w:eastAsia="宋体" w:cs="Times New Roman"/>
                <w:sz w:val="21"/>
                <w:szCs w:val="21"/>
              </w:rPr>
            </w:pPr>
            <w:r>
              <w:rPr>
                <w:rFonts w:hint="eastAsia" w:ascii="宋体" w:hAnsi="宋体" w:eastAsia="宋体" w:cs="宋体"/>
                <w:sz w:val="21"/>
                <w:szCs w:val="21"/>
              </w:rPr>
              <w:t>－</w:t>
            </w:r>
          </w:p>
        </w:tc>
        <w:tc>
          <w:tcPr>
            <w:tcW w:w="1185" w:type="dxa"/>
            <w:vMerge w:val="continue"/>
            <w:shd w:val="clear" w:color="auto" w:fill="auto"/>
            <w:vAlign w:val="center"/>
          </w:tcPr>
          <w:p>
            <w:pPr>
              <w:spacing w:line="240" w:lineRule="auto"/>
              <w:jc w:val="center"/>
              <w:rPr>
                <w:rFonts w:eastAsia="宋体" w:cs="Times New Roman"/>
                <w:sz w:val="21"/>
                <w:szCs w:val="21"/>
              </w:rPr>
            </w:pPr>
          </w:p>
        </w:tc>
        <w:tc>
          <w:tcPr>
            <w:tcW w:w="1466" w:type="dxa"/>
            <w:shd w:val="clear" w:color="auto" w:fill="auto"/>
            <w:vAlign w:val="center"/>
          </w:tcPr>
          <w:p>
            <w:pPr>
              <w:spacing w:line="240" w:lineRule="auto"/>
              <w:jc w:val="center"/>
              <w:rPr>
                <w:rFonts w:eastAsia="宋体" w:cs="Times New Roman"/>
                <w:sz w:val="21"/>
                <w:szCs w:val="21"/>
              </w:rPr>
            </w:pPr>
            <w:r>
              <w:rPr>
                <w:rFonts w:hint="eastAsia" w:eastAsia="宋体" w:cs="Times New Roman"/>
                <w:sz w:val="21"/>
                <w:szCs w:val="21"/>
              </w:rPr>
              <w:t>减少</w:t>
            </w:r>
            <w:r>
              <w:rPr>
                <w:rFonts w:eastAsia="宋体" w:cs="Times New Roman"/>
                <w:sz w:val="21"/>
                <w:szCs w:val="21"/>
              </w:rPr>
              <w:t xml:space="preserve">26.71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2" w:hRule="atLeast"/>
          <w:jc w:val="center"/>
        </w:trPr>
        <w:tc>
          <w:tcPr>
            <w:tcW w:w="1440" w:type="dxa"/>
            <w:vMerge w:val="restart"/>
            <w:shd w:val="clear" w:color="auto" w:fill="auto"/>
            <w:vAlign w:val="center"/>
          </w:tcPr>
          <w:p>
            <w:pPr>
              <w:spacing w:line="240" w:lineRule="auto"/>
              <w:jc w:val="center"/>
              <w:rPr>
                <w:rFonts w:eastAsia="宋体" w:cs="Times New Roman"/>
                <w:b/>
                <w:sz w:val="21"/>
                <w:szCs w:val="21"/>
              </w:rPr>
            </w:pPr>
            <w:r>
              <w:rPr>
                <w:rFonts w:hint="eastAsia" w:eastAsia="宋体" w:cs="Times New Roman"/>
                <w:b/>
                <w:sz w:val="21"/>
                <w:szCs w:val="21"/>
              </w:rPr>
              <w:t>新丰县</w:t>
            </w:r>
          </w:p>
        </w:tc>
        <w:tc>
          <w:tcPr>
            <w:tcW w:w="1296" w:type="dxa"/>
            <w:vMerge w:val="restart"/>
            <w:shd w:val="clear" w:color="auto" w:fill="auto"/>
            <w:vAlign w:val="center"/>
          </w:tcPr>
          <w:p>
            <w:pPr>
              <w:spacing w:line="240" w:lineRule="auto"/>
              <w:jc w:val="center"/>
              <w:rPr>
                <w:rFonts w:eastAsia="宋体" w:cs="Times New Roman"/>
                <w:b/>
                <w:sz w:val="21"/>
                <w:szCs w:val="21"/>
              </w:rPr>
            </w:pPr>
            <w:r>
              <w:rPr>
                <w:rFonts w:eastAsia="宋体" w:cs="Times New Roman"/>
                <w:b/>
                <w:sz w:val="21"/>
                <w:szCs w:val="21"/>
              </w:rPr>
              <w:t>新丰县梅坑河、小正河备用饮用水源地</w:t>
            </w:r>
          </w:p>
        </w:tc>
        <w:tc>
          <w:tcPr>
            <w:tcW w:w="855" w:type="dxa"/>
            <w:vMerge w:val="restart"/>
            <w:shd w:val="clear" w:color="auto" w:fill="auto"/>
            <w:vAlign w:val="center"/>
          </w:tcPr>
          <w:p>
            <w:pPr>
              <w:spacing w:line="240" w:lineRule="auto"/>
              <w:jc w:val="center"/>
              <w:rPr>
                <w:rFonts w:eastAsia="宋体" w:cs="Times New Roman"/>
                <w:sz w:val="21"/>
                <w:szCs w:val="21"/>
              </w:rPr>
            </w:pPr>
            <w:r>
              <w:rPr>
                <w:rFonts w:hint="eastAsia" w:eastAsia="宋体" w:cs="Times New Roman"/>
                <w:sz w:val="21"/>
                <w:szCs w:val="21"/>
              </w:rPr>
              <w:t>河流型</w:t>
            </w:r>
          </w:p>
        </w:tc>
        <w:tc>
          <w:tcPr>
            <w:tcW w:w="945" w:type="dxa"/>
            <w:shd w:val="clear" w:color="auto" w:fill="auto"/>
            <w:vAlign w:val="center"/>
          </w:tcPr>
          <w:p>
            <w:pPr>
              <w:spacing w:line="0" w:lineRule="atLeast"/>
              <w:jc w:val="center"/>
              <w:rPr>
                <w:rFonts w:eastAsia="宋体" w:cs="Times New Roman"/>
                <w:sz w:val="21"/>
                <w:szCs w:val="21"/>
              </w:rPr>
            </w:pPr>
            <w:r>
              <w:rPr>
                <w:rFonts w:eastAsia="宋体" w:cs="Times New Roman"/>
                <w:kern w:val="0"/>
                <w:sz w:val="21"/>
                <w:szCs w:val="21"/>
              </w:rPr>
              <w:t>一级保护区</w:t>
            </w:r>
          </w:p>
        </w:tc>
        <w:tc>
          <w:tcPr>
            <w:tcW w:w="3405" w:type="dxa"/>
            <w:shd w:val="clear" w:color="auto" w:fill="auto"/>
            <w:vAlign w:val="center"/>
          </w:tcPr>
          <w:p>
            <w:pPr>
              <w:spacing w:line="0" w:lineRule="atLeast"/>
              <w:jc w:val="center"/>
              <w:rPr>
                <w:rFonts w:eastAsia="宋体" w:cs="Times New Roman"/>
                <w:kern w:val="0"/>
                <w:sz w:val="21"/>
                <w:szCs w:val="21"/>
              </w:rPr>
            </w:pPr>
            <w:r>
              <w:rPr>
                <w:rFonts w:hint="eastAsia" w:eastAsia="宋体" w:cs="Times New Roman"/>
                <w:kern w:val="0"/>
                <w:sz w:val="21"/>
                <w:szCs w:val="21"/>
              </w:rPr>
              <w:t>梅坑河梅坑镇梅西村文村（经度：114.088678，纬度：24.015215）、小正河梅坑镇黄柏村下斜（经度：114.035672，纬度：23.970421）、双良河梅坑镇长坪村乌沙坳（经度：114.104265，纬度：24.076674）上游及其支流的所有水域范围，水质保护目标为Ⅱ类</w:t>
            </w:r>
          </w:p>
        </w:tc>
        <w:tc>
          <w:tcPr>
            <w:tcW w:w="3585" w:type="dxa"/>
            <w:shd w:val="clear" w:color="auto" w:fill="auto"/>
            <w:vAlign w:val="center"/>
          </w:tcPr>
          <w:p>
            <w:pPr>
              <w:spacing w:line="0" w:lineRule="atLeast"/>
              <w:jc w:val="left"/>
              <w:rPr>
                <w:rFonts w:eastAsia="宋体" w:cs="Times New Roman"/>
                <w:kern w:val="0"/>
                <w:sz w:val="21"/>
                <w:szCs w:val="21"/>
              </w:rPr>
            </w:pPr>
            <w:r>
              <w:rPr>
                <w:rFonts w:hint="eastAsia" w:eastAsia="宋体" w:cs="Times New Roman"/>
                <w:kern w:val="0"/>
                <w:sz w:val="21"/>
                <w:szCs w:val="21"/>
              </w:rPr>
              <w:t>一级保护区水域对应的集雨区范围（二级保护区除外）</w:t>
            </w:r>
          </w:p>
        </w:tc>
        <w:tc>
          <w:tcPr>
            <w:tcW w:w="1320" w:type="dxa"/>
            <w:shd w:val="clear" w:color="auto" w:fill="auto"/>
            <w:vAlign w:val="center"/>
          </w:tcPr>
          <w:p>
            <w:pPr>
              <w:widowControl/>
              <w:spacing w:line="240" w:lineRule="atLeast"/>
              <w:jc w:val="center"/>
              <w:rPr>
                <w:rFonts w:eastAsia="宋体" w:cs="Times New Roman"/>
                <w:sz w:val="21"/>
                <w:szCs w:val="21"/>
              </w:rPr>
            </w:pPr>
            <w:r>
              <w:rPr>
                <w:rFonts w:eastAsia="宋体" w:cs="Times New Roman"/>
                <w:kern w:val="0"/>
                <w:sz w:val="21"/>
                <w:szCs w:val="21"/>
              </w:rPr>
              <w:t>148.34</w:t>
            </w:r>
          </w:p>
        </w:tc>
        <w:tc>
          <w:tcPr>
            <w:tcW w:w="3255" w:type="dxa"/>
            <w:shd w:val="clear" w:color="auto" w:fill="auto"/>
            <w:vAlign w:val="center"/>
          </w:tcPr>
          <w:p>
            <w:pPr>
              <w:widowControl/>
              <w:spacing w:line="240" w:lineRule="atLeast"/>
              <w:jc w:val="center"/>
              <w:rPr>
                <w:rFonts w:eastAsia="宋体" w:cs="Times New Roman"/>
                <w:kern w:val="0"/>
                <w:sz w:val="21"/>
                <w:szCs w:val="21"/>
              </w:rPr>
            </w:pPr>
            <w:r>
              <w:rPr>
                <w:rFonts w:hint="eastAsia" w:ascii="宋体" w:hAnsi="宋体" w:eastAsia="宋体" w:cs="宋体"/>
                <w:sz w:val="21"/>
                <w:szCs w:val="21"/>
              </w:rPr>
              <w:t>－</w:t>
            </w:r>
          </w:p>
        </w:tc>
        <w:tc>
          <w:tcPr>
            <w:tcW w:w="1528" w:type="dxa"/>
            <w:shd w:val="clear" w:color="auto" w:fill="auto"/>
            <w:vAlign w:val="center"/>
          </w:tcPr>
          <w:p>
            <w:pPr>
              <w:widowControl/>
              <w:spacing w:line="240" w:lineRule="atLeast"/>
              <w:jc w:val="center"/>
              <w:rPr>
                <w:rFonts w:eastAsia="宋体" w:cs="Times New Roman"/>
                <w:kern w:val="0"/>
                <w:sz w:val="21"/>
                <w:szCs w:val="21"/>
              </w:rPr>
            </w:pPr>
            <w:r>
              <w:rPr>
                <w:rFonts w:hint="eastAsia" w:ascii="宋体" w:hAnsi="宋体" w:eastAsia="宋体" w:cs="宋体"/>
                <w:sz w:val="21"/>
                <w:szCs w:val="21"/>
              </w:rPr>
              <w:t>－</w:t>
            </w:r>
          </w:p>
        </w:tc>
        <w:tc>
          <w:tcPr>
            <w:tcW w:w="1215" w:type="dxa"/>
            <w:shd w:val="clear" w:color="auto" w:fill="auto"/>
            <w:vAlign w:val="center"/>
          </w:tcPr>
          <w:p>
            <w:pPr>
              <w:widowControl/>
              <w:spacing w:line="240" w:lineRule="atLeast"/>
              <w:jc w:val="center"/>
              <w:rPr>
                <w:rFonts w:eastAsia="宋体" w:cs="Times New Roman"/>
                <w:kern w:val="0"/>
                <w:sz w:val="21"/>
                <w:szCs w:val="21"/>
              </w:rPr>
            </w:pPr>
            <w:r>
              <w:rPr>
                <w:rFonts w:hint="eastAsia" w:ascii="宋体" w:hAnsi="宋体" w:eastAsia="宋体" w:cs="宋体"/>
                <w:sz w:val="21"/>
                <w:szCs w:val="21"/>
              </w:rPr>
              <w:t>－</w:t>
            </w:r>
          </w:p>
        </w:tc>
        <w:tc>
          <w:tcPr>
            <w:tcW w:w="1185" w:type="dxa"/>
            <w:vMerge w:val="restart"/>
            <w:shd w:val="clear" w:color="auto" w:fill="auto"/>
            <w:vAlign w:val="center"/>
          </w:tcPr>
          <w:p>
            <w:pPr>
              <w:widowControl/>
              <w:spacing w:line="240" w:lineRule="atLeast"/>
              <w:jc w:val="center"/>
              <w:rPr>
                <w:rFonts w:eastAsia="宋体" w:cs="Times New Roman"/>
                <w:kern w:val="0"/>
                <w:sz w:val="21"/>
                <w:szCs w:val="21"/>
              </w:rPr>
            </w:pPr>
            <w:r>
              <w:rPr>
                <w:rFonts w:hint="eastAsia" w:eastAsia="宋体" w:cs="Times New Roman"/>
                <w:kern w:val="0"/>
                <w:sz w:val="21"/>
                <w:szCs w:val="21"/>
              </w:rPr>
              <w:t>取消</w:t>
            </w:r>
          </w:p>
        </w:tc>
        <w:tc>
          <w:tcPr>
            <w:tcW w:w="1466" w:type="dxa"/>
            <w:shd w:val="clear" w:color="auto" w:fill="auto"/>
            <w:vAlign w:val="center"/>
          </w:tcPr>
          <w:p>
            <w:pPr>
              <w:widowControl/>
              <w:spacing w:line="240" w:lineRule="atLeast"/>
              <w:jc w:val="center"/>
              <w:rPr>
                <w:rFonts w:eastAsia="宋体" w:cs="Times New Roman"/>
                <w:kern w:val="0"/>
                <w:sz w:val="21"/>
                <w:szCs w:val="21"/>
              </w:rPr>
            </w:pPr>
            <w:r>
              <w:rPr>
                <w:rFonts w:hint="eastAsia" w:eastAsia="宋体" w:cs="Times New Roman"/>
                <w:kern w:val="0"/>
                <w:sz w:val="21"/>
                <w:szCs w:val="21"/>
              </w:rPr>
              <w:t>减少</w:t>
            </w:r>
            <w:r>
              <w:rPr>
                <w:rFonts w:eastAsia="宋体" w:cs="Times New Roman"/>
                <w:kern w:val="0"/>
                <w:sz w:val="21"/>
                <w:szCs w:val="21"/>
              </w:rPr>
              <w:t>148.34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6" w:hRule="atLeast"/>
          <w:jc w:val="center"/>
        </w:trPr>
        <w:tc>
          <w:tcPr>
            <w:tcW w:w="1440" w:type="dxa"/>
            <w:vMerge w:val="continue"/>
            <w:shd w:val="clear" w:color="auto" w:fill="auto"/>
            <w:vAlign w:val="center"/>
          </w:tcPr>
          <w:p>
            <w:pPr>
              <w:spacing w:line="240" w:lineRule="auto"/>
              <w:jc w:val="center"/>
              <w:rPr>
                <w:rFonts w:eastAsia="宋体" w:cs="Times New Roman"/>
                <w:b/>
                <w:sz w:val="21"/>
                <w:szCs w:val="21"/>
              </w:rPr>
            </w:pPr>
          </w:p>
        </w:tc>
        <w:tc>
          <w:tcPr>
            <w:tcW w:w="1296" w:type="dxa"/>
            <w:vMerge w:val="continue"/>
            <w:shd w:val="clear" w:color="auto" w:fill="auto"/>
            <w:vAlign w:val="center"/>
          </w:tcPr>
          <w:p>
            <w:pPr>
              <w:spacing w:line="240" w:lineRule="auto"/>
              <w:jc w:val="center"/>
              <w:rPr>
                <w:rFonts w:eastAsia="宋体" w:cs="Times New Roman"/>
                <w:b/>
                <w:sz w:val="21"/>
                <w:szCs w:val="21"/>
              </w:rPr>
            </w:pPr>
          </w:p>
        </w:tc>
        <w:tc>
          <w:tcPr>
            <w:tcW w:w="855" w:type="dxa"/>
            <w:vMerge w:val="continue"/>
            <w:shd w:val="clear" w:color="auto" w:fill="auto"/>
            <w:vAlign w:val="center"/>
          </w:tcPr>
          <w:p>
            <w:pPr>
              <w:spacing w:line="240" w:lineRule="auto"/>
              <w:jc w:val="center"/>
              <w:rPr>
                <w:rFonts w:eastAsia="宋体" w:cs="Times New Roman"/>
                <w:sz w:val="21"/>
                <w:szCs w:val="20"/>
              </w:rPr>
            </w:pPr>
          </w:p>
        </w:tc>
        <w:tc>
          <w:tcPr>
            <w:tcW w:w="945" w:type="dxa"/>
            <w:shd w:val="clear" w:color="auto" w:fill="auto"/>
            <w:vAlign w:val="center"/>
          </w:tcPr>
          <w:p>
            <w:pPr>
              <w:spacing w:line="0" w:lineRule="atLeast"/>
              <w:jc w:val="center"/>
              <w:rPr>
                <w:rFonts w:eastAsia="宋体" w:cs="Times New Roman"/>
                <w:sz w:val="21"/>
                <w:szCs w:val="21"/>
              </w:rPr>
            </w:pPr>
            <w:r>
              <w:rPr>
                <w:rFonts w:eastAsia="宋体" w:cs="Times New Roman"/>
                <w:kern w:val="0"/>
                <w:sz w:val="21"/>
                <w:szCs w:val="21"/>
              </w:rPr>
              <w:t>二级保护区</w:t>
            </w:r>
          </w:p>
        </w:tc>
        <w:tc>
          <w:tcPr>
            <w:tcW w:w="3405" w:type="dxa"/>
            <w:shd w:val="clear" w:color="auto" w:fill="auto"/>
            <w:vAlign w:val="center"/>
          </w:tcPr>
          <w:p>
            <w:pPr>
              <w:spacing w:line="0" w:lineRule="atLeast"/>
              <w:jc w:val="center"/>
              <w:rPr>
                <w:rFonts w:eastAsia="宋体" w:cs="Times New Roman"/>
                <w:kern w:val="0"/>
                <w:sz w:val="21"/>
                <w:szCs w:val="21"/>
              </w:rPr>
            </w:pPr>
            <w:r>
              <w:rPr>
                <w:rFonts w:eastAsia="宋体" w:cs="Times New Roman"/>
                <w:kern w:val="0"/>
                <w:sz w:val="21"/>
                <w:szCs w:val="21"/>
              </w:rPr>
              <w:t>梅坑河干支流与韶关至新丰高速公路线位交叉处</w:t>
            </w:r>
            <w:r>
              <w:rPr>
                <w:rFonts w:hint="eastAsia" w:eastAsia="宋体" w:cs="Times New Roman"/>
                <w:kern w:val="0"/>
                <w:sz w:val="21"/>
                <w:szCs w:val="21"/>
              </w:rPr>
              <w:t>道路中心线</w:t>
            </w:r>
            <w:r>
              <w:rPr>
                <w:rFonts w:eastAsia="宋体" w:cs="Times New Roman"/>
                <w:kern w:val="0"/>
                <w:sz w:val="21"/>
                <w:szCs w:val="21"/>
              </w:rPr>
              <w:t>上下游各100</w:t>
            </w:r>
            <w:r>
              <w:rPr>
                <w:rFonts w:hint="eastAsia" w:eastAsia="宋体" w:cs="Times New Roman"/>
                <w:kern w:val="0"/>
                <w:sz w:val="21"/>
                <w:szCs w:val="21"/>
              </w:rPr>
              <w:t>米的</w:t>
            </w:r>
            <w:r>
              <w:rPr>
                <w:rFonts w:eastAsia="宋体" w:cs="Times New Roman"/>
                <w:kern w:val="0"/>
                <w:sz w:val="21"/>
                <w:szCs w:val="21"/>
              </w:rPr>
              <w:t>水域，水质保护目标为Ⅱ类</w:t>
            </w:r>
          </w:p>
        </w:tc>
        <w:tc>
          <w:tcPr>
            <w:tcW w:w="3585" w:type="dxa"/>
            <w:shd w:val="clear" w:color="auto" w:fill="auto"/>
            <w:vAlign w:val="center"/>
          </w:tcPr>
          <w:p>
            <w:pPr>
              <w:spacing w:line="0" w:lineRule="atLeast"/>
              <w:jc w:val="left"/>
              <w:rPr>
                <w:rFonts w:eastAsia="宋体" w:cs="Times New Roman"/>
                <w:kern w:val="0"/>
                <w:sz w:val="21"/>
                <w:szCs w:val="21"/>
              </w:rPr>
            </w:pPr>
            <w:r>
              <w:rPr>
                <w:rFonts w:eastAsia="宋体" w:cs="Times New Roman"/>
                <w:kern w:val="0"/>
                <w:sz w:val="21"/>
                <w:szCs w:val="21"/>
              </w:rPr>
              <w:t>韶关至新丰高速公路</w:t>
            </w:r>
            <w:r>
              <w:rPr>
                <w:rFonts w:hint="eastAsia" w:eastAsia="宋体" w:cs="Times New Roman"/>
                <w:kern w:val="0"/>
                <w:sz w:val="21"/>
                <w:szCs w:val="21"/>
              </w:rPr>
              <w:t>中心线</w:t>
            </w:r>
            <w:r>
              <w:rPr>
                <w:rFonts w:eastAsia="宋体" w:cs="Times New Roman"/>
                <w:kern w:val="0"/>
                <w:sz w:val="21"/>
                <w:szCs w:val="21"/>
              </w:rPr>
              <w:t>两侧各100</w:t>
            </w:r>
            <w:r>
              <w:rPr>
                <w:rFonts w:hint="eastAsia" w:eastAsia="宋体" w:cs="Times New Roman"/>
                <w:kern w:val="0"/>
                <w:sz w:val="21"/>
                <w:szCs w:val="21"/>
              </w:rPr>
              <w:t>米</w:t>
            </w:r>
            <w:r>
              <w:rPr>
                <w:rFonts w:eastAsia="宋体" w:cs="Times New Roman"/>
                <w:kern w:val="0"/>
                <w:sz w:val="21"/>
                <w:szCs w:val="21"/>
              </w:rPr>
              <w:t>及沙田互通立交外包络线</w:t>
            </w:r>
            <w:r>
              <w:rPr>
                <w:rFonts w:hint="eastAsia" w:eastAsia="宋体" w:cs="Times New Roman"/>
                <w:kern w:val="0"/>
                <w:sz w:val="21"/>
                <w:szCs w:val="21"/>
              </w:rPr>
              <w:t>中心线</w:t>
            </w:r>
            <w:r>
              <w:rPr>
                <w:rFonts w:eastAsia="宋体" w:cs="Times New Roman"/>
                <w:kern w:val="0"/>
                <w:sz w:val="21"/>
                <w:szCs w:val="21"/>
              </w:rPr>
              <w:t>外</w:t>
            </w:r>
            <w:r>
              <w:rPr>
                <w:rFonts w:hint="eastAsia" w:eastAsia="宋体" w:cs="Times New Roman"/>
                <w:kern w:val="0"/>
                <w:sz w:val="21"/>
                <w:szCs w:val="21"/>
              </w:rPr>
              <w:t>侧</w:t>
            </w:r>
            <w:r>
              <w:rPr>
                <w:rFonts w:eastAsia="宋体" w:cs="Times New Roman"/>
                <w:kern w:val="0"/>
                <w:sz w:val="21"/>
                <w:szCs w:val="21"/>
              </w:rPr>
              <w:t>100</w:t>
            </w:r>
            <w:r>
              <w:rPr>
                <w:rFonts w:hint="eastAsia" w:eastAsia="宋体" w:cs="Times New Roman"/>
                <w:kern w:val="0"/>
                <w:sz w:val="21"/>
                <w:szCs w:val="21"/>
              </w:rPr>
              <w:t>米所包含的</w:t>
            </w:r>
            <w:r>
              <w:rPr>
                <w:rFonts w:eastAsia="宋体" w:cs="Times New Roman"/>
                <w:kern w:val="0"/>
                <w:sz w:val="21"/>
                <w:szCs w:val="21"/>
              </w:rPr>
              <w:t>陆域范围</w:t>
            </w:r>
            <w:r>
              <w:rPr>
                <w:rFonts w:hint="eastAsia" w:eastAsia="宋体" w:cs="Times New Roman"/>
                <w:kern w:val="0"/>
                <w:sz w:val="21"/>
                <w:szCs w:val="21"/>
              </w:rPr>
              <w:t>。</w:t>
            </w:r>
          </w:p>
        </w:tc>
        <w:tc>
          <w:tcPr>
            <w:tcW w:w="1320" w:type="dxa"/>
            <w:shd w:val="clear" w:color="auto" w:fill="auto"/>
            <w:vAlign w:val="center"/>
          </w:tcPr>
          <w:p>
            <w:pPr>
              <w:widowControl/>
              <w:spacing w:line="240" w:lineRule="atLeast"/>
              <w:jc w:val="center"/>
              <w:rPr>
                <w:rFonts w:eastAsia="宋体" w:cs="Times New Roman"/>
                <w:sz w:val="21"/>
                <w:szCs w:val="21"/>
              </w:rPr>
            </w:pPr>
            <w:r>
              <w:rPr>
                <w:rFonts w:eastAsia="宋体" w:cs="Times New Roman"/>
                <w:iCs/>
                <w:kern w:val="0"/>
                <w:sz w:val="21"/>
                <w:szCs w:val="21"/>
              </w:rPr>
              <w:t>2.66</w:t>
            </w:r>
          </w:p>
        </w:tc>
        <w:tc>
          <w:tcPr>
            <w:tcW w:w="3255" w:type="dxa"/>
            <w:shd w:val="clear" w:color="auto" w:fill="auto"/>
            <w:vAlign w:val="center"/>
          </w:tcPr>
          <w:p>
            <w:pPr>
              <w:widowControl/>
              <w:spacing w:line="240" w:lineRule="atLeast"/>
              <w:jc w:val="center"/>
              <w:rPr>
                <w:rFonts w:eastAsia="宋体" w:cs="Times New Roman"/>
                <w:iCs/>
                <w:kern w:val="0"/>
                <w:sz w:val="21"/>
                <w:szCs w:val="21"/>
              </w:rPr>
            </w:pPr>
            <w:r>
              <w:rPr>
                <w:rFonts w:hint="eastAsia" w:ascii="宋体" w:hAnsi="宋体" w:eastAsia="宋体" w:cs="宋体"/>
                <w:sz w:val="21"/>
                <w:szCs w:val="21"/>
              </w:rPr>
              <w:t>－</w:t>
            </w:r>
          </w:p>
        </w:tc>
        <w:tc>
          <w:tcPr>
            <w:tcW w:w="1528" w:type="dxa"/>
            <w:shd w:val="clear" w:color="auto" w:fill="auto"/>
            <w:vAlign w:val="center"/>
          </w:tcPr>
          <w:p>
            <w:pPr>
              <w:widowControl/>
              <w:spacing w:line="240" w:lineRule="atLeast"/>
              <w:jc w:val="center"/>
              <w:rPr>
                <w:rFonts w:eastAsia="宋体" w:cs="Times New Roman"/>
                <w:iCs/>
                <w:kern w:val="0"/>
                <w:sz w:val="21"/>
                <w:szCs w:val="21"/>
              </w:rPr>
            </w:pPr>
            <w:r>
              <w:rPr>
                <w:rFonts w:hint="eastAsia" w:ascii="宋体" w:hAnsi="宋体" w:eastAsia="宋体" w:cs="宋体"/>
                <w:sz w:val="21"/>
                <w:szCs w:val="21"/>
              </w:rPr>
              <w:t>－</w:t>
            </w:r>
          </w:p>
        </w:tc>
        <w:tc>
          <w:tcPr>
            <w:tcW w:w="1215" w:type="dxa"/>
            <w:shd w:val="clear" w:color="auto" w:fill="auto"/>
            <w:vAlign w:val="center"/>
          </w:tcPr>
          <w:p>
            <w:pPr>
              <w:widowControl/>
              <w:spacing w:line="240" w:lineRule="atLeast"/>
              <w:jc w:val="center"/>
              <w:rPr>
                <w:rFonts w:eastAsia="宋体" w:cs="Times New Roman"/>
                <w:iCs/>
                <w:kern w:val="0"/>
                <w:sz w:val="21"/>
                <w:szCs w:val="21"/>
              </w:rPr>
            </w:pPr>
            <w:r>
              <w:rPr>
                <w:rFonts w:hint="eastAsia" w:ascii="宋体" w:hAnsi="宋体" w:eastAsia="宋体" w:cs="宋体"/>
                <w:sz w:val="21"/>
                <w:szCs w:val="21"/>
              </w:rPr>
              <w:t>－</w:t>
            </w:r>
          </w:p>
        </w:tc>
        <w:tc>
          <w:tcPr>
            <w:tcW w:w="1185" w:type="dxa"/>
            <w:vMerge w:val="continue"/>
            <w:shd w:val="clear" w:color="auto" w:fill="auto"/>
            <w:vAlign w:val="center"/>
          </w:tcPr>
          <w:p>
            <w:pPr>
              <w:widowControl/>
              <w:spacing w:line="240" w:lineRule="atLeast"/>
              <w:jc w:val="center"/>
              <w:rPr>
                <w:rFonts w:eastAsia="宋体" w:cs="Times New Roman"/>
                <w:iCs/>
                <w:kern w:val="0"/>
                <w:sz w:val="21"/>
                <w:szCs w:val="21"/>
              </w:rPr>
            </w:pPr>
          </w:p>
        </w:tc>
        <w:tc>
          <w:tcPr>
            <w:tcW w:w="1466" w:type="dxa"/>
            <w:shd w:val="clear" w:color="auto" w:fill="auto"/>
            <w:vAlign w:val="center"/>
          </w:tcPr>
          <w:p>
            <w:pPr>
              <w:widowControl/>
              <w:spacing w:line="240" w:lineRule="atLeast"/>
              <w:jc w:val="center"/>
              <w:rPr>
                <w:rFonts w:eastAsia="宋体" w:cs="Times New Roman"/>
                <w:iCs/>
                <w:kern w:val="0"/>
                <w:sz w:val="21"/>
                <w:szCs w:val="21"/>
              </w:rPr>
            </w:pPr>
            <w:r>
              <w:rPr>
                <w:rFonts w:hint="eastAsia" w:eastAsia="宋体" w:cs="Times New Roman"/>
                <w:iCs/>
                <w:kern w:val="0"/>
                <w:sz w:val="21"/>
                <w:szCs w:val="21"/>
              </w:rPr>
              <w:t>减少</w:t>
            </w:r>
            <w:r>
              <w:rPr>
                <w:rFonts w:eastAsia="宋体" w:cs="Times New Roman"/>
                <w:iCs/>
                <w:kern w:val="0"/>
                <w:sz w:val="21"/>
                <w:szCs w:val="21"/>
              </w:rPr>
              <w:t>2.66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6" w:hRule="atLeast"/>
          <w:jc w:val="center"/>
        </w:trPr>
        <w:tc>
          <w:tcPr>
            <w:tcW w:w="1440" w:type="dxa"/>
            <w:shd w:val="clear" w:color="auto" w:fill="auto"/>
            <w:vAlign w:val="center"/>
          </w:tcPr>
          <w:p>
            <w:pPr>
              <w:spacing w:line="240" w:lineRule="auto"/>
              <w:jc w:val="center"/>
              <w:rPr>
                <w:rFonts w:eastAsia="宋体" w:cs="Times New Roman"/>
                <w:b/>
                <w:sz w:val="21"/>
                <w:szCs w:val="21"/>
              </w:rPr>
            </w:pPr>
            <w:r>
              <w:rPr>
                <w:rFonts w:hint="eastAsia" w:eastAsia="宋体" w:cs="Times New Roman"/>
                <w:b/>
                <w:sz w:val="21"/>
                <w:szCs w:val="21"/>
              </w:rPr>
              <w:t>合计</w:t>
            </w:r>
          </w:p>
        </w:tc>
        <w:tc>
          <w:tcPr>
            <w:tcW w:w="1296" w:type="dxa"/>
            <w:shd w:val="clear" w:color="auto" w:fill="auto"/>
            <w:vAlign w:val="center"/>
          </w:tcPr>
          <w:p>
            <w:pPr>
              <w:spacing w:line="240" w:lineRule="auto"/>
              <w:jc w:val="center"/>
              <w:rPr>
                <w:rFonts w:eastAsia="宋体" w:cs="Times New Roman"/>
                <w:b/>
                <w:sz w:val="21"/>
                <w:szCs w:val="21"/>
              </w:rPr>
            </w:pPr>
          </w:p>
        </w:tc>
        <w:tc>
          <w:tcPr>
            <w:tcW w:w="855" w:type="dxa"/>
            <w:shd w:val="clear" w:color="auto" w:fill="auto"/>
            <w:vAlign w:val="center"/>
          </w:tcPr>
          <w:p>
            <w:pPr>
              <w:spacing w:line="240" w:lineRule="auto"/>
              <w:jc w:val="center"/>
              <w:rPr>
                <w:rFonts w:eastAsia="宋体" w:cs="Times New Roman"/>
                <w:sz w:val="21"/>
                <w:szCs w:val="20"/>
              </w:rPr>
            </w:pPr>
          </w:p>
        </w:tc>
        <w:tc>
          <w:tcPr>
            <w:tcW w:w="945" w:type="dxa"/>
            <w:shd w:val="clear" w:color="auto" w:fill="auto"/>
            <w:vAlign w:val="center"/>
          </w:tcPr>
          <w:p>
            <w:pPr>
              <w:spacing w:line="0" w:lineRule="atLeast"/>
              <w:jc w:val="center"/>
              <w:rPr>
                <w:rFonts w:eastAsia="宋体" w:cs="Times New Roman"/>
                <w:kern w:val="0"/>
                <w:sz w:val="21"/>
                <w:szCs w:val="21"/>
              </w:rPr>
            </w:pPr>
          </w:p>
        </w:tc>
        <w:tc>
          <w:tcPr>
            <w:tcW w:w="3405" w:type="dxa"/>
            <w:shd w:val="clear" w:color="auto" w:fill="auto"/>
            <w:vAlign w:val="center"/>
          </w:tcPr>
          <w:p>
            <w:pPr>
              <w:spacing w:line="0" w:lineRule="atLeast"/>
              <w:jc w:val="center"/>
              <w:rPr>
                <w:rFonts w:eastAsia="宋体" w:cs="Times New Roman"/>
                <w:iCs/>
                <w:kern w:val="0"/>
                <w:sz w:val="21"/>
                <w:szCs w:val="21"/>
              </w:rPr>
            </w:pPr>
          </w:p>
        </w:tc>
        <w:tc>
          <w:tcPr>
            <w:tcW w:w="3585" w:type="dxa"/>
            <w:shd w:val="clear" w:color="auto" w:fill="auto"/>
            <w:vAlign w:val="center"/>
          </w:tcPr>
          <w:p>
            <w:pPr>
              <w:spacing w:line="0" w:lineRule="atLeast"/>
              <w:jc w:val="left"/>
              <w:rPr>
                <w:rFonts w:eastAsia="宋体" w:cs="Times New Roman"/>
                <w:iCs/>
                <w:kern w:val="0"/>
                <w:sz w:val="21"/>
                <w:szCs w:val="21"/>
              </w:rPr>
            </w:pPr>
          </w:p>
        </w:tc>
        <w:tc>
          <w:tcPr>
            <w:tcW w:w="1320" w:type="dxa"/>
            <w:shd w:val="clear" w:color="auto" w:fill="auto"/>
            <w:vAlign w:val="center"/>
          </w:tcPr>
          <w:p>
            <w:pPr>
              <w:widowControl/>
              <w:spacing w:line="240" w:lineRule="atLeast"/>
              <w:jc w:val="center"/>
              <w:rPr>
                <w:rFonts w:eastAsia="宋体" w:cs="Times New Roman"/>
                <w:iCs/>
                <w:kern w:val="0"/>
                <w:sz w:val="21"/>
                <w:szCs w:val="21"/>
              </w:rPr>
            </w:pPr>
            <w:r>
              <w:rPr>
                <w:rFonts w:hint="eastAsia" w:eastAsia="宋体" w:cs="Times New Roman"/>
                <w:iCs/>
                <w:kern w:val="0"/>
                <w:sz w:val="21"/>
                <w:szCs w:val="21"/>
              </w:rPr>
              <w:t>182.95</w:t>
            </w:r>
          </w:p>
        </w:tc>
        <w:tc>
          <w:tcPr>
            <w:tcW w:w="3255" w:type="dxa"/>
            <w:shd w:val="clear" w:color="auto" w:fill="auto"/>
            <w:vAlign w:val="center"/>
          </w:tcPr>
          <w:p>
            <w:pPr>
              <w:widowControl/>
              <w:spacing w:line="240" w:lineRule="atLeast"/>
              <w:jc w:val="center"/>
              <w:rPr>
                <w:rFonts w:ascii="宋体" w:hAnsi="宋体" w:eastAsia="宋体" w:cs="宋体"/>
                <w:sz w:val="21"/>
                <w:szCs w:val="21"/>
              </w:rPr>
            </w:pPr>
          </w:p>
        </w:tc>
        <w:tc>
          <w:tcPr>
            <w:tcW w:w="1528" w:type="dxa"/>
            <w:shd w:val="clear" w:color="auto" w:fill="auto"/>
            <w:vAlign w:val="center"/>
          </w:tcPr>
          <w:p>
            <w:pPr>
              <w:widowControl/>
              <w:spacing w:line="240" w:lineRule="atLeast"/>
              <w:jc w:val="center"/>
              <w:rPr>
                <w:rFonts w:ascii="宋体" w:hAnsi="宋体" w:eastAsia="宋体" w:cs="宋体"/>
                <w:sz w:val="21"/>
                <w:szCs w:val="21"/>
              </w:rPr>
            </w:pPr>
          </w:p>
        </w:tc>
        <w:tc>
          <w:tcPr>
            <w:tcW w:w="1215" w:type="dxa"/>
            <w:shd w:val="clear" w:color="auto" w:fill="auto"/>
            <w:vAlign w:val="center"/>
          </w:tcPr>
          <w:p>
            <w:pPr>
              <w:widowControl/>
              <w:spacing w:line="240" w:lineRule="atLeast"/>
              <w:jc w:val="center"/>
              <w:rPr>
                <w:rFonts w:ascii="宋体" w:hAnsi="宋体" w:eastAsia="宋体" w:cs="宋体"/>
                <w:sz w:val="21"/>
                <w:szCs w:val="21"/>
              </w:rPr>
            </w:pPr>
          </w:p>
        </w:tc>
        <w:tc>
          <w:tcPr>
            <w:tcW w:w="1185" w:type="dxa"/>
            <w:shd w:val="clear" w:color="auto" w:fill="auto"/>
            <w:vAlign w:val="center"/>
          </w:tcPr>
          <w:p>
            <w:pPr>
              <w:widowControl/>
              <w:spacing w:line="240" w:lineRule="atLeast"/>
              <w:jc w:val="center"/>
              <w:rPr>
                <w:rFonts w:eastAsia="宋体" w:cs="Times New Roman"/>
                <w:iCs/>
                <w:kern w:val="0"/>
                <w:sz w:val="21"/>
                <w:szCs w:val="21"/>
              </w:rPr>
            </w:pPr>
          </w:p>
        </w:tc>
        <w:tc>
          <w:tcPr>
            <w:tcW w:w="1466" w:type="dxa"/>
            <w:shd w:val="clear" w:color="auto" w:fill="auto"/>
            <w:vAlign w:val="center"/>
          </w:tcPr>
          <w:p>
            <w:pPr>
              <w:widowControl/>
              <w:spacing w:line="240" w:lineRule="atLeast"/>
              <w:jc w:val="center"/>
              <w:rPr>
                <w:rFonts w:eastAsia="宋体" w:cs="Times New Roman"/>
                <w:iCs/>
                <w:kern w:val="0"/>
                <w:sz w:val="21"/>
                <w:szCs w:val="21"/>
              </w:rPr>
            </w:pPr>
            <w:r>
              <w:rPr>
                <w:rFonts w:hint="eastAsia" w:eastAsia="宋体" w:cs="Times New Roman"/>
                <w:iCs/>
                <w:kern w:val="0"/>
                <w:sz w:val="21"/>
                <w:szCs w:val="21"/>
              </w:rPr>
              <w:t>减少182.95</w:t>
            </w:r>
          </w:p>
        </w:tc>
      </w:tr>
    </w:tbl>
    <w:p>
      <w:pPr>
        <w:pStyle w:val="14"/>
        <w:spacing w:line="400" w:lineRule="exact"/>
        <w:outlineLvl w:val="0"/>
        <w:rPr>
          <w:rFonts w:eastAsia="宋体" w:cs="Times New Roman"/>
          <w:bCs/>
          <w:kern w:val="0"/>
          <w:sz w:val="30"/>
          <w:szCs w:val="30"/>
          <w:lang w:bidi="ar"/>
        </w:rPr>
        <w:sectPr>
          <w:pgSz w:w="23808" w:h="16840" w:orient="landscape"/>
          <w:pgMar w:top="1797" w:right="1440" w:bottom="1797" w:left="1440" w:header="851" w:footer="992" w:gutter="0"/>
          <w:pgNumType w:fmt="numberInDash"/>
          <w:cols w:space="425" w:num="1"/>
          <w:titlePg/>
          <w:docGrid w:type="linesAndChars" w:linePitch="381" w:charSpace="0"/>
        </w:sectPr>
      </w:pPr>
    </w:p>
    <w:p>
      <w:pPr>
        <w:rPr>
          <w:rFonts w:eastAsia="宋体" w:cs="Times New Roman"/>
          <w:b/>
          <w:bCs/>
          <w:kern w:val="0"/>
          <w:sz w:val="30"/>
          <w:szCs w:val="30"/>
          <w:lang w:bidi="ar"/>
        </w:rPr>
      </w:pPr>
      <w:bookmarkStart w:id="2" w:name="_Toc26415"/>
      <w:r>
        <w:rPr>
          <w:rFonts w:hint="eastAsia" w:eastAsia="宋体" w:cs="Times New Roman"/>
          <w:b/>
          <w:bCs/>
          <w:kern w:val="0"/>
          <w:sz w:val="30"/>
          <w:szCs w:val="30"/>
          <w:lang w:bidi="ar"/>
        </w:rPr>
        <w:t>附图</w:t>
      </w:r>
      <w:r>
        <w:rPr>
          <w:rFonts w:eastAsia="宋体" w:cs="Times New Roman"/>
          <w:b/>
          <w:bCs/>
          <w:kern w:val="0"/>
          <w:sz w:val="30"/>
          <w:szCs w:val="30"/>
          <w:lang w:bidi="ar"/>
        </w:rPr>
        <w:t>1</w:t>
      </w:r>
      <w:r>
        <w:rPr>
          <w:rFonts w:hint="eastAsia" w:eastAsia="宋体" w:cs="Times New Roman"/>
          <w:b/>
          <w:bCs/>
          <w:kern w:val="0"/>
          <w:sz w:val="30"/>
          <w:szCs w:val="30"/>
          <w:lang w:bidi="ar"/>
        </w:rPr>
        <w:t xml:space="preserve"> 市区浈江饮用水水源保护区范围图（拟撤销）</w:t>
      </w:r>
      <w:bookmarkEnd w:id="2"/>
    </w:p>
    <w:p>
      <w:pPr>
        <w:jc w:val="center"/>
        <w:rPr>
          <w:rFonts w:eastAsia="宋体"/>
        </w:rPr>
      </w:pPr>
      <w:r>
        <w:rPr>
          <w:rFonts w:hint="eastAsia" w:eastAsia="宋体"/>
        </w:rPr>
        <w:drawing>
          <wp:inline distT="0" distB="0" distL="114300" distR="114300">
            <wp:extent cx="11749405" cy="8316595"/>
            <wp:effectExtent l="0" t="0" r="4445" b="8255"/>
            <wp:docPr id="34" name="图片 34" descr="市区浈江饮用水源保护区范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市区浈江饮用水源保护区范围图"/>
                    <pic:cNvPicPr>
                      <a:picLocks noChangeAspect="1"/>
                    </pic:cNvPicPr>
                  </pic:nvPicPr>
                  <pic:blipFill>
                    <a:blip r:embed="rId12"/>
                    <a:stretch>
                      <a:fillRect/>
                    </a:stretch>
                  </pic:blipFill>
                  <pic:spPr>
                    <a:xfrm>
                      <a:off x="0" y="0"/>
                      <a:ext cx="11750733" cy="8317942"/>
                    </a:xfrm>
                    <a:prstGeom prst="rect">
                      <a:avLst/>
                    </a:prstGeom>
                  </pic:spPr>
                </pic:pic>
              </a:graphicData>
            </a:graphic>
          </wp:inline>
        </w:drawing>
      </w:r>
    </w:p>
    <w:p>
      <w:pPr>
        <w:rPr>
          <w:rFonts w:eastAsia="宋体" w:cs="Times New Roman"/>
          <w:b/>
          <w:bCs/>
          <w:kern w:val="0"/>
          <w:sz w:val="30"/>
          <w:szCs w:val="30"/>
          <w:lang w:bidi="ar"/>
        </w:rPr>
      </w:pPr>
      <w:bookmarkStart w:id="3" w:name="_Toc2957"/>
      <w:r>
        <w:rPr>
          <w:rFonts w:hint="eastAsia" w:eastAsia="宋体" w:cs="Times New Roman"/>
          <w:b/>
          <w:bCs/>
          <w:kern w:val="0"/>
          <w:sz w:val="30"/>
          <w:szCs w:val="30"/>
          <w:lang w:bidi="ar"/>
        </w:rPr>
        <w:t>附图</w:t>
      </w:r>
      <w:r>
        <w:rPr>
          <w:rFonts w:eastAsia="宋体" w:cs="Times New Roman"/>
          <w:b/>
          <w:bCs/>
          <w:kern w:val="0"/>
          <w:sz w:val="30"/>
          <w:szCs w:val="30"/>
          <w:lang w:bidi="ar"/>
        </w:rPr>
        <w:t>2</w:t>
      </w:r>
      <w:r>
        <w:rPr>
          <w:rFonts w:hint="eastAsia" w:eastAsia="宋体" w:cs="Times New Roman"/>
          <w:b/>
          <w:bCs/>
          <w:kern w:val="0"/>
          <w:sz w:val="30"/>
          <w:szCs w:val="30"/>
          <w:lang w:bidi="ar"/>
        </w:rPr>
        <w:t xml:space="preserve"> 新丰县梅坑河、小正河备用饮用水水源保护区范围图（拟撤销）</w:t>
      </w:r>
      <w:bookmarkEnd w:id="3"/>
    </w:p>
    <w:p>
      <w:pPr>
        <w:pStyle w:val="27"/>
        <w:jc w:val="center"/>
        <w:rPr>
          <w:rFonts w:hint="default"/>
        </w:rPr>
      </w:pPr>
      <w:r>
        <w:rPr>
          <w:rFonts w:eastAsia="宋体"/>
        </w:rPr>
        <w:drawing>
          <wp:inline distT="0" distB="0" distL="114300" distR="114300">
            <wp:extent cx="11751310" cy="8317230"/>
            <wp:effectExtent l="0" t="0" r="2540" b="7620"/>
            <wp:docPr id="43" name="图片 43" descr="新丰饮用水源 2000坐标 保护区范围图 梅坑小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新丰饮用水源 2000坐标 保护区范围图 梅坑小正"/>
                    <pic:cNvPicPr>
                      <a:picLocks noChangeAspect="1"/>
                    </pic:cNvPicPr>
                  </pic:nvPicPr>
                  <pic:blipFill>
                    <a:blip r:embed="rId13"/>
                    <a:stretch>
                      <a:fillRect/>
                    </a:stretch>
                  </pic:blipFill>
                  <pic:spPr>
                    <a:xfrm>
                      <a:off x="0" y="0"/>
                      <a:ext cx="11751310" cy="8317230"/>
                    </a:xfrm>
                    <a:prstGeom prst="rect">
                      <a:avLst/>
                    </a:prstGeom>
                  </pic:spPr>
                </pic:pic>
              </a:graphicData>
            </a:graphic>
          </wp:inline>
        </w:drawing>
      </w:r>
    </w:p>
    <w:p>
      <w:pPr>
        <w:rPr>
          <w:rFonts w:eastAsia="宋体" w:cs="Times New Roman"/>
          <w:b/>
          <w:bCs/>
          <w:kern w:val="0"/>
          <w:sz w:val="30"/>
          <w:szCs w:val="30"/>
          <w:lang w:bidi="ar"/>
        </w:rPr>
      </w:pPr>
      <w:bookmarkStart w:id="4" w:name="_Toc17059"/>
      <w:r>
        <w:rPr>
          <w:rFonts w:hint="eastAsia" w:eastAsia="宋体" w:cs="Times New Roman"/>
          <w:b/>
          <w:bCs/>
          <w:kern w:val="0"/>
          <w:sz w:val="30"/>
          <w:szCs w:val="30"/>
          <w:lang w:bidi="ar"/>
        </w:rPr>
        <w:t>附图3 调整后县级以上水源保护区位置分布图</w:t>
      </w:r>
      <w:bookmarkEnd w:id="4"/>
    </w:p>
    <w:p>
      <w:pPr>
        <w:jc w:val="center"/>
        <w:rPr>
          <w:b/>
          <w:sz w:val="24"/>
        </w:rPr>
      </w:pPr>
      <w:r>
        <w:rPr>
          <w:rFonts w:hint="eastAsia" w:eastAsia="宋体"/>
        </w:rPr>
        <w:drawing>
          <wp:inline distT="0" distB="0" distL="114300" distR="114300">
            <wp:extent cx="11483975" cy="8128635"/>
            <wp:effectExtent l="0" t="0" r="3175" b="5715"/>
            <wp:docPr id="48" name="图片 48" descr="调整后县级以上水源保护区位置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调整后县级以上水源保护区位置分布图"/>
                    <pic:cNvPicPr>
                      <a:picLocks noChangeAspect="1"/>
                    </pic:cNvPicPr>
                  </pic:nvPicPr>
                  <pic:blipFill>
                    <a:blip r:embed="rId14"/>
                    <a:stretch>
                      <a:fillRect/>
                    </a:stretch>
                  </pic:blipFill>
                  <pic:spPr>
                    <a:xfrm>
                      <a:off x="0" y="0"/>
                      <a:ext cx="11486991" cy="8131125"/>
                    </a:xfrm>
                    <a:prstGeom prst="rect">
                      <a:avLst/>
                    </a:prstGeom>
                  </pic:spPr>
                </pic:pic>
              </a:graphicData>
            </a:graphic>
          </wp:inline>
        </w:drawing>
      </w:r>
    </w:p>
    <w:sectPr>
      <w:footerReference r:id="rId10" w:type="first"/>
      <w:headerReference r:id="rId8" w:type="default"/>
      <w:footerReference r:id="rId9" w:type="default"/>
      <w:pgSz w:w="23811" w:h="16838" w:orient="landscape"/>
      <w:pgMar w:top="1418" w:right="1440" w:bottom="1418" w:left="1440" w:header="851" w:footer="992" w:gutter="0"/>
      <w:cols w:space="425" w:num="1"/>
      <w:titlePg/>
      <w:docGrid w:type="lines"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libri Light">
    <w:altName w:val="Calibri"/>
    <w:panose1 w:val="020F0302020204030204"/>
    <w:charset w:val="00"/>
    <w:family w:val="swiss"/>
    <w:pitch w:val="default"/>
    <w:sig w:usb0="00000000" w:usb1="00000000" w:usb2="00000009" w:usb3="00000000" w:csb0="000001FF" w:csb1="00000000"/>
  </w:font>
  <w:font w:name="方正小标宋简体">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67612133"/>
    </w:sdtPr>
    <w:sdtEndPr>
      <w:rPr>
        <w:sz w:val="24"/>
        <w:szCs w:val="24"/>
      </w:rPr>
    </w:sdtEndPr>
    <w:sdtContent>
      <w:p>
        <w:pPr>
          <w:pStyle w:val="18"/>
          <w:jc w:val="center"/>
          <w:rPr>
            <w:sz w:val="24"/>
            <w:szCs w:val="24"/>
          </w:rPr>
        </w:pPr>
        <w:r>
          <w:rPr>
            <w:sz w:val="24"/>
            <w:szCs w:val="24"/>
          </w:rPr>
          <w:fldChar w:fldCharType="begin"/>
        </w:r>
        <w:r>
          <w:rPr>
            <w:sz w:val="24"/>
            <w:szCs w:val="24"/>
          </w:rPr>
          <w:instrText xml:space="preserve">PAGE   \* MERGEFORMAT</w:instrText>
        </w:r>
        <w:r>
          <w:rPr>
            <w:sz w:val="24"/>
            <w:szCs w:val="24"/>
          </w:rPr>
          <w:fldChar w:fldCharType="separate"/>
        </w:r>
        <w:r>
          <w:rPr>
            <w:sz w:val="24"/>
            <w:szCs w:val="24"/>
            <w:lang w:val="zh-CN"/>
          </w:rPr>
          <w:t>-</w:t>
        </w:r>
        <w:r>
          <w:rPr>
            <w:sz w:val="24"/>
            <w:szCs w:val="24"/>
          </w:rPr>
          <w:t xml:space="preserve"> 4 -</w:t>
        </w:r>
        <w:r>
          <w:rPr>
            <w:sz w:val="24"/>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91120295"/>
      <w:showingPlcHdr/>
    </w:sdtPr>
    <w:sdtEndPr>
      <w:rPr>
        <w:sz w:val="24"/>
        <w:szCs w:val="24"/>
      </w:rPr>
    </w:sdtEndPr>
    <w:sdtContent>
      <w:p>
        <w:pPr>
          <w:pStyle w:val="18"/>
          <w:jc w:val="center"/>
          <w:rPr>
            <w:sz w:val="24"/>
            <w:szCs w:val="24"/>
          </w:rPr>
        </w:pPr>
      </w:p>
    </w:sdtContent>
  </w:sdt>
  <w:p>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8139307"/>
    </w:sdtPr>
    <w:sdtEndPr>
      <w:rPr>
        <w:sz w:val="24"/>
        <w:szCs w:val="24"/>
      </w:rPr>
    </w:sdtEndPr>
    <w:sdtContent>
      <w:p>
        <w:pPr>
          <w:pStyle w:val="18"/>
          <w:jc w:val="center"/>
          <w:rPr>
            <w:sz w:val="24"/>
            <w:szCs w:val="24"/>
          </w:rPr>
        </w:pPr>
        <w:r>
          <w:rPr>
            <w:sz w:val="24"/>
            <w:szCs w:val="24"/>
          </w:rPr>
          <w:fldChar w:fldCharType="begin"/>
        </w:r>
        <w:r>
          <w:rPr>
            <w:sz w:val="24"/>
            <w:szCs w:val="24"/>
          </w:rPr>
          <w:instrText xml:space="preserve">PAGE   \* MERGEFORMAT</w:instrText>
        </w:r>
        <w:r>
          <w:rPr>
            <w:sz w:val="24"/>
            <w:szCs w:val="24"/>
          </w:rPr>
          <w:fldChar w:fldCharType="separate"/>
        </w:r>
        <w:r>
          <w:rPr>
            <w:sz w:val="24"/>
            <w:szCs w:val="24"/>
            <w:lang w:val="zh-CN"/>
          </w:rPr>
          <w:t>-</w:t>
        </w:r>
        <w:r>
          <w:rPr>
            <w:sz w:val="24"/>
            <w:szCs w:val="24"/>
          </w:rPr>
          <w:t xml:space="preserve"> 5 -</w:t>
        </w:r>
        <w:r>
          <w:rPr>
            <w:sz w:val="24"/>
            <w:szCs w:val="24"/>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rPr>
        <w:rStyle w:val="23"/>
      </w:rPr>
    </w:pPr>
    <w:r>
      <w:fldChar w:fldCharType="begin"/>
    </w:r>
    <w:r>
      <w:rPr>
        <w:rStyle w:val="23"/>
      </w:rPr>
      <w:instrText xml:space="preserve">PAGE  </w:instrText>
    </w:r>
    <w:r>
      <w:fldChar w:fldCharType="separate"/>
    </w:r>
    <w:r>
      <w:rPr>
        <w:rStyle w:val="23"/>
      </w:rPr>
      <w:t>8</w:t>
    </w:r>
    <w:r>
      <w:fldChar w:fldCharType="end"/>
    </w:r>
  </w:p>
  <w:p>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98752592"/>
    </w:sdtPr>
    <w:sdtEndPr>
      <w:rPr>
        <w:sz w:val="24"/>
        <w:szCs w:val="24"/>
      </w:rPr>
    </w:sdtEndPr>
    <w:sdtContent>
      <w:p>
        <w:pPr>
          <w:pStyle w:val="18"/>
          <w:jc w:val="center"/>
          <w:rPr>
            <w:sz w:val="24"/>
            <w:szCs w:val="24"/>
          </w:rPr>
        </w:pPr>
        <w:r>
          <w:rPr>
            <w:sz w:val="24"/>
            <w:szCs w:val="24"/>
          </w:rPr>
          <w:t xml:space="preserve">- </w:t>
        </w:r>
        <w:r>
          <w:rPr>
            <w:rFonts w:hint="eastAsia"/>
            <w:sz w:val="24"/>
            <w:szCs w:val="24"/>
          </w:rPr>
          <w:t>12</w:t>
        </w:r>
        <w:r>
          <w:rPr>
            <w:sz w:val="24"/>
            <w:szCs w:val="24"/>
          </w:rPr>
          <w:t xml:space="preserve"> -</w:t>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C3454"/>
    <w:multiLevelType w:val="multilevel"/>
    <w:tmpl w:val="10BC3454"/>
    <w:lvl w:ilvl="0" w:tentative="0">
      <w:start w:val="1"/>
      <w:numFmt w:val="decimal"/>
      <w:lvlText w:val="%1."/>
      <w:lvlJc w:val="left"/>
      <w:pPr>
        <w:ind w:left="425" w:hanging="425"/>
      </w:pPr>
    </w:lvl>
    <w:lvl w:ilvl="1" w:tentative="0">
      <w:start w:val="1"/>
      <w:numFmt w:val="decimal"/>
      <w:pStyle w:val="4"/>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
    <w:nsid w:val="1F0E0C58"/>
    <w:multiLevelType w:val="multilevel"/>
    <w:tmpl w:val="1F0E0C58"/>
    <w:lvl w:ilvl="0" w:tentative="0">
      <w:start w:val="1"/>
      <w:numFmt w:val="decimal"/>
      <w:lvlText w:val="%1"/>
      <w:lvlJc w:val="left"/>
      <w:pPr>
        <w:ind w:left="432" w:hanging="432"/>
      </w:pPr>
      <w:rPr>
        <w:rFonts w:hint="eastAsia"/>
        <w:kern w:val="28"/>
      </w:rPr>
    </w:lvl>
    <w:lvl w:ilvl="1" w:tentative="0">
      <w:start w:val="1"/>
      <w:numFmt w:val="decimal"/>
      <w:lvlText w:val="%1.%2"/>
      <w:lvlJc w:val="left"/>
      <w:pPr>
        <w:ind w:left="576" w:hanging="576"/>
      </w:pPr>
      <w:rPr>
        <w:rFonts w:hint="eastAsia" w:ascii="Times New Roman" w:hAnsi="Times New Roman"/>
      </w:rPr>
    </w:lvl>
    <w:lvl w:ilvl="2" w:tentative="0">
      <w:start w:val="1"/>
      <w:numFmt w:val="decimal"/>
      <w:pStyle w:val="5"/>
      <w:lvlText w:val="%1.%2.%3"/>
      <w:lvlJc w:val="left"/>
      <w:pPr>
        <w:ind w:left="720" w:hanging="720"/>
      </w:pPr>
      <w:rPr>
        <w:rFonts w:hint="eastAsia"/>
      </w:rPr>
    </w:lvl>
    <w:lvl w:ilvl="3" w:tentative="0">
      <w:start w:val="1"/>
      <w:numFmt w:val="decimal"/>
      <w:pStyle w:val="6"/>
      <w:lvlText w:val="%1.%2.%3.%4"/>
      <w:lvlJc w:val="left"/>
      <w:pPr>
        <w:ind w:left="864" w:hanging="864"/>
      </w:pPr>
      <w:rPr>
        <w:rFonts w:hint="eastAsia" w:ascii="Times New Roman" w:hAnsi="Times New Roman"/>
      </w:rPr>
    </w:lvl>
    <w:lvl w:ilvl="4" w:tentative="0">
      <w:start w:val="1"/>
      <w:numFmt w:val="decimal"/>
      <w:pStyle w:val="7"/>
      <w:lvlText w:val="%1.%2.%3.%4.%5"/>
      <w:lvlJc w:val="left"/>
      <w:pPr>
        <w:ind w:left="1008" w:hanging="1008"/>
      </w:pPr>
      <w:rPr>
        <w:rFonts w:hint="eastAsia"/>
      </w:rPr>
    </w:lvl>
    <w:lvl w:ilvl="5" w:tentative="0">
      <w:start w:val="1"/>
      <w:numFmt w:val="decimal"/>
      <w:pStyle w:val="8"/>
      <w:lvlText w:val="%1.%2.%3.%4.%5.%6"/>
      <w:lvlJc w:val="left"/>
      <w:pPr>
        <w:ind w:left="1152" w:hanging="1152"/>
      </w:pPr>
      <w:rPr>
        <w:rFonts w:hint="eastAsia"/>
      </w:rPr>
    </w:lvl>
    <w:lvl w:ilvl="6" w:tentative="0">
      <w:start w:val="1"/>
      <w:numFmt w:val="decimal"/>
      <w:pStyle w:val="9"/>
      <w:lvlText w:val="%1.%2.%3.%4.%5.%6.%7"/>
      <w:lvlJc w:val="left"/>
      <w:pPr>
        <w:ind w:left="1296" w:hanging="1296"/>
      </w:pPr>
      <w:rPr>
        <w:rFonts w:hint="eastAsia"/>
      </w:rPr>
    </w:lvl>
    <w:lvl w:ilvl="7" w:tentative="0">
      <w:start w:val="1"/>
      <w:numFmt w:val="decimal"/>
      <w:pStyle w:val="10"/>
      <w:lvlText w:val="%1.%2.%3.%4.%5.%6.%7.%8"/>
      <w:lvlJc w:val="left"/>
      <w:pPr>
        <w:ind w:left="1440" w:hanging="1440"/>
      </w:pPr>
      <w:rPr>
        <w:rFonts w:hint="eastAsia"/>
      </w:rPr>
    </w:lvl>
    <w:lvl w:ilvl="8" w:tentative="0">
      <w:start w:val="1"/>
      <w:numFmt w:val="decimal"/>
      <w:pStyle w:val="11"/>
      <w:lvlText w:val="%1.%2.%3.%4.%5.%6.%7.%8.%9"/>
      <w:lvlJc w:val="left"/>
      <w:pPr>
        <w:ind w:left="1584" w:hanging="1584"/>
      </w:pPr>
      <w:rPr>
        <w:rFonts w:hint="eastAsia"/>
      </w:rPr>
    </w:lvl>
  </w:abstractNum>
  <w:abstractNum w:abstractNumId="2">
    <w:nsid w:val="54BB649D"/>
    <w:multiLevelType w:val="multilevel"/>
    <w:tmpl w:val="54BB649D"/>
    <w:lvl w:ilvl="0" w:tentative="0">
      <w:start w:val="1"/>
      <w:numFmt w:val="decimal"/>
      <w:pStyle w:val="3"/>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HorizontalSpacing w:val="140"/>
  <w:drawingGridVerticalSpacing w:val="381"/>
  <w:displayHorizont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UyZjdkMGFjMDQzODU1ZDBmZmYxMTBjZDYyNjE3MjEifQ=="/>
  </w:docVars>
  <w:rsids>
    <w:rsidRoot w:val="00B077B6"/>
    <w:rsid w:val="000117B9"/>
    <w:rsid w:val="00015BBE"/>
    <w:rsid w:val="00020671"/>
    <w:rsid w:val="00021638"/>
    <w:rsid w:val="00023FCB"/>
    <w:rsid w:val="00027EC5"/>
    <w:rsid w:val="000556B2"/>
    <w:rsid w:val="00074FD5"/>
    <w:rsid w:val="00082D69"/>
    <w:rsid w:val="00087B52"/>
    <w:rsid w:val="00096AF3"/>
    <w:rsid w:val="000A303C"/>
    <w:rsid w:val="000A5DAC"/>
    <w:rsid w:val="000B033A"/>
    <w:rsid w:val="000B3DFD"/>
    <w:rsid w:val="000C233D"/>
    <w:rsid w:val="000D68C2"/>
    <w:rsid w:val="000E089D"/>
    <w:rsid w:val="0011351A"/>
    <w:rsid w:val="001243BF"/>
    <w:rsid w:val="00125622"/>
    <w:rsid w:val="00140310"/>
    <w:rsid w:val="0017111F"/>
    <w:rsid w:val="001730C6"/>
    <w:rsid w:val="00177859"/>
    <w:rsid w:val="001A2E26"/>
    <w:rsid w:val="001A6084"/>
    <w:rsid w:val="001C36FE"/>
    <w:rsid w:val="001D22EA"/>
    <w:rsid w:val="001D4640"/>
    <w:rsid w:val="001E27A8"/>
    <w:rsid w:val="001F4EB2"/>
    <w:rsid w:val="0021532C"/>
    <w:rsid w:val="002208D1"/>
    <w:rsid w:val="00222029"/>
    <w:rsid w:val="00225648"/>
    <w:rsid w:val="002327CA"/>
    <w:rsid w:val="0024338F"/>
    <w:rsid w:val="0028481E"/>
    <w:rsid w:val="002953ED"/>
    <w:rsid w:val="002A7E52"/>
    <w:rsid w:val="002C1CC9"/>
    <w:rsid w:val="002C7CD1"/>
    <w:rsid w:val="002D21DA"/>
    <w:rsid w:val="002F6CAD"/>
    <w:rsid w:val="00302048"/>
    <w:rsid w:val="0030342D"/>
    <w:rsid w:val="0030724F"/>
    <w:rsid w:val="00312A59"/>
    <w:rsid w:val="00315CA2"/>
    <w:rsid w:val="00322D84"/>
    <w:rsid w:val="00326E36"/>
    <w:rsid w:val="00326FC9"/>
    <w:rsid w:val="003358EC"/>
    <w:rsid w:val="00353C53"/>
    <w:rsid w:val="00362CD6"/>
    <w:rsid w:val="00363BB6"/>
    <w:rsid w:val="00372F2E"/>
    <w:rsid w:val="003911A0"/>
    <w:rsid w:val="003930D6"/>
    <w:rsid w:val="003B4E52"/>
    <w:rsid w:val="003C238D"/>
    <w:rsid w:val="003C6F29"/>
    <w:rsid w:val="003D5072"/>
    <w:rsid w:val="003D5A80"/>
    <w:rsid w:val="003F518B"/>
    <w:rsid w:val="00400F97"/>
    <w:rsid w:val="00407FF8"/>
    <w:rsid w:val="00414173"/>
    <w:rsid w:val="004208DE"/>
    <w:rsid w:val="004209B8"/>
    <w:rsid w:val="00433A8E"/>
    <w:rsid w:val="00433FD8"/>
    <w:rsid w:val="0043798E"/>
    <w:rsid w:val="00440E55"/>
    <w:rsid w:val="00465D54"/>
    <w:rsid w:val="004721D3"/>
    <w:rsid w:val="0047393C"/>
    <w:rsid w:val="0047579E"/>
    <w:rsid w:val="004761C8"/>
    <w:rsid w:val="0048001C"/>
    <w:rsid w:val="00497F38"/>
    <w:rsid w:val="004B1E20"/>
    <w:rsid w:val="004C638B"/>
    <w:rsid w:val="004D1CBE"/>
    <w:rsid w:val="004D3B21"/>
    <w:rsid w:val="004F46F0"/>
    <w:rsid w:val="004F5988"/>
    <w:rsid w:val="004F76F5"/>
    <w:rsid w:val="00507A8D"/>
    <w:rsid w:val="005112DB"/>
    <w:rsid w:val="00515F98"/>
    <w:rsid w:val="00554BE2"/>
    <w:rsid w:val="00577105"/>
    <w:rsid w:val="0059285F"/>
    <w:rsid w:val="005A31C9"/>
    <w:rsid w:val="005A620A"/>
    <w:rsid w:val="005B1609"/>
    <w:rsid w:val="005B7523"/>
    <w:rsid w:val="005D350E"/>
    <w:rsid w:val="005D434C"/>
    <w:rsid w:val="005E09C6"/>
    <w:rsid w:val="005E6AEB"/>
    <w:rsid w:val="005E7B39"/>
    <w:rsid w:val="00600AAB"/>
    <w:rsid w:val="00603F1C"/>
    <w:rsid w:val="00620EE8"/>
    <w:rsid w:val="006344B0"/>
    <w:rsid w:val="006459D5"/>
    <w:rsid w:val="00661FD8"/>
    <w:rsid w:val="00682C90"/>
    <w:rsid w:val="006906C6"/>
    <w:rsid w:val="006921EB"/>
    <w:rsid w:val="006B6A5D"/>
    <w:rsid w:val="006C1CA3"/>
    <w:rsid w:val="006D4743"/>
    <w:rsid w:val="006E7A34"/>
    <w:rsid w:val="006F3663"/>
    <w:rsid w:val="007010D0"/>
    <w:rsid w:val="0070370E"/>
    <w:rsid w:val="007039F8"/>
    <w:rsid w:val="00705B5B"/>
    <w:rsid w:val="00711B08"/>
    <w:rsid w:val="00725D00"/>
    <w:rsid w:val="00735987"/>
    <w:rsid w:val="00790200"/>
    <w:rsid w:val="007A35F7"/>
    <w:rsid w:val="007A3D39"/>
    <w:rsid w:val="007C3E15"/>
    <w:rsid w:val="007D3632"/>
    <w:rsid w:val="007D4FE0"/>
    <w:rsid w:val="007E5C3C"/>
    <w:rsid w:val="007F5A7F"/>
    <w:rsid w:val="00800DD4"/>
    <w:rsid w:val="008078BB"/>
    <w:rsid w:val="00817E03"/>
    <w:rsid w:val="00823D49"/>
    <w:rsid w:val="00841701"/>
    <w:rsid w:val="00861CD7"/>
    <w:rsid w:val="008621C3"/>
    <w:rsid w:val="00876DA2"/>
    <w:rsid w:val="00885FEC"/>
    <w:rsid w:val="008A3444"/>
    <w:rsid w:val="008B5BFA"/>
    <w:rsid w:val="008B746E"/>
    <w:rsid w:val="008F4117"/>
    <w:rsid w:val="009066A7"/>
    <w:rsid w:val="009101FF"/>
    <w:rsid w:val="009179A5"/>
    <w:rsid w:val="00972801"/>
    <w:rsid w:val="00974D7B"/>
    <w:rsid w:val="009836C0"/>
    <w:rsid w:val="009A06A6"/>
    <w:rsid w:val="009A5F92"/>
    <w:rsid w:val="009B09B1"/>
    <w:rsid w:val="009C1839"/>
    <w:rsid w:val="009C778D"/>
    <w:rsid w:val="009C78EC"/>
    <w:rsid w:val="009E22A6"/>
    <w:rsid w:val="00A004BA"/>
    <w:rsid w:val="00A02643"/>
    <w:rsid w:val="00A07F8C"/>
    <w:rsid w:val="00A109A1"/>
    <w:rsid w:val="00A21242"/>
    <w:rsid w:val="00A27B56"/>
    <w:rsid w:val="00A40059"/>
    <w:rsid w:val="00A46582"/>
    <w:rsid w:val="00A51D4D"/>
    <w:rsid w:val="00A53B96"/>
    <w:rsid w:val="00A54C61"/>
    <w:rsid w:val="00A63307"/>
    <w:rsid w:val="00A63A13"/>
    <w:rsid w:val="00A978C9"/>
    <w:rsid w:val="00AB15DA"/>
    <w:rsid w:val="00AC3868"/>
    <w:rsid w:val="00AC5B3E"/>
    <w:rsid w:val="00AD582C"/>
    <w:rsid w:val="00AD7142"/>
    <w:rsid w:val="00AE2BF5"/>
    <w:rsid w:val="00AE6371"/>
    <w:rsid w:val="00AF4A8E"/>
    <w:rsid w:val="00AF5FC3"/>
    <w:rsid w:val="00B077B6"/>
    <w:rsid w:val="00B31ED2"/>
    <w:rsid w:val="00B36B0A"/>
    <w:rsid w:val="00B37D69"/>
    <w:rsid w:val="00B47F2F"/>
    <w:rsid w:val="00B678D4"/>
    <w:rsid w:val="00B74FF8"/>
    <w:rsid w:val="00B7540A"/>
    <w:rsid w:val="00B7541E"/>
    <w:rsid w:val="00B7574B"/>
    <w:rsid w:val="00B840C0"/>
    <w:rsid w:val="00B85076"/>
    <w:rsid w:val="00B87686"/>
    <w:rsid w:val="00BA7CBD"/>
    <w:rsid w:val="00BE5A00"/>
    <w:rsid w:val="00BF7A3D"/>
    <w:rsid w:val="00C009E5"/>
    <w:rsid w:val="00C054EE"/>
    <w:rsid w:val="00C15D9F"/>
    <w:rsid w:val="00C563BB"/>
    <w:rsid w:val="00C9630E"/>
    <w:rsid w:val="00CD2971"/>
    <w:rsid w:val="00CE67DD"/>
    <w:rsid w:val="00CF1D22"/>
    <w:rsid w:val="00CF346E"/>
    <w:rsid w:val="00CF7A10"/>
    <w:rsid w:val="00D11A9E"/>
    <w:rsid w:val="00D162D4"/>
    <w:rsid w:val="00D2568E"/>
    <w:rsid w:val="00D32440"/>
    <w:rsid w:val="00D429EB"/>
    <w:rsid w:val="00D45896"/>
    <w:rsid w:val="00D53570"/>
    <w:rsid w:val="00D56E60"/>
    <w:rsid w:val="00D62935"/>
    <w:rsid w:val="00D91E0F"/>
    <w:rsid w:val="00DA3301"/>
    <w:rsid w:val="00DA3EA7"/>
    <w:rsid w:val="00DB6B0F"/>
    <w:rsid w:val="00DC074A"/>
    <w:rsid w:val="00DD4524"/>
    <w:rsid w:val="00DE3C69"/>
    <w:rsid w:val="00DE7BB7"/>
    <w:rsid w:val="00E03642"/>
    <w:rsid w:val="00E260D5"/>
    <w:rsid w:val="00E40C83"/>
    <w:rsid w:val="00E5552B"/>
    <w:rsid w:val="00E7446D"/>
    <w:rsid w:val="00E8099E"/>
    <w:rsid w:val="00EA18DA"/>
    <w:rsid w:val="00EC56B8"/>
    <w:rsid w:val="00EE2F25"/>
    <w:rsid w:val="00EE46F1"/>
    <w:rsid w:val="00F0292D"/>
    <w:rsid w:val="00F26C1B"/>
    <w:rsid w:val="00F518EC"/>
    <w:rsid w:val="00F565BD"/>
    <w:rsid w:val="00F5788E"/>
    <w:rsid w:val="00FA3AE5"/>
    <w:rsid w:val="00FB5E2A"/>
    <w:rsid w:val="00FB6573"/>
    <w:rsid w:val="00FC73F1"/>
    <w:rsid w:val="00FF2B37"/>
    <w:rsid w:val="00FF3A94"/>
    <w:rsid w:val="015C48BA"/>
    <w:rsid w:val="077D34DF"/>
    <w:rsid w:val="07AF3FE3"/>
    <w:rsid w:val="08504D9A"/>
    <w:rsid w:val="08D96410"/>
    <w:rsid w:val="09745FDF"/>
    <w:rsid w:val="098536AE"/>
    <w:rsid w:val="09C57A7B"/>
    <w:rsid w:val="0AAE43D8"/>
    <w:rsid w:val="0AD80EDB"/>
    <w:rsid w:val="0F5558EA"/>
    <w:rsid w:val="0F913483"/>
    <w:rsid w:val="13FA024A"/>
    <w:rsid w:val="151970A3"/>
    <w:rsid w:val="151C16D9"/>
    <w:rsid w:val="1617029A"/>
    <w:rsid w:val="1DD87B86"/>
    <w:rsid w:val="1EF3214E"/>
    <w:rsid w:val="201C7B35"/>
    <w:rsid w:val="23BE7D58"/>
    <w:rsid w:val="24FF6C76"/>
    <w:rsid w:val="269A6B30"/>
    <w:rsid w:val="273411C6"/>
    <w:rsid w:val="2781750A"/>
    <w:rsid w:val="28B2634E"/>
    <w:rsid w:val="28E71E21"/>
    <w:rsid w:val="29AE5D4B"/>
    <w:rsid w:val="29BF67EE"/>
    <w:rsid w:val="2AA90C53"/>
    <w:rsid w:val="2B9C6465"/>
    <w:rsid w:val="2C777F77"/>
    <w:rsid w:val="2D7073D3"/>
    <w:rsid w:val="2F463308"/>
    <w:rsid w:val="313C11A1"/>
    <w:rsid w:val="32460913"/>
    <w:rsid w:val="32B16C33"/>
    <w:rsid w:val="33C063B4"/>
    <w:rsid w:val="34F61B98"/>
    <w:rsid w:val="35346BB3"/>
    <w:rsid w:val="35B07C9C"/>
    <w:rsid w:val="392343F3"/>
    <w:rsid w:val="39346689"/>
    <w:rsid w:val="39A26712"/>
    <w:rsid w:val="39D332B6"/>
    <w:rsid w:val="3B8E327D"/>
    <w:rsid w:val="3B8E3D53"/>
    <w:rsid w:val="3BDC7D8F"/>
    <w:rsid w:val="3BE436AF"/>
    <w:rsid w:val="3BF5458E"/>
    <w:rsid w:val="3CA8653C"/>
    <w:rsid w:val="3CFC110D"/>
    <w:rsid w:val="3E7F77E4"/>
    <w:rsid w:val="40B53EC6"/>
    <w:rsid w:val="4205040C"/>
    <w:rsid w:val="429D3969"/>
    <w:rsid w:val="43C67102"/>
    <w:rsid w:val="46902609"/>
    <w:rsid w:val="476C415B"/>
    <w:rsid w:val="483E0C4A"/>
    <w:rsid w:val="497B7973"/>
    <w:rsid w:val="4A5D496C"/>
    <w:rsid w:val="4AF47363"/>
    <w:rsid w:val="4BBB1857"/>
    <w:rsid w:val="4C4951F9"/>
    <w:rsid w:val="5033712D"/>
    <w:rsid w:val="50380AF8"/>
    <w:rsid w:val="515B639F"/>
    <w:rsid w:val="52722239"/>
    <w:rsid w:val="54883D71"/>
    <w:rsid w:val="5675528C"/>
    <w:rsid w:val="568A272A"/>
    <w:rsid w:val="569E1652"/>
    <w:rsid w:val="570D7EA1"/>
    <w:rsid w:val="57104FC1"/>
    <w:rsid w:val="590D7F70"/>
    <w:rsid w:val="59DB4DBE"/>
    <w:rsid w:val="5B001230"/>
    <w:rsid w:val="5C082B35"/>
    <w:rsid w:val="5D4B1585"/>
    <w:rsid w:val="5D520503"/>
    <w:rsid w:val="5DFF9F86"/>
    <w:rsid w:val="5F3A4A0E"/>
    <w:rsid w:val="60647F0E"/>
    <w:rsid w:val="621E4917"/>
    <w:rsid w:val="62DF7930"/>
    <w:rsid w:val="65A263C5"/>
    <w:rsid w:val="65A417D5"/>
    <w:rsid w:val="65C47781"/>
    <w:rsid w:val="672C55DE"/>
    <w:rsid w:val="68A46576"/>
    <w:rsid w:val="691C78D4"/>
    <w:rsid w:val="6A3363C3"/>
    <w:rsid w:val="6A38266A"/>
    <w:rsid w:val="6AA76429"/>
    <w:rsid w:val="6B0B1082"/>
    <w:rsid w:val="6B15504D"/>
    <w:rsid w:val="6C0451F6"/>
    <w:rsid w:val="6D8E338D"/>
    <w:rsid w:val="6E875B5C"/>
    <w:rsid w:val="6EEF7AF6"/>
    <w:rsid w:val="6F1C7CB9"/>
    <w:rsid w:val="6FEE7466"/>
    <w:rsid w:val="702B7799"/>
    <w:rsid w:val="70B47D74"/>
    <w:rsid w:val="71693A64"/>
    <w:rsid w:val="7354056C"/>
    <w:rsid w:val="73AC62E3"/>
    <w:rsid w:val="73FD2177"/>
    <w:rsid w:val="76126B5E"/>
    <w:rsid w:val="77CB074C"/>
    <w:rsid w:val="797B4726"/>
    <w:rsid w:val="7A654ACE"/>
    <w:rsid w:val="7D114AE8"/>
    <w:rsid w:val="7D8B0F6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Times New Roman" w:hAnsi="Times New Roman" w:eastAsia="仿宋_GB2312" w:cstheme="minorBidi"/>
      <w:kern w:val="2"/>
      <w:sz w:val="28"/>
      <w:szCs w:val="22"/>
      <w:lang w:val="en-US" w:eastAsia="zh-CN" w:bidi="ar-SA"/>
    </w:rPr>
  </w:style>
  <w:style w:type="paragraph" w:styleId="3">
    <w:name w:val="heading 1"/>
    <w:basedOn w:val="1"/>
    <w:next w:val="1"/>
    <w:link w:val="29"/>
    <w:qFormat/>
    <w:uiPriority w:val="9"/>
    <w:pPr>
      <w:keepNext/>
      <w:keepLines/>
      <w:numPr>
        <w:ilvl w:val="0"/>
        <w:numId w:val="1"/>
      </w:numPr>
      <w:outlineLvl w:val="0"/>
    </w:pPr>
    <w:rPr>
      <w:rFonts w:cs="Times New Roman"/>
      <w:b/>
      <w:bCs/>
      <w:kern w:val="44"/>
      <w:szCs w:val="28"/>
    </w:rPr>
  </w:style>
  <w:style w:type="paragraph" w:styleId="4">
    <w:name w:val="heading 2"/>
    <w:basedOn w:val="1"/>
    <w:next w:val="1"/>
    <w:link w:val="30"/>
    <w:unhideWhenUsed/>
    <w:qFormat/>
    <w:uiPriority w:val="9"/>
    <w:pPr>
      <w:keepNext/>
      <w:keepLines/>
      <w:numPr>
        <w:ilvl w:val="1"/>
        <w:numId w:val="2"/>
      </w:numPr>
      <w:outlineLvl w:val="1"/>
    </w:pPr>
    <w:rPr>
      <w:b/>
      <w:bCs/>
      <w:szCs w:val="32"/>
    </w:rPr>
  </w:style>
  <w:style w:type="paragraph" w:styleId="5">
    <w:name w:val="heading 3"/>
    <w:basedOn w:val="1"/>
    <w:next w:val="1"/>
    <w:link w:val="31"/>
    <w:unhideWhenUsed/>
    <w:qFormat/>
    <w:uiPriority w:val="9"/>
    <w:pPr>
      <w:keepNext/>
      <w:keepLines/>
      <w:numPr>
        <w:ilvl w:val="2"/>
        <w:numId w:val="3"/>
      </w:numPr>
      <w:outlineLvl w:val="2"/>
    </w:pPr>
    <w:rPr>
      <w:rFonts w:eastAsia="仿宋"/>
      <w:b/>
      <w:bCs/>
      <w:szCs w:val="32"/>
    </w:rPr>
  </w:style>
  <w:style w:type="paragraph" w:styleId="6">
    <w:name w:val="heading 4"/>
    <w:basedOn w:val="1"/>
    <w:next w:val="1"/>
    <w:link w:val="32"/>
    <w:unhideWhenUsed/>
    <w:qFormat/>
    <w:uiPriority w:val="9"/>
    <w:pPr>
      <w:keepNext/>
      <w:keepLines/>
      <w:numPr>
        <w:ilvl w:val="3"/>
        <w:numId w:val="3"/>
      </w:numPr>
      <w:spacing w:before="120" w:after="120" w:line="377" w:lineRule="auto"/>
      <w:outlineLvl w:val="3"/>
    </w:pPr>
    <w:rPr>
      <w:rFonts w:asciiTheme="majorHAnsi" w:hAnsiTheme="majorHAnsi" w:eastAsiaTheme="majorEastAsia" w:cstheme="majorBidi"/>
      <w:b/>
      <w:bCs/>
      <w:szCs w:val="28"/>
    </w:rPr>
  </w:style>
  <w:style w:type="paragraph" w:styleId="7">
    <w:name w:val="heading 5"/>
    <w:basedOn w:val="1"/>
    <w:next w:val="1"/>
    <w:link w:val="33"/>
    <w:unhideWhenUsed/>
    <w:qFormat/>
    <w:uiPriority w:val="9"/>
    <w:pPr>
      <w:keepNext/>
      <w:keepLines/>
      <w:numPr>
        <w:ilvl w:val="4"/>
        <w:numId w:val="3"/>
      </w:numPr>
      <w:spacing w:before="280" w:after="290" w:line="376" w:lineRule="auto"/>
      <w:outlineLvl w:val="4"/>
    </w:pPr>
    <w:rPr>
      <w:rFonts w:eastAsia="仿宋"/>
      <w:b/>
      <w:bCs/>
      <w:szCs w:val="28"/>
    </w:rPr>
  </w:style>
  <w:style w:type="paragraph" w:styleId="8">
    <w:name w:val="heading 6"/>
    <w:basedOn w:val="1"/>
    <w:next w:val="1"/>
    <w:link w:val="34"/>
    <w:semiHidden/>
    <w:unhideWhenUsed/>
    <w:qFormat/>
    <w:uiPriority w:val="9"/>
    <w:pPr>
      <w:keepNext/>
      <w:keepLines/>
      <w:numPr>
        <w:ilvl w:val="5"/>
        <w:numId w:val="3"/>
      </w:numPr>
      <w:spacing w:before="240" w:after="64" w:line="320" w:lineRule="auto"/>
      <w:outlineLvl w:val="5"/>
    </w:pPr>
    <w:rPr>
      <w:rFonts w:asciiTheme="majorHAnsi" w:hAnsiTheme="majorHAnsi" w:eastAsiaTheme="majorEastAsia" w:cstheme="majorBidi"/>
      <w:b/>
      <w:bCs/>
      <w:szCs w:val="24"/>
    </w:rPr>
  </w:style>
  <w:style w:type="paragraph" w:styleId="9">
    <w:name w:val="heading 7"/>
    <w:basedOn w:val="1"/>
    <w:next w:val="1"/>
    <w:link w:val="35"/>
    <w:semiHidden/>
    <w:unhideWhenUsed/>
    <w:qFormat/>
    <w:uiPriority w:val="9"/>
    <w:pPr>
      <w:keepNext/>
      <w:keepLines/>
      <w:numPr>
        <w:ilvl w:val="6"/>
        <w:numId w:val="3"/>
      </w:numPr>
      <w:spacing w:before="240" w:after="64" w:line="320" w:lineRule="auto"/>
      <w:outlineLvl w:val="6"/>
    </w:pPr>
    <w:rPr>
      <w:rFonts w:eastAsia="仿宋"/>
      <w:b/>
      <w:bCs/>
      <w:szCs w:val="24"/>
    </w:rPr>
  </w:style>
  <w:style w:type="paragraph" w:styleId="10">
    <w:name w:val="heading 8"/>
    <w:basedOn w:val="1"/>
    <w:next w:val="1"/>
    <w:link w:val="36"/>
    <w:semiHidden/>
    <w:unhideWhenUsed/>
    <w:qFormat/>
    <w:uiPriority w:val="9"/>
    <w:pPr>
      <w:keepNext/>
      <w:keepLines/>
      <w:numPr>
        <w:ilvl w:val="7"/>
        <w:numId w:val="3"/>
      </w:numPr>
      <w:spacing w:before="240" w:after="64" w:line="320" w:lineRule="auto"/>
      <w:outlineLvl w:val="7"/>
    </w:pPr>
    <w:rPr>
      <w:rFonts w:asciiTheme="majorHAnsi" w:hAnsiTheme="majorHAnsi" w:eastAsiaTheme="majorEastAsia" w:cstheme="majorBidi"/>
      <w:szCs w:val="24"/>
    </w:rPr>
  </w:style>
  <w:style w:type="paragraph" w:styleId="11">
    <w:name w:val="heading 9"/>
    <w:basedOn w:val="1"/>
    <w:next w:val="1"/>
    <w:link w:val="37"/>
    <w:semiHidden/>
    <w:unhideWhenUsed/>
    <w:qFormat/>
    <w:uiPriority w:val="9"/>
    <w:pPr>
      <w:keepNext/>
      <w:keepLines/>
      <w:numPr>
        <w:ilvl w:val="8"/>
        <w:numId w:val="3"/>
      </w:numPr>
      <w:spacing w:before="240" w:after="64" w:line="320" w:lineRule="auto"/>
      <w:outlineLvl w:val="8"/>
    </w:pPr>
    <w:rPr>
      <w:rFonts w:asciiTheme="majorHAnsi" w:hAnsiTheme="majorHAnsi" w:eastAsiaTheme="majorEastAsia" w:cstheme="majorBidi"/>
      <w:szCs w:val="21"/>
    </w:rPr>
  </w:style>
  <w:style w:type="character" w:default="1" w:styleId="22">
    <w:name w:val="Default Paragraph Font"/>
    <w:semiHidden/>
    <w:unhideWhenUsed/>
    <w:uiPriority w:val="1"/>
  </w:style>
  <w:style w:type="table" w:default="1" w:styleId="26">
    <w:name w:val="Normal Table"/>
    <w:semiHidden/>
    <w:unhideWhenUsed/>
    <w:qFormat/>
    <w:uiPriority w:val="99"/>
    <w:tblPr>
      <w:tblLayout w:type="fixed"/>
      <w:tblCellMar>
        <w:top w:w="0" w:type="dxa"/>
        <w:left w:w="108" w:type="dxa"/>
        <w:bottom w:w="0" w:type="dxa"/>
        <w:right w:w="108" w:type="dxa"/>
      </w:tblCellMar>
    </w:tblPr>
  </w:style>
  <w:style w:type="paragraph" w:styleId="2">
    <w:name w:val="toc 2"/>
    <w:basedOn w:val="1"/>
    <w:next w:val="1"/>
    <w:unhideWhenUsed/>
    <w:qFormat/>
    <w:uiPriority w:val="39"/>
    <w:pPr>
      <w:ind w:left="420" w:leftChars="200"/>
    </w:pPr>
  </w:style>
  <w:style w:type="paragraph" w:styleId="12">
    <w:name w:val="annotation subject"/>
    <w:basedOn w:val="13"/>
    <w:next w:val="13"/>
    <w:link w:val="45"/>
    <w:semiHidden/>
    <w:unhideWhenUsed/>
    <w:qFormat/>
    <w:uiPriority w:val="99"/>
    <w:rPr>
      <w:b/>
      <w:bCs/>
    </w:rPr>
  </w:style>
  <w:style w:type="paragraph" w:styleId="13">
    <w:name w:val="annotation text"/>
    <w:basedOn w:val="1"/>
    <w:link w:val="44"/>
    <w:semiHidden/>
    <w:unhideWhenUsed/>
    <w:qFormat/>
    <w:uiPriority w:val="99"/>
    <w:pPr>
      <w:jc w:val="left"/>
    </w:pPr>
  </w:style>
  <w:style w:type="paragraph" w:styleId="14">
    <w:name w:val="caption"/>
    <w:basedOn w:val="1"/>
    <w:next w:val="1"/>
    <w:unhideWhenUsed/>
    <w:qFormat/>
    <w:uiPriority w:val="35"/>
    <w:pPr>
      <w:jc w:val="center"/>
    </w:pPr>
    <w:rPr>
      <w:rFonts w:cstheme="majorBidi"/>
      <w:b/>
      <w:sz w:val="24"/>
      <w:szCs w:val="20"/>
    </w:rPr>
  </w:style>
  <w:style w:type="paragraph" w:styleId="15">
    <w:name w:val="Body Text"/>
    <w:basedOn w:val="1"/>
    <w:qFormat/>
    <w:uiPriority w:val="0"/>
  </w:style>
  <w:style w:type="paragraph" w:styleId="16">
    <w:name w:val="toc 3"/>
    <w:basedOn w:val="1"/>
    <w:next w:val="1"/>
    <w:unhideWhenUsed/>
    <w:qFormat/>
    <w:uiPriority w:val="39"/>
    <w:pPr>
      <w:ind w:left="840" w:leftChars="400"/>
    </w:pPr>
  </w:style>
  <w:style w:type="paragraph" w:styleId="17">
    <w:name w:val="Balloon Text"/>
    <w:basedOn w:val="1"/>
    <w:link w:val="43"/>
    <w:semiHidden/>
    <w:unhideWhenUsed/>
    <w:qFormat/>
    <w:uiPriority w:val="99"/>
    <w:pPr>
      <w:spacing w:line="240" w:lineRule="auto"/>
    </w:pPr>
    <w:rPr>
      <w:sz w:val="18"/>
      <w:szCs w:val="18"/>
    </w:rPr>
  </w:style>
  <w:style w:type="paragraph" w:styleId="18">
    <w:name w:val="footer"/>
    <w:basedOn w:val="1"/>
    <w:link w:val="42"/>
    <w:unhideWhenUsed/>
    <w:qFormat/>
    <w:uiPriority w:val="99"/>
    <w:pPr>
      <w:tabs>
        <w:tab w:val="center" w:pos="4153"/>
        <w:tab w:val="right" w:pos="8306"/>
      </w:tabs>
      <w:snapToGrid w:val="0"/>
      <w:jc w:val="left"/>
    </w:pPr>
    <w:rPr>
      <w:sz w:val="18"/>
      <w:szCs w:val="18"/>
    </w:rPr>
  </w:style>
  <w:style w:type="paragraph" w:styleId="19">
    <w:name w:val="header"/>
    <w:basedOn w:val="1"/>
    <w:link w:val="41"/>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unhideWhenUsed/>
    <w:qFormat/>
    <w:uiPriority w:val="39"/>
  </w:style>
  <w:style w:type="paragraph" w:styleId="21">
    <w:name w:val="Body Text 2"/>
    <w:basedOn w:val="1"/>
    <w:qFormat/>
    <w:uiPriority w:val="0"/>
    <w:pPr>
      <w:spacing w:after="120" w:line="480" w:lineRule="auto"/>
      <w:ind w:right="-376" w:rightChars="-376"/>
    </w:pPr>
  </w:style>
  <w:style w:type="character" w:styleId="23">
    <w:name w:val="page number"/>
    <w:basedOn w:val="22"/>
    <w:qFormat/>
    <w:uiPriority w:val="0"/>
  </w:style>
  <w:style w:type="character" w:styleId="24">
    <w:name w:val="Hyperlink"/>
    <w:basedOn w:val="22"/>
    <w:unhideWhenUsed/>
    <w:qFormat/>
    <w:uiPriority w:val="99"/>
    <w:rPr>
      <w:color w:val="0563C1" w:themeColor="hyperlink"/>
      <w:u w:val="single"/>
      <w14:textFill>
        <w14:solidFill>
          <w14:schemeClr w14:val="hlink"/>
        </w14:solidFill>
      </w14:textFill>
    </w:rPr>
  </w:style>
  <w:style w:type="character" w:styleId="25">
    <w:name w:val="annotation reference"/>
    <w:basedOn w:val="22"/>
    <w:semiHidden/>
    <w:unhideWhenUsed/>
    <w:qFormat/>
    <w:uiPriority w:val="99"/>
    <w:rPr>
      <w:sz w:val="21"/>
      <w:szCs w:val="21"/>
    </w:rPr>
  </w:style>
  <w:style w:type="paragraph" w:customStyle="1" w:styleId="27">
    <w:name w:val="Default"/>
    <w:basedOn w:val="28"/>
    <w:next w:val="1"/>
    <w:qFormat/>
    <w:uiPriority w:val="0"/>
    <w:pPr>
      <w:autoSpaceDE w:val="0"/>
      <w:autoSpaceDN w:val="0"/>
    </w:pPr>
    <w:rPr>
      <w:rFonts w:hAnsi="Times New Roman" w:cs="宋体"/>
      <w:color w:val="000000"/>
      <w:sz w:val="24"/>
      <w:szCs w:val="24"/>
    </w:rPr>
  </w:style>
  <w:style w:type="paragraph" w:customStyle="1" w:styleId="28">
    <w:name w:val="纯文本1"/>
    <w:basedOn w:val="1"/>
    <w:qFormat/>
    <w:uiPriority w:val="0"/>
    <w:pPr>
      <w:adjustRightInd w:val="0"/>
    </w:pPr>
    <w:rPr>
      <w:rFonts w:hint="eastAsia" w:ascii="宋体" w:hAnsi="Courier New"/>
    </w:rPr>
  </w:style>
  <w:style w:type="character" w:customStyle="1" w:styleId="29">
    <w:name w:val="标题 1 字符"/>
    <w:basedOn w:val="22"/>
    <w:link w:val="3"/>
    <w:qFormat/>
    <w:uiPriority w:val="9"/>
    <w:rPr>
      <w:rFonts w:eastAsia="仿宋_GB2312"/>
      <w:b/>
      <w:bCs/>
      <w:kern w:val="44"/>
      <w:sz w:val="28"/>
      <w:szCs w:val="28"/>
    </w:rPr>
  </w:style>
  <w:style w:type="character" w:customStyle="1" w:styleId="30">
    <w:name w:val="标题 2 字符"/>
    <w:link w:val="4"/>
    <w:qFormat/>
    <w:uiPriority w:val="9"/>
    <w:rPr>
      <w:rFonts w:eastAsia="仿宋_GB2312" w:cstheme="minorBidi"/>
      <w:b/>
      <w:bCs/>
      <w:kern w:val="2"/>
      <w:sz w:val="28"/>
      <w:szCs w:val="32"/>
    </w:rPr>
  </w:style>
  <w:style w:type="character" w:customStyle="1" w:styleId="31">
    <w:name w:val="标题 3 字符"/>
    <w:basedOn w:val="22"/>
    <w:link w:val="5"/>
    <w:qFormat/>
    <w:uiPriority w:val="9"/>
    <w:rPr>
      <w:rFonts w:ascii="Times New Roman" w:hAnsi="Times New Roman" w:eastAsia="仿宋"/>
      <w:b/>
      <w:bCs/>
      <w:sz w:val="28"/>
      <w:szCs w:val="32"/>
    </w:rPr>
  </w:style>
  <w:style w:type="character" w:customStyle="1" w:styleId="32">
    <w:name w:val="标题 4 字符"/>
    <w:basedOn w:val="22"/>
    <w:link w:val="6"/>
    <w:qFormat/>
    <w:uiPriority w:val="9"/>
    <w:rPr>
      <w:rFonts w:asciiTheme="majorHAnsi" w:hAnsiTheme="majorHAnsi" w:eastAsiaTheme="majorEastAsia" w:cstheme="majorBidi"/>
      <w:b/>
      <w:bCs/>
      <w:sz w:val="28"/>
      <w:szCs w:val="28"/>
    </w:rPr>
  </w:style>
  <w:style w:type="character" w:customStyle="1" w:styleId="33">
    <w:name w:val="标题 5 字符"/>
    <w:basedOn w:val="22"/>
    <w:link w:val="7"/>
    <w:qFormat/>
    <w:uiPriority w:val="9"/>
    <w:rPr>
      <w:rFonts w:ascii="Times New Roman" w:hAnsi="Times New Roman" w:eastAsia="仿宋"/>
      <w:b/>
      <w:bCs/>
      <w:sz w:val="28"/>
      <w:szCs w:val="28"/>
    </w:rPr>
  </w:style>
  <w:style w:type="character" w:customStyle="1" w:styleId="34">
    <w:name w:val="标题 6 字符"/>
    <w:basedOn w:val="22"/>
    <w:link w:val="8"/>
    <w:semiHidden/>
    <w:qFormat/>
    <w:uiPriority w:val="9"/>
    <w:rPr>
      <w:rFonts w:asciiTheme="majorHAnsi" w:hAnsiTheme="majorHAnsi" w:eastAsiaTheme="majorEastAsia" w:cstheme="majorBidi"/>
      <w:b/>
      <w:bCs/>
      <w:sz w:val="28"/>
      <w:szCs w:val="24"/>
    </w:rPr>
  </w:style>
  <w:style w:type="character" w:customStyle="1" w:styleId="35">
    <w:name w:val="标题 7 字符"/>
    <w:basedOn w:val="22"/>
    <w:link w:val="9"/>
    <w:semiHidden/>
    <w:qFormat/>
    <w:uiPriority w:val="9"/>
    <w:rPr>
      <w:rFonts w:ascii="Times New Roman" w:hAnsi="Times New Roman" w:eastAsia="仿宋"/>
      <w:b/>
      <w:bCs/>
      <w:sz w:val="28"/>
      <w:szCs w:val="24"/>
    </w:rPr>
  </w:style>
  <w:style w:type="character" w:customStyle="1" w:styleId="36">
    <w:name w:val="标题 8 字符"/>
    <w:basedOn w:val="22"/>
    <w:link w:val="10"/>
    <w:semiHidden/>
    <w:qFormat/>
    <w:uiPriority w:val="9"/>
    <w:rPr>
      <w:rFonts w:asciiTheme="majorHAnsi" w:hAnsiTheme="majorHAnsi" w:eastAsiaTheme="majorEastAsia" w:cstheme="majorBidi"/>
      <w:sz w:val="28"/>
      <w:szCs w:val="24"/>
    </w:rPr>
  </w:style>
  <w:style w:type="character" w:customStyle="1" w:styleId="37">
    <w:name w:val="标题 9 字符"/>
    <w:basedOn w:val="22"/>
    <w:link w:val="11"/>
    <w:semiHidden/>
    <w:qFormat/>
    <w:uiPriority w:val="9"/>
    <w:rPr>
      <w:rFonts w:asciiTheme="majorHAnsi" w:hAnsiTheme="majorHAnsi" w:eastAsiaTheme="majorEastAsia" w:cstheme="majorBidi"/>
      <w:szCs w:val="21"/>
    </w:rPr>
  </w:style>
  <w:style w:type="paragraph" w:customStyle="1" w:styleId="38">
    <w:name w:val="方案正文"/>
    <w:basedOn w:val="1"/>
    <w:qFormat/>
    <w:uiPriority w:val="0"/>
    <w:pPr>
      <w:ind w:firstLine="608"/>
    </w:pPr>
    <w:rPr>
      <w:rFonts w:eastAsia="仿宋" w:cs="Times New Roman"/>
      <w:bCs/>
      <w:color w:val="000000"/>
      <w:spacing w:val="6"/>
      <w:szCs w:val="24"/>
    </w:rPr>
  </w:style>
  <w:style w:type="paragraph" w:styleId="39">
    <w:name w:val="List Paragraph"/>
    <w:basedOn w:val="1"/>
    <w:qFormat/>
    <w:uiPriority w:val="34"/>
    <w:pPr>
      <w:ind w:firstLine="420" w:firstLineChars="200"/>
    </w:pPr>
  </w:style>
  <w:style w:type="paragraph" w:customStyle="1" w:styleId="40">
    <w:name w:val="TOC 标题1"/>
    <w:basedOn w:val="3"/>
    <w:next w:val="1"/>
    <w:unhideWhenUsed/>
    <w:qFormat/>
    <w:uiPriority w:val="39"/>
    <w:pPr>
      <w:widowControl/>
      <w:numPr>
        <w:numId w:val="0"/>
      </w:numPr>
      <w:spacing w:before="24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41">
    <w:name w:val="页眉 字符"/>
    <w:basedOn w:val="22"/>
    <w:link w:val="19"/>
    <w:qFormat/>
    <w:uiPriority w:val="99"/>
    <w:rPr>
      <w:rFonts w:ascii="Times New Roman" w:hAnsi="Times New Roman" w:eastAsia="仿宋_GB2312"/>
      <w:sz w:val="18"/>
      <w:szCs w:val="18"/>
    </w:rPr>
  </w:style>
  <w:style w:type="character" w:customStyle="1" w:styleId="42">
    <w:name w:val="页脚 字符"/>
    <w:basedOn w:val="22"/>
    <w:link w:val="18"/>
    <w:qFormat/>
    <w:uiPriority w:val="99"/>
    <w:rPr>
      <w:rFonts w:ascii="Times New Roman" w:hAnsi="Times New Roman" w:eastAsia="仿宋_GB2312"/>
      <w:sz w:val="18"/>
      <w:szCs w:val="18"/>
    </w:rPr>
  </w:style>
  <w:style w:type="character" w:customStyle="1" w:styleId="43">
    <w:name w:val="批注框文本 字符"/>
    <w:basedOn w:val="22"/>
    <w:link w:val="17"/>
    <w:semiHidden/>
    <w:qFormat/>
    <w:uiPriority w:val="99"/>
    <w:rPr>
      <w:rFonts w:eastAsia="仿宋_GB2312" w:cstheme="minorBidi"/>
      <w:kern w:val="2"/>
      <w:sz w:val="18"/>
      <w:szCs w:val="18"/>
    </w:rPr>
  </w:style>
  <w:style w:type="character" w:customStyle="1" w:styleId="44">
    <w:name w:val="批注文字 字符"/>
    <w:basedOn w:val="22"/>
    <w:link w:val="13"/>
    <w:semiHidden/>
    <w:qFormat/>
    <w:uiPriority w:val="99"/>
    <w:rPr>
      <w:rFonts w:eastAsia="仿宋_GB2312" w:cstheme="minorBidi"/>
      <w:kern w:val="2"/>
      <w:sz w:val="28"/>
      <w:szCs w:val="22"/>
    </w:rPr>
  </w:style>
  <w:style w:type="character" w:customStyle="1" w:styleId="45">
    <w:name w:val="批注主题 字符"/>
    <w:basedOn w:val="44"/>
    <w:link w:val="12"/>
    <w:semiHidden/>
    <w:qFormat/>
    <w:uiPriority w:val="99"/>
    <w:rPr>
      <w:rFonts w:eastAsia="仿宋_GB2312" w:cstheme="minorBidi"/>
      <w:b/>
      <w:bCs/>
      <w:kern w:val="2"/>
      <w:sz w:val="28"/>
      <w:szCs w:val="22"/>
    </w:rPr>
  </w:style>
  <w:style w:type="character" w:customStyle="1" w:styleId="46">
    <w:name w:val="size13"/>
    <w:basedOn w:val="22"/>
    <w:qFormat/>
    <w:uiPriority w:val="0"/>
  </w:style>
  <w:style w:type="paragraph" w:customStyle="1" w:styleId="47">
    <w:name w:val="样式 五号 非加粗 黑色 居中"/>
    <w:semiHidden/>
    <w:qFormat/>
    <w:uiPriority w:val="0"/>
    <w:pPr>
      <w:spacing w:before="300" w:beforeLines="300" w:after="300" w:afterLines="300"/>
      <w:ind w:firstLine="150" w:firstLineChars="150"/>
    </w:pPr>
    <w:rPr>
      <w:rFonts w:ascii="宋体" w:hAnsi="宋体" w:eastAsia="宋体" w:cs="宋体"/>
      <w:color w:val="000000"/>
      <w:sz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Company>
  <Pages>1</Pages>
  <Words>434</Words>
  <Characters>2479</Characters>
  <Lines>20</Lines>
  <Paragraphs>5</Paragraphs>
  <TotalTime>81</TotalTime>
  <ScaleCrop>false</ScaleCrop>
  <LinksUpToDate>false</LinksUpToDate>
  <CharactersWithSpaces>2908</CharactersWithSpaces>
  <Application>WPS Office_10.8.2.7098_F1E327BC-269C-435d-A152-05C5408002CA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2022-05-10T08:48:00Z</dcterms:created>
  <dc:creator>Administrator</dc:creator>
  <cp:lastModifiedBy>温平</cp:lastModifiedBy>
  <dcterms:modified xsi:type="dcterms:W3CDTF">2023-01-06T02:50:44Z</dcterms:modified>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2052-10.8.2.7098</vt:lpwstr>
  </property>
  <property fmtid="{D5CDD505-2E9C-101B-9397-08002B2CF9AE}" pid="3" name="ICV">
    <vt:lpwstr>C5310E3752DD43B58632271EFBA3FCCD</vt:lpwstr>
  </property>
  <property fmtid="{D5CDD505-2E9C-101B-9397-08002B2CF9AE}" pid="4" name="ribbonExt">
    <vt:lpwstr>{"WPSExtOfficeTab":{"OnGetEnabled":false,"OnGetVisible":false}}</vt:lpwstr>
  </property>
</Properties>
</file>