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土壤污染重点监管单位自行监测报告结果</w:t>
      </w:r>
    </w:p>
    <w:tbl>
      <w:tblPr>
        <w:tblStyle w:val="2"/>
        <w:tblW w:w="15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642"/>
        <w:gridCol w:w="1273"/>
        <w:gridCol w:w="1097"/>
        <w:gridCol w:w="1236"/>
        <w:gridCol w:w="4194"/>
        <w:gridCol w:w="4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E2EFDA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42" w:type="dxa"/>
            <w:tcBorders>
              <w:top w:val="single" w:color="000000" w:sz="8" w:space="0"/>
              <w:left w:val="single" w:color="000000" w:sz="8" w:space="0"/>
              <w:bottom w:val="single" w:color="E2EFDA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E2EFDA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E2EFDA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E2EFDA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纳入时间（按首次）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土壤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深圳市中金岭南有色金属股份有限公司韶关冶炼厂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9144020072242362XN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汞、砷、铅、镉、锑超《土壤环境质量建设用地土壤环境风险管控标准（试行）》（GB36600-2018）第二类用地标准中筛选值。对照历史数据，土壤各指标趋势稳定，无明显增量，环境风险可控，土壤隐患管控方案与措施得当有效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此次样品的检测结果显示部分样品镉和铊超《地下水质量标准》（GB/T14848-2017） Ⅲ类标准限值要求，该地块地下水不会作为饮用水和其他水源的开发使用，地下水的暴露途径影响人体可能性很低，其污染风险均在可控制范围内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韶关棉土窝矿业有限公司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914402821918706306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有色金属矿采选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此次样品的检测结果显示部分点位铍超《土壤环境质量建设用地土壤环境风险管控标准（试行）》（GB36600-2018）第二类用地标准中筛选值，与成矿高背景存在密切关系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此次样品的检测结果显示部分点位钼、铍和铊超《地下水质量标准》（GB/T14848-2017） Ⅲ类标准限值要求，其它均符合相关标准限制，与成矿高背景存在密切关系。该地块地下水不会作为饮用水和其他水源的开发使用，地下水的暴露途径影响人体可能性很低，其污染风险均在可控制范围内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广东省大宝山矿业有限公司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9144020019152157XE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有色金属矿采选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铅、砷、铜、钴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超《土壤环境质量建设用地土壤环境风险管控标准（试行）》（GB36600-2018）第二类用地标准中筛选值，初步判断超标的指标与大宝山成矿高背景存在密切关系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此次样品的检测结果显示部分点位氟化物超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《地下水质量标准》（GB/T14848-2017） Ⅲ类标准限值要求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根据近年连续监测点位情况分析，大宝山地下水关注污染物浓度整体呈现下降趋势，部分点位氟化物超标初步判断为大宝山成矿背景高的原因。该地块地下水不会作为饮用水和其他水源的开发使用，地下水的暴露途径影响人体可能性很低，其污染风险均在可控制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韶关绿鑫环保技术有限公司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9144020577096229X2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危险废物治理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广东韶钢松山股份有限公司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914402002311293467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金属冶炼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超《土壤环境质量建设用地土壤环境风险管控标准（试行）》（GB36600-2018）第二类用地标准中筛选值，与本地区土壤背景值高有关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此次样品的检测结果显示部分点位浊度、氨氮、高锰酸盐指数、硫酸盐、氯化物、碘化物、六价铬、锰、硒、锑、铊、铝超《地下水质量标准》（GB/T14848-2017） Ⅲ类标准限值要求，场地内地下水整体质量数据较为稳定，地下水监测数据对比往年并未出现恶化趋势。该地块地下水不会作为饮用水和其他水源的开发使用，地下水的暴露途径影响人体可能性很低，其污染风险均在可控制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广东中耀环境科技有限公司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91440205MA4X6D9T78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危险废物治理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此次样品的检测结果显示部分点位锰、色度、浑浊度超《地下水质量标准》（GB/T14848-2017） Ⅲ类标准限值要求。该地块地下水不会作为饮用水和其他水源的开发使用，地下水的暴露途径影响人体可能性很低，其污染风险均在可控制范围内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韶关市波丽医疗废物处理有限公司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91440205751078378J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危险废物治理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部分点位锰、氨氮、铝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《地下水质量标准》（GB/T14848-2017） Ⅲ类标准限值要求。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该地块地下水不会作为饮用水和其他水源的开发使用，地下水的暴露途径影响人体可能性很低，其污染风险均在可控制范围内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深圳市中金岭南有色金属股份有限公司凡口铅锌矿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914402247123854555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有色金属矿采选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深圳市中金岭南有色金属股份有限公司丹霞冶炼厂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91440224191924926H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有色金属冶炼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此次样品的检测结果显示个别点位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超《土壤环境质量建设用地土壤环境风险管控标准（试行）》（GB36600-2018）第二类用地标准中筛选值，与本地区土壤背景值高有关，近年来土壤环境质量稳定，未出现恶化现象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韶关市鑫众钨业有限公司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91440224761581444D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有色金属冶炼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韶关中润金属科技有限公司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9144022459743955XN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金属冶炼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乳源东阳光电化厂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91440232752888612G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危险废物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产生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超《土壤环境质量建设用地土壤环境风险管控标准（试行）》（GB36600-2018）第二类用地标准中筛选值，与本地区土壤背景值高有关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乳源瑶族自治县鑫源环保金属科技有限公司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9144023275833782XT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危险废物治理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韶关市晟发再生资源科技有限公司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914402327879854202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有色金属冶炼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翁源县志诚五金电镀有限公司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91440200755606748H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电镀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超《土壤环境质量建设用地土壤环境风险管控标准（试行）》（GB36600-2018）第二类用地标准中筛选值，与本地区土壤背景值高有关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韶关鹏瑞环保科技有限公司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91440229799360700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危险废物治理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超《土壤环境质量建设用地土壤环境风险管控标准（试行）》（GB36600-2018）第二类用地标准中筛选值，与本地区土壤背景值高有关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此次样品的检测结果显示部分点位氨氮超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《地下水质量标准》（GB/T14848-2017） Ⅲ类标准限值要求,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其它均符合相关标准限制。该地块地下水不会作为饮用水和其他水源的开发使用，地下水的暴露途径影响人体可能性很低，其污染风险均在可控制范围内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韶关东江环保再生资源发展有限公司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9144022979299871X2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危险废物治理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超《土壤环境质量建设用地土壤环境风险管控标准（试行）》（GB36600-2018）第二类用地标准中筛选值，但小于管制值，与本地区土壤背景值高有关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此次样品的检测结果显示部分点位铁、铅超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《地下水质量标准》（GB/T14848-2017） Ⅲ类标准限值要求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，与上游的成矿带地下水背景有关。该地块地下水不会作为饮用水和其他水源的开发使用，地下水的暴露途径影响人体可能性很低，其污染风险均在可控制范围内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韶关杰盛净水材料有限公司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914402293349049153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危险废物治理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此次样品的检测结果显示未超《土壤环境质量建设用地土壤环境风险管控标准（试行）》（GB36600-2018）第二类用地标准中筛选值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此次样品的检测结果显示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符合《地下水质量标准》（GB/T14848-2017） Ⅲ类标准限值要求</w:t>
            </w:r>
          </w:p>
        </w:tc>
      </w:tr>
      <w:bookmarkEnd w:id="0"/>
    </w:tbl>
    <w:p>
      <w:pPr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备注：以上企业须结合隐患排查情况和报告建议，落实源头防控措施，管控土壤和地下水环境风险。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ZjYxZDVhODMwOGRmM2YxNTQzNmIxNGIxNWVlOTkifQ=="/>
  </w:docVars>
  <w:rsids>
    <w:rsidRoot w:val="00000000"/>
    <w:rsid w:val="00F16982"/>
    <w:rsid w:val="027B51C9"/>
    <w:rsid w:val="02B250DA"/>
    <w:rsid w:val="034A3564"/>
    <w:rsid w:val="093E70AB"/>
    <w:rsid w:val="0D0076C8"/>
    <w:rsid w:val="0F296723"/>
    <w:rsid w:val="0F913406"/>
    <w:rsid w:val="0FB61FF6"/>
    <w:rsid w:val="0FFA76C7"/>
    <w:rsid w:val="11036B00"/>
    <w:rsid w:val="13005D6A"/>
    <w:rsid w:val="139E0D62"/>
    <w:rsid w:val="1A92642B"/>
    <w:rsid w:val="1AF02302"/>
    <w:rsid w:val="1BE7599C"/>
    <w:rsid w:val="1EA0669C"/>
    <w:rsid w:val="1F792DAF"/>
    <w:rsid w:val="201C373B"/>
    <w:rsid w:val="24480FA2"/>
    <w:rsid w:val="247A6C69"/>
    <w:rsid w:val="25070E5D"/>
    <w:rsid w:val="255F2A47"/>
    <w:rsid w:val="276C31F9"/>
    <w:rsid w:val="2AE632C3"/>
    <w:rsid w:val="2AF552B4"/>
    <w:rsid w:val="2AFE0D43"/>
    <w:rsid w:val="2D4114FA"/>
    <w:rsid w:val="30D53C34"/>
    <w:rsid w:val="36FA0271"/>
    <w:rsid w:val="37620175"/>
    <w:rsid w:val="38D40BFF"/>
    <w:rsid w:val="38E84D15"/>
    <w:rsid w:val="3A6A4B6D"/>
    <w:rsid w:val="42437045"/>
    <w:rsid w:val="441440F3"/>
    <w:rsid w:val="44EC107E"/>
    <w:rsid w:val="478C4E3C"/>
    <w:rsid w:val="478F5A35"/>
    <w:rsid w:val="48F86953"/>
    <w:rsid w:val="4B11098D"/>
    <w:rsid w:val="4C345E71"/>
    <w:rsid w:val="4C7511B6"/>
    <w:rsid w:val="50DB6B76"/>
    <w:rsid w:val="51112B1C"/>
    <w:rsid w:val="51703763"/>
    <w:rsid w:val="52D36356"/>
    <w:rsid w:val="596B1A25"/>
    <w:rsid w:val="59ED232E"/>
    <w:rsid w:val="5A156629"/>
    <w:rsid w:val="5A4A7DD4"/>
    <w:rsid w:val="5AA224B3"/>
    <w:rsid w:val="5DFC351B"/>
    <w:rsid w:val="5EAD2C70"/>
    <w:rsid w:val="618E4DB5"/>
    <w:rsid w:val="64DE3122"/>
    <w:rsid w:val="6D0D5EB2"/>
    <w:rsid w:val="6D6E4F7F"/>
    <w:rsid w:val="713954C7"/>
    <w:rsid w:val="73CA4855"/>
    <w:rsid w:val="74517421"/>
    <w:rsid w:val="75135175"/>
    <w:rsid w:val="7A205476"/>
    <w:rsid w:val="7B5F3D7C"/>
    <w:rsid w:val="7F745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3022</Words>
  <Characters>3825</Characters>
  <Lines>0</Lines>
  <Paragraphs>0</Paragraphs>
  <TotalTime>4</TotalTime>
  <ScaleCrop>false</ScaleCrop>
  <LinksUpToDate>false</LinksUpToDate>
  <CharactersWithSpaces>3843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2022-12-29T17:21:00Z</dcterms:created>
  <dc:creator>江明洋</dc:creator>
  <cp:lastModifiedBy>纤雨潇桐</cp:lastModifiedBy>
  <dcterms:modified xsi:type="dcterms:W3CDTF">2022-12-30T15:18:51Z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26D6A150F255404A81622D1A584EED7B</vt:lpwstr>
  </property>
  <property fmtid="{D5CDD505-2E9C-101B-9397-08002B2CF9AE}" pid="4" name="ribbonExt">
    <vt:lpwstr>{"WPSExtOfficeTab":{"OnGetEnabled":false,"OnGetVisible":false}}</vt:lpwstr>
  </property>
</Properties>
</file>