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承诺获得2022年中央财政第二批重点“小巨人”企业第二年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预拨</w:t>
      </w:r>
      <w:r>
        <w:rPr>
          <w:rFonts w:hint="eastAsia" w:ascii="仿宋_GB2312" w:hAnsi="仿宋_GB2312" w:eastAsia="仿宋_GB2312" w:cs="仿宋_GB2312"/>
          <w:sz w:val="32"/>
          <w:szCs w:val="32"/>
        </w:rPr>
        <w:t>奖补资金后，将根据工信部绩效考核结果，若要清退资金的，按要求自愿全额或部分退回奖补资金。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A44BE"/>
    <w:rsid w:val="119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2022-12-12T06:32:00Z</dcterms:created>
  <dc:creator>Administrator</dc:creator>
  <cp:lastModifiedBy>Administrator</cp:lastModifiedBy>
  <dcterms:modified xsi:type="dcterms:W3CDTF">2022-12-12T06:37:31Z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1E8F053A5A7947ABAA83EDA152A622DB</vt:lpwstr>
  </property>
</Properties>
</file>